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6CC52A57" w14:textId="77777777" w:rsidTr="00796BDB">
        <w:trPr>
          <w:cantSplit/>
          <w:trHeight w:val="23"/>
        </w:trPr>
        <w:tc>
          <w:tcPr>
            <w:tcW w:w="3969" w:type="dxa"/>
            <w:vMerge w:val="restart"/>
            <w:tcMar>
              <w:left w:w="0" w:type="dxa"/>
            </w:tcMar>
          </w:tcPr>
          <w:p w14:paraId="7D5CA280" w14:textId="1CE260B3" w:rsidR="00D72F49" w:rsidRPr="00E85629" w:rsidRDefault="00D72F49" w:rsidP="00796BDB">
            <w:pPr>
              <w:tabs>
                <w:tab w:val="left" w:pos="851"/>
              </w:tabs>
              <w:spacing w:before="0" w:line="240" w:lineRule="atLeast"/>
              <w:rPr>
                <w:b/>
              </w:rPr>
            </w:pPr>
            <w:r w:rsidRPr="00122CE1">
              <w:rPr>
                <w:b/>
              </w:rPr>
              <w:t xml:space="preserve">Point de l'ordre du </w:t>
            </w:r>
            <w:proofErr w:type="gramStart"/>
            <w:r w:rsidRPr="00122CE1">
              <w:rPr>
                <w:b/>
              </w:rPr>
              <w:t>jour</w:t>
            </w:r>
            <w:r>
              <w:rPr>
                <w:b/>
              </w:rPr>
              <w:t>:</w:t>
            </w:r>
            <w:proofErr w:type="gramEnd"/>
            <w:r w:rsidR="00444DC1">
              <w:rPr>
                <w:b/>
              </w:rPr>
              <w:t xml:space="preserve"> </w:t>
            </w:r>
            <w:proofErr w:type="spellStart"/>
            <w:r w:rsidR="00444DC1">
              <w:rPr>
                <w:b/>
              </w:rPr>
              <w:t>PL</w:t>
            </w:r>
            <w:r w:rsidR="00E318B4">
              <w:rPr>
                <w:b/>
              </w:rPr>
              <w:t>-</w:t>
            </w:r>
            <w:r w:rsidR="00444DC1">
              <w:rPr>
                <w:b/>
              </w:rPr>
              <w:t>2</w:t>
            </w:r>
            <w:proofErr w:type="spellEnd"/>
          </w:p>
        </w:tc>
        <w:tc>
          <w:tcPr>
            <w:tcW w:w="5245" w:type="dxa"/>
          </w:tcPr>
          <w:p w14:paraId="65D30DCC" w14:textId="699BF84C"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444DC1">
              <w:rPr>
                <w:b/>
              </w:rPr>
              <w:t>31</w:t>
            </w:r>
            <w:r>
              <w:rPr>
                <w:b/>
              </w:rPr>
              <w:t>-F</w:t>
            </w:r>
          </w:p>
        </w:tc>
      </w:tr>
      <w:tr w:rsidR="00D72F49" w:rsidRPr="00C049D7" w14:paraId="40AA1AB0" w14:textId="77777777" w:rsidTr="00796BDB">
        <w:trPr>
          <w:cantSplit/>
        </w:trPr>
        <w:tc>
          <w:tcPr>
            <w:tcW w:w="3969" w:type="dxa"/>
            <w:vMerge/>
          </w:tcPr>
          <w:p w14:paraId="62F646A3" w14:textId="77777777" w:rsidR="00D72F49" w:rsidRPr="00813E5E" w:rsidRDefault="00D72F49" w:rsidP="00796BDB">
            <w:pPr>
              <w:tabs>
                <w:tab w:val="left" w:pos="851"/>
              </w:tabs>
              <w:spacing w:line="240" w:lineRule="atLeast"/>
              <w:rPr>
                <w:b/>
              </w:rPr>
            </w:pPr>
          </w:p>
        </w:tc>
        <w:tc>
          <w:tcPr>
            <w:tcW w:w="5245" w:type="dxa"/>
          </w:tcPr>
          <w:p w14:paraId="1D00BEF2" w14:textId="272E5B7B" w:rsidR="00D72F49" w:rsidRPr="00FC6D7D" w:rsidRDefault="00444DC1" w:rsidP="00796BDB">
            <w:pPr>
              <w:tabs>
                <w:tab w:val="left" w:pos="851"/>
              </w:tabs>
              <w:spacing w:before="0"/>
              <w:jc w:val="right"/>
              <w:rPr>
                <w:b/>
                <w:lang w:val="en-GB"/>
              </w:rPr>
            </w:pPr>
            <w:r>
              <w:rPr>
                <w:b/>
              </w:rPr>
              <w:t>30 mars 2026</w:t>
            </w:r>
          </w:p>
        </w:tc>
      </w:tr>
      <w:tr w:rsidR="00D72F49" w:rsidRPr="00813E5E" w14:paraId="7A6FCDD5" w14:textId="77777777" w:rsidTr="00796BDB">
        <w:trPr>
          <w:cantSplit/>
          <w:trHeight w:val="23"/>
        </w:trPr>
        <w:tc>
          <w:tcPr>
            <w:tcW w:w="3969" w:type="dxa"/>
            <w:vMerge/>
          </w:tcPr>
          <w:p w14:paraId="58CEA46F" w14:textId="77777777" w:rsidR="00D72F49" w:rsidRPr="00FC6D7D" w:rsidRDefault="00D72F49" w:rsidP="00796BDB">
            <w:pPr>
              <w:tabs>
                <w:tab w:val="left" w:pos="851"/>
              </w:tabs>
              <w:spacing w:line="240" w:lineRule="atLeast"/>
              <w:rPr>
                <w:b/>
                <w:lang w:val="en-GB"/>
              </w:rPr>
            </w:pPr>
          </w:p>
        </w:tc>
        <w:tc>
          <w:tcPr>
            <w:tcW w:w="5245" w:type="dxa"/>
          </w:tcPr>
          <w:p w14:paraId="0A870FA4"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6BF94325" w14:textId="77777777" w:rsidTr="00796BDB">
        <w:trPr>
          <w:cantSplit/>
          <w:trHeight w:val="23"/>
        </w:trPr>
        <w:tc>
          <w:tcPr>
            <w:tcW w:w="3969" w:type="dxa"/>
          </w:tcPr>
          <w:p w14:paraId="2E385A9E" w14:textId="77777777" w:rsidR="00D72F49" w:rsidRPr="00813E5E" w:rsidRDefault="00D72F49" w:rsidP="00796BDB">
            <w:pPr>
              <w:tabs>
                <w:tab w:val="left" w:pos="851"/>
              </w:tabs>
              <w:spacing w:line="240" w:lineRule="atLeast"/>
              <w:rPr>
                <w:b/>
              </w:rPr>
            </w:pPr>
          </w:p>
        </w:tc>
        <w:tc>
          <w:tcPr>
            <w:tcW w:w="5245" w:type="dxa"/>
          </w:tcPr>
          <w:p w14:paraId="42F92B27" w14:textId="77777777" w:rsidR="00D72F49" w:rsidRDefault="00D72F49" w:rsidP="00796BDB">
            <w:pPr>
              <w:tabs>
                <w:tab w:val="left" w:pos="851"/>
              </w:tabs>
              <w:spacing w:before="0" w:line="240" w:lineRule="atLeast"/>
              <w:jc w:val="right"/>
              <w:rPr>
                <w:b/>
              </w:rPr>
            </w:pPr>
          </w:p>
        </w:tc>
      </w:tr>
      <w:tr w:rsidR="00D72F49" w:rsidRPr="00122CE1" w14:paraId="76FF1BBE" w14:textId="77777777" w:rsidTr="00796BDB">
        <w:trPr>
          <w:cantSplit/>
        </w:trPr>
        <w:tc>
          <w:tcPr>
            <w:tcW w:w="9214" w:type="dxa"/>
            <w:gridSpan w:val="2"/>
            <w:tcMar>
              <w:left w:w="0" w:type="dxa"/>
            </w:tcMar>
          </w:tcPr>
          <w:p w14:paraId="5491C353" w14:textId="3ACDBAC4" w:rsidR="00D72F49" w:rsidRPr="00C42437" w:rsidRDefault="00444DC1" w:rsidP="00FE1A94">
            <w:pPr>
              <w:pStyle w:val="Source"/>
              <w:framePr w:hSpace="0" w:wrap="auto" w:vAnchor="margin" w:hAnchor="text" w:xAlign="left" w:yAlign="inline"/>
              <w:spacing w:before="840"/>
              <w:rPr>
                <w:lang w:val="fr-CH"/>
              </w:rPr>
            </w:pPr>
            <w:r w:rsidRPr="00E318B4">
              <w:t>Rapport</w:t>
            </w:r>
            <w:r w:rsidRPr="00444DC1">
              <w:t xml:space="preserve"> du Président du Groupe de travail du Conseil chargé d'élaborer le Plan stratégique et le Plan financier pour la période 2028-2031</w:t>
            </w:r>
          </w:p>
        </w:tc>
      </w:tr>
      <w:tr w:rsidR="00D72F49" w:rsidRPr="00813E5E" w14:paraId="0BC205F6" w14:textId="77777777" w:rsidTr="00796BDB">
        <w:trPr>
          <w:cantSplit/>
        </w:trPr>
        <w:tc>
          <w:tcPr>
            <w:tcW w:w="9214" w:type="dxa"/>
            <w:gridSpan w:val="2"/>
            <w:tcMar>
              <w:left w:w="0" w:type="dxa"/>
            </w:tcMar>
          </w:tcPr>
          <w:p w14:paraId="33D84B00" w14:textId="22C7404A" w:rsidR="00D72F49" w:rsidRPr="00444DC1" w:rsidRDefault="00FE1A94" w:rsidP="00796BDB">
            <w:pPr>
              <w:pStyle w:val="Subtitle"/>
              <w:framePr w:hSpace="0" w:wrap="auto" w:hAnchor="text" w:xAlign="left" w:yAlign="inline"/>
              <w:rPr>
                <w:sz w:val="32"/>
                <w:szCs w:val="32"/>
                <w:lang w:val="fr-FR"/>
              </w:rPr>
            </w:pPr>
            <w:r w:rsidRPr="00444DC1">
              <w:rPr>
                <w:rFonts w:cstheme="minorHAnsi"/>
                <w:sz w:val="32"/>
                <w:szCs w:val="32"/>
                <w:lang w:val="fr-FR"/>
              </w:rPr>
              <w:t>RAPPORT D'ACTIVITÉ DU GROUPE DE TRAVAIL DU CONSEIL CHARGÉ D'ÉLABORER LE PLAN STRATÉGIQUE ET LE PLAN FINANCIER POUR LA PÉRIODE 2028-2031</w:t>
            </w:r>
          </w:p>
        </w:tc>
      </w:tr>
      <w:tr w:rsidR="00D72F49" w:rsidRPr="00813E5E" w14:paraId="40085529" w14:textId="77777777" w:rsidTr="00796BDB">
        <w:trPr>
          <w:cantSplit/>
        </w:trPr>
        <w:tc>
          <w:tcPr>
            <w:tcW w:w="9214" w:type="dxa"/>
            <w:gridSpan w:val="2"/>
            <w:tcBorders>
              <w:top w:val="single" w:sz="4" w:space="0" w:color="auto"/>
              <w:bottom w:val="single" w:sz="4" w:space="0" w:color="auto"/>
            </w:tcBorders>
            <w:tcMar>
              <w:left w:w="0" w:type="dxa"/>
            </w:tcMar>
          </w:tcPr>
          <w:p w14:paraId="2D6B625E" w14:textId="77777777" w:rsidR="00D72F49" w:rsidRPr="0099485B" w:rsidRDefault="00F37FE5" w:rsidP="00796BDB">
            <w:pPr>
              <w:spacing w:before="160"/>
              <w:rPr>
                <w:b/>
                <w:bCs/>
                <w:sz w:val="26"/>
                <w:szCs w:val="26"/>
                <w:lang w:val="fr-CH"/>
              </w:rPr>
            </w:pPr>
            <w:r>
              <w:rPr>
                <w:b/>
                <w:bCs/>
                <w:sz w:val="26"/>
                <w:szCs w:val="26"/>
                <w:lang w:val="fr-CH"/>
              </w:rPr>
              <w:t>Objet</w:t>
            </w:r>
          </w:p>
          <w:p w14:paraId="0BA98C3D" w14:textId="5CB035A3" w:rsidR="00D72F49" w:rsidRPr="0099485B" w:rsidRDefault="00444DC1" w:rsidP="00E318B4">
            <w:pPr>
              <w:jc w:val="both"/>
              <w:rPr>
                <w:lang w:val="fr-CH"/>
              </w:rPr>
            </w:pPr>
            <w:r w:rsidRPr="00444DC1">
              <w:rPr>
                <w:lang w:val="fr-CH"/>
              </w:rPr>
              <w:t>Le présent document contient un résumé du travail accompli par le Groupe de travail du Conseil chargé d'élaborer le Plan stratégique et le Plan financier pour la période 2028</w:t>
            </w:r>
            <w:r>
              <w:rPr>
                <w:lang w:val="fr-CH"/>
              </w:rPr>
              <w:t>-</w:t>
            </w:r>
            <w:r w:rsidRPr="00444DC1">
              <w:rPr>
                <w:lang w:val="fr-CH"/>
              </w:rPr>
              <w:t>2031 (GTC</w:t>
            </w:r>
            <w:r>
              <w:rPr>
                <w:lang w:val="fr-CH"/>
              </w:rPr>
              <w:noBreakHyphen/>
            </w:r>
            <w:r w:rsidRPr="00444DC1">
              <w:rPr>
                <w:lang w:val="fr-CH"/>
              </w:rPr>
              <w:t xml:space="preserve">SFP) depuis sa création par le Conseil à sa session de 2024 et présente les avant-projets de </w:t>
            </w:r>
            <w:r>
              <w:rPr>
                <w:lang w:val="fr-CH"/>
              </w:rPr>
              <w:t>p</w:t>
            </w:r>
            <w:r w:rsidRPr="00444DC1">
              <w:rPr>
                <w:lang w:val="fr-CH"/>
              </w:rPr>
              <w:t xml:space="preserve">lan stratégique et de </w:t>
            </w:r>
            <w:r>
              <w:rPr>
                <w:lang w:val="fr-CH"/>
              </w:rPr>
              <w:t>p</w:t>
            </w:r>
            <w:r w:rsidRPr="00444DC1">
              <w:rPr>
                <w:lang w:val="fr-CH"/>
              </w:rPr>
              <w:t>lan financier pour la période 2028-2031.</w:t>
            </w:r>
          </w:p>
          <w:p w14:paraId="0275BCB5" w14:textId="77777777" w:rsidR="00D72F49" w:rsidRPr="00122CE1" w:rsidRDefault="00D72F49" w:rsidP="00796BDB">
            <w:pPr>
              <w:spacing w:before="160"/>
              <w:rPr>
                <w:b/>
                <w:bCs/>
                <w:sz w:val="26"/>
                <w:szCs w:val="26"/>
                <w:lang w:val="fr-CH"/>
              </w:rPr>
            </w:pPr>
            <w:r w:rsidRPr="00122CE1">
              <w:rPr>
                <w:b/>
                <w:bCs/>
                <w:sz w:val="26"/>
                <w:szCs w:val="26"/>
                <w:lang w:val="fr-CH"/>
              </w:rPr>
              <w:t>Suite à donner par le Conseil</w:t>
            </w:r>
          </w:p>
          <w:p w14:paraId="79D5163C" w14:textId="38DF847A" w:rsidR="00D72F49" w:rsidRPr="00122CE1" w:rsidRDefault="00444DC1" w:rsidP="00E318B4">
            <w:pPr>
              <w:jc w:val="both"/>
              <w:rPr>
                <w:lang w:val="fr-CH"/>
              </w:rPr>
            </w:pPr>
            <w:r w:rsidRPr="00444DC1">
              <w:rPr>
                <w:lang w:val="fr-CH"/>
              </w:rPr>
              <w:t xml:space="preserve">Le Conseil est invité à </w:t>
            </w:r>
            <w:r w:rsidRPr="00887A36">
              <w:rPr>
                <w:b/>
                <w:bCs/>
                <w:lang w:val="fr-CH"/>
              </w:rPr>
              <w:t>examiner</w:t>
            </w:r>
            <w:r w:rsidRPr="00444DC1">
              <w:rPr>
                <w:lang w:val="fr-CH"/>
              </w:rPr>
              <w:t xml:space="preserve"> et à </w:t>
            </w:r>
            <w:r w:rsidRPr="00887A36">
              <w:rPr>
                <w:b/>
                <w:bCs/>
                <w:lang w:val="fr-CH"/>
              </w:rPr>
              <w:t>approuver</w:t>
            </w:r>
            <w:r w:rsidRPr="00444DC1">
              <w:rPr>
                <w:lang w:val="fr-CH"/>
              </w:rPr>
              <w:t xml:space="preserve"> les avant-projets de </w:t>
            </w:r>
            <w:r>
              <w:rPr>
                <w:lang w:val="fr-CH"/>
              </w:rPr>
              <w:t>p</w:t>
            </w:r>
            <w:r w:rsidRPr="00444DC1">
              <w:rPr>
                <w:lang w:val="fr-CH"/>
              </w:rPr>
              <w:t xml:space="preserve">lan stratégique et de </w:t>
            </w:r>
            <w:r>
              <w:rPr>
                <w:lang w:val="fr-CH"/>
              </w:rPr>
              <w:t>p</w:t>
            </w:r>
            <w:r w:rsidRPr="00444DC1">
              <w:rPr>
                <w:lang w:val="fr-CH"/>
              </w:rPr>
              <w:t>lan financier pour la période 2028-2031et à les transmettre à la Conférence de plénipotentiaires de 2026 (PP-26)</w:t>
            </w:r>
            <w:r>
              <w:rPr>
                <w:rStyle w:val="FootnoteReference"/>
                <w:lang w:val="fr-CH"/>
              </w:rPr>
              <w:footnoteReference w:id="1"/>
            </w:r>
            <w:r w:rsidRPr="00444DC1">
              <w:rPr>
                <w:lang w:val="fr-CH"/>
              </w:rPr>
              <w:t>.</w:t>
            </w:r>
          </w:p>
          <w:p w14:paraId="7EC2FBA0" w14:textId="3D454EF9" w:rsidR="00D72F49" w:rsidRPr="00122CE1" w:rsidRDefault="00D72F49" w:rsidP="00796BDB">
            <w:pPr>
              <w:spacing w:before="160"/>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193C1566" w14:textId="26F37F8C" w:rsidR="00D72F49" w:rsidRPr="00122CE1" w:rsidRDefault="00444DC1" w:rsidP="00796BDB">
            <w:pPr>
              <w:rPr>
                <w:lang w:val="fr-CH"/>
              </w:rPr>
            </w:pPr>
            <w:r w:rsidRPr="00444DC1">
              <w:rPr>
                <w:lang w:val="fr-CH"/>
              </w:rPr>
              <w:t>Plan stratégique et Plan financier pour la période 2028-2031</w:t>
            </w:r>
            <w:r>
              <w:rPr>
                <w:lang w:val="fr-CH"/>
              </w:rPr>
              <w:t>.</w:t>
            </w:r>
          </w:p>
          <w:p w14:paraId="310DAFAA" w14:textId="77777777" w:rsidR="00E95647" w:rsidRDefault="00D72F49" w:rsidP="00796BDB">
            <w:pPr>
              <w:spacing w:before="160"/>
              <w:rPr>
                <w:b/>
                <w:bCs/>
                <w:sz w:val="26"/>
                <w:szCs w:val="26"/>
                <w:lang w:val="fr-CH"/>
              </w:rPr>
            </w:pPr>
            <w:r w:rsidRPr="00122CE1">
              <w:rPr>
                <w:b/>
                <w:bCs/>
                <w:sz w:val="26"/>
                <w:szCs w:val="26"/>
                <w:lang w:val="fr-CH"/>
              </w:rPr>
              <w:t>Incidences financières</w:t>
            </w:r>
          </w:p>
          <w:p w14:paraId="7518DCC7" w14:textId="7B903D72" w:rsidR="00D72F49" w:rsidRPr="00882919" w:rsidRDefault="00444DC1" w:rsidP="00796BDB">
            <w:pPr>
              <w:rPr>
                <w:szCs w:val="24"/>
              </w:rPr>
            </w:pPr>
            <w:r w:rsidRPr="00444DC1">
              <w:rPr>
                <w:szCs w:val="24"/>
              </w:rPr>
              <w:t xml:space="preserve">Voir le projet de Plan financier publié dans le Document </w:t>
            </w:r>
            <w:hyperlink r:id="rId8" w:history="1">
              <w:r w:rsidRPr="00444DC1">
                <w:rPr>
                  <w:rStyle w:val="Hyperlink"/>
                  <w:rFonts w:eastAsia="Times New Roman" w:cs="Times New Roman"/>
                  <w:szCs w:val="24"/>
                </w:rPr>
                <w:t>C26/32</w:t>
              </w:r>
            </w:hyperlink>
            <w:r w:rsidRPr="00444DC1">
              <w:rPr>
                <w:szCs w:val="24"/>
              </w:rPr>
              <w:t>.</w:t>
            </w:r>
          </w:p>
          <w:p w14:paraId="55DABE32" w14:textId="77777777" w:rsidR="00D72F49" w:rsidRPr="00813E5E" w:rsidRDefault="00D72F49" w:rsidP="00796BDB">
            <w:pPr>
              <w:spacing w:before="160"/>
              <w:rPr>
                <w:caps/>
                <w:sz w:val="22"/>
              </w:rPr>
            </w:pPr>
            <w:r w:rsidRPr="00813E5E">
              <w:rPr>
                <w:sz w:val="22"/>
              </w:rPr>
              <w:t>____________</w:t>
            </w:r>
            <w:r>
              <w:rPr>
                <w:sz w:val="22"/>
              </w:rPr>
              <w:t>______</w:t>
            </w:r>
          </w:p>
          <w:p w14:paraId="43BF6067" w14:textId="77777777" w:rsidR="00D72F49" w:rsidRDefault="00D72F49" w:rsidP="00444DC1">
            <w:pPr>
              <w:keepNext/>
              <w:keepLines/>
              <w:spacing w:before="160"/>
              <w:rPr>
                <w:b/>
                <w:bCs/>
                <w:sz w:val="26"/>
                <w:szCs w:val="26"/>
              </w:rPr>
            </w:pPr>
            <w:r w:rsidRPr="00F16BAB">
              <w:rPr>
                <w:b/>
                <w:bCs/>
                <w:sz w:val="26"/>
                <w:szCs w:val="26"/>
              </w:rPr>
              <w:t>Références</w:t>
            </w:r>
          </w:p>
          <w:p w14:paraId="1FE219E6" w14:textId="1D6AEE61" w:rsidR="00D72F49" w:rsidRPr="00E318B4" w:rsidRDefault="00444DC1" w:rsidP="00CE5172">
            <w:pPr>
              <w:pStyle w:val="Referencetext"/>
              <w:framePr w:hSpace="0" w:wrap="auto" w:vAnchor="margin" w:hAnchor="text" w:xAlign="left" w:yAlign="inline"/>
            </w:pPr>
            <w:r w:rsidRPr="00E318B4">
              <w:t xml:space="preserve">Résolution </w:t>
            </w:r>
            <w:hyperlink r:id="rId9" w:history="1">
              <w:r w:rsidRPr="00E318B4">
                <w:rPr>
                  <w:rStyle w:val="Hyperlink"/>
                  <w:rFonts w:eastAsia="Times New Roman" w:cs="Times New Roman"/>
                </w:rPr>
                <w:t>71</w:t>
              </w:r>
            </w:hyperlink>
            <w:r w:rsidRPr="00E318B4">
              <w:t xml:space="preserve"> (Rév. Bucarest, 2022), Résolution </w:t>
            </w:r>
            <w:hyperlink r:id="rId10" w:history="1">
              <w:r w:rsidRPr="00E318B4">
                <w:rPr>
                  <w:rStyle w:val="Hyperlink"/>
                  <w:rFonts w:eastAsia="Times New Roman" w:cs="Times New Roman"/>
                </w:rPr>
                <w:t>1428</w:t>
              </w:r>
            </w:hyperlink>
            <w:r w:rsidRPr="00E318B4">
              <w:t xml:space="preserve"> (C24) du Conseil</w:t>
            </w:r>
          </w:p>
        </w:tc>
      </w:tr>
    </w:tbl>
    <w:p w14:paraId="72C006BF" w14:textId="77777777" w:rsidR="00444DC1" w:rsidRDefault="00444DC1" w:rsidP="00444DC1">
      <w:pPr>
        <w:pStyle w:val="Headingb"/>
      </w:pPr>
      <w:r>
        <w:lastRenderedPageBreak/>
        <w:t>Introduction</w:t>
      </w:r>
    </w:p>
    <w:p w14:paraId="4BCFB7A2" w14:textId="65E3C226" w:rsidR="00444DC1" w:rsidRDefault="00444DC1" w:rsidP="00E318B4">
      <w:pPr>
        <w:jc w:val="both"/>
      </w:pPr>
      <w:r>
        <w:t>À sa session de 2024, le Conseil a adopté la Résolution 1428 (C24) portant création du Groupe de travail du Conseil chargé d'élaborer le Plan stratégique et le Plan financier pour la période 2028-2031 (GTC-SFP). La Résolution contient le mandat du GTC-SFP.</w:t>
      </w:r>
    </w:p>
    <w:p w14:paraId="7AC4B191" w14:textId="2A5E20C5" w:rsidR="00444DC1" w:rsidRDefault="00444DC1" w:rsidP="00E318B4">
      <w:pPr>
        <w:jc w:val="both"/>
      </w:pPr>
      <w:r>
        <w:t xml:space="preserve">Le </w:t>
      </w:r>
      <w:r w:rsidR="004B452B">
        <w:t>g</w:t>
      </w:r>
      <w:r>
        <w:t>roupe est présidé par M. Mansour Al-Qurashi (Arabie saoudite), assisté des Vice</w:t>
      </w:r>
      <w:r w:rsidR="004B452B">
        <w:noBreakHyphen/>
      </w:r>
      <w:r>
        <w:t>Présidents: M. Mulembwa Denis Munaku (Tanzanie), M. Kenji Kuramochi (Paraguay), Mme</w:t>
      </w:r>
      <w:r w:rsidR="004B452B">
        <w:t> </w:t>
      </w:r>
      <w:r>
        <w:t>Maitha Al Jamri (Émirats arabes unis), M. Yi Lun (Chine), M. Bakhtjan Smanov (Ouzbékistan) et M. Rafał Bartoszewski (Pologne).</w:t>
      </w:r>
    </w:p>
    <w:p w14:paraId="66DD0135" w14:textId="3DDF0E23" w:rsidR="00444DC1" w:rsidRDefault="00444DC1" w:rsidP="00E318B4">
      <w:pPr>
        <w:jc w:val="both"/>
      </w:pPr>
      <w:r>
        <w:t xml:space="preserve">La Division de la stratégie et de la planification du Département de la planification stratégique et des relations avec les </w:t>
      </w:r>
      <w:r w:rsidR="00887A36">
        <w:t>m</w:t>
      </w:r>
      <w:r>
        <w:t xml:space="preserve">embres (SG/SPM/SPD) fournit les services de secrétariat pour les travaux du </w:t>
      </w:r>
      <w:r w:rsidR="004B452B">
        <w:t>g</w:t>
      </w:r>
      <w:r>
        <w:t>roupe. Les contributions du secrétariat au processus ont été élaborées de manière coordonnée entre les trois Bureaux et le Secrétariat général, dans le cadre du Groupe de travail intersectoriel sur la planification stratégique et financière (GT</w:t>
      </w:r>
      <w:r w:rsidR="004B452B">
        <w:noBreakHyphen/>
      </w:r>
      <w:r>
        <w:t>SFP), sous la conduite du Vice-Secrétaire général, M. Tomas Lamanauskas.</w:t>
      </w:r>
    </w:p>
    <w:p w14:paraId="47844012" w14:textId="77777777" w:rsidR="00444DC1" w:rsidRDefault="00444DC1" w:rsidP="00E318B4">
      <w:pPr>
        <w:jc w:val="both"/>
      </w:pPr>
      <w:r>
        <w:t>Ouvert à la participation de tous les États Membres et les Membres de Secteur depuis sa création, le groupe s'est réuni à quatre reprises, et doit tenir une cinquième réunion la veille de la session de 2026 du Conseil, le 27 avril 2026.</w:t>
      </w:r>
    </w:p>
    <w:p w14:paraId="379AC902" w14:textId="77777777" w:rsidR="00444DC1" w:rsidRDefault="00444DC1" w:rsidP="004B452B">
      <w:pPr>
        <w:pStyle w:val="Headingb"/>
      </w:pPr>
      <w:r>
        <w:t>Première réunion (10-11 octobre 2024)</w:t>
      </w:r>
    </w:p>
    <w:p w14:paraId="481E1CBB" w14:textId="6D4D6D91" w:rsidR="00444DC1" w:rsidRPr="0038223C" w:rsidRDefault="00444DC1" w:rsidP="00E318B4">
      <w:pPr>
        <w:jc w:val="both"/>
        <w:rPr>
          <w:spacing w:val="-2"/>
        </w:rPr>
      </w:pPr>
      <w:r w:rsidRPr="0038223C">
        <w:rPr>
          <w:spacing w:val="-2"/>
        </w:rPr>
        <w:t xml:space="preserve">Au cours de la première réunion, le GTC-SFP a passé en revue la procédure formelle d'élaboration du Plan stratégique et du Plan financier de l'Union et a convenu d'un calendrier d'exécution des travaux, conformément au mandat en vigueur (l'exposé peut être consulté </w:t>
      </w:r>
      <w:hyperlink r:id="rId11" w:history="1">
        <w:r w:rsidRPr="0038223C">
          <w:rPr>
            <w:rStyle w:val="Hyperlink"/>
            <w:rFonts w:eastAsia="Times New Roman" w:cs="Times New Roman"/>
            <w:spacing w:val="-2"/>
            <w:szCs w:val="20"/>
          </w:rPr>
          <w:t>ici</w:t>
        </w:r>
      </w:hyperlink>
      <w:r w:rsidRPr="0038223C">
        <w:rPr>
          <w:spacing w:val="-2"/>
        </w:rPr>
        <w:t>).</w:t>
      </w:r>
    </w:p>
    <w:p w14:paraId="464104F4" w14:textId="666DCB64" w:rsidR="00444DC1" w:rsidRDefault="00444DC1" w:rsidP="00E318B4">
      <w:pPr>
        <w:jc w:val="both"/>
      </w:pPr>
      <w:r>
        <w:t>Le GTC-SFP est convenu d'organiser une consultation en ligne pour recueillir les observations des États Membres, des membres de Secteur, du Comité consultatif des jeunes et des fonctionnaires, et a souligné qu'il importe d</w:t>
      </w:r>
      <w:r w:rsidR="004B452B">
        <w:t>'</w:t>
      </w:r>
      <w:r>
        <w:t>obtenir des contributions de la part des groupes consultatifs des Secteurs. En outre, des représentants de l</w:t>
      </w:r>
      <w:r w:rsidR="004B452B">
        <w:t>'</w:t>
      </w:r>
      <w:r>
        <w:t>UNESCO et de l</w:t>
      </w:r>
      <w:r w:rsidR="004B452B">
        <w:t>'</w:t>
      </w:r>
      <w:r>
        <w:t>ONUDI ont été invités à faire part de leur expérience de la planification stratégique, l</w:t>
      </w:r>
      <w:r w:rsidR="004B452B">
        <w:t>'</w:t>
      </w:r>
      <w:r>
        <w:t>accent étant mis sur l</w:t>
      </w:r>
      <w:r w:rsidR="004B452B">
        <w:t>'</w:t>
      </w:r>
      <w:r>
        <w:t xml:space="preserve">amélioration des processus de gestion axée sur les résultats (GAR) (l'exposé peut être consulté </w:t>
      </w:r>
      <w:hyperlink r:id="rId12" w:history="1">
        <w:r w:rsidRPr="004B452B">
          <w:rPr>
            <w:rStyle w:val="Hyperlink"/>
            <w:rFonts w:eastAsia="Times New Roman" w:cs="Times New Roman"/>
            <w:szCs w:val="20"/>
          </w:rPr>
          <w:t>ici</w:t>
        </w:r>
      </w:hyperlink>
      <w:r>
        <w:t>).</w:t>
      </w:r>
    </w:p>
    <w:p w14:paraId="4767E85F" w14:textId="593FBAA3" w:rsidR="00444DC1" w:rsidRDefault="00444DC1" w:rsidP="00E318B4">
      <w:pPr>
        <w:jc w:val="both"/>
      </w:pPr>
      <w:r>
        <w:t>En ce qui concerne l'évaluation du montant préliminaire de l'unité contributive, le GTC-SFP a proposé une séance de suivi virtuelle à la suite de l'examen d'une contribution initiale du Secrétariat dans laquelle celui-ci a présenté la situation financière de l'Union (voir le Document</w:t>
      </w:r>
      <w:r w:rsidR="004B452B">
        <w:t> </w:t>
      </w:r>
      <w:hyperlink r:id="rId13" w:history="1">
        <w:r w:rsidRPr="004B452B">
          <w:rPr>
            <w:rStyle w:val="Hyperlink"/>
            <w:rFonts w:eastAsia="Times New Roman" w:cs="Times New Roman"/>
            <w:szCs w:val="20"/>
          </w:rPr>
          <w:t>CWG-SFP-1/5</w:t>
        </w:r>
      </w:hyperlink>
      <w:r>
        <w:t>)</w:t>
      </w:r>
    </w:p>
    <w:p w14:paraId="784A5548" w14:textId="3AACC48F" w:rsidR="00444DC1" w:rsidRDefault="00444DC1" w:rsidP="00E318B4">
      <w:pPr>
        <w:jc w:val="both"/>
      </w:pPr>
      <w:r>
        <w:t xml:space="preserve">Au total, trois contributions ont été reçues et examinées à cette réunion: </w:t>
      </w:r>
      <w:hyperlink r:id="rId14" w:history="1">
        <w:r w:rsidRPr="004B452B">
          <w:rPr>
            <w:rStyle w:val="Hyperlink"/>
            <w:rFonts w:eastAsia="Times New Roman" w:cs="Times New Roman"/>
            <w:szCs w:val="20"/>
          </w:rPr>
          <w:t>CWG-SFP-1/6</w:t>
        </w:r>
      </w:hyperlink>
      <w:r>
        <w:t xml:space="preserve">, </w:t>
      </w:r>
      <w:hyperlink r:id="rId15" w:history="1">
        <w:r w:rsidRPr="004B452B">
          <w:rPr>
            <w:rStyle w:val="Hyperlink"/>
            <w:rFonts w:eastAsia="Times New Roman" w:cs="Times New Roman"/>
            <w:szCs w:val="20"/>
          </w:rPr>
          <w:t>CWG</w:t>
        </w:r>
        <w:r w:rsidR="004B452B" w:rsidRPr="004B452B">
          <w:rPr>
            <w:rStyle w:val="Hyperlink"/>
            <w:rFonts w:eastAsia="Times New Roman" w:cs="Times New Roman"/>
            <w:szCs w:val="20"/>
          </w:rPr>
          <w:noBreakHyphen/>
        </w:r>
        <w:r w:rsidRPr="004B452B">
          <w:rPr>
            <w:rStyle w:val="Hyperlink"/>
            <w:rFonts w:eastAsia="Times New Roman" w:cs="Times New Roman"/>
            <w:szCs w:val="20"/>
          </w:rPr>
          <w:t>SFP-1/7</w:t>
        </w:r>
      </w:hyperlink>
      <w:r>
        <w:t xml:space="preserve"> et </w:t>
      </w:r>
      <w:hyperlink r:id="rId16" w:history="1">
        <w:r w:rsidRPr="004B452B">
          <w:rPr>
            <w:rStyle w:val="Hyperlink"/>
            <w:rFonts w:eastAsia="Times New Roman" w:cs="Times New Roman"/>
            <w:szCs w:val="20"/>
          </w:rPr>
          <w:t>CWG-SFP-1/8</w:t>
        </w:r>
      </w:hyperlink>
      <w:r>
        <w:t>.</w:t>
      </w:r>
    </w:p>
    <w:p w14:paraId="56B6A404" w14:textId="77777777" w:rsidR="00444DC1" w:rsidRDefault="00444DC1" w:rsidP="004B452B">
      <w:pPr>
        <w:pStyle w:val="Headingb"/>
      </w:pPr>
      <w:r>
        <w:t>Consultation virtuelle (15 janvier 2025)</w:t>
      </w:r>
    </w:p>
    <w:p w14:paraId="37BF06D8" w14:textId="200570EF" w:rsidR="00444DC1" w:rsidRDefault="00444DC1" w:rsidP="00E318B4">
      <w:pPr>
        <w:jc w:val="both"/>
      </w:pPr>
      <w:r>
        <w:t xml:space="preserve">Comme le GTC-SFP l'avait demandé, une réunion virtuelle chargée d'examiner plus avant l'évaluation du montant préliminaire de l'unité contributive, organisée par le Département de l'administration et des finances, s'est tenue le 15 janvier 2025. L'exposé peut être consulté </w:t>
      </w:r>
      <w:hyperlink r:id="rId17" w:history="1">
        <w:r w:rsidRPr="004B452B">
          <w:rPr>
            <w:rStyle w:val="Hyperlink"/>
            <w:rFonts w:eastAsia="Times New Roman" w:cs="Times New Roman"/>
            <w:szCs w:val="20"/>
          </w:rPr>
          <w:t>ici</w:t>
        </w:r>
      </w:hyperlink>
      <w:r>
        <w:t>.</w:t>
      </w:r>
    </w:p>
    <w:p w14:paraId="36765AB2" w14:textId="5E792DA9" w:rsidR="00444DC1" w:rsidRDefault="00444DC1" w:rsidP="004B452B">
      <w:pPr>
        <w:pStyle w:val="Headingb"/>
      </w:pPr>
      <w:r>
        <w:t>Deuxième réunion (20-21 février 2025)</w:t>
      </w:r>
    </w:p>
    <w:p w14:paraId="75822A6A" w14:textId="4FA3C95C" w:rsidR="00444DC1" w:rsidRDefault="00444DC1" w:rsidP="00E318B4">
      <w:pPr>
        <w:jc w:val="both"/>
      </w:pPr>
      <w:r>
        <w:t xml:space="preserve">Lors de sa deuxième réunion, le GTC-SFP a examiné les résultats de la consultation en ligne menée du 25 octobre au 4 décembre 2024 (voir les Documents </w:t>
      </w:r>
      <w:hyperlink r:id="rId18" w:history="1">
        <w:r w:rsidRPr="004B452B">
          <w:rPr>
            <w:rStyle w:val="Hyperlink"/>
            <w:rFonts w:eastAsia="Times New Roman" w:cs="Times New Roman"/>
            <w:szCs w:val="20"/>
          </w:rPr>
          <w:t>CWG-SFP-2/2</w:t>
        </w:r>
      </w:hyperlink>
      <w:r>
        <w:t xml:space="preserve"> et </w:t>
      </w:r>
      <w:hyperlink r:id="rId19" w:history="1">
        <w:r w:rsidRPr="004B452B">
          <w:rPr>
            <w:rStyle w:val="Hyperlink"/>
            <w:rFonts w:eastAsia="Times New Roman" w:cs="Times New Roman"/>
            <w:szCs w:val="20"/>
          </w:rPr>
          <w:t>CWG</w:t>
        </w:r>
        <w:r w:rsidR="004B452B" w:rsidRPr="004B452B">
          <w:rPr>
            <w:rStyle w:val="Hyperlink"/>
            <w:rFonts w:eastAsia="Times New Roman" w:cs="Times New Roman"/>
            <w:szCs w:val="20"/>
          </w:rPr>
          <w:noBreakHyphen/>
        </w:r>
        <w:r w:rsidRPr="004B452B">
          <w:rPr>
            <w:rStyle w:val="Hyperlink"/>
            <w:rFonts w:eastAsia="Times New Roman" w:cs="Times New Roman"/>
            <w:szCs w:val="20"/>
          </w:rPr>
          <w:t>SFP</w:t>
        </w:r>
        <w:r w:rsidR="004B452B" w:rsidRPr="004B452B">
          <w:rPr>
            <w:rStyle w:val="Hyperlink"/>
            <w:rFonts w:eastAsia="Times New Roman" w:cs="Times New Roman"/>
            <w:szCs w:val="20"/>
          </w:rPr>
          <w:noBreakHyphen/>
        </w:r>
        <w:r w:rsidRPr="004B452B">
          <w:rPr>
            <w:rStyle w:val="Hyperlink"/>
            <w:rFonts w:eastAsia="Times New Roman" w:cs="Times New Roman"/>
            <w:szCs w:val="20"/>
          </w:rPr>
          <w:t>2/INF/2</w:t>
        </w:r>
      </w:hyperlink>
      <w:r>
        <w:t xml:space="preserve">) et s'est accordé à estimer qu'il importe de renforcer les liens et la </w:t>
      </w:r>
      <w:r>
        <w:lastRenderedPageBreak/>
        <w:t xml:space="preserve">concordance entre le </w:t>
      </w:r>
      <w:r w:rsidR="00887A36">
        <w:t>P</w:t>
      </w:r>
      <w:r>
        <w:t xml:space="preserve">lan stratégique et le </w:t>
      </w:r>
      <w:r w:rsidR="00887A36">
        <w:t>P</w:t>
      </w:r>
      <w:r>
        <w:t>lan financier, notamment en appliquant une méthode GAR.</w:t>
      </w:r>
    </w:p>
    <w:p w14:paraId="1DA216DA" w14:textId="03B61D1D" w:rsidR="00444DC1" w:rsidRDefault="00444DC1" w:rsidP="00E318B4">
      <w:pPr>
        <w:jc w:val="both"/>
      </w:pPr>
      <w:r>
        <w:t>Au cours d'une séance de dialogue, des avis ont été recueillis aux fins de l'élaboration du projet d'analyse de la situation (Annexe 2 de la Résolution 71). Les résultats de la séance de questions</w:t>
      </w:r>
      <w:r w:rsidR="004B452B">
        <w:noBreakHyphen/>
      </w:r>
      <w:r>
        <w:t xml:space="preserve">réponses ont été publiés dans le Document </w:t>
      </w:r>
      <w:hyperlink r:id="rId20" w:history="1">
        <w:r w:rsidRPr="004B452B">
          <w:rPr>
            <w:rStyle w:val="Hyperlink"/>
            <w:rFonts w:eastAsia="Times New Roman" w:cs="Times New Roman"/>
            <w:szCs w:val="20"/>
          </w:rPr>
          <w:t>CWG-SFP-2/INF/5</w:t>
        </w:r>
      </w:hyperlink>
      <w:r>
        <w:t>.</w:t>
      </w:r>
    </w:p>
    <w:p w14:paraId="6E5363DD" w14:textId="1D9D5412" w:rsidR="00444DC1" w:rsidRDefault="00444DC1" w:rsidP="00E318B4">
      <w:pPr>
        <w:jc w:val="both"/>
      </w:pPr>
      <w:r>
        <w:t xml:space="preserve">En ce qui concerne l'évaluation du montant préliminaire de l'unité contributive, le Secrétariat a présenté le Document </w:t>
      </w:r>
      <w:hyperlink r:id="rId21" w:history="1">
        <w:r w:rsidRPr="004B452B">
          <w:rPr>
            <w:rStyle w:val="Hyperlink"/>
            <w:rFonts w:eastAsia="Times New Roman" w:cs="Times New Roman"/>
            <w:szCs w:val="20"/>
          </w:rPr>
          <w:t>CWG-SFP-2/7</w:t>
        </w:r>
      </w:hyperlink>
      <w:r>
        <w:t>, et le GTC-SFP a estimé que des renseignements complémentaires sur la situation financière de l'Union et sa corrélation avec le montant de l'unité contributive devraient être présentés à la session de 2025 du Conseil. Cependant, les membres se sont dits préoccupés par l'augmentation du montant de l'unité contributive, en raison de l'instabilité de la situation économique mondiale et des contraintes financières qui connaissent leurs pays. Le GTC-SFP est également convenu de transmettre la proposition de lignes directrices relatives à l'harmonisation des Résolutions et des Décisions de la Conférence de plénipotentiaires à la session de 2025 du Conseil, en soulignant que ces lignes directrices ne sont pas impératives (voir le Document</w:t>
      </w:r>
      <w:r w:rsidR="00AE4339">
        <w:t> </w:t>
      </w:r>
      <w:hyperlink r:id="rId22" w:history="1">
        <w:r w:rsidRPr="00AE4339">
          <w:rPr>
            <w:rStyle w:val="Hyperlink"/>
            <w:rFonts w:eastAsia="Times New Roman" w:cs="Times New Roman"/>
            <w:szCs w:val="20"/>
          </w:rPr>
          <w:t>CWG</w:t>
        </w:r>
        <w:r w:rsidR="00AE4339" w:rsidRPr="00AE4339">
          <w:rPr>
            <w:rStyle w:val="Hyperlink"/>
            <w:rFonts w:eastAsia="Times New Roman" w:cs="Times New Roman"/>
            <w:szCs w:val="20"/>
          </w:rPr>
          <w:noBreakHyphen/>
        </w:r>
        <w:r w:rsidRPr="00AE4339">
          <w:rPr>
            <w:rStyle w:val="Hyperlink"/>
            <w:rFonts w:eastAsia="Times New Roman" w:cs="Times New Roman"/>
            <w:szCs w:val="20"/>
          </w:rPr>
          <w:t>SFP</w:t>
        </w:r>
        <w:r w:rsidR="00AE4339" w:rsidRPr="00AE4339">
          <w:rPr>
            <w:rStyle w:val="Hyperlink"/>
            <w:rFonts w:eastAsia="Times New Roman" w:cs="Times New Roman"/>
            <w:szCs w:val="20"/>
          </w:rPr>
          <w:noBreakHyphen/>
        </w:r>
        <w:r w:rsidRPr="00AE4339">
          <w:rPr>
            <w:rStyle w:val="Hyperlink"/>
            <w:rFonts w:eastAsia="Times New Roman" w:cs="Times New Roman"/>
            <w:szCs w:val="20"/>
          </w:rPr>
          <w:t>2/4</w:t>
        </w:r>
      </w:hyperlink>
      <w:r>
        <w:t>). À ce sujet, le GTC-SFP a également souligné qu'il importe d'assurer un suivi régulier de la mise en œuvre des Résolutions et des Décisions de la Conférence de plénipotentiaires et d'en rendre compte à intervalles réguliers afin que des décisions éclairées puissent être prises sur les questions d'harmonisation.</w:t>
      </w:r>
    </w:p>
    <w:p w14:paraId="102AF7BF" w14:textId="555ADCD3" w:rsidR="00444DC1" w:rsidRDefault="00444DC1" w:rsidP="00E318B4">
      <w:pPr>
        <w:jc w:val="both"/>
      </w:pPr>
      <w:r>
        <w:t>En outre, un atelier de trois heures sur la planification stratégique, centré sur l</w:t>
      </w:r>
      <w:r w:rsidR="004B452B">
        <w:t>'</w:t>
      </w:r>
      <w:r>
        <w:t xml:space="preserve">application de la méthode GAR au cadre du </w:t>
      </w:r>
      <w:r w:rsidR="00887A36">
        <w:t>P</w:t>
      </w:r>
      <w:r>
        <w:t>lan stratégique de l</w:t>
      </w:r>
      <w:r w:rsidR="004B452B">
        <w:t>'</w:t>
      </w:r>
      <w:r>
        <w:t>UIT, a été organisé, sous la conduite de l</w:t>
      </w:r>
      <w:r w:rsidR="004B452B">
        <w:t>'</w:t>
      </w:r>
      <w:r>
        <w:t>UNESCO et de l</w:t>
      </w:r>
      <w:r w:rsidR="004B452B">
        <w:t>'</w:t>
      </w:r>
      <w:r>
        <w:t xml:space="preserve">ONUDI (voir Documents </w:t>
      </w:r>
      <w:hyperlink r:id="rId23" w:history="1">
        <w:r w:rsidRPr="00AE4339">
          <w:rPr>
            <w:rStyle w:val="Hyperlink"/>
            <w:rFonts w:eastAsia="Times New Roman" w:cs="Times New Roman"/>
            <w:szCs w:val="20"/>
          </w:rPr>
          <w:t>CWG-SFP-2/INF/3(R</w:t>
        </w:r>
        <w:r w:rsidR="00AE4339" w:rsidRPr="00AE4339">
          <w:rPr>
            <w:rStyle w:val="Hyperlink"/>
            <w:rFonts w:eastAsia="Times New Roman" w:cs="Times New Roman"/>
            <w:szCs w:val="20"/>
          </w:rPr>
          <w:t>é</w:t>
        </w:r>
        <w:r w:rsidRPr="00AE4339">
          <w:rPr>
            <w:rStyle w:val="Hyperlink"/>
            <w:rFonts w:eastAsia="Times New Roman" w:cs="Times New Roman"/>
            <w:szCs w:val="20"/>
          </w:rPr>
          <w:t>v.1)</w:t>
        </w:r>
      </w:hyperlink>
      <w:r>
        <w:t xml:space="preserve"> et </w:t>
      </w:r>
      <w:hyperlink r:id="rId24" w:history="1">
        <w:r w:rsidRPr="00AE4339">
          <w:rPr>
            <w:rStyle w:val="Hyperlink"/>
            <w:rFonts w:eastAsia="Times New Roman" w:cs="Times New Roman"/>
            <w:szCs w:val="20"/>
          </w:rPr>
          <w:t>CWG-SFP-2/INF/4</w:t>
        </w:r>
      </w:hyperlink>
      <w:r>
        <w:t>).</w:t>
      </w:r>
    </w:p>
    <w:p w14:paraId="5B6F0193" w14:textId="1CFE13AA" w:rsidR="00444DC1" w:rsidRDefault="00444DC1" w:rsidP="00E318B4">
      <w:pPr>
        <w:jc w:val="both"/>
      </w:pPr>
      <w:r>
        <w:t xml:space="preserve">Au total, six contributions ont été reçues et examinées à cette réunion: </w:t>
      </w:r>
      <w:hyperlink r:id="rId25" w:history="1">
        <w:r w:rsidRPr="00AE4339">
          <w:rPr>
            <w:rStyle w:val="Hyperlink"/>
            <w:rFonts w:eastAsia="Times New Roman" w:cs="Times New Roman"/>
            <w:szCs w:val="20"/>
          </w:rPr>
          <w:t>CWG-SFP-2/3</w:t>
        </w:r>
      </w:hyperlink>
      <w:r>
        <w:t xml:space="preserve">, </w:t>
      </w:r>
      <w:hyperlink r:id="rId26" w:history="1">
        <w:r w:rsidRPr="00AE4339">
          <w:rPr>
            <w:rStyle w:val="Hyperlink"/>
            <w:rFonts w:eastAsia="Times New Roman" w:cs="Times New Roman"/>
            <w:szCs w:val="20"/>
          </w:rPr>
          <w:t>CWG</w:t>
        </w:r>
        <w:r w:rsidR="00AE4339" w:rsidRPr="00AE4339">
          <w:rPr>
            <w:rStyle w:val="Hyperlink"/>
            <w:rFonts w:eastAsia="Times New Roman" w:cs="Times New Roman"/>
            <w:szCs w:val="20"/>
          </w:rPr>
          <w:noBreakHyphen/>
        </w:r>
        <w:r w:rsidRPr="00AE4339">
          <w:rPr>
            <w:rStyle w:val="Hyperlink"/>
            <w:rFonts w:eastAsia="Times New Roman" w:cs="Times New Roman"/>
            <w:szCs w:val="20"/>
          </w:rPr>
          <w:t>SFP-2/5</w:t>
        </w:r>
      </w:hyperlink>
      <w:r>
        <w:t xml:space="preserve">, </w:t>
      </w:r>
      <w:hyperlink r:id="rId27" w:history="1">
        <w:r w:rsidRPr="00AE4339">
          <w:rPr>
            <w:rStyle w:val="Hyperlink"/>
            <w:rFonts w:eastAsia="Times New Roman" w:cs="Times New Roman"/>
            <w:szCs w:val="20"/>
          </w:rPr>
          <w:t>CWG-SFP-1/8</w:t>
        </w:r>
      </w:hyperlink>
      <w:r>
        <w:t xml:space="preserve">, </w:t>
      </w:r>
      <w:hyperlink r:id="rId28" w:history="1">
        <w:r w:rsidRPr="00AE4339">
          <w:rPr>
            <w:rStyle w:val="Hyperlink"/>
            <w:rFonts w:eastAsia="Times New Roman" w:cs="Times New Roman"/>
            <w:szCs w:val="20"/>
          </w:rPr>
          <w:t>CWG-SFP-2/9</w:t>
        </w:r>
      </w:hyperlink>
      <w:r>
        <w:t xml:space="preserve">, </w:t>
      </w:r>
      <w:hyperlink r:id="rId29" w:history="1">
        <w:r w:rsidRPr="00AE4339">
          <w:rPr>
            <w:rStyle w:val="Hyperlink"/>
            <w:rFonts w:eastAsia="Times New Roman" w:cs="Times New Roman"/>
            <w:szCs w:val="20"/>
          </w:rPr>
          <w:t>CWG-SFP-2/10</w:t>
        </w:r>
      </w:hyperlink>
      <w:r>
        <w:t xml:space="preserve"> et </w:t>
      </w:r>
      <w:hyperlink r:id="rId30" w:history="1">
        <w:r w:rsidRPr="00AE4339">
          <w:rPr>
            <w:rStyle w:val="Hyperlink"/>
            <w:rFonts w:eastAsia="Times New Roman" w:cs="Times New Roman"/>
            <w:szCs w:val="20"/>
          </w:rPr>
          <w:t>CWG-SFP-2/11</w:t>
        </w:r>
      </w:hyperlink>
      <w:r>
        <w:t>.</w:t>
      </w:r>
    </w:p>
    <w:p w14:paraId="4C9C3E2A" w14:textId="77777777" w:rsidR="00444DC1" w:rsidRDefault="00444DC1" w:rsidP="00AE4339">
      <w:pPr>
        <w:pStyle w:val="Headingb"/>
      </w:pPr>
      <w:r>
        <w:t>Séance d'information (23 juin 2025)</w:t>
      </w:r>
    </w:p>
    <w:p w14:paraId="2109C254" w14:textId="540DB427" w:rsidR="00444DC1" w:rsidRDefault="00444DC1" w:rsidP="00E318B4">
      <w:pPr>
        <w:jc w:val="both"/>
      </w:pPr>
      <w:r>
        <w:t xml:space="preserve">Au cours de la session de 2025 du Conseil, une séance d'information a été organisée afin de présenter aux conseillers le calendrier convenu par le GTC-SFP et la méthode qui serait suivie pour élaborer les nouveaux projets de </w:t>
      </w:r>
      <w:r w:rsidR="00AE4339">
        <w:t>p</w:t>
      </w:r>
      <w:r>
        <w:t xml:space="preserve">lan stratégique et de </w:t>
      </w:r>
      <w:r w:rsidR="00AE4339">
        <w:t>p</w:t>
      </w:r>
      <w:r>
        <w:t>lan financier pour la période 2028</w:t>
      </w:r>
      <w:r w:rsidR="00AE4339">
        <w:noBreakHyphen/>
      </w:r>
      <w:r>
        <w:t xml:space="preserve">2031. L'exposé peut être consulté </w:t>
      </w:r>
      <w:hyperlink r:id="rId31" w:history="1">
        <w:r w:rsidRPr="00AE4339">
          <w:rPr>
            <w:rStyle w:val="Hyperlink"/>
            <w:rFonts w:eastAsia="Times New Roman" w:cs="Times New Roman"/>
            <w:szCs w:val="20"/>
          </w:rPr>
          <w:t>ici</w:t>
        </w:r>
      </w:hyperlink>
      <w:r>
        <w:t>.</w:t>
      </w:r>
    </w:p>
    <w:p w14:paraId="0E70C7AB" w14:textId="77777777" w:rsidR="00444DC1" w:rsidRDefault="00444DC1" w:rsidP="00AE4339">
      <w:pPr>
        <w:pStyle w:val="Headingb"/>
      </w:pPr>
      <w:r>
        <w:t>Troisième réunion (8-9 septembre 2025)</w:t>
      </w:r>
    </w:p>
    <w:p w14:paraId="17A8929C" w14:textId="53D3A999" w:rsidR="00444DC1" w:rsidRDefault="00444DC1" w:rsidP="00E318B4">
      <w:pPr>
        <w:jc w:val="both"/>
      </w:pPr>
      <w:r>
        <w:t>Au cours de la troisième réunion, le GTC-SFP a examiné le projet de "Lignes directrices relatives à l'harmonisation des Résolutions et des Décisions de la Conférence de plénipotentiaires", comme il en avait été chargé par le Conseil. Il a été convenu de transmettre les résultats d</w:t>
      </w:r>
      <w:r w:rsidR="004B452B">
        <w:t>'</w:t>
      </w:r>
      <w:r>
        <w:t xml:space="preserve">une consultation informelle au Conseil pour examen à sa session de 2026 (voir le Document </w:t>
      </w:r>
      <w:hyperlink r:id="rId32" w:history="1">
        <w:r w:rsidRPr="00AE4339">
          <w:rPr>
            <w:rStyle w:val="Hyperlink"/>
            <w:rFonts w:eastAsia="Times New Roman" w:cs="Times New Roman"/>
            <w:szCs w:val="20"/>
          </w:rPr>
          <w:t>C26/INF/1</w:t>
        </w:r>
      </w:hyperlink>
      <w:r>
        <w:t>).</w:t>
      </w:r>
    </w:p>
    <w:p w14:paraId="390D39F2" w14:textId="2828539B" w:rsidR="00444DC1" w:rsidRPr="0038223C" w:rsidRDefault="00444DC1" w:rsidP="00E318B4">
      <w:pPr>
        <w:jc w:val="both"/>
        <w:rPr>
          <w:spacing w:val="-3"/>
        </w:rPr>
      </w:pPr>
      <w:r w:rsidRPr="0038223C">
        <w:rPr>
          <w:spacing w:val="-3"/>
        </w:rPr>
        <w:t xml:space="preserve">Le GTC-SFP a aussi examiné l'avant-projet d'Annexe 2 de la Résolution 71, qui contient l'analyse de la situation, et le projet d'Annexe 3 de la Résolution 71, qui contient le glossaire, établi conformément au Manuel de gestion axée sur les résultats de l'ONU (voir les Documents </w:t>
      </w:r>
      <w:hyperlink r:id="rId33" w:history="1">
        <w:r w:rsidRPr="0038223C">
          <w:rPr>
            <w:rStyle w:val="Hyperlink"/>
            <w:rFonts w:eastAsia="Times New Roman" w:cs="Times New Roman"/>
            <w:spacing w:val="-3"/>
            <w:szCs w:val="20"/>
          </w:rPr>
          <w:t>CWG-SFP-3/3</w:t>
        </w:r>
      </w:hyperlink>
      <w:r w:rsidRPr="0038223C">
        <w:rPr>
          <w:spacing w:val="-3"/>
        </w:rPr>
        <w:t xml:space="preserve"> et </w:t>
      </w:r>
      <w:hyperlink r:id="rId34" w:history="1">
        <w:r w:rsidRPr="0038223C">
          <w:rPr>
            <w:rStyle w:val="Hyperlink"/>
            <w:rFonts w:eastAsia="Times New Roman" w:cs="Times New Roman"/>
            <w:spacing w:val="-3"/>
            <w:szCs w:val="20"/>
          </w:rPr>
          <w:t>CWG-SFP-3/4</w:t>
        </w:r>
      </w:hyperlink>
      <w:r w:rsidRPr="0038223C">
        <w:rPr>
          <w:spacing w:val="-3"/>
        </w:rPr>
        <w:t>). Il a été convenu que d'autres discussions étaient nécessaires sur l</w:t>
      </w:r>
      <w:r w:rsidR="004B452B" w:rsidRPr="0038223C">
        <w:rPr>
          <w:spacing w:val="-3"/>
        </w:rPr>
        <w:t>'</w:t>
      </w:r>
      <w:r w:rsidRPr="0038223C">
        <w:rPr>
          <w:spacing w:val="-3"/>
        </w:rPr>
        <w:t>analyse de la situation et que le glossaire, compte tenu de toutes les observations reçues, devait rester un document évolutif jusqu</w:t>
      </w:r>
      <w:r w:rsidR="004B452B" w:rsidRPr="0038223C">
        <w:rPr>
          <w:spacing w:val="-3"/>
        </w:rPr>
        <w:t>'</w:t>
      </w:r>
      <w:r w:rsidRPr="0038223C">
        <w:rPr>
          <w:spacing w:val="-3"/>
        </w:rPr>
        <w:t xml:space="preserve">à ce que la version finale des projets de </w:t>
      </w:r>
      <w:r w:rsidR="00AE4339" w:rsidRPr="0038223C">
        <w:rPr>
          <w:spacing w:val="-3"/>
        </w:rPr>
        <w:t>p</w:t>
      </w:r>
      <w:r w:rsidRPr="0038223C">
        <w:rPr>
          <w:spacing w:val="-3"/>
        </w:rPr>
        <w:t xml:space="preserve">lan stratégique et de </w:t>
      </w:r>
      <w:r w:rsidR="00A139B1" w:rsidRPr="0038223C">
        <w:rPr>
          <w:spacing w:val="-3"/>
        </w:rPr>
        <w:t>p</w:t>
      </w:r>
      <w:r w:rsidRPr="0038223C">
        <w:rPr>
          <w:spacing w:val="-3"/>
        </w:rPr>
        <w:t xml:space="preserve">lan financier soit approuvée. Le Secrétariat a aussi présenté les liens entre le </w:t>
      </w:r>
      <w:r w:rsidR="00887A36" w:rsidRPr="0038223C">
        <w:rPr>
          <w:spacing w:val="-3"/>
        </w:rPr>
        <w:t>P</w:t>
      </w:r>
      <w:r w:rsidRPr="0038223C">
        <w:rPr>
          <w:spacing w:val="-3"/>
        </w:rPr>
        <w:t xml:space="preserve">lan stratégique, le </w:t>
      </w:r>
      <w:r w:rsidR="00887A36" w:rsidRPr="0038223C">
        <w:rPr>
          <w:spacing w:val="-3"/>
        </w:rPr>
        <w:t>P</w:t>
      </w:r>
      <w:r w:rsidRPr="0038223C">
        <w:rPr>
          <w:spacing w:val="-3"/>
        </w:rPr>
        <w:t xml:space="preserve">lan financier et le </w:t>
      </w:r>
      <w:r w:rsidR="00887A36" w:rsidRPr="0038223C">
        <w:rPr>
          <w:spacing w:val="-3"/>
        </w:rPr>
        <w:t>P</w:t>
      </w:r>
      <w:r w:rsidRPr="0038223C">
        <w:rPr>
          <w:spacing w:val="-3"/>
        </w:rPr>
        <w:t>lan opérationnel de l</w:t>
      </w:r>
      <w:r w:rsidR="004B452B" w:rsidRPr="0038223C">
        <w:rPr>
          <w:spacing w:val="-3"/>
        </w:rPr>
        <w:t>'</w:t>
      </w:r>
      <w:r w:rsidRPr="0038223C">
        <w:rPr>
          <w:spacing w:val="-3"/>
        </w:rPr>
        <w:t xml:space="preserve">UIT (voir le Document </w:t>
      </w:r>
      <w:hyperlink r:id="rId35" w:history="1">
        <w:r w:rsidRPr="0038223C">
          <w:rPr>
            <w:rStyle w:val="Hyperlink"/>
            <w:rFonts w:eastAsia="Times New Roman" w:cs="Times New Roman"/>
            <w:spacing w:val="-3"/>
            <w:szCs w:val="20"/>
          </w:rPr>
          <w:t>CWG-SFP-3/6</w:t>
        </w:r>
      </w:hyperlink>
      <w:r w:rsidRPr="0038223C">
        <w:rPr>
          <w:spacing w:val="-3"/>
        </w:rPr>
        <w:t xml:space="preserve">), en donnant un </w:t>
      </w:r>
      <w:r w:rsidRPr="0038223C">
        <w:rPr>
          <w:spacing w:val="-3"/>
        </w:rPr>
        <w:lastRenderedPageBreak/>
        <w:t>aperçu de la méthode GAR et en décrivant la méthode en cascade utilisée pour renforcer l</w:t>
      </w:r>
      <w:r w:rsidR="004B452B" w:rsidRPr="0038223C">
        <w:rPr>
          <w:spacing w:val="-3"/>
        </w:rPr>
        <w:t>'</w:t>
      </w:r>
      <w:r w:rsidRPr="0038223C">
        <w:rPr>
          <w:spacing w:val="-3"/>
        </w:rPr>
        <w:t>alignement entre les niveaux de planification et d</w:t>
      </w:r>
      <w:r w:rsidR="004B452B" w:rsidRPr="0038223C">
        <w:rPr>
          <w:spacing w:val="-3"/>
        </w:rPr>
        <w:t>'</w:t>
      </w:r>
      <w:r w:rsidRPr="0038223C">
        <w:rPr>
          <w:spacing w:val="-3"/>
        </w:rPr>
        <w:t>exécution.</w:t>
      </w:r>
    </w:p>
    <w:p w14:paraId="4B74D97F" w14:textId="07532951" w:rsidR="00444DC1" w:rsidRDefault="00444DC1" w:rsidP="00E318B4">
      <w:pPr>
        <w:jc w:val="both"/>
      </w:pPr>
      <w:r>
        <w:t xml:space="preserve">En outre, le </w:t>
      </w:r>
      <w:r w:rsidR="00A139B1">
        <w:t>Centre</w:t>
      </w:r>
      <w:r>
        <w:t xml:space="preserve"> de données de l</w:t>
      </w:r>
      <w:r w:rsidR="004B452B">
        <w:t>'</w:t>
      </w:r>
      <w:r>
        <w:t>UIT a été présenté (voir l'</w:t>
      </w:r>
      <w:hyperlink r:id="rId36" w:history="1">
        <w:r w:rsidRPr="00A139B1">
          <w:rPr>
            <w:rStyle w:val="Hyperlink"/>
            <w:rFonts w:eastAsia="Times New Roman" w:cs="Times New Roman"/>
            <w:szCs w:val="20"/>
          </w:rPr>
          <w:t>exposé</w:t>
        </w:r>
      </w:hyperlink>
      <w:r>
        <w:t>) dans le contexte de travaux visant à établir des cibles et des résultats SMART, ainsi que les indicateurs correspondants, afin d</w:t>
      </w:r>
      <w:r w:rsidR="004B452B">
        <w:t>'</w:t>
      </w:r>
      <w:r>
        <w:t xml:space="preserve">élaborer le cadre de résultats du </w:t>
      </w:r>
      <w:r w:rsidR="00887A36">
        <w:t>P</w:t>
      </w:r>
      <w:r>
        <w:t>lan stratégique conformément à la</w:t>
      </w:r>
      <w:r w:rsidR="00A139B1">
        <w:t> </w:t>
      </w:r>
      <w:r>
        <w:t>méthode GAR. Un avant-projet élaboré par le Secrétariat a été présenté dans le Document</w:t>
      </w:r>
      <w:r w:rsidR="00A139B1">
        <w:t> </w:t>
      </w:r>
      <w:hyperlink r:id="rId37" w:history="1">
        <w:r w:rsidRPr="00A139B1">
          <w:rPr>
            <w:rStyle w:val="Hyperlink"/>
            <w:rFonts w:eastAsia="Times New Roman" w:cs="Times New Roman"/>
            <w:szCs w:val="20"/>
          </w:rPr>
          <w:t>CWG-SFP-3/7</w:t>
        </w:r>
      </w:hyperlink>
      <w:r>
        <w:t>.</w:t>
      </w:r>
    </w:p>
    <w:p w14:paraId="5CC8BC25" w14:textId="6F540A3C" w:rsidR="00444DC1" w:rsidRPr="00872196" w:rsidRDefault="00444DC1" w:rsidP="00E318B4">
      <w:pPr>
        <w:jc w:val="both"/>
        <w:rPr>
          <w:spacing w:val="-2"/>
        </w:rPr>
      </w:pPr>
      <w:r w:rsidRPr="00872196">
        <w:rPr>
          <w:spacing w:val="-2"/>
        </w:rPr>
        <w:t xml:space="preserve">Au total, neuf contributions ont été reçues et examinées à cette réunion: </w:t>
      </w:r>
      <w:hyperlink r:id="rId38" w:history="1">
        <w:r w:rsidRPr="00872196">
          <w:rPr>
            <w:rStyle w:val="Hyperlink"/>
            <w:rFonts w:eastAsia="Times New Roman" w:cs="Times New Roman"/>
            <w:spacing w:val="-2"/>
            <w:szCs w:val="20"/>
          </w:rPr>
          <w:t>CWG-SFP-3/8</w:t>
        </w:r>
      </w:hyperlink>
      <w:r w:rsidRPr="00872196">
        <w:rPr>
          <w:spacing w:val="-2"/>
        </w:rPr>
        <w:t xml:space="preserve">, </w:t>
      </w:r>
      <w:hyperlink r:id="rId39" w:history="1">
        <w:r w:rsidRPr="00872196">
          <w:rPr>
            <w:rStyle w:val="Hyperlink"/>
            <w:rFonts w:eastAsia="Times New Roman" w:cs="Times New Roman"/>
            <w:spacing w:val="-2"/>
            <w:szCs w:val="20"/>
          </w:rPr>
          <w:t>CWG</w:t>
        </w:r>
        <w:r w:rsidR="00A139B1" w:rsidRPr="00872196">
          <w:rPr>
            <w:rStyle w:val="Hyperlink"/>
            <w:rFonts w:eastAsia="Times New Roman" w:cs="Times New Roman"/>
            <w:spacing w:val="-2"/>
            <w:szCs w:val="20"/>
          </w:rPr>
          <w:noBreakHyphen/>
        </w:r>
        <w:r w:rsidRPr="00872196">
          <w:rPr>
            <w:rStyle w:val="Hyperlink"/>
            <w:rFonts w:eastAsia="Times New Roman" w:cs="Times New Roman"/>
            <w:spacing w:val="-2"/>
            <w:szCs w:val="20"/>
          </w:rPr>
          <w:t>SFP</w:t>
        </w:r>
        <w:r w:rsidR="00A139B1" w:rsidRPr="00872196">
          <w:rPr>
            <w:rStyle w:val="Hyperlink"/>
            <w:rFonts w:eastAsia="Times New Roman" w:cs="Times New Roman"/>
            <w:spacing w:val="-2"/>
            <w:szCs w:val="20"/>
          </w:rPr>
          <w:noBreakHyphen/>
        </w:r>
        <w:r w:rsidRPr="00872196">
          <w:rPr>
            <w:rStyle w:val="Hyperlink"/>
            <w:rFonts w:eastAsia="Times New Roman" w:cs="Times New Roman"/>
            <w:spacing w:val="-2"/>
            <w:szCs w:val="20"/>
          </w:rPr>
          <w:t>3/9</w:t>
        </w:r>
      </w:hyperlink>
      <w:r w:rsidRPr="00872196">
        <w:rPr>
          <w:spacing w:val="-2"/>
        </w:rPr>
        <w:t xml:space="preserve">, </w:t>
      </w:r>
      <w:hyperlink r:id="rId40" w:history="1">
        <w:r w:rsidRPr="00872196">
          <w:rPr>
            <w:rStyle w:val="Hyperlink"/>
            <w:rFonts w:eastAsia="Times New Roman" w:cs="Times New Roman"/>
            <w:spacing w:val="-2"/>
            <w:szCs w:val="20"/>
          </w:rPr>
          <w:t>CWG-SFP-3/10</w:t>
        </w:r>
      </w:hyperlink>
      <w:r w:rsidRPr="00872196">
        <w:rPr>
          <w:spacing w:val="-2"/>
        </w:rPr>
        <w:t xml:space="preserve">, </w:t>
      </w:r>
      <w:hyperlink r:id="rId41" w:history="1">
        <w:r w:rsidRPr="00872196">
          <w:rPr>
            <w:rStyle w:val="Hyperlink"/>
            <w:rFonts w:eastAsia="Times New Roman" w:cs="Times New Roman"/>
            <w:spacing w:val="-2"/>
            <w:szCs w:val="20"/>
          </w:rPr>
          <w:t>CWG-SFP-3/11</w:t>
        </w:r>
      </w:hyperlink>
      <w:r w:rsidRPr="00872196">
        <w:rPr>
          <w:spacing w:val="-2"/>
        </w:rPr>
        <w:t xml:space="preserve">, </w:t>
      </w:r>
      <w:hyperlink r:id="rId42" w:history="1">
        <w:r w:rsidRPr="00872196">
          <w:rPr>
            <w:rStyle w:val="Hyperlink"/>
            <w:rFonts w:eastAsia="Times New Roman" w:cs="Times New Roman"/>
            <w:spacing w:val="-2"/>
            <w:szCs w:val="20"/>
          </w:rPr>
          <w:t>CWG-SFP-3/12</w:t>
        </w:r>
      </w:hyperlink>
      <w:r w:rsidRPr="00872196">
        <w:rPr>
          <w:spacing w:val="-2"/>
        </w:rPr>
        <w:t xml:space="preserve">, </w:t>
      </w:r>
      <w:hyperlink r:id="rId43" w:history="1">
        <w:r w:rsidRPr="00872196">
          <w:rPr>
            <w:rStyle w:val="Hyperlink"/>
            <w:rFonts w:eastAsia="Times New Roman" w:cs="Times New Roman"/>
            <w:spacing w:val="-2"/>
            <w:szCs w:val="20"/>
          </w:rPr>
          <w:t>CWG-SFP-3/13</w:t>
        </w:r>
      </w:hyperlink>
      <w:r w:rsidRPr="00872196">
        <w:rPr>
          <w:spacing w:val="-2"/>
        </w:rPr>
        <w:t xml:space="preserve">, </w:t>
      </w:r>
      <w:hyperlink r:id="rId44" w:history="1">
        <w:r w:rsidRPr="00872196">
          <w:rPr>
            <w:rStyle w:val="Hyperlink"/>
            <w:rFonts w:eastAsia="Times New Roman" w:cs="Times New Roman"/>
            <w:spacing w:val="-2"/>
            <w:szCs w:val="20"/>
          </w:rPr>
          <w:t>CWG</w:t>
        </w:r>
        <w:r w:rsidR="00A139B1" w:rsidRPr="00872196">
          <w:rPr>
            <w:rStyle w:val="Hyperlink"/>
            <w:rFonts w:eastAsia="Times New Roman" w:cs="Times New Roman"/>
            <w:spacing w:val="-2"/>
            <w:szCs w:val="20"/>
          </w:rPr>
          <w:noBreakHyphen/>
        </w:r>
        <w:r w:rsidRPr="00872196">
          <w:rPr>
            <w:rStyle w:val="Hyperlink"/>
            <w:rFonts w:eastAsia="Times New Roman" w:cs="Times New Roman"/>
            <w:spacing w:val="-2"/>
            <w:szCs w:val="20"/>
          </w:rPr>
          <w:t>SFP</w:t>
        </w:r>
        <w:r w:rsidR="00A139B1" w:rsidRPr="00872196">
          <w:rPr>
            <w:rStyle w:val="Hyperlink"/>
            <w:rFonts w:eastAsia="Times New Roman" w:cs="Times New Roman"/>
            <w:spacing w:val="-2"/>
            <w:szCs w:val="20"/>
          </w:rPr>
          <w:noBreakHyphen/>
        </w:r>
        <w:r w:rsidRPr="00872196">
          <w:rPr>
            <w:rStyle w:val="Hyperlink"/>
            <w:rFonts w:eastAsia="Times New Roman" w:cs="Times New Roman"/>
            <w:spacing w:val="-2"/>
            <w:szCs w:val="20"/>
          </w:rPr>
          <w:t>3/14</w:t>
        </w:r>
      </w:hyperlink>
      <w:r w:rsidRPr="00872196">
        <w:rPr>
          <w:spacing w:val="-2"/>
        </w:rPr>
        <w:t xml:space="preserve">, </w:t>
      </w:r>
      <w:hyperlink r:id="rId45" w:history="1">
        <w:r w:rsidRPr="00872196">
          <w:rPr>
            <w:rStyle w:val="Hyperlink"/>
            <w:rFonts w:eastAsia="Times New Roman" w:cs="Times New Roman"/>
            <w:spacing w:val="-2"/>
            <w:szCs w:val="20"/>
          </w:rPr>
          <w:t>CWG-SFP-3/15</w:t>
        </w:r>
      </w:hyperlink>
      <w:r w:rsidRPr="00872196">
        <w:rPr>
          <w:spacing w:val="-2"/>
        </w:rPr>
        <w:t xml:space="preserve"> et </w:t>
      </w:r>
      <w:hyperlink r:id="rId46" w:history="1">
        <w:r w:rsidRPr="00872196">
          <w:rPr>
            <w:rStyle w:val="Hyperlink"/>
            <w:rFonts w:eastAsia="Times New Roman" w:cs="Times New Roman"/>
            <w:spacing w:val="-2"/>
            <w:szCs w:val="20"/>
          </w:rPr>
          <w:t>CWG-SFP-3/16</w:t>
        </w:r>
      </w:hyperlink>
      <w:r w:rsidRPr="00872196">
        <w:rPr>
          <w:spacing w:val="-2"/>
        </w:rPr>
        <w:t>.</w:t>
      </w:r>
    </w:p>
    <w:p w14:paraId="1BE6BD92" w14:textId="3ADAD87F" w:rsidR="00444DC1" w:rsidRDefault="00444DC1" w:rsidP="00E318B4">
      <w:pPr>
        <w:jc w:val="both"/>
      </w:pPr>
      <w:r>
        <w:t>Dans le cadre de la troisième réunion du GTC-SFP, un atelier de prospective stratégique, organisé en collaboration avec le réseau Futures Lab des Nations Unies, s'est tenu dans l'après</w:t>
      </w:r>
      <w:r w:rsidR="00F25FC7">
        <w:noBreakHyphen/>
      </w:r>
      <w:r>
        <w:t>midi du 8 septembre 2025. Un résumé de cet atelier figure dans le Document</w:t>
      </w:r>
      <w:r w:rsidR="00A139B1">
        <w:t> </w:t>
      </w:r>
      <w:hyperlink r:id="rId47" w:history="1">
        <w:r w:rsidRPr="00A139B1">
          <w:rPr>
            <w:rStyle w:val="Hyperlink"/>
            <w:rFonts w:eastAsia="Times New Roman" w:cs="Times New Roman"/>
            <w:szCs w:val="20"/>
          </w:rPr>
          <w:t>CWG</w:t>
        </w:r>
        <w:r w:rsidR="00A139B1" w:rsidRPr="00A139B1">
          <w:rPr>
            <w:rStyle w:val="Hyperlink"/>
            <w:rFonts w:eastAsia="Times New Roman" w:cs="Times New Roman"/>
            <w:szCs w:val="20"/>
          </w:rPr>
          <w:noBreakHyphen/>
        </w:r>
        <w:r w:rsidRPr="00A139B1">
          <w:rPr>
            <w:rStyle w:val="Hyperlink"/>
            <w:rFonts w:eastAsia="Times New Roman" w:cs="Times New Roman"/>
            <w:szCs w:val="20"/>
          </w:rPr>
          <w:t>SFP-4/INF/5</w:t>
        </w:r>
      </w:hyperlink>
      <w:r>
        <w:t>.</w:t>
      </w:r>
    </w:p>
    <w:p w14:paraId="7E03539D" w14:textId="77777777" w:rsidR="00444DC1" w:rsidRDefault="00444DC1" w:rsidP="00F25FC7">
      <w:pPr>
        <w:pStyle w:val="Headingb"/>
      </w:pPr>
      <w:r>
        <w:t>Quatrième réunion (12-14 janvier 2026)</w:t>
      </w:r>
    </w:p>
    <w:p w14:paraId="60ABBC79" w14:textId="39D5A89B" w:rsidR="00444DC1" w:rsidRDefault="00444DC1" w:rsidP="00E318B4">
      <w:pPr>
        <w:jc w:val="both"/>
      </w:pPr>
      <w:r>
        <w:t>Au cours de sa quatrième réunion, le GTC-SFP a examiné le projet d</w:t>
      </w:r>
      <w:r w:rsidR="004B452B">
        <w:t>'</w:t>
      </w:r>
      <w:r>
        <w:t>Annexe 1 de la Résolution</w:t>
      </w:r>
      <w:r w:rsidR="00F25FC7">
        <w:t> </w:t>
      </w:r>
      <w:r>
        <w:t>71, qui contient le Plan stratégique pour la période 2028-2031 (voir le Document</w:t>
      </w:r>
      <w:r w:rsidR="00F25FC7">
        <w:t> </w:t>
      </w:r>
      <w:hyperlink r:id="rId48" w:history="1">
        <w:r w:rsidRPr="00F25FC7">
          <w:rPr>
            <w:rStyle w:val="Hyperlink"/>
            <w:rFonts w:eastAsia="Times New Roman" w:cs="Times New Roman"/>
            <w:szCs w:val="20"/>
          </w:rPr>
          <w:t>CWG-SFP-4/DT/2</w:t>
        </w:r>
      </w:hyperlink>
      <w:r>
        <w:t>). Le GTC-SFP ayant approuvé les deux objectifs stratégiques (connectivité universelle et transformation numérique durable), le Secrétariat a été invité à préciser les cibles proposées afin de les conformer pleinement à la teneur des deux objectifs. Les nouvelles cibles sont indiquées dans la révision 3 du Document CWG-SFP-4/DT/2. Il a également été convenu de renommer la priorité 2 "Interopérabilité et innovation dans les télécommunications mondiales/TIC" afin que l'intitulé corresponde mieux au champ d'action du Secteur de la normalisation des télécommunications (UIT-T).</w:t>
      </w:r>
    </w:p>
    <w:p w14:paraId="376A5356" w14:textId="24091FC4" w:rsidR="00444DC1" w:rsidRDefault="00444DC1" w:rsidP="00E318B4">
      <w:pPr>
        <w:jc w:val="both"/>
      </w:pPr>
      <w:r>
        <w:t>En ce qui concerne l</w:t>
      </w:r>
      <w:r w:rsidR="004B452B">
        <w:t>'</w:t>
      </w:r>
      <w:r>
        <w:t>Annexe 2 de la Résolution 71, le GTC-SFP a reçu des observations de huit</w:t>
      </w:r>
      <w:r w:rsidR="00FD3AD5">
        <w:t> </w:t>
      </w:r>
      <w:r>
        <w:t>États</w:t>
      </w:r>
      <w:r w:rsidR="00FD3AD5">
        <w:t> </w:t>
      </w:r>
      <w:r>
        <w:t>Membres sur l'avant-projet de texte proposé par le Secrétariat (Document</w:t>
      </w:r>
      <w:r w:rsidR="00F25FC7">
        <w:t> </w:t>
      </w:r>
      <w:hyperlink r:id="rId49" w:history="1">
        <w:r w:rsidRPr="00F25FC7">
          <w:rPr>
            <w:rStyle w:val="Hyperlink"/>
            <w:rFonts w:eastAsia="Times New Roman" w:cs="Times New Roman"/>
            <w:szCs w:val="20"/>
          </w:rPr>
          <w:t>CWG</w:t>
        </w:r>
        <w:r w:rsidR="00F25FC7" w:rsidRPr="00F25FC7">
          <w:rPr>
            <w:rStyle w:val="Hyperlink"/>
            <w:rFonts w:eastAsia="Times New Roman" w:cs="Times New Roman"/>
            <w:szCs w:val="20"/>
          </w:rPr>
          <w:noBreakHyphen/>
        </w:r>
        <w:r w:rsidRPr="00F25FC7">
          <w:rPr>
            <w:rStyle w:val="Hyperlink"/>
            <w:rFonts w:eastAsia="Times New Roman" w:cs="Times New Roman"/>
            <w:szCs w:val="20"/>
          </w:rPr>
          <w:t>SFP-4/DT/1</w:t>
        </w:r>
      </w:hyperlink>
      <w:r>
        <w:t xml:space="preserve">), qui rendaient compte de différents points de vue. Pour faciliter la convergence, le président a proposé d'adopter une formule neutre et succincte, qui limiterait l'analyse de la situation à une seule page où figurerait uniquement le </w:t>
      </w:r>
      <w:r w:rsidR="00FD3AD5">
        <w:t>T</w:t>
      </w:r>
      <w:r>
        <w:t>ableau</w:t>
      </w:r>
      <w:r w:rsidR="00FD3AD5">
        <w:t> </w:t>
      </w:r>
      <w:r>
        <w:t xml:space="preserve">SWOT approuvé de la page 21 de l'avant-projet présenté par le </w:t>
      </w:r>
      <w:r w:rsidR="00FD3AD5">
        <w:t>S</w:t>
      </w:r>
      <w:r>
        <w:t>ecrétariat. Le</w:t>
      </w:r>
      <w:r w:rsidR="00FD3AD5">
        <w:t> </w:t>
      </w:r>
      <w:r>
        <w:t>GTC</w:t>
      </w:r>
      <w:r w:rsidR="00FD3AD5">
        <w:noBreakHyphen/>
      </w:r>
      <w:r>
        <w:t xml:space="preserve">SFP a aussi approuvé la version révisée du glossaire (Annexe 3 de la Résolution 71), qui est reproduite dans le Document </w:t>
      </w:r>
      <w:hyperlink r:id="rId50" w:history="1">
        <w:r w:rsidRPr="00FD3AD5">
          <w:rPr>
            <w:rStyle w:val="Hyperlink"/>
            <w:rFonts w:eastAsia="Times New Roman" w:cs="Times New Roman"/>
            <w:szCs w:val="20"/>
          </w:rPr>
          <w:t>CWG-SFP-4/3</w:t>
        </w:r>
      </w:hyperlink>
      <w:r>
        <w:t>.</w:t>
      </w:r>
    </w:p>
    <w:p w14:paraId="050BDADE" w14:textId="5FB85AA3" w:rsidR="00444DC1" w:rsidRDefault="00444DC1" w:rsidP="00E318B4">
      <w:pPr>
        <w:jc w:val="both"/>
      </w:pPr>
      <w:r>
        <w:t xml:space="preserve">Au total, dix contributions ont été reçues et examinées à cette réunion: </w:t>
      </w:r>
      <w:hyperlink r:id="rId51" w:history="1">
        <w:r w:rsidRPr="00FD3AD5">
          <w:rPr>
            <w:rStyle w:val="Hyperlink"/>
            <w:rFonts w:eastAsia="Times New Roman" w:cs="Times New Roman"/>
            <w:szCs w:val="20"/>
          </w:rPr>
          <w:t>CWG-SFP-4/5</w:t>
        </w:r>
      </w:hyperlink>
      <w:r>
        <w:t xml:space="preserve">, </w:t>
      </w:r>
      <w:hyperlink r:id="rId52" w:history="1">
        <w:r w:rsidRPr="00FD3AD5">
          <w:rPr>
            <w:rStyle w:val="Hyperlink"/>
            <w:rFonts w:eastAsia="Times New Roman" w:cs="Times New Roman"/>
            <w:szCs w:val="20"/>
          </w:rPr>
          <w:t>CWG</w:t>
        </w:r>
        <w:r w:rsidR="00FD3AD5" w:rsidRPr="00FD3AD5">
          <w:rPr>
            <w:rStyle w:val="Hyperlink"/>
            <w:rFonts w:eastAsia="Times New Roman" w:cs="Times New Roman"/>
            <w:szCs w:val="20"/>
          </w:rPr>
          <w:noBreakHyphen/>
        </w:r>
        <w:r w:rsidRPr="00FD3AD5">
          <w:rPr>
            <w:rStyle w:val="Hyperlink"/>
            <w:rFonts w:eastAsia="Times New Roman" w:cs="Times New Roman"/>
            <w:szCs w:val="20"/>
          </w:rPr>
          <w:t>SFP-4/6</w:t>
        </w:r>
      </w:hyperlink>
      <w:r>
        <w:t xml:space="preserve">, </w:t>
      </w:r>
      <w:hyperlink r:id="rId53" w:history="1">
        <w:r w:rsidRPr="00FD3AD5">
          <w:rPr>
            <w:rStyle w:val="Hyperlink"/>
            <w:rFonts w:eastAsia="Times New Roman" w:cs="Times New Roman"/>
            <w:szCs w:val="20"/>
          </w:rPr>
          <w:t>CWG-SFP-4/7</w:t>
        </w:r>
      </w:hyperlink>
      <w:r>
        <w:t xml:space="preserve">, </w:t>
      </w:r>
      <w:hyperlink r:id="rId54" w:history="1">
        <w:r w:rsidRPr="00FD3AD5">
          <w:rPr>
            <w:rStyle w:val="Hyperlink"/>
            <w:rFonts w:eastAsia="Times New Roman" w:cs="Times New Roman"/>
            <w:szCs w:val="20"/>
          </w:rPr>
          <w:t>CWG-SFP-4/8</w:t>
        </w:r>
      </w:hyperlink>
      <w:r>
        <w:t xml:space="preserve">, </w:t>
      </w:r>
      <w:hyperlink r:id="rId55" w:history="1">
        <w:r w:rsidRPr="00FD3AD5">
          <w:rPr>
            <w:rStyle w:val="Hyperlink"/>
            <w:rFonts w:eastAsia="Times New Roman" w:cs="Times New Roman"/>
            <w:szCs w:val="20"/>
          </w:rPr>
          <w:t>CWG-SFP-4/9</w:t>
        </w:r>
      </w:hyperlink>
      <w:r>
        <w:t xml:space="preserve">, </w:t>
      </w:r>
      <w:hyperlink r:id="rId56" w:history="1">
        <w:r w:rsidRPr="00FD3AD5">
          <w:rPr>
            <w:rStyle w:val="Hyperlink"/>
            <w:rFonts w:eastAsia="Times New Roman" w:cs="Times New Roman"/>
            <w:szCs w:val="20"/>
          </w:rPr>
          <w:t>CWG-SFP-4/10</w:t>
        </w:r>
      </w:hyperlink>
      <w:r>
        <w:t xml:space="preserve">, </w:t>
      </w:r>
      <w:hyperlink r:id="rId57" w:history="1">
        <w:r w:rsidRPr="00FD3AD5">
          <w:rPr>
            <w:rStyle w:val="Hyperlink"/>
            <w:rFonts w:eastAsia="Times New Roman" w:cs="Times New Roman"/>
            <w:szCs w:val="20"/>
          </w:rPr>
          <w:t>CWG-SFP-4/11</w:t>
        </w:r>
      </w:hyperlink>
      <w:r>
        <w:t xml:space="preserve">, </w:t>
      </w:r>
      <w:hyperlink r:id="rId58" w:history="1">
        <w:r w:rsidRPr="00FD3AD5">
          <w:rPr>
            <w:rStyle w:val="Hyperlink"/>
            <w:rFonts w:eastAsia="Times New Roman" w:cs="Times New Roman"/>
            <w:szCs w:val="20"/>
          </w:rPr>
          <w:t>CWG</w:t>
        </w:r>
        <w:r w:rsidR="00FD3AD5" w:rsidRPr="00FD3AD5">
          <w:rPr>
            <w:rStyle w:val="Hyperlink"/>
            <w:rFonts w:eastAsia="Times New Roman" w:cs="Times New Roman"/>
            <w:szCs w:val="20"/>
          </w:rPr>
          <w:noBreakHyphen/>
        </w:r>
        <w:r w:rsidRPr="00FD3AD5">
          <w:rPr>
            <w:rStyle w:val="Hyperlink"/>
            <w:rFonts w:eastAsia="Times New Roman" w:cs="Times New Roman"/>
            <w:szCs w:val="20"/>
          </w:rPr>
          <w:t>SFP-4/12</w:t>
        </w:r>
      </w:hyperlink>
      <w:r>
        <w:t xml:space="preserve">, </w:t>
      </w:r>
      <w:hyperlink r:id="rId59" w:history="1">
        <w:r w:rsidRPr="00FD3AD5">
          <w:rPr>
            <w:rStyle w:val="Hyperlink"/>
            <w:rFonts w:eastAsia="Times New Roman" w:cs="Times New Roman"/>
            <w:szCs w:val="20"/>
          </w:rPr>
          <w:t>CWG-SFP-4/13</w:t>
        </w:r>
      </w:hyperlink>
      <w:r>
        <w:t xml:space="preserve">, et </w:t>
      </w:r>
      <w:hyperlink r:id="rId60" w:history="1">
        <w:r w:rsidRPr="00FD3AD5">
          <w:rPr>
            <w:rStyle w:val="Hyperlink"/>
            <w:rFonts w:eastAsia="Times New Roman" w:cs="Times New Roman"/>
            <w:szCs w:val="20"/>
          </w:rPr>
          <w:t>CWG-SFP-4/14</w:t>
        </w:r>
      </w:hyperlink>
      <w:r>
        <w:t>.</w:t>
      </w:r>
    </w:p>
    <w:p w14:paraId="32D83B35" w14:textId="5CDD3D5E" w:rsidR="00444DC1" w:rsidRDefault="00FD3AD5" w:rsidP="0038223C">
      <w:pPr>
        <w:jc w:val="both"/>
      </w:pPr>
      <w:r>
        <w:t>À</w:t>
      </w:r>
      <w:r w:rsidR="00444DC1">
        <w:t xml:space="preserve"> sa quatrième réunion, le GTC-SFP a décidé de tenir une réunion supplémentaire la veille de la session de 2026 du Conseil, ainsi qu'une réunion conjointe avec le Groupe de travail du Conseil sur les ressources financières et les ressources humaines (GTC-FHR), le même jour, pour examiner et parachever le </w:t>
      </w:r>
      <w:r w:rsidR="00887A36">
        <w:t>P</w:t>
      </w:r>
      <w:r w:rsidR="00444DC1">
        <w:t>lan financier à transmettre au Conseil à sa session de 2026 pour approbation.</w:t>
      </w:r>
    </w:p>
    <w:p w14:paraId="2C6441D0" w14:textId="77777777" w:rsidR="00444DC1" w:rsidRDefault="00444DC1" w:rsidP="00FD3AD5">
      <w:pPr>
        <w:pStyle w:val="Headingb"/>
      </w:pPr>
      <w:r>
        <w:lastRenderedPageBreak/>
        <w:t>Résultats des travaux du GTC-SFP</w:t>
      </w:r>
    </w:p>
    <w:p w14:paraId="1D3D8F13" w14:textId="77777777" w:rsidR="00444DC1" w:rsidRDefault="00444DC1" w:rsidP="00E318B4">
      <w:pPr>
        <w:jc w:val="both"/>
      </w:pPr>
      <w:r>
        <w:t>Le GTC-SFP soumet à la session de 2026 du Conseil, afin qu'il les approuve et les soumette à la Conférence de plénipotentiaires de 2026, les documents suivants, comme convenu à sa quatrième réunion:</w:t>
      </w:r>
    </w:p>
    <w:p w14:paraId="5DA67C74" w14:textId="7DFEAA74" w:rsidR="00444DC1" w:rsidRDefault="00FD3AD5" w:rsidP="00E318B4">
      <w:pPr>
        <w:pStyle w:val="enumlev1"/>
        <w:jc w:val="both"/>
      </w:pPr>
      <w:r>
        <w:t>–</w:t>
      </w:r>
      <w:r w:rsidR="00444DC1">
        <w:tab/>
      </w:r>
      <w:r>
        <w:t>U</w:t>
      </w:r>
      <w:r w:rsidR="00444DC1">
        <w:t>ne proposition de texte pour le projet d</w:t>
      </w:r>
      <w:r w:rsidR="004B452B">
        <w:t>'</w:t>
      </w:r>
      <w:r w:rsidR="00444DC1">
        <w:t>Annexe 3 de la Résolution 71, qui contient le glossaire des termes</w:t>
      </w:r>
      <w:r>
        <w:t>.</w:t>
      </w:r>
    </w:p>
    <w:p w14:paraId="570162F4" w14:textId="7FEEFAF2" w:rsidR="00444DC1" w:rsidRDefault="00FD3AD5" w:rsidP="00E318B4">
      <w:pPr>
        <w:pStyle w:val="enumlev1"/>
        <w:jc w:val="both"/>
      </w:pPr>
      <w:r>
        <w:t>–</w:t>
      </w:r>
      <w:r w:rsidR="00444DC1">
        <w:tab/>
      </w:r>
      <w:r>
        <w:t>L</w:t>
      </w:r>
      <w:r w:rsidR="00444DC1">
        <w:t xml:space="preserve">e projet de "Lignes directrices relatives à l'harmonisation des Résolutions et des Décisions de la Conférence de plénipotentiaires" (voir Document </w:t>
      </w:r>
      <w:hyperlink r:id="rId61" w:history="1">
        <w:r w:rsidR="00444DC1" w:rsidRPr="00FD3AD5">
          <w:rPr>
            <w:rStyle w:val="Hyperlink"/>
            <w:rFonts w:eastAsia="Times New Roman" w:cs="Times New Roman"/>
            <w:szCs w:val="20"/>
          </w:rPr>
          <w:t>C26/INF/1</w:t>
        </w:r>
      </w:hyperlink>
      <w:r w:rsidR="00444DC1">
        <w:t>).</w:t>
      </w:r>
    </w:p>
    <w:p w14:paraId="6B3E0B4C" w14:textId="70B37140" w:rsidR="00444DC1" w:rsidRDefault="00444DC1" w:rsidP="00E318B4">
      <w:pPr>
        <w:jc w:val="both"/>
      </w:pPr>
      <w:r>
        <w:t xml:space="preserve">Le GTC-SFP soumettra un addendum au présent rapport contenant les conclusions de sa cinquième réunion, programmée pour le 27 avril 2026. Les documents, disponibles sur le </w:t>
      </w:r>
      <w:hyperlink r:id="rId62" w:anchor="/fr" w:history="1">
        <w:r w:rsidRPr="00FD3AD5">
          <w:rPr>
            <w:rStyle w:val="Hyperlink"/>
            <w:rFonts w:eastAsia="Times New Roman" w:cs="Times New Roman"/>
            <w:szCs w:val="20"/>
          </w:rPr>
          <w:t>site</w:t>
        </w:r>
        <w:r w:rsidR="00FD3AD5" w:rsidRPr="00FD3AD5">
          <w:rPr>
            <w:rStyle w:val="Hyperlink"/>
            <w:rFonts w:eastAsia="Times New Roman" w:cs="Times New Roman"/>
            <w:szCs w:val="20"/>
          </w:rPr>
          <w:t> </w:t>
        </w:r>
        <w:r w:rsidRPr="00FD3AD5">
          <w:rPr>
            <w:rStyle w:val="Hyperlink"/>
            <w:rFonts w:eastAsia="Times New Roman" w:cs="Times New Roman"/>
            <w:szCs w:val="20"/>
          </w:rPr>
          <w:t>web du GTC-SFP</w:t>
        </w:r>
      </w:hyperlink>
      <w:r>
        <w:t>, sont les suivants:</w:t>
      </w:r>
    </w:p>
    <w:p w14:paraId="46444896" w14:textId="227D6D39" w:rsidR="00444DC1" w:rsidRDefault="00FD3AD5" w:rsidP="00E318B4">
      <w:pPr>
        <w:pStyle w:val="enumlev1"/>
        <w:jc w:val="both"/>
      </w:pPr>
      <w:r>
        <w:t>–</w:t>
      </w:r>
      <w:r w:rsidR="00444DC1">
        <w:tab/>
      </w:r>
      <w:r>
        <w:t>U</w:t>
      </w:r>
      <w:r w:rsidR="00444DC1">
        <w:t>ne proposition de texte pour le projet d'Annexe 1 de la Résolution 71, qui contient le Plan stratégique et le Plan financier pour 2028-2031</w:t>
      </w:r>
      <w:r>
        <w:t>.</w:t>
      </w:r>
    </w:p>
    <w:p w14:paraId="44A18493" w14:textId="1E4E4592" w:rsidR="00444DC1" w:rsidRDefault="00FD3AD5" w:rsidP="00E318B4">
      <w:pPr>
        <w:pStyle w:val="enumlev1"/>
        <w:jc w:val="both"/>
      </w:pPr>
      <w:r>
        <w:t>–</w:t>
      </w:r>
      <w:r w:rsidR="00444DC1">
        <w:tab/>
      </w:r>
      <w:r>
        <w:t>U</w:t>
      </w:r>
      <w:r w:rsidR="00444DC1">
        <w:t>ne proposition de texte pour le projet d</w:t>
      </w:r>
      <w:r w:rsidR="004B452B">
        <w:t>'</w:t>
      </w:r>
      <w:r w:rsidR="00444DC1">
        <w:t>Annexe 2 de la Résolution 71, qui contient l</w:t>
      </w:r>
      <w:r w:rsidR="004B452B">
        <w:t>'</w:t>
      </w:r>
      <w:r w:rsidR="00444DC1">
        <w:t>analyse de la situation.</w:t>
      </w:r>
    </w:p>
    <w:p w14:paraId="4B010B49" w14:textId="4CF62523" w:rsidR="006A11AE" w:rsidRDefault="00444DC1" w:rsidP="00E318B4">
      <w:pPr>
        <w:jc w:val="both"/>
      </w:pPr>
      <w:r>
        <w:t xml:space="preserve">Le Président du GTC-SFP a remercié le Secrétariat de l'UIT et l'ensemble des délégations pour leur participation active aux réunions et pour leurs contributions constructives. Il a également remercié l'ensemble des parties prenantes qui avaient contribué aux travaux du </w:t>
      </w:r>
      <w:r w:rsidR="00FD3AD5">
        <w:t>g</w:t>
      </w:r>
      <w:r>
        <w:t>roupe par leurs communications lors de la consultation virtuelle, et en particulier les groupes consultatifs des Secteurs pour leur participation active et leur engagement.</w:t>
      </w:r>
    </w:p>
    <w:p w14:paraId="3611C718" w14:textId="77777777" w:rsidR="00E318B4" w:rsidRPr="00444DC1" w:rsidRDefault="00E318B4" w:rsidP="00E318B4">
      <w:pPr>
        <w:jc w:val="both"/>
      </w:pPr>
    </w:p>
    <w:p w14:paraId="021AD008" w14:textId="77777777" w:rsidR="00897553" w:rsidRDefault="006A11AE" w:rsidP="002D2336">
      <w:pPr>
        <w:jc w:val="center"/>
      </w:pPr>
      <w:r>
        <w:t>______________</w:t>
      </w:r>
    </w:p>
    <w:sectPr w:rsidR="00897553" w:rsidSect="00D72F49">
      <w:headerReference w:type="even" r:id="rId63"/>
      <w:footerReference w:type="even" r:id="rId64"/>
      <w:footerReference w:type="default" r:id="rId65"/>
      <w:headerReference w:type="first" r:id="rId66"/>
      <w:footerReference w:type="first" r:id="rId6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7A64" w14:textId="77777777" w:rsidR="00092342" w:rsidRDefault="00092342">
      <w:r>
        <w:separator/>
      </w:r>
    </w:p>
  </w:endnote>
  <w:endnote w:type="continuationSeparator" w:id="0">
    <w:p w14:paraId="5601CC54" w14:textId="77777777" w:rsidR="00092342" w:rsidRDefault="0009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2115" w14:textId="693B6DB4" w:rsidR="00732045" w:rsidRDefault="00887A36">
    <w:pPr>
      <w:pStyle w:val="Footer"/>
    </w:pPr>
    <w:fldSimple w:instr=" FILENAME \p \* MERGEFORMAT ">
      <w:r>
        <w:t>P:\FRA\gDoc\SG\C26\2600757F.docx</w:t>
      </w:r>
    </w:fldSimple>
    <w:r w:rsidR="00732045">
      <w:tab/>
    </w:r>
    <w:r w:rsidR="002F1B76">
      <w:fldChar w:fldCharType="begin"/>
    </w:r>
    <w:r w:rsidR="00732045">
      <w:instrText xml:space="preserve"> savedate \@ dd.MM.yy </w:instrText>
    </w:r>
    <w:r w:rsidR="002F1B76">
      <w:fldChar w:fldCharType="separate"/>
    </w:r>
    <w:r w:rsidR="00DF5925">
      <w:t>02.04.26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94EF29E" w14:textId="77777777" w:rsidTr="00E31DCE">
      <w:trPr>
        <w:jc w:val="center"/>
      </w:trPr>
      <w:tc>
        <w:tcPr>
          <w:tcW w:w="1803" w:type="dxa"/>
          <w:vAlign w:val="center"/>
        </w:tcPr>
        <w:p w14:paraId="6C2CCD92" w14:textId="4BDA38F0" w:rsidR="00A51849" w:rsidRDefault="00444DC1" w:rsidP="00A51849">
          <w:pPr>
            <w:pStyle w:val="Header"/>
            <w:jc w:val="left"/>
            <w:rPr>
              <w:noProof/>
            </w:rPr>
          </w:pPr>
          <w:r>
            <w:rPr>
              <w:noProof/>
            </w:rPr>
            <w:t>2600757</w:t>
          </w:r>
        </w:p>
      </w:tc>
      <w:tc>
        <w:tcPr>
          <w:tcW w:w="8261" w:type="dxa"/>
        </w:tcPr>
        <w:p w14:paraId="0DD757C6" w14:textId="58C9E8E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44DC1">
            <w:rPr>
              <w:bCs/>
            </w:rPr>
            <w:t>31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4BE46E8"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1898F9FA" w14:textId="77777777" w:rsidTr="00E31DCE">
      <w:trPr>
        <w:jc w:val="center"/>
      </w:trPr>
      <w:tc>
        <w:tcPr>
          <w:tcW w:w="1803" w:type="dxa"/>
          <w:vAlign w:val="center"/>
        </w:tcPr>
        <w:p w14:paraId="7C82F916"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479ACC35" w14:textId="61BCBA0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444DC1">
            <w:rPr>
              <w:bCs/>
            </w:rPr>
            <w:t>31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FBAB4CD"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0372" w14:textId="77777777" w:rsidR="00092342" w:rsidRDefault="00092342">
      <w:r>
        <w:t>____________________</w:t>
      </w:r>
    </w:p>
  </w:footnote>
  <w:footnote w:type="continuationSeparator" w:id="0">
    <w:p w14:paraId="1E8E2E49" w14:textId="77777777" w:rsidR="00092342" w:rsidRDefault="00092342">
      <w:r>
        <w:continuationSeparator/>
      </w:r>
    </w:p>
  </w:footnote>
  <w:footnote w:id="1">
    <w:p w14:paraId="71EA15EF" w14:textId="1E5DAF96" w:rsidR="00444DC1" w:rsidRDefault="00444DC1" w:rsidP="0038223C">
      <w:pPr>
        <w:pStyle w:val="FootnoteText"/>
        <w:jc w:val="both"/>
      </w:pPr>
      <w:r>
        <w:rPr>
          <w:rStyle w:val="FootnoteReference"/>
        </w:rPr>
        <w:footnoteRef/>
      </w:r>
      <w:r>
        <w:tab/>
      </w:r>
      <w:r w:rsidRPr="00444DC1">
        <w:t xml:space="preserve">Les projets de </w:t>
      </w:r>
      <w:r>
        <w:t>p</w:t>
      </w:r>
      <w:r w:rsidRPr="00444DC1">
        <w:t xml:space="preserve">lan stratégique et de </w:t>
      </w:r>
      <w:r>
        <w:t>p</w:t>
      </w:r>
      <w:r w:rsidRPr="00444DC1">
        <w:t>lan financier pour la période 2028-2031 doivent encore être examinés à la réunion du Groupe de travail du Conseil chargé d'élaborer le Plan stratégique et le Plan financier pour la période 2028 2031 (GTC-SFP) qui se tiendra le 27 avril 2026. Les conclusions de cette réunion seront publiées sous la forme d'annexes ou d'un addendum au présent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1AD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F9AABD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A8A"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42"/>
    <w:rsid w:val="00071028"/>
    <w:rsid w:val="00076A2C"/>
    <w:rsid w:val="00092342"/>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A5D44"/>
    <w:rsid w:val="002C3F32"/>
    <w:rsid w:val="002C4E3D"/>
    <w:rsid w:val="002D2336"/>
    <w:rsid w:val="002E0BC4"/>
    <w:rsid w:val="002F1B76"/>
    <w:rsid w:val="0033568E"/>
    <w:rsid w:val="00355FF5"/>
    <w:rsid w:val="00361350"/>
    <w:rsid w:val="0038223C"/>
    <w:rsid w:val="003C3FAE"/>
    <w:rsid w:val="004038CB"/>
    <w:rsid w:val="0040546F"/>
    <w:rsid w:val="004177BD"/>
    <w:rsid w:val="0042404A"/>
    <w:rsid w:val="00444DC1"/>
    <w:rsid w:val="0044618F"/>
    <w:rsid w:val="00465C35"/>
    <w:rsid w:val="0046769A"/>
    <w:rsid w:val="00475FB3"/>
    <w:rsid w:val="004B452B"/>
    <w:rsid w:val="004C37A9"/>
    <w:rsid w:val="004D1D50"/>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95CB6"/>
    <w:rsid w:val="005B1938"/>
    <w:rsid w:val="005C3890"/>
    <w:rsid w:val="005F7BFE"/>
    <w:rsid w:val="00600017"/>
    <w:rsid w:val="00602682"/>
    <w:rsid w:val="006235CA"/>
    <w:rsid w:val="0062366E"/>
    <w:rsid w:val="006643AB"/>
    <w:rsid w:val="006A11A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72196"/>
    <w:rsid w:val="00882919"/>
    <w:rsid w:val="00887A36"/>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139B1"/>
    <w:rsid w:val="00A2113E"/>
    <w:rsid w:val="00A23A51"/>
    <w:rsid w:val="00A24607"/>
    <w:rsid w:val="00A25CD3"/>
    <w:rsid w:val="00A51849"/>
    <w:rsid w:val="00A709FE"/>
    <w:rsid w:val="00A73C60"/>
    <w:rsid w:val="00A82767"/>
    <w:rsid w:val="00AA332F"/>
    <w:rsid w:val="00AA7BBB"/>
    <w:rsid w:val="00AB64A8"/>
    <w:rsid w:val="00AC0266"/>
    <w:rsid w:val="00AC0F1D"/>
    <w:rsid w:val="00AD24EC"/>
    <w:rsid w:val="00AE4339"/>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5925"/>
    <w:rsid w:val="00DF74DD"/>
    <w:rsid w:val="00E25AD0"/>
    <w:rsid w:val="00E318B4"/>
    <w:rsid w:val="00E4428F"/>
    <w:rsid w:val="00E4448E"/>
    <w:rsid w:val="00E47427"/>
    <w:rsid w:val="00E93668"/>
    <w:rsid w:val="00E95647"/>
    <w:rsid w:val="00EB6350"/>
    <w:rsid w:val="00ED799B"/>
    <w:rsid w:val="00F15B57"/>
    <w:rsid w:val="00F25FC7"/>
    <w:rsid w:val="00F35EF4"/>
    <w:rsid w:val="00F37FE5"/>
    <w:rsid w:val="00F427DB"/>
    <w:rsid w:val="00F806E4"/>
    <w:rsid w:val="00FA5EB1"/>
    <w:rsid w:val="00FA7439"/>
    <w:rsid w:val="00FC4EC0"/>
    <w:rsid w:val="00FC6D7D"/>
    <w:rsid w:val="00FD3AD5"/>
    <w:rsid w:val="00FE1A94"/>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F82BD"/>
  <w15:docId w15:val="{C33BCFF1-DB22-4FBC-B160-185677D6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E318B4"/>
    <w:pPr>
      <w:framePr w:hSpace="181" w:wrap="around" w:vAnchor="page" w:hAnchor="page" w:x="1589" w:y="2314"/>
      <w:spacing w:before="60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SFP2-C-0005/en" TargetMode="External"/><Relationship Id="rId21" Type="http://schemas.openxmlformats.org/officeDocument/2006/relationships/hyperlink" Target="https://www.itu.int/md/S25-CWGSFP2-C-0007/en" TargetMode="External"/><Relationship Id="rId42" Type="http://schemas.openxmlformats.org/officeDocument/2006/relationships/hyperlink" Target="https://www.itu.int/md/S25-CWGSFP3-C-0012/en" TargetMode="External"/><Relationship Id="rId47" Type="http://schemas.openxmlformats.org/officeDocument/2006/relationships/hyperlink" Target="https://www.itu.int/md/S26-CWGSFP4-INF-0005/en"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4-CWGSFP1-C-0008/en" TargetMode="External"/><Relationship Id="rId29" Type="http://schemas.openxmlformats.org/officeDocument/2006/relationships/hyperlink" Target="https://www.itu.int/md/S25-CWGSFP2-C-0010/en" TargetMode="External"/><Relationship Id="rId11" Type="http://schemas.openxmlformats.org/officeDocument/2006/relationships/hyperlink" Target="https://view.officeapps.live.com/op/view.aspx?src=https%3A%2F%2Fwww.itu.int%2Fnet%2Fevents%2Fcl%2Fcwg-sfp-oct24-presentation-process-background-r1.pptx&amp;wdOrigin=BROWSELINK" TargetMode="External"/><Relationship Id="rId24" Type="http://schemas.openxmlformats.org/officeDocument/2006/relationships/hyperlink" Target="https://www.itu.int/md/S25-CWGSFP2-INF-0004/en" TargetMode="External"/><Relationship Id="rId32" Type="http://schemas.openxmlformats.org/officeDocument/2006/relationships/hyperlink" Target="https://www.itu.int/md/S26-CL-INF-0001/en" TargetMode="External"/><Relationship Id="rId37" Type="http://schemas.openxmlformats.org/officeDocument/2006/relationships/hyperlink" Target="https://www.itu.int/md/S25-CWGSFP3-C-0007/en" TargetMode="External"/><Relationship Id="rId40" Type="http://schemas.openxmlformats.org/officeDocument/2006/relationships/hyperlink" Target="https://www.itu.int/md/S25-CWGSFP3-C-0010/en" TargetMode="External"/><Relationship Id="rId45" Type="http://schemas.openxmlformats.org/officeDocument/2006/relationships/hyperlink" Target="https://www.itu.int/md/S25-CWGSFP3-C-0015/en" TargetMode="External"/><Relationship Id="rId53" Type="http://schemas.openxmlformats.org/officeDocument/2006/relationships/hyperlink" Target="https://www.itu.int/md/S26-CWGSFP4-C-0007/en" TargetMode="External"/><Relationship Id="rId58" Type="http://schemas.openxmlformats.org/officeDocument/2006/relationships/hyperlink" Target="https://www.itu.int/md/S26-CWGSFP4-C-0012/en"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itu.int/md/S26-CL-INF-0001/en" TargetMode="External"/><Relationship Id="rId19" Type="http://schemas.openxmlformats.org/officeDocument/2006/relationships/hyperlink" Target="https://www.itu.int/md/S25-CWGSFP2-INF-0002/en" TargetMode="External"/><Relationship Id="rId14" Type="http://schemas.openxmlformats.org/officeDocument/2006/relationships/hyperlink" Target="https://www.itu.int/md/S24-CWGSFP1-C-0006/en" TargetMode="External"/><Relationship Id="rId22" Type="http://schemas.openxmlformats.org/officeDocument/2006/relationships/hyperlink" Target="https://www.itu.int/md/S25-CWGSFP2-C-0004/en" TargetMode="External"/><Relationship Id="rId27" Type="http://schemas.openxmlformats.org/officeDocument/2006/relationships/hyperlink" Target="https://www.itu.int/md/S25-CWGSFP2-C-0008/en" TargetMode="External"/><Relationship Id="rId30" Type="http://schemas.openxmlformats.org/officeDocument/2006/relationships/hyperlink" Target="https://www.itu.int/md/S25-CWGSFP2-C-0011/en" TargetMode="External"/><Relationship Id="rId35" Type="http://schemas.openxmlformats.org/officeDocument/2006/relationships/hyperlink" Target="https://www.itu.int/md/S25-CWGSFP3-C-0006/en" TargetMode="External"/><Relationship Id="rId43" Type="http://schemas.openxmlformats.org/officeDocument/2006/relationships/hyperlink" Target="https://www.itu.int/md/S25-CWGSFP3-C-0013/en" TargetMode="External"/><Relationship Id="rId48" Type="http://schemas.openxmlformats.org/officeDocument/2006/relationships/hyperlink" Target="https://www.itu.int/md/S26-CWGSFP4-260112-TD-0002/en" TargetMode="External"/><Relationship Id="rId56" Type="http://schemas.openxmlformats.org/officeDocument/2006/relationships/hyperlink" Target="https://www.itu.int/md/S26-CWGSFP4-C-0010/en"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ww.itu.int/md/S26-CL-C-0032/en" TargetMode="External"/><Relationship Id="rId51" Type="http://schemas.openxmlformats.org/officeDocument/2006/relationships/hyperlink" Target="https://www.itu.int/md/S26-CWGSFP4-C-0005/en" TargetMode="External"/><Relationship Id="rId3" Type="http://schemas.openxmlformats.org/officeDocument/2006/relationships/styles" Target="styles.xml"/><Relationship Id="rId12" Type="http://schemas.openxmlformats.org/officeDocument/2006/relationships/hyperlink" Target="https://www.itu.int/md/S24-CWGSFP1-INF-0003/en" TargetMode="External"/><Relationship Id="rId17" Type="http://schemas.openxmlformats.org/officeDocument/2006/relationships/hyperlink" Target="https://www.itu.int/md/S25-CWGSFP2-INF-0001/en" TargetMode="External"/><Relationship Id="rId25" Type="http://schemas.openxmlformats.org/officeDocument/2006/relationships/hyperlink" Target="https://www.itu.int/md/S25-CWGSFP2-C-0003/en" TargetMode="External"/><Relationship Id="rId33" Type="http://schemas.openxmlformats.org/officeDocument/2006/relationships/hyperlink" Target="https://www.itu.int/md/S25-CWGSFP3-C-0003/en" TargetMode="External"/><Relationship Id="rId38" Type="http://schemas.openxmlformats.org/officeDocument/2006/relationships/hyperlink" Target="https://www.itu.int/md/S25-CWGSFP3-C-0008/en" TargetMode="External"/><Relationship Id="rId46" Type="http://schemas.openxmlformats.org/officeDocument/2006/relationships/hyperlink" Target="https://www.itu.int/md/S25-CWGSFP3-C-0016/en" TargetMode="External"/><Relationship Id="rId59" Type="http://schemas.openxmlformats.org/officeDocument/2006/relationships/hyperlink" Target="https://www.itu.int/md/S26-CWGSFP4-C-0013/en" TargetMode="External"/><Relationship Id="rId67" Type="http://schemas.openxmlformats.org/officeDocument/2006/relationships/footer" Target="footer3.xml"/><Relationship Id="rId20" Type="http://schemas.openxmlformats.org/officeDocument/2006/relationships/hyperlink" Target="https://www.itu.int/md/S25-CWGSFP2-INF-0005/en" TargetMode="External"/><Relationship Id="rId41" Type="http://schemas.openxmlformats.org/officeDocument/2006/relationships/hyperlink" Target="https://www.itu.int/md/S25-CWGSFP3-C-0011/en" TargetMode="External"/><Relationship Id="rId54" Type="http://schemas.openxmlformats.org/officeDocument/2006/relationships/hyperlink" Target="https://www.itu.int/md/S26-CWGSFP4-C-0008/en" TargetMode="External"/><Relationship Id="rId62" Type="http://schemas.openxmlformats.org/officeDocument/2006/relationships/hyperlink" Target="https://www.itu.int/en/council/CWG-SFP-2028-2031/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4-CWGSFP1-C-0007/en" TargetMode="External"/><Relationship Id="rId23" Type="http://schemas.openxmlformats.org/officeDocument/2006/relationships/hyperlink" Target="https://www.itu.int/md/S25-CWGSFP2-INF-0003/en" TargetMode="External"/><Relationship Id="rId28" Type="http://schemas.openxmlformats.org/officeDocument/2006/relationships/hyperlink" Target="https://www.itu.int/md/S25-CWGSFP2-C-0009/en" TargetMode="External"/><Relationship Id="rId36" Type="http://schemas.openxmlformats.org/officeDocument/2006/relationships/hyperlink" Target="https://staging.itu.int/en/council/ties/Documents/2025/CWG-SFP-presentation-Sept-2025.pdf" TargetMode="External"/><Relationship Id="rId49" Type="http://schemas.openxmlformats.org/officeDocument/2006/relationships/hyperlink" Target="https://www.itu.int/md/S26-CWGSFP4-260112-TD-0001/en" TargetMode="External"/><Relationship Id="rId57" Type="http://schemas.openxmlformats.org/officeDocument/2006/relationships/hyperlink" Target="https://www.itu.int/md/S26-CWGSFP4-C-0011/en" TargetMode="External"/><Relationship Id="rId10" Type="http://schemas.openxmlformats.org/officeDocument/2006/relationships/hyperlink" Target="https://www.itu.int/md/S24-CL-C-0139/fr" TargetMode="External"/><Relationship Id="rId31" Type="http://schemas.openxmlformats.org/officeDocument/2006/relationships/hyperlink" Target="https://council.itu.int/2025/wp-content/uploads/sites/5/2025/06/C25-CWG-SFP-Information-Session-23Jun2025.pdf" TargetMode="External"/><Relationship Id="rId44" Type="http://schemas.openxmlformats.org/officeDocument/2006/relationships/hyperlink" Target="https://www.itu.int/md/S25-CWGSFP3-C-0014/en" TargetMode="External"/><Relationship Id="rId52" Type="http://schemas.openxmlformats.org/officeDocument/2006/relationships/hyperlink" Target="https://www.itu.int/md/S26-CWGSFP4-C-0006/en" TargetMode="External"/><Relationship Id="rId60" Type="http://schemas.openxmlformats.org/officeDocument/2006/relationships/hyperlink" Target="https://www.itu.int/md/S26-CWGSFP4-C-0014/en"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en/council/Documents/basic-texts-2023/RES-071-F.pdf" TargetMode="External"/><Relationship Id="rId13" Type="http://schemas.openxmlformats.org/officeDocument/2006/relationships/hyperlink" Target="https://www.itu.int/md/S24-CWGSFP1-C-0005/en" TargetMode="External"/><Relationship Id="rId18" Type="http://schemas.openxmlformats.org/officeDocument/2006/relationships/hyperlink" Target="https://www.itu.int/md/S25-CWGSFP2-C-0002/en" TargetMode="External"/><Relationship Id="rId39" Type="http://schemas.openxmlformats.org/officeDocument/2006/relationships/hyperlink" Target="https://www.itu.int/md/S25-CWGSFP3-C-0009/en" TargetMode="External"/><Relationship Id="rId34" Type="http://schemas.openxmlformats.org/officeDocument/2006/relationships/hyperlink" Target="https://www.itu.int/md/S25-CWGSFP3-C-0004/en" TargetMode="External"/><Relationship Id="rId50" Type="http://schemas.openxmlformats.org/officeDocument/2006/relationships/hyperlink" Target="https://www.itu.int/md/S26-CWGSFP4-C-0003/en" TargetMode="External"/><Relationship Id="rId55" Type="http://schemas.openxmlformats.org/officeDocument/2006/relationships/hyperlink" Target="https://www.itu.int/md/S26-CWGSFP4-C-0009/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7C52-2518-414F-9C36-ECB12226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7</TotalTime>
  <Pages>5</Pages>
  <Words>1891</Words>
  <Characters>14198</Characters>
  <Application>Microsoft Office Word</Application>
  <DocSecurity>0</DocSecurity>
  <Lines>244</Lines>
  <Paragraphs>99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15990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d'activité du Groupe de travail du Conseil chargé d'élaborer le plan stratégique et le plan financier pour la période 2028-2031</dc:title>
  <dc:subject>Conseil 2026 de l'UIT</dc:subject>
  <cp:keywords>C26; C2026; Council 2026; PP26</cp:keywords>
  <dc:description/>
  <cp:lastPrinted>2000-07-18T08:55:00Z</cp:lastPrinted>
  <dcterms:created xsi:type="dcterms:W3CDTF">2026-04-07T13:15:00Z</dcterms:created>
  <dcterms:modified xsi:type="dcterms:W3CDTF">2026-04-07T13:25:00Z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