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88F39C4" w14:textId="77777777" w:rsidTr="00F363FE">
        <w:tc>
          <w:tcPr>
            <w:tcW w:w="6512" w:type="dxa"/>
          </w:tcPr>
          <w:p w14:paraId="791BC166" w14:textId="3D682BBF" w:rsidR="007B0AA0" w:rsidRPr="007B0AA0" w:rsidRDefault="007B0AA0" w:rsidP="00F363FE">
            <w:pPr>
              <w:spacing w:before="60" w:after="60" w:line="260" w:lineRule="exact"/>
              <w:rPr>
                <w:b/>
                <w:bCs/>
              </w:rPr>
            </w:pPr>
            <w:r w:rsidRPr="007B0AA0">
              <w:rPr>
                <w:rFonts w:hint="cs"/>
                <w:b/>
                <w:bCs/>
                <w:rtl/>
                <w:lang w:bidi="ar-EG"/>
              </w:rPr>
              <w:t>بند جدول الأعمال:</w:t>
            </w:r>
            <w:r w:rsidR="004C09CE">
              <w:rPr>
                <w:rFonts w:hint="cs"/>
                <w:b/>
                <w:bCs/>
                <w:rtl/>
              </w:rPr>
              <w:t xml:space="preserve"> </w:t>
            </w:r>
            <w:r w:rsidR="004C09CE">
              <w:rPr>
                <w:b/>
              </w:rPr>
              <w:t>PL-2</w:t>
            </w:r>
          </w:p>
        </w:tc>
        <w:tc>
          <w:tcPr>
            <w:tcW w:w="3117" w:type="dxa"/>
          </w:tcPr>
          <w:p w14:paraId="38D75972" w14:textId="7FC0443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4C09CE">
              <w:rPr>
                <w:b/>
                <w:bCs/>
                <w:lang w:bidi="ar-EG"/>
              </w:rPr>
              <w:t>31</w:t>
            </w:r>
            <w:r w:rsidRPr="007B0AA0">
              <w:rPr>
                <w:b/>
                <w:bCs/>
                <w:lang w:bidi="ar-EG"/>
              </w:rPr>
              <w:t>-A</w:t>
            </w:r>
          </w:p>
        </w:tc>
      </w:tr>
      <w:tr w:rsidR="007B0AA0" w14:paraId="5E237C7B" w14:textId="77777777" w:rsidTr="00F363FE">
        <w:tc>
          <w:tcPr>
            <w:tcW w:w="6512" w:type="dxa"/>
          </w:tcPr>
          <w:p w14:paraId="69A7D563" w14:textId="77777777" w:rsidR="007B0AA0" w:rsidRPr="007B0AA0" w:rsidRDefault="007B0AA0" w:rsidP="00F363FE">
            <w:pPr>
              <w:spacing w:before="60" w:after="60" w:line="260" w:lineRule="exact"/>
              <w:rPr>
                <w:b/>
                <w:bCs/>
                <w:rtl/>
                <w:lang w:bidi="ar-EG"/>
              </w:rPr>
            </w:pPr>
          </w:p>
        </w:tc>
        <w:tc>
          <w:tcPr>
            <w:tcW w:w="3117" w:type="dxa"/>
          </w:tcPr>
          <w:p w14:paraId="66B23837" w14:textId="7B5E77D4" w:rsidR="007B0AA0" w:rsidRPr="004C09CE" w:rsidRDefault="004C09CE" w:rsidP="00F363FE">
            <w:pPr>
              <w:spacing w:before="60" w:after="60" w:line="260" w:lineRule="exact"/>
              <w:rPr>
                <w:b/>
                <w:bCs/>
                <w:lang w:val="en-GB"/>
              </w:rPr>
            </w:pPr>
            <w:r>
              <w:rPr>
                <w:b/>
                <w:bCs/>
                <w:lang w:bidi="ar-EG"/>
              </w:rPr>
              <w:t>30</w:t>
            </w:r>
            <w:r>
              <w:rPr>
                <w:rFonts w:hint="cs"/>
                <w:b/>
                <w:bCs/>
                <w:rtl/>
              </w:rPr>
              <w:t xml:space="preserve"> مارس </w:t>
            </w:r>
            <w:r>
              <w:rPr>
                <w:b/>
                <w:bCs/>
                <w:lang w:val="en-GB"/>
              </w:rPr>
              <w:t>2026</w:t>
            </w:r>
          </w:p>
        </w:tc>
      </w:tr>
      <w:tr w:rsidR="007B0AA0" w14:paraId="0BB16CF9" w14:textId="77777777" w:rsidTr="00F363FE">
        <w:tc>
          <w:tcPr>
            <w:tcW w:w="6512" w:type="dxa"/>
          </w:tcPr>
          <w:p w14:paraId="126B671C" w14:textId="77777777" w:rsidR="007B0AA0" w:rsidRPr="007B0AA0" w:rsidRDefault="007B0AA0" w:rsidP="00F363FE">
            <w:pPr>
              <w:spacing w:before="60" w:after="60" w:line="260" w:lineRule="exact"/>
              <w:rPr>
                <w:b/>
                <w:bCs/>
                <w:rtl/>
                <w:lang w:bidi="ar-EG"/>
              </w:rPr>
            </w:pPr>
          </w:p>
        </w:tc>
        <w:tc>
          <w:tcPr>
            <w:tcW w:w="3117" w:type="dxa"/>
          </w:tcPr>
          <w:p w14:paraId="3D5F4A4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8F06DDB" w14:textId="77777777" w:rsidTr="00F363FE">
        <w:tc>
          <w:tcPr>
            <w:tcW w:w="6512" w:type="dxa"/>
          </w:tcPr>
          <w:p w14:paraId="30AE4481" w14:textId="77777777" w:rsidR="007B0AA0" w:rsidRDefault="007B0AA0" w:rsidP="00F363FE">
            <w:pPr>
              <w:spacing w:before="60" w:after="60" w:line="260" w:lineRule="exact"/>
              <w:rPr>
                <w:lang w:bidi="ar-EG"/>
              </w:rPr>
            </w:pPr>
          </w:p>
        </w:tc>
        <w:tc>
          <w:tcPr>
            <w:tcW w:w="3117" w:type="dxa"/>
          </w:tcPr>
          <w:p w14:paraId="2886DD9C" w14:textId="77777777" w:rsidR="007B0AA0" w:rsidRDefault="007B0AA0" w:rsidP="00F363FE">
            <w:pPr>
              <w:spacing w:before="60" w:after="60" w:line="260" w:lineRule="exact"/>
              <w:rPr>
                <w:rtl/>
                <w:lang w:bidi="ar-EG"/>
              </w:rPr>
            </w:pPr>
          </w:p>
        </w:tc>
      </w:tr>
      <w:tr w:rsidR="007B0AA0" w14:paraId="6C02FB53" w14:textId="77777777" w:rsidTr="00EE7446">
        <w:tc>
          <w:tcPr>
            <w:tcW w:w="9629" w:type="dxa"/>
            <w:gridSpan w:val="2"/>
          </w:tcPr>
          <w:p w14:paraId="1AB34FA4" w14:textId="3C2D3F63" w:rsidR="007B0AA0" w:rsidRDefault="001D64C7" w:rsidP="00F6457E">
            <w:pPr>
              <w:pStyle w:val="Source"/>
              <w:jc w:val="both"/>
              <w:rPr>
                <w:lang w:bidi="ar-EG"/>
              </w:rPr>
            </w:pPr>
            <w:r w:rsidRPr="004C09CE">
              <w:rPr>
                <w:rFonts w:hint="cs"/>
                <w:rtl/>
              </w:rPr>
              <w:t>تقرير</w:t>
            </w:r>
            <w:r>
              <w:rPr>
                <w:rFonts w:hint="cs"/>
                <w:rtl/>
                <w:lang w:bidi="ar-EG"/>
              </w:rPr>
              <w:t xml:space="preserve"> من </w:t>
            </w:r>
            <w:r w:rsidR="004C09CE" w:rsidRPr="009666E7">
              <w:rPr>
                <w:rtl/>
              </w:rPr>
              <w:t>رئيس فريق العمل التابع للمجلس والمعني بالخطتين الاستراتيجية والمالية للفترة 2028-2031</w:t>
            </w:r>
          </w:p>
        </w:tc>
      </w:tr>
      <w:tr w:rsidR="007B0AA0" w14:paraId="7FE64014" w14:textId="77777777" w:rsidTr="007B0AA0">
        <w:tc>
          <w:tcPr>
            <w:tcW w:w="9629" w:type="dxa"/>
            <w:gridSpan w:val="2"/>
            <w:tcBorders>
              <w:bottom w:val="single" w:sz="4" w:space="0" w:color="auto"/>
            </w:tcBorders>
          </w:tcPr>
          <w:p w14:paraId="49709A8F" w14:textId="0A2ECCCE" w:rsidR="007B0AA0" w:rsidRPr="005546CF" w:rsidRDefault="004C09CE" w:rsidP="007B0AA0">
            <w:pPr>
              <w:pStyle w:val="Subtitle0"/>
              <w:rPr>
                <w:sz w:val="32"/>
                <w:szCs w:val="32"/>
              </w:rPr>
            </w:pPr>
            <w:r w:rsidRPr="004C09CE">
              <w:rPr>
                <w:sz w:val="32"/>
                <w:szCs w:val="32"/>
                <w:rtl/>
              </w:rPr>
              <w:t>تقرير فريق العمل التابع للمجلس والمعني بالخطتين الاستراتيجية والمالية للفترة 2028-2031</w:t>
            </w:r>
            <w:r w:rsidR="00E752DE">
              <w:rPr>
                <w:rFonts w:hint="cs"/>
                <w:sz w:val="32"/>
                <w:szCs w:val="32"/>
                <w:rtl/>
              </w:rPr>
              <w:t xml:space="preserve"> </w:t>
            </w:r>
            <w:r w:rsidR="00E752DE">
              <w:rPr>
                <w:sz w:val="32"/>
                <w:szCs w:val="32"/>
              </w:rPr>
              <w:t>(CWG-SFP)</w:t>
            </w:r>
          </w:p>
        </w:tc>
      </w:tr>
      <w:tr w:rsidR="007B0AA0" w14:paraId="7EE821D8" w14:textId="77777777" w:rsidTr="007B0AA0">
        <w:tc>
          <w:tcPr>
            <w:tcW w:w="9629" w:type="dxa"/>
            <w:gridSpan w:val="2"/>
            <w:tcBorders>
              <w:top w:val="single" w:sz="4" w:space="0" w:color="auto"/>
              <w:bottom w:val="single" w:sz="4" w:space="0" w:color="auto"/>
            </w:tcBorders>
          </w:tcPr>
          <w:p w14:paraId="3F354131" w14:textId="77777777" w:rsidR="007B0AA0" w:rsidRPr="007B0AA0" w:rsidRDefault="007B0AA0" w:rsidP="007B0AA0">
            <w:pPr>
              <w:rPr>
                <w:b/>
                <w:bCs/>
                <w:rtl/>
              </w:rPr>
            </w:pPr>
            <w:r w:rsidRPr="00494119">
              <w:rPr>
                <w:rFonts w:hint="cs"/>
                <w:b/>
                <w:bCs/>
                <w:rtl/>
              </w:rPr>
              <w:t>الغرض</w:t>
            </w:r>
          </w:p>
          <w:p w14:paraId="7912CD70" w14:textId="79234324" w:rsidR="007B0AA0" w:rsidRPr="004C09CE" w:rsidRDefault="004C09CE" w:rsidP="004C09CE">
            <w:pPr>
              <w:rPr>
                <w:rtl/>
                <w:lang w:val="ar-SA" w:eastAsia="zh-TW"/>
              </w:rPr>
            </w:pPr>
            <w:r w:rsidRPr="004C09CE">
              <w:rPr>
                <w:color w:val="000000"/>
                <w:rtl/>
              </w:rPr>
              <w:t xml:space="preserve">تلخص هذه الوثيقة عمل فريق العمل التابع للمجلس والمعني بالخطتين الاستراتيجية والمالية للفترة </w:t>
            </w:r>
            <w:r>
              <w:rPr>
                <w:color w:val="000000"/>
              </w:rPr>
              <w:t>2028</w:t>
            </w:r>
            <w:r w:rsidRPr="004C09CE">
              <w:rPr>
                <w:color w:val="000000"/>
                <w:rtl/>
              </w:rPr>
              <w:t>-</w:t>
            </w:r>
            <w:r>
              <w:rPr>
                <w:color w:val="000000"/>
              </w:rPr>
              <w:t>2031</w:t>
            </w:r>
            <w:r w:rsidRPr="004C09CE">
              <w:rPr>
                <w:color w:val="000000"/>
                <w:rtl/>
              </w:rPr>
              <w:t xml:space="preserve"> (CWG-SFP) منذ أن أنشأه المجلس في عام 2024، وتعرض المشروعين المقترحين للخطتين الاستراتيجية والمالية للاتحاد للفترة </w:t>
            </w:r>
            <w:r>
              <w:rPr>
                <w:color w:val="000000"/>
              </w:rPr>
              <w:t>2028</w:t>
            </w:r>
            <w:r w:rsidRPr="004C09CE">
              <w:rPr>
                <w:color w:val="000000"/>
                <w:rtl/>
              </w:rPr>
              <w:t>-</w:t>
            </w:r>
            <w:r>
              <w:rPr>
                <w:color w:val="000000"/>
              </w:rPr>
              <w:t>2031</w:t>
            </w:r>
            <w:r w:rsidRPr="004C09CE">
              <w:rPr>
                <w:color w:val="000000"/>
                <w:rtl/>
              </w:rPr>
              <w:t>.</w:t>
            </w:r>
          </w:p>
          <w:p w14:paraId="61603D51" w14:textId="77777777" w:rsidR="007B0AA0" w:rsidRPr="007B0AA0" w:rsidRDefault="007B0AA0" w:rsidP="007B0AA0">
            <w:pPr>
              <w:rPr>
                <w:b/>
                <w:bCs/>
                <w:rtl/>
              </w:rPr>
            </w:pPr>
            <w:r w:rsidRPr="007B0AA0">
              <w:rPr>
                <w:rFonts w:hint="cs"/>
                <w:b/>
                <w:bCs/>
                <w:rtl/>
              </w:rPr>
              <w:t>الإجراء المطلوب من المجلس</w:t>
            </w:r>
          </w:p>
          <w:p w14:paraId="441D418A" w14:textId="0BDEA80F" w:rsidR="007B0AA0" w:rsidRPr="004C09CE" w:rsidRDefault="004C09CE" w:rsidP="004C09CE">
            <w:pPr>
              <w:rPr>
                <w:rtl/>
                <w:lang w:val="ar-SA" w:eastAsia="zh-TW" w:bidi="en-GB"/>
              </w:rPr>
            </w:pPr>
            <w:r w:rsidRPr="004C09CE">
              <w:rPr>
                <w:color w:val="000000"/>
                <w:rtl/>
              </w:rPr>
              <w:t xml:space="preserve">يُدعى المجلس إلى </w:t>
            </w:r>
            <w:r w:rsidRPr="004C09CE">
              <w:rPr>
                <w:b/>
                <w:bCs/>
                <w:color w:val="000000"/>
                <w:rtl/>
              </w:rPr>
              <w:t xml:space="preserve">استعراض </w:t>
            </w:r>
            <w:r w:rsidRPr="004C09CE">
              <w:rPr>
                <w:color w:val="000000"/>
                <w:rtl/>
              </w:rPr>
              <w:t xml:space="preserve">مشروعي الخطتين الاستراتيجية والمالية المقترحتين للفترة </w:t>
            </w:r>
            <w:r>
              <w:rPr>
                <w:color w:val="000000"/>
              </w:rPr>
              <w:t>2028</w:t>
            </w:r>
            <w:r w:rsidRPr="004C09CE">
              <w:rPr>
                <w:color w:val="000000"/>
                <w:rtl/>
              </w:rPr>
              <w:t>-</w:t>
            </w:r>
            <w:r>
              <w:rPr>
                <w:color w:val="000000"/>
              </w:rPr>
              <w:t>2031</w:t>
            </w:r>
            <w:r w:rsidRPr="004C09CE">
              <w:rPr>
                <w:color w:val="000000"/>
                <w:rtl/>
              </w:rPr>
              <w:t xml:space="preserve"> </w:t>
            </w:r>
            <w:r w:rsidRPr="004C09CE">
              <w:rPr>
                <w:b/>
                <w:bCs/>
                <w:color w:val="000000"/>
                <w:rtl/>
              </w:rPr>
              <w:t>وإقرارهما</w:t>
            </w:r>
            <w:r w:rsidRPr="004C09CE">
              <w:rPr>
                <w:color w:val="000000"/>
                <w:rtl/>
              </w:rPr>
              <w:t xml:space="preserve"> وإحالتهما إلى مؤتمر المندوبين المفوضين لعام</w:t>
            </w:r>
            <w:r w:rsidR="0092661D">
              <w:rPr>
                <w:rFonts w:hint="cs"/>
                <w:color w:val="000000"/>
                <w:rtl/>
              </w:rPr>
              <w:t xml:space="preserve"> </w:t>
            </w:r>
            <w:r w:rsidR="0092661D">
              <w:rPr>
                <w:color w:val="000000"/>
              </w:rPr>
              <w:t>2026</w:t>
            </w:r>
            <w:r w:rsidR="0092661D">
              <w:rPr>
                <w:rFonts w:hint="cs"/>
                <w:color w:val="000000"/>
                <w:rtl/>
                <w:lang w:bidi="ar-EG"/>
              </w:rPr>
              <w:t xml:space="preserve"> </w:t>
            </w:r>
            <w:r w:rsidR="0092661D">
              <w:rPr>
                <w:color w:val="000000"/>
                <w:lang w:bidi="ar-EG"/>
              </w:rPr>
              <w:t>(PP-26)</w:t>
            </w:r>
            <w:r w:rsidR="0092661D" w:rsidRPr="004C09CE">
              <w:rPr>
                <w:rStyle w:val="FootnoteReference"/>
                <w:rtl/>
              </w:rPr>
              <w:footnoteReference w:customMarkFollows="1" w:id="1"/>
              <w:t>1</w:t>
            </w:r>
            <w:r w:rsidR="0092661D">
              <w:rPr>
                <w:rFonts w:hint="cs"/>
                <w:rtl/>
              </w:rPr>
              <w:t>.</w:t>
            </w:r>
          </w:p>
          <w:p w14:paraId="3168214D"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02D25C78" w14:textId="0298AE07" w:rsidR="007B0AA0" w:rsidRPr="004C09CE" w:rsidRDefault="004C09CE" w:rsidP="004C09CE">
            <w:pPr>
              <w:rPr>
                <w:rtl/>
                <w:lang w:val="ar-SA" w:eastAsia="zh-TW" w:bidi="en-GB"/>
              </w:rPr>
            </w:pPr>
            <w:r w:rsidRPr="004C09CE">
              <w:rPr>
                <w:color w:val="000000"/>
                <w:rtl/>
              </w:rPr>
              <w:t>الخطتان الاستراتيجية والمالية للفترة 2028-2031</w:t>
            </w:r>
          </w:p>
          <w:p w14:paraId="5B3224BC" w14:textId="77777777" w:rsidR="007B0AA0" w:rsidRDefault="007B0AA0" w:rsidP="00B97F32">
            <w:pPr>
              <w:rPr>
                <w:b/>
                <w:bCs/>
              </w:rPr>
            </w:pPr>
            <w:r w:rsidRPr="007B0AA0">
              <w:rPr>
                <w:rFonts w:hint="cs"/>
                <w:b/>
                <w:bCs/>
                <w:rtl/>
              </w:rPr>
              <w:t>الآثار المالية</w:t>
            </w:r>
          </w:p>
          <w:p w14:paraId="2DB82288" w14:textId="06793223" w:rsidR="006F363C" w:rsidRPr="004C09CE" w:rsidRDefault="004C09CE" w:rsidP="007B0AA0">
            <w:pPr>
              <w:rPr>
                <w:rtl/>
              </w:rPr>
            </w:pPr>
            <w:r w:rsidRPr="004C09CE">
              <w:rPr>
                <w:color w:val="000000"/>
                <w:rtl/>
              </w:rPr>
              <w:t xml:space="preserve">انظر مشروع الخطة المالية في الوثيقة </w:t>
            </w:r>
            <w:hyperlink r:id="rId8" w:history="1">
              <w:r w:rsidRPr="004818DE">
                <w:rPr>
                  <w:rStyle w:val="Hyperlink"/>
                  <w:noProof w:val="0"/>
                  <w:rtl/>
                  <w:lang w:val="en-US" w:eastAsia="zh-CN"/>
                </w:rPr>
                <w:t>C26/32</w:t>
              </w:r>
            </w:hyperlink>
          </w:p>
          <w:p w14:paraId="0C118AE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0AB569" w14:textId="77777777" w:rsidR="007B0AA0" w:rsidRPr="004C09CE" w:rsidRDefault="007B0AA0" w:rsidP="007B0AA0">
            <w:pPr>
              <w:rPr>
                <w:b/>
                <w:bCs/>
                <w:rtl/>
              </w:rPr>
            </w:pPr>
            <w:r w:rsidRPr="007B0AA0">
              <w:rPr>
                <w:rFonts w:hint="cs"/>
                <w:b/>
                <w:bCs/>
                <w:rtl/>
              </w:rPr>
              <w:t>المراجع</w:t>
            </w:r>
          </w:p>
          <w:p w14:paraId="6DDE296D" w14:textId="550C70E9" w:rsidR="007B0AA0" w:rsidRPr="005546CF" w:rsidRDefault="004C09CE" w:rsidP="007B0AA0">
            <w:pPr>
              <w:rPr>
                <w:i/>
                <w:iCs/>
                <w:rtl/>
              </w:rPr>
            </w:pPr>
            <w:hyperlink r:id="rId9" w:history="1">
              <w:r w:rsidRPr="004818DE">
                <w:rPr>
                  <w:rStyle w:val="Hyperlink"/>
                  <w:i/>
                  <w:iCs/>
                  <w:noProof w:val="0"/>
                  <w:rtl/>
                  <w:lang w:val="en-US" w:eastAsia="zh-CN"/>
                </w:rPr>
                <w:t>القرار 71 (المُراجَع في بوخارست، 2022)</w:t>
              </w:r>
            </w:hyperlink>
            <w:r w:rsidRPr="004C09CE">
              <w:rPr>
                <w:i/>
                <w:iCs/>
                <w:color w:val="000000"/>
                <w:rtl/>
              </w:rPr>
              <w:t xml:space="preserve">، قرار المجلس </w:t>
            </w:r>
            <w:hyperlink r:id="rId10" w:history="1">
              <w:r w:rsidRPr="004818DE">
                <w:rPr>
                  <w:rStyle w:val="Hyperlink"/>
                  <w:i/>
                  <w:iCs/>
                  <w:noProof w:val="0"/>
                  <w:rtl/>
                  <w:lang w:val="en-US" w:eastAsia="zh-CN"/>
                </w:rPr>
                <w:t>1428 (C24)</w:t>
              </w:r>
            </w:hyperlink>
          </w:p>
        </w:tc>
      </w:tr>
    </w:tbl>
    <w:p w14:paraId="2A67675D" w14:textId="77777777" w:rsidR="00E61BE8" w:rsidRDefault="00E61BE8" w:rsidP="00E61BE8">
      <w:pPr>
        <w:rPr>
          <w:rtl/>
          <w:lang w:bidi="ar-EG"/>
        </w:rPr>
      </w:pPr>
    </w:p>
    <w:p w14:paraId="5BF5130E" w14:textId="77777777" w:rsidR="00F50E3F" w:rsidRDefault="00F50E3F" w:rsidP="0043260A">
      <w:pPr>
        <w:rPr>
          <w:rtl/>
          <w:lang w:bidi="ar-EG"/>
        </w:rPr>
      </w:pPr>
      <w:r>
        <w:rPr>
          <w:rtl/>
          <w:lang w:bidi="ar-EG"/>
        </w:rPr>
        <w:br w:type="page"/>
      </w:r>
    </w:p>
    <w:p w14:paraId="2CB1CEBD" w14:textId="77777777" w:rsidR="004C09CE" w:rsidRDefault="004C09CE" w:rsidP="004818DE">
      <w:pPr>
        <w:pStyle w:val="Headingb0"/>
        <w:rPr>
          <w:rtl/>
        </w:rPr>
      </w:pPr>
      <w:r w:rsidRPr="009666E7">
        <w:rPr>
          <w:rtl/>
        </w:rPr>
        <w:lastRenderedPageBreak/>
        <w:t>مقدمة</w:t>
      </w:r>
    </w:p>
    <w:p w14:paraId="063C2789" w14:textId="7F90B6B4" w:rsidR="004C09CE" w:rsidRPr="009666E7" w:rsidRDefault="004C09CE" w:rsidP="004818DE">
      <w:pPr>
        <w:rPr>
          <w:lang w:val="ar-SA" w:eastAsia="zh-TW" w:bidi="en-GB"/>
        </w:rPr>
      </w:pPr>
      <w:r w:rsidRPr="009666E7">
        <w:rPr>
          <w:rtl/>
        </w:rPr>
        <w:t xml:space="preserve">اعتمد المجلس في دورته لعام 2024 القرار 1428 (C24) الذي أنشأ بموجبه فريق العمل التابع للمجلس والمعني بالخطتين الاستراتيجية والمالية للفترة </w:t>
      </w:r>
      <w:r w:rsidR="004818DE">
        <w:t>2028</w:t>
      </w:r>
      <w:r w:rsidRPr="009666E7">
        <w:rPr>
          <w:rtl/>
        </w:rPr>
        <w:t>-</w:t>
      </w:r>
      <w:r w:rsidR="004818DE">
        <w:t>2031</w:t>
      </w:r>
      <w:r w:rsidRPr="009666E7">
        <w:rPr>
          <w:rtl/>
        </w:rPr>
        <w:t xml:space="preserve"> (CWG-SFP). ويتضمن القرار اختصاصات الفريق.</w:t>
      </w:r>
    </w:p>
    <w:p w14:paraId="4CC5578F" w14:textId="6DBE06A8" w:rsidR="004C09CE" w:rsidRPr="009666E7" w:rsidRDefault="004C09CE" w:rsidP="004818DE">
      <w:pPr>
        <w:rPr>
          <w:lang w:val="ar-SA" w:eastAsia="zh-TW" w:bidi="en-GB"/>
        </w:rPr>
      </w:pPr>
      <w:r w:rsidRPr="009666E7">
        <w:rPr>
          <w:rtl/>
        </w:rPr>
        <w:t>ويرأس السيد منصور القرشي (المملكة العربية السعودية) الفريق الذي يتألف من نواب الرئيس التالية أسماؤهم: السيد موليمبوا دينيس موناكو (تنزانيا)، والسيد كينجي كوراموشي (باراغواي)، والسيدة ميثاء الجمري (الإمارات العربية المتحدة)، والسيد يي لون (الصين)، والسيد باختيان سمانوف (أوزبكستان)، والسيد رافال بارتوشيفسكي (بولندا).</w:t>
      </w:r>
    </w:p>
    <w:p w14:paraId="49BCE9E8" w14:textId="77777777" w:rsidR="004C09CE" w:rsidRPr="004818DE" w:rsidRDefault="004C09CE" w:rsidP="004818DE">
      <w:pPr>
        <w:rPr>
          <w:spacing w:val="2"/>
          <w:lang w:val="ar-SA" w:eastAsia="zh-TW" w:bidi="en-GB"/>
        </w:rPr>
      </w:pPr>
      <w:r w:rsidRPr="004818DE">
        <w:rPr>
          <w:spacing w:val="2"/>
          <w:rtl/>
        </w:rPr>
        <w:t xml:space="preserve">وتقدم شعبة الاستراتيجية والتخطيط في دائرة التخطيط الاستراتيجي وشؤون الأعضاء </w:t>
      </w:r>
      <w:r w:rsidRPr="004818DE">
        <w:rPr>
          <w:spacing w:val="2"/>
        </w:rPr>
        <w:t>(GS/SPM/SPD)</w:t>
      </w:r>
      <w:r w:rsidRPr="004818DE">
        <w:rPr>
          <w:spacing w:val="2"/>
          <w:rtl/>
        </w:rPr>
        <w:t xml:space="preserve"> دعم الأمانة لعمل الفريق. وقد أعدت مدخلات الأمانة في العملية بالتنسيق مع المكاتب الثلاثة والأمانة العامة من خلال فريق العمل المعني بالتخطيط الاستراتيجي والمالي </w:t>
      </w:r>
      <w:r w:rsidRPr="004818DE">
        <w:rPr>
          <w:spacing w:val="2"/>
        </w:rPr>
        <w:t>(SFP-WG)</w:t>
      </w:r>
      <w:r w:rsidRPr="004818DE">
        <w:rPr>
          <w:spacing w:val="2"/>
          <w:rtl/>
        </w:rPr>
        <w:t xml:space="preserve"> الشامل للقطاعات، تحت قيادة نائب الأمين العام، السيد توماس لامانوسكاس.</w:t>
      </w:r>
    </w:p>
    <w:p w14:paraId="6F6644C4" w14:textId="77777777" w:rsidR="004C09CE" w:rsidRPr="009666E7" w:rsidRDefault="004C09CE" w:rsidP="004818DE">
      <w:pPr>
        <w:rPr>
          <w:lang w:val="ar-SA" w:eastAsia="zh-TW" w:bidi="en-GB"/>
        </w:rPr>
      </w:pPr>
      <w:r w:rsidRPr="009666E7">
        <w:rPr>
          <w:rtl/>
        </w:rPr>
        <w:t>وقد اجتمع الفريق، الذي تتاح المشاركة في عضويته أمام جميع الدول الأعضاء وأعضاء القطاعات، منذ إنشائه أربع مرات، حي</w:t>
      </w:r>
      <w:r>
        <w:rPr>
          <w:rtl/>
        </w:rPr>
        <w:t xml:space="preserve">ث </w:t>
      </w:r>
      <w:r w:rsidRPr="009666E7">
        <w:rPr>
          <w:rtl/>
        </w:rPr>
        <w:t>ع</w:t>
      </w:r>
      <w:r>
        <w:rPr>
          <w:rtl/>
        </w:rPr>
        <w:t>ُ</w:t>
      </w:r>
      <w:r w:rsidRPr="009666E7">
        <w:rPr>
          <w:rtl/>
        </w:rPr>
        <w:t>ق</w:t>
      </w:r>
      <w:r>
        <w:rPr>
          <w:rtl/>
        </w:rPr>
        <w:t>ِ</w:t>
      </w:r>
      <w:r w:rsidRPr="009666E7">
        <w:rPr>
          <w:rtl/>
        </w:rPr>
        <w:t>د اجتماعه الخامس بالتعاقب مع دورة المجلس لعام 2026، في 27 أبريل 2026.</w:t>
      </w:r>
    </w:p>
    <w:p w14:paraId="41690B17" w14:textId="77777777" w:rsidR="004C09CE" w:rsidRPr="009666E7" w:rsidRDefault="004C09CE" w:rsidP="00303A76">
      <w:pPr>
        <w:pStyle w:val="Headingb0"/>
        <w:spacing w:before="240"/>
        <w:rPr>
          <w:lang w:val="ar-SA" w:eastAsia="zh-TW" w:bidi="en-GB"/>
        </w:rPr>
      </w:pPr>
      <w:r w:rsidRPr="009666E7">
        <w:rPr>
          <w:rtl/>
        </w:rPr>
        <w:t>الاجتماع الأول (10-11 أكتوبر 2024)</w:t>
      </w:r>
    </w:p>
    <w:p w14:paraId="75DB3CCE" w14:textId="4D21B0F5" w:rsidR="004C09CE" w:rsidRPr="009666E7" w:rsidRDefault="004C09CE" w:rsidP="004C09CE">
      <w:pPr>
        <w:rPr>
          <w:lang w:val="ar-SA" w:eastAsia="zh-TW" w:bidi="en-GB"/>
        </w:rPr>
      </w:pPr>
      <w:r w:rsidRPr="009666E7">
        <w:rPr>
          <w:rtl/>
        </w:rPr>
        <w:t xml:space="preserve">خلال الاجتماع الأول، استعرض فريق العمل التابع للمجلس والمعني بالخطتين الاستراتيجية والمالية </w:t>
      </w:r>
      <w:r w:rsidRPr="009666E7">
        <w:t>(CWG-SFP)</w:t>
      </w:r>
      <w:r w:rsidRPr="009666E7">
        <w:rPr>
          <w:rtl/>
        </w:rPr>
        <w:t xml:space="preserve"> العملية الرسمية التي </w:t>
      </w:r>
      <w:r>
        <w:rPr>
          <w:rtl/>
        </w:rPr>
        <w:t xml:space="preserve">حُدِّدت </w:t>
      </w:r>
      <w:r w:rsidRPr="009666E7">
        <w:rPr>
          <w:rtl/>
        </w:rPr>
        <w:t>لوضع الخطتين الاستراتيجية والمالية للاتحاد واتفق على الجدول الزمني لإنجاز العمل، وفقا</w:t>
      </w:r>
      <w:r w:rsidR="00E77421">
        <w:rPr>
          <w:rFonts w:hint="cs"/>
          <w:rtl/>
        </w:rPr>
        <w:t>ً</w:t>
      </w:r>
      <w:r w:rsidRPr="009666E7">
        <w:rPr>
          <w:rtl/>
        </w:rPr>
        <w:t xml:space="preserve"> لاختصاصاته (انظر العرض الإيضاحي </w:t>
      </w:r>
      <w:hyperlink r:id="rId11" w:history="1">
        <w:r w:rsidRPr="004818DE">
          <w:rPr>
            <w:rStyle w:val="Hyperlink"/>
            <w:noProof w:val="0"/>
            <w:rtl/>
            <w:lang w:val="en-US" w:eastAsia="zh-CN"/>
          </w:rPr>
          <w:t>هنا</w:t>
        </w:r>
      </w:hyperlink>
      <w:r w:rsidRPr="009666E7">
        <w:rPr>
          <w:rtl/>
        </w:rPr>
        <w:t>).</w:t>
      </w:r>
      <w:hyperlink r:id="rId12" w:history="1"/>
    </w:p>
    <w:p w14:paraId="76B8A7AA" w14:textId="28DB4EC0" w:rsidR="004C09CE" w:rsidRPr="009666E7" w:rsidRDefault="004C09CE" w:rsidP="004C09CE">
      <w:pPr>
        <w:rPr>
          <w:lang w:val="ar-SA" w:eastAsia="zh-TW" w:bidi="en-GB"/>
        </w:rPr>
      </w:pPr>
      <w:r w:rsidRPr="00303A76">
        <w:rPr>
          <w:rtl/>
        </w:rPr>
        <w:t>واتفق الفريق على إجراء مشاورة إلكترونية لجمع تعليقات الدول الأعضاء وأعضاء القطاعات والمجلس الاستشاري للشباب والموظفين، وسلط الضوء على أهمية الحصول على مدخلات من الأفرقة الاستشارية للقطاعات. وإضافةً إلى ذلك، دُعي ممثلان عن منظمة الأمم المتحدة للتربية والعلم والثقافة (</w:t>
      </w:r>
      <w:r w:rsidR="00303A76">
        <w:t>UNESCO</w:t>
      </w:r>
      <w:r w:rsidRPr="00303A76">
        <w:rPr>
          <w:rtl/>
        </w:rPr>
        <w:t>) ومنظمة الأمم المتحدة للتنمية الصناعية (</w:t>
      </w:r>
      <w:r w:rsidR="004818DE" w:rsidRPr="00303A76">
        <w:t>UNIDO</w:t>
      </w:r>
      <w:r w:rsidRPr="00303A76">
        <w:rPr>
          <w:rtl/>
        </w:rPr>
        <w:t xml:space="preserve">) إلى عرض خبراتهما في مجال التخطيط الاستراتيجي، مع التركيز على تحسين عمليات الإدارة القائمة على النتائج </w:t>
      </w:r>
      <w:r w:rsidRPr="00303A76">
        <w:t>(RBM)</w:t>
      </w:r>
      <w:r w:rsidRPr="00303A76">
        <w:rPr>
          <w:rtl/>
        </w:rPr>
        <w:t xml:space="preserve"> (انظر العرض الإيضاحي </w:t>
      </w:r>
      <w:hyperlink r:id="rId13" w:history="1">
        <w:r w:rsidRPr="00303A76">
          <w:rPr>
            <w:rStyle w:val="Hyperlink"/>
            <w:noProof w:val="0"/>
            <w:rtl/>
            <w:lang w:val="en-US" w:eastAsia="zh-CN"/>
          </w:rPr>
          <w:t>هنا</w:t>
        </w:r>
      </w:hyperlink>
      <w:r w:rsidRPr="00303A76">
        <w:rPr>
          <w:rtl/>
        </w:rPr>
        <w:t>).</w:t>
      </w:r>
      <w:hyperlink r:id="rId14"/>
    </w:p>
    <w:p w14:paraId="25051647" w14:textId="39FCEE2C" w:rsidR="004C09CE" w:rsidRPr="009666E7" w:rsidRDefault="004C09CE" w:rsidP="004C09CE">
      <w:pPr>
        <w:rPr>
          <w:lang w:val="ar-SA" w:eastAsia="zh-TW" w:bidi="en-GB"/>
        </w:rPr>
      </w:pPr>
      <w:r w:rsidRPr="009666E7">
        <w:rPr>
          <w:rtl/>
        </w:rPr>
        <w:t xml:space="preserve">وفيما يتعلق بتقييم المبلغ المبدئي لوحدة المساهمة، اقترح الفريق عقد جلسة افتراضية للمتابعة بعد مناقشة مساهمة أولية من الأمانة تعرض الوضع المالي للاتحاد (انظر الوثيقة </w:t>
      </w:r>
      <w:hyperlink r:id="rId15" w:history="1">
        <w:r w:rsidRPr="004818DE">
          <w:rPr>
            <w:rStyle w:val="Hyperlink"/>
            <w:noProof w:val="0"/>
            <w:rtl/>
            <w:lang w:val="en-US" w:eastAsia="zh-CN"/>
          </w:rPr>
          <w:t>CWG-SFP-1/5</w:t>
        </w:r>
      </w:hyperlink>
      <w:r w:rsidR="004818DE">
        <w:t>(</w:t>
      </w:r>
      <w:r w:rsidRPr="009666E7">
        <w:rPr>
          <w:rtl/>
        </w:rPr>
        <w:t>.</w:t>
      </w:r>
      <w:hyperlink r:id="rId16" w:history="1"/>
    </w:p>
    <w:p w14:paraId="4F345C76" w14:textId="3A1FF71B" w:rsidR="004C09CE" w:rsidRPr="006363BA" w:rsidRDefault="004C09CE" w:rsidP="006363BA">
      <w:pPr>
        <w:rPr>
          <w:spacing w:val="-4"/>
        </w:rPr>
      </w:pPr>
      <w:r w:rsidRPr="006363BA">
        <w:rPr>
          <w:spacing w:val="-4"/>
          <w:rtl/>
        </w:rPr>
        <w:t>وورد ما مجموعه ثلاث مساهمات ونُظِر فيها في هذا الاجتماع، وهي</w:t>
      </w:r>
      <w:r w:rsidRPr="006363BA">
        <w:rPr>
          <w:spacing w:val="-4"/>
        </w:rPr>
        <w:t>:</w:t>
      </w:r>
      <w:r w:rsidRPr="006363BA">
        <w:rPr>
          <w:spacing w:val="-4"/>
          <w:rtl/>
        </w:rPr>
        <w:t xml:space="preserve"> </w:t>
      </w:r>
      <w:hyperlink r:id="rId17" w:history="1">
        <w:r w:rsidRPr="006363BA">
          <w:rPr>
            <w:rStyle w:val="Hyperlink"/>
            <w:noProof w:val="0"/>
            <w:spacing w:val="-4"/>
            <w:rtl/>
            <w:lang w:val="en-US" w:eastAsia="zh-CN"/>
          </w:rPr>
          <w:t>CWG-SFP-1/6</w:t>
        </w:r>
      </w:hyperlink>
      <w:r w:rsidRPr="006363BA">
        <w:rPr>
          <w:spacing w:val="-4"/>
          <w:rtl/>
        </w:rPr>
        <w:t xml:space="preserve"> و</w:t>
      </w:r>
      <w:hyperlink r:id="rId18" w:history="1">
        <w:r w:rsidRPr="006363BA">
          <w:rPr>
            <w:rStyle w:val="Hyperlink"/>
            <w:noProof w:val="0"/>
            <w:spacing w:val="-4"/>
            <w:rtl/>
            <w:lang w:val="en-US" w:eastAsia="zh-CN"/>
          </w:rPr>
          <w:t>CWG-SFP-1/7</w:t>
        </w:r>
      </w:hyperlink>
      <w:r w:rsidRPr="006363BA">
        <w:rPr>
          <w:spacing w:val="-4"/>
          <w:rtl/>
        </w:rPr>
        <w:t xml:space="preserve"> </w:t>
      </w:r>
      <w:r w:rsidR="006363BA" w:rsidRPr="006363BA">
        <w:rPr>
          <w:rFonts w:hint="cs"/>
          <w:spacing w:val="-4"/>
          <w:rtl/>
        </w:rPr>
        <w:t>و</w:t>
      </w:r>
      <w:hyperlink r:id="rId19" w:history="1">
        <w:r w:rsidR="006363BA" w:rsidRPr="006363BA">
          <w:rPr>
            <w:rStyle w:val="Hyperlink"/>
            <w:noProof w:val="0"/>
            <w:spacing w:val="-4"/>
            <w:rtl/>
            <w:lang w:val="en-US" w:eastAsia="zh-CN"/>
          </w:rPr>
          <w:t>CWG-SFP-1/8</w:t>
        </w:r>
      </w:hyperlink>
      <w:r w:rsidRPr="009666E7">
        <w:rPr>
          <w:rtl/>
        </w:rPr>
        <w:t>.</w:t>
      </w:r>
      <w:bookmarkStart w:id="0" w:name="_Hlk221702015"/>
      <w:bookmarkEnd w:id="0"/>
      <w:r w:rsidRPr="009666E7">
        <w:fldChar w:fldCharType="begin"/>
      </w:r>
      <w:r w:rsidRPr="009666E7">
        <w:instrText>HYPERLINK "https://www.itu.int/md/S24-CWGSFP1-C-0007/en"</w:instrText>
      </w:r>
      <w:r w:rsidRPr="009666E7">
        <w:fldChar w:fldCharType="separate"/>
      </w:r>
      <w:r w:rsidRPr="009666E7">
        <w:fldChar w:fldCharType="end"/>
      </w:r>
      <w:hyperlink r:id="rId20" w:history="1"/>
    </w:p>
    <w:p w14:paraId="26CBFD53" w14:textId="77777777" w:rsidR="004C09CE" w:rsidRPr="009666E7" w:rsidRDefault="004C09CE" w:rsidP="00DC6769">
      <w:pPr>
        <w:pStyle w:val="Headingb0"/>
        <w:spacing w:before="240"/>
        <w:rPr>
          <w:lang w:val="ar-SA" w:eastAsia="zh-TW" w:bidi="en-GB"/>
        </w:rPr>
      </w:pPr>
      <w:r w:rsidRPr="009666E7">
        <w:rPr>
          <w:rtl/>
        </w:rPr>
        <w:t>المشاورة الافتراضية (15 يناير 2025)</w:t>
      </w:r>
    </w:p>
    <w:p w14:paraId="7AC2268D" w14:textId="77FFDC98" w:rsidR="004C09CE" w:rsidRPr="009666E7" w:rsidRDefault="004C09CE" w:rsidP="004C09CE">
      <w:pPr>
        <w:rPr>
          <w:lang w:val="ar-SA" w:eastAsia="zh-TW" w:bidi="en-GB"/>
        </w:rPr>
      </w:pPr>
      <w:r w:rsidRPr="009666E7">
        <w:rPr>
          <w:rtl/>
        </w:rPr>
        <w:t>بناء</w:t>
      </w:r>
      <w:r w:rsidR="00DC6769">
        <w:rPr>
          <w:rFonts w:hint="cs"/>
          <w:rtl/>
        </w:rPr>
        <w:t>ً</w:t>
      </w:r>
      <w:r w:rsidRPr="009666E7">
        <w:rPr>
          <w:rtl/>
        </w:rPr>
        <w:t xml:space="preserve"> على طلب فريق العمل التابع للمجلس والمعني بالخطتين الاستراتيجية والمالية </w:t>
      </w:r>
      <w:r w:rsidRPr="009666E7">
        <w:t>(CWG-SFP)</w:t>
      </w:r>
      <w:r w:rsidRPr="009666E7">
        <w:rPr>
          <w:rtl/>
        </w:rPr>
        <w:t xml:space="preserve">، عقد اجتماع افتراضي في 15 يناير 2025 لمواصلة مناقشة التقييم </w:t>
      </w:r>
      <w:r>
        <w:rPr>
          <w:rtl/>
        </w:rPr>
        <w:t>الأولي</w:t>
      </w:r>
      <w:r w:rsidRPr="009666E7">
        <w:rPr>
          <w:rtl/>
        </w:rPr>
        <w:t xml:space="preserve"> للمبلغ المبدئي لوحدة المساهمة، نظمته دائرة الشؤون الإدارية والمالية. والعرض الإيضاحي متاح </w:t>
      </w:r>
      <w:hyperlink r:id="rId21" w:history="1">
        <w:r w:rsidRPr="006363BA">
          <w:rPr>
            <w:rStyle w:val="Hyperlink"/>
            <w:noProof w:val="0"/>
            <w:rtl/>
            <w:lang w:val="en-US" w:eastAsia="zh-CN"/>
          </w:rPr>
          <w:t>هنا</w:t>
        </w:r>
      </w:hyperlink>
      <w:r w:rsidRPr="009666E7">
        <w:rPr>
          <w:rtl/>
        </w:rPr>
        <w:t>.</w:t>
      </w:r>
      <w:hyperlink r:id="rId22" w:history="1"/>
    </w:p>
    <w:p w14:paraId="054DE16B" w14:textId="77777777" w:rsidR="004C09CE" w:rsidRPr="009666E7" w:rsidRDefault="004C09CE" w:rsidP="00DC6769">
      <w:pPr>
        <w:pStyle w:val="Headingb0"/>
        <w:spacing w:before="240"/>
        <w:rPr>
          <w:lang w:val="ar-SA" w:eastAsia="zh-TW" w:bidi="en-GB"/>
        </w:rPr>
      </w:pPr>
      <w:r w:rsidRPr="009666E7">
        <w:rPr>
          <w:rtl/>
        </w:rPr>
        <w:t xml:space="preserve">الاجتماع الثاني (20-21 فبراير 2025) </w:t>
      </w:r>
    </w:p>
    <w:p w14:paraId="17CD7275" w14:textId="2D417C51" w:rsidR="004C09CE" w:rsidRPr="009666E7" w:rsidRDefault="004C09CE" w:rsidP="004C09CE">
      <w:pPr>
        <w:rPr>
          <w:lang w:val="ar-SA" w:eastAsia="zh-TW" w:bidi="en-GB"/>
        </w:rPr>
      </w:pPr>
      <w:r w:rsidRPr="009666E7">
        <w:rPr>
          <w:rtl/>
        </w:rPr>
        <w:t xml:space="preserve">استعرض فريق العمل التابع للمجلس والمعني بالخطتين الاستراتيجية والمالية </w:t>
      </w:r>
      <w:r w:rsidRPr="009666E7">
        <w:t>(CWG-SFP)</w:t>
      </w:r>
      <w:r w:rsidRPr="009666E7">
        <w:rPr>
          <w:rtl/>
        </w:rPr>
        <w:t xml:space="preserve"> خلال اجتماعه الثاني نتائج المشاورة الإلكترونية التي أجريت في الفترة من 25 أكتوبر إلى 4 ديسمبر 2024 (انظر الوثيقتين </w:t>
      </w:r>
      <w:hyperlink r:id="rId23" w:history="1">
        <w:r w:rsidRPr="006363BA">
          <w:rPr>
            <w:rStyle w:val="Hyperlink"/>
            <w:noProof w:val="0"/>
            <w:rtl/>
            <w:lang w:val="en-US" w:eastAsia="zh-CN"/>
          </w:rPr>
          <w:t>CWG-SFP-2/2</w:t>
        </w:r>
      </w:hyperlink>
      <w:r w:rsidRPr="009666E7">
        <w:rPr>
          <w:rtl/>
        </w:rPr>
        <w:t xml:space="preserve"> و</w:t>
      </w:r>
      <w:hyperlink r:id="rId24" w:history="1">
        <w:r w:rsidRPr="006363BA">
          <w:rPr>
            <w:rStyle w:val="Hyperlink"/>
            <w:noProof w:val="0"/>
            <w:rtl/>
            <w:lang w:val="en-US" w:eastAsia="zh-CN"/>
          </w:rPr>
          <w:t>CWG-SFP-2/INF/2</w:t>
        </w:r>
      </w:hyperlink>
      <w:r w:rsidRPr="009666E7">
        <w:rPr>
          <w:rtl/>
        </w:rPr>
        <w:t>) واتُفق على أهمية تعزيز الروابط والمواءمة بين الخطتين الاستراتيجية والمالية، ولا</w:t>
      </w:r>
      <w:r w:rsidR="006363BA">
        <w:rPr>
          <w:rFonts w:hint="cs"/>
          <w:rtl/>
        </w:rPr>
        <w:t> </w:t>
      </w:r>
      <w:r w:rsidRPr="009666E7">
        <w:rPr>
          <w:rtl/>
        </w:rPr>
        <w:t>سيما من خلال تنفيذ نهج الإدارة القائمة على النتائج.</w:t>
      </w:r>
      <w:hyperlink r:id="rId25" w:history="1"/>
      <w:hyperlink r:id="rId26" w:history="1"/>
    </w:p>
    <w:p w14:paraId="3FACA8E7" w14:textId="1CB6E4E1" w:rsidR="004C09CE" w:rsidRPr="009666E7" w:rsidRDefault="004C09CE" w:rsidP="004C09CE">
      <w:pPr>
        <w:rPr>
          <w:lang w:val="ar-SA" w:eastAsia="zh-TW" w:bidi="en-GB"/>
        </w:rPr>
      </w:pPr>
      <w:r w:rsidRPr="009666E7">
        <w:rPr>
          <w:rtl/>
        </w:rPr>
        <w:t xml:space="preserve">وجمعت جلسة تفاعلية مدخلات لوضع مشروع تحليل الحالة (الملحق 2 بالقرار 71). ونشرت نتائج جلسة الأسئلة والأجوبة في الوثيقة </w:t>
      </w:r>
      <w:hyperlink r:id="rId27" w:history="1">
        <w:r w:rsidRPr="006363BA">
          <w:rPr>
            <w:rStyle w:val="Hyperlink"/>
            <w:noProof w:val="0"/>
            <w:rtl/>
            <w:lang w:val="en-US" w:eastAsia="zh-CN"/>
          </w:rPr>
          <w:t>CWG-SFP-2/INF/5</w:t>
        </w:r>
      </w:hyperlink>
      <w:r w:rsidRPr="009666E7">
        <w:rPr>
          <w:rtl/>
        </w:rPr>
        <w:t>.</w:t>
      </w:r>
      <w:hyperlink r:id="rId28" w:history="1"/>
    </w:p>
    <w:p w14:paraId="5DD87ACF" w14:textId="208E74EE" w:rsidR="004C09CE" w:rsidRPr="006363BA" w:rsidRDefault="004C09CE" w:rsidP="004C09CE">
      <w:pPr>
        <w:rPr>
          <w:spacing w:val="4"/>
          <w:lang w:val="ar-SA" w:eastAsia="zh-TW" w:bidi="en-GB"/>
        </w:rPr>
      </w:pPr>
      <w:r w:rsidRPr="009666E7">
        <w:rPr>
          <w:rtl/>
        </w:rPr>
        <w:t xml:space="preserve">وفيما يتعلق بتقييم المبلغ المبدئي لوحدة المساهمة، عرضت الأمانة الوثيقة </w:t>
      </w:r>
      <w:hyperlink r:id="rId29" w:history="1">
        <w:r w:rsidRPr="006363BA">
          <w:rPr>
            <w:rStyle w:val="Hyperlink"/>
            <w:noProof w:val="0"/>
            <w:rtl/>
            <w:lang w:val="en-US" w:eastAsia="zh-CN"/>
          </w:rPr>
          <w:t>CWG-SFP-2/7</w:t>
        </w:r>
      </w:hyperlink>
      <w:r w:rsidRPr="009666E7">
        <w:rPr>
          <w:rtl/>
        </w:rPr>
        <w:t>، واتفق الفريق على تقديم مزيد من المعلومات عن الوضع المالي للاتحاد وارتباطه بمبلغ وحدة المساهمة إلى دورة المجلس لعام 2025. غير أن الأعضاء أعربوا عن شواغلهم بشأن زيادة وحدة المساهمة، مشيرين إلى عدم الاستقرار الاقتصادي العالمي والقيود المالية المفروضة في بلدانهم. ووافق الفريق أيضا</w:t>
      </w:r>
      <w:r w:rsidR="00E77421">
        <w:rPr>
          <w:rFonts w:hint="cs"/>
          <w:rtl/>
        </w:rPr>
        <w:t>ً</w:t>
      </w:r>
      <w:r w:rsidRPr="009666E7">
        <w:rPr>
          <w:rtl/>
        </w:rPr>
        <w:t xml:space="preserve"> على إحالة المبادئ التوجيهية المقترحة لتنسيق نتائج مؤتمر المندوبين </w:t>
      </w:r>
      <w:r w:rsidRPr="006363BA">
        <w:rPr>
          <w:spacing w:val="4"/>
          <w:rtl/>
        </w:rPr>
        <w:lastRenderedPageBreak/>
        <w:t xml:space="preserve">المفوضين إلى دورة المجلس لعام 2025، مع التأكيد على أن هذه المبادئ التوجيهية غير إلزامية (انظر الوثيقة </w:t>
      </w:r>
      <w:hyperlink r:id="rId30" w:history="1">
        <w:r w:rsidRPr="006363BA">
          <w:rPr>
            <w:rStyle w:val="Hyperlink"/>
            <w:noProof w:val="0"/>
            <w:spacing w:val="4"/>
            <w:rtl/>
            <w:lang w:val="en-US" w:eastAsia="zh-CN"/>
          </w:rPr>
          <w:t>CWG-SFP-2/4</w:t>
        </w:r>
      </w:hyperlink>
      <w:r w:rsidR="006363BA">
        <w:rPr>
          <w:spacing w:val="4"/>
        </w:rPr>
        <w:t>(</w:t>
      </w:r>
      <w:r w:rsidRPr="006363BA">
        <w:rPr>
          <w:spacing w:val="4"/>
          <w:rtl/>
        </w:rPr>
        <w:t>. وسلط الفريق الضوء أيضاً على أهمية رصد تنفيذ قرارات/مقررات المندوبين المفوضين وعرضه على أساس منتظم، لتيسير اتخاذ قرارات مستنيرة بشأن عملية التنسيق.</w:t>
      </w:r>
      <w:hyperlink r:id="rId31" w:history="1"/>
      <w:hyperlink r:id="rId32" w:history="1"/>
    </w:p>
    <w:p w14:paraId="54EC4FAF" w14:textId="3BCFFDB0" w:rsidR="004C09CE" w:rsidRPr="006363BA" w:rsidRDefault="004C09CE" w:rsidP="004C09CE">
      <w:pPr>
        <w:rPr>
          <w:spacing w:val="-4"/>
          <w:lang w:val="ar-SA" w:eastAsia="zh-TW" w:bidi="en-GB"/>
        </w:rPr>
      </w:pPr>
      <w:r w:rsidRPr="006363BA">
        <w:rPr>
          <w:spacing w:val="-4"/>
          <w:rtl/>
        </w:rPr>
        <w:t>وإضافةً إلى ذلك، نُظِّمت ورشة عمل مدتها ثلاث ساعات بشأن التخطيط الاستراتيجي، مركزةً على تطبيق الإدارة على أساس النتائج على إطار الخطة الاستراتيجية للاتحاد، بتيسير من منظمة الأمم المتحدة للتربية والعلم والثقافة (</w:t>
      </w:r>
      <w:r w:rsidR="00617A1E">
        <w:rPr>
          <w:spacing w:val="-4"/>
        </w:rPr>
        <w:t>UNESCO</w:t>
      </w:r>
      <w:r w:rsidRPr="006363BA">
        <w:rPr>
          <w:spacing w:val="-4"/>
          <w:rtl/>
        </w:rPr>
        <w:t>) ومنظمة الأمم المتحدة للتنمية الصناعية (</w:t>
      </w:r>
      <w:r w:rsidR="006363BA" w:rsidRPr="00617A1E">
        <w:rPr>
          <w:spacing w:val="-4"/>
        </w:rPr>
        <w:t>UNIDO</w:t>
      </w:r>
      <w:r w:rsidRPr="006363BA">
        <w:rPr>
          <w:spacing w:val="-4"/>
          <w:rtl/>
        </w:rPr>
        <w:t xml:space="preserve">) (انظر الوثيقتين </w:t>
      </w:r>
      <w:hyperlink r:id="rId33" w:history="1">
        <w:r w:rsidRPr="006363BA">
          <w:rPr>
            <w:rStyle w:val="Hyperlink"/>
            <w:noProof w:val="0"/>
            <w:spacing w:val="-4"/>
            <w:rtl/>
            <w:lang w:val="en-US" w:eastAsia="zh-CN"/>
          </w:rPr>
          <w:t>CWG-SFP-2/INF/3 (Rev.1</w:t>
        </w:r>
      </w:hyperlink>
      <w:r w:rsidRPr="006363BA">
        <w:rPr>
          <w:spacing w:val="-4"/>
          <w:rtl/>
        </w:rPr>
        <w:t xml:space="preserve">) </w:t>
      </w:r>
      <w:r w:rsidR="006363BA" w:rsidRPr="006363BA">
        <w:rPr>
          <w:rFonts w:hint="cs"/>
          <w:spacing w:val="-4"/>
          <w:rtl/>
        </w:rPr>
        <w:t>و</w:t>
      </w:r>
      <w:hyperlink r:id="rId34" w:history="1">
        <w:r w:rsidRPr="006363BA">
          <w:rPr>
            <w:rStyle w:val="Hyperlink"/>
            <w:noProof w:val="0"/>
            <w:spacing w:val="-4"/>
            <w:rtl/>
            <w:lang w:val="en-US" w:eastAsia="zh-CN"/>
          </w:rPr>
          <w:t>CWG-SFP-2/INF/4</w:t>
        </w:r>
      </w:hyperlink>
      <w:r w:rsidR="006363BA" w:rsidRPr="006363BA">
        <w:rPr>
          <w:rFonts w:hint="cs"/>
          <w:spacing w:val="-4"/>
          <w:rtl/>
        </w:rPr>
        <w:t>)</w:t>
      </w:r>
      <w:r w:rsidRPr="006363BA">
        <w:rPr>
          <w:spacing w:val="-4"/>
          <w:rtl/>
        </w:rPr>
        <w:t>.</w:t>
      </w:r>
      <w:hyperlink r:id="rId35" w:history="1"/>
      <w:hyperlink r:id="rId36" w:history="1"/>
    </w:p>
    <w:p w14:paraId="08B9C96A" w14:textId="6A2BD7AE" w:rsidR="004C09CE" w:rsidRPr="009666E7" w:rsidRDefault="004C09CE" w:rsidP="004C09CE">
      <w:pPr>
        <w:rPr>
          <w:lang w:val="ar-SA" w:eastAsia="zh-TW" w:bidi="en-GB"/>
        </w:rPr>
      </w:pPr>
      <w:r w:rsidRPr="009666E7">
        <w:rPr>
          <w:rtl/>
        </w:rPr>
        <w:t>وورد ما مجموعه ست مساهمات ونُظِر فيها خلال هذا الاجتماع، وهي</w:t>
      </w:r>
      <w:r w:rsidRPr="009666E7">
        <w:t>:</w:t>
      </w:r>
      <w:r w:rsidRPr="009666E7">
        <w:rPr>
          <w:rtl/>
        </w:rPr>
        <w:t xml:space="preserve"> </w:t>
      </w:r>
      <w:hyperlink r:id="rId37" w:history="1">
        <w:r w:rsidRPr="006363BA">
          <w:rPr>
            <w:rStyle w:val="Hyperlink"/>
            <w:noProof w:val="0"/>
            <w:rtl/>
            <w:lang w:val="en-US" w:eastAsia="zh-CN"/>
          </w:rPr>
          <w:t>CWG-SFP-2/3</w:t>
        </w:r>
      </w:hyperlink>
      <w:r w:rsidRPr="009666E7">
        <w:rPr>
          <w:rtl/>
        </w:rPr>
        <w:t xml:space="preserve"> و</w:t>
      </w:r>
      <w:hyperlink r:id="rId38" w:history="1">
        <w:r w:rsidRPr="006363BA">
          <w:rPr>
            <w:rStyle w:val="Hyperlink"/>
            <w:noProof w:val="0"/>
            <w:rtl/>
            <w:lang w:val="en-US" w:eastAsia="zh-CN"/>
          </w:rPr>
          <w:t>CWG-SFP-2/5</w:t>
        </w:r>
      </w:hyperlink>
      <w:r w:rsidRPr="009666E7">
        <w:rPr>
          <w:rtl/>
        </w:rPr>
        <w:t xml:space="preserve"> </w:t>
      </w:r>
      <w:r w:rsidR="006363BA">
        <w:rPr>
          <w:rFonts w:hint="cs"/>
          <w:rtl/>
        </w:rPr>
        <w:t>و</w:t>
      </w:r>
      <w:hyperlink r:id="rId39" w:history="1">
        <w:r w:rsidRPr="006363BA">
          <w:rPr>
            <w:rStyle w:val="Hyperlink"/>
            <w:noProof w:val="0"/>
            <w:rtl/>
            <w:lang w:val="en-US" w:eastAsia="zh-CN"/>
          </w:rPr>
          <w:t>CWG-SFP-1/8</w:t>
        </w:r>
      </w:hyperlink>
      <w:r w:rsidRPr="009666E7">
        <w:rPr>
          <w:rtl/>
        </w:rPr>
        <w:t xml:space="preserve"> و</w:t>
      </w:r>
      <w:hyperlink r:id="rId40" w:history="1">
        <w:r w:rsidRPr="006363BA">
          <w:rPr>
            <w:rStyle w:val="Hyperlink"/>
            <w:noProof w:val="0"/>
            <w:rtl/>
            <w:lang w:val="en-US" w:eastAsia="zh-CN"/>
          </w:rPr>
          <w:t>CWG-SFP-2/9</w:t>
        </w:r>
      </w:hyperlink>
      <w:r w:rsidRPr="009666E7">
        <w:rPr>
          <w:rtl/>
        </w:rPr>
        <w:t xml:space="preserve"> و</w:t>
      </w:r>
      <w:hyperlink r:id="rId41" w:history="1">
        <w:r w:rsidRPr="006363BA">
          <w:rPr>
            <w:rStyle w:val="Hyperlink"/>
            <w:noProof w:val="0"/>
            <w:rtl/>
            <w:lang w:val="en-US" w:eastAsia="zh-CN"/>
          </w:rPr>
          <w:t>CWG-SFP-2/10</w:t>
        </w:r>
      </w:hyperlink>
      <w:r w:rsidRPr="009666E7">
        <w:rPr>
          <w:rtl/>
        </w:rPr>
        <w:t xml:space="preserve"> و</w:t>
      </w:r>
      <w:hyperlink r:id="rId42" w:history="1">
        <w:r w:rsidRPr="006363BA">
          <w:rPr>
            <w:rStyle w:val="Hyperlink"/>
            <w:noProof w:val="0"/>
            <w:rtl/>
            <w:lang w:val="en-US" w:eastAsia="zh-CN"/>
          </w:rPr>
          <w:t>CWG-SFP-2/11</w:t>
        </w:r>
      </w:hyperlink>
      <w:r w:rsidRPr="009666E7">
        <w:rPr>
          <w:rtl/>
        </w:rPr>
        <w:t>.</w:t>
      </w:r>
      <w:hyperlink r:id="rId43"/>
      <w:hyperlink r:id="rId44"/>
      <w:hyperlink r:id="rId45"/>
      <w:hyperlink r:id="rId46"/>
      <w:hyperlink r:id="rId47"/>
      <w:hyperlink r:id="rId48"/>
    </w:p>
    <w:p w14:paraId="5A709D01" w14:textId="77777777" w:rsidR="004C09CE" w:rsidRPr="009666E7" w:rsidRDefault="004C09CE" w:rsidP="00617A1E">
      <w:pPr>
        <w:pStyle w:val="Headingb0"/>
        <w:spacing w:before="240"/>
        <w:rPr>
          <w:lang w:val="ar-SA" w:eastAsia="zh-TW" w:bidi="en-GB"/>
        </w:rPr>
      </w:pPr>
      <w:r w:rsidRPr="009666E7">
        <w:rPr>
          <w:rtl/>
        </w:rPr>
        <w:t>الجلسة الإعلامية (23 يونيو 2025)</w:t>
      </w:r>
    </w:p>
    <w:p w14:paraId="2D4423BA" w14:textId="1428A4B5" w:rsidR="004C09CE" w:rsidRPr="009666E7" w:rsidRDefault="004C09CE" w:rsidP="004C09CE">
      <w:pPr>
        <w:rPr>
          <w:lang w:val="ar-SA" w:eastAsia="zh-TW" w:bidi="en-GB"/>
        </w:rPr>
      </w:pPr>
      <w:r w:rsidRPr="009666E7">
        <w:rPr>
          <w:rtl/>
        </w:rPr>
        <w:t>خلال دورة المجلس لعام 2025، عقدت جلسة إعلامية لإحاطة أعضاء المجلس علما</w:t>
      </w:r>
      <w:r w:rsidR="00E77421">
        <w:rPr>
          <w:rFonts w:hint="cs"/>
          <w:rtl/>
        </w:rPr>
        <w:t>ً</w:t>
      </w:r>
      <w:r w:rsidRPr="009666E7">
        <w:rPr>
          <w:rtl/>
        </w:rPr>
        <w:t xml:space="preserve"> بالجدول الزمني الذي وافق عليه فريق العمل التابع للمجلس والمعني بالخطتين الاستراتيجية والمالية </w:t>
      </w:r>
      <w:r w:rsidRPr="009666E7">
        <w:t>(CWG-SFP)</w:t>
      </w:r>
      <w:r w:rsidRPr="009666E7">
        <w:rPr>
          <w:rtl/>
        </w:rPr>
        <w:t xml:space="preserve"> والنهج الذي يتعين اتباعه في إعداد مشروعي الخطتين الاستراتيجية والمالية الجديدتين للفترة </w:t>
      </w:r>
      <w:r w:rsidR="006363BA">
        <w:rPr>
          <w:rFonts w:hint="cs"/>
          <w:rtl/>
        </w:rPr>
        <w:t>2028</w:t>
      </w:r>
      <w:r w:rsidRPr="009666E7">
        <w:rPr>
          <w:rtl/>
        </w:rPr>
        <w:t>-</w:t>
      </w:r>
      <w:r w:rsidR="006363BA">
        <w:rPr>
          <w:rFonts w:hint="cs"/>
          <w:rtl/>
        </w:rPr>
        <w:t>2031</w:t>
      </w:r>
      <w:r w:rsidRPr="009666E7">
        <w:rPr>
          <w:rtl/>
        </w:rPr>
        <w:t xml:space="preserve">. والعرض الإيضاحي متاح </w:t>
      </w:r>
      <w:hyperlink r:id="rId49" w:history="1">
        <w:r w:rsidRPr="006363BA">
          <w:rPr>
            <w:rStyle w:val="Hyperlink"/>
            <w:noProof w:val="0"/>
            <w:rtl/>
            <w:lang w:val="en-US" w:eastAsia="zh-CN"/>
          </w:rPr>
          <w:t>هنا</w:t>
        </w:r>
      </w:hyperlink>
      <w:r w:rsidRPr="009666E7">
        <w:rPr>
          <w:rtl/>
        </w:rPr>
        <w:t>.</w:t>
      </w:r>
      <w:hyperlink r:id="rId50"/>
    </w:p>
    <w:p w14:paraId="2A1B73C8" w14:textId="77777777" w:rsidR="004C09CE" w:rsidRPr="009666E7" w:rsidRDefault="004C09CE" w:rsidP="00617A1E">
      <w:pPr>
        <w:pStyle w:val="Headingb0"/>
        <w:spacing w:before="240"/>
        <w:rPr>
          <w:lang w:val="ar-SA" w:eastAsia="zh-TW" w:bidi="en-GB"/>
        </w:rPr>
      </w:pPr>
      <w:r w:rsidRPr="009666E7">
        <w:rPr>
          <w:rtl/>
        </w:rPr>
        <w:t>الاجتماع الثالث (8-9 سبتمبر 2025)</w:t>
      </w:r>
    </w:p>
    <w:p w14:paraId="7A3597FE" w14:textId="6E78BCB6" w:rsidR="004C09CE" w:rsidRPr="009666E7" w:rsidRDefault="004C09CE" w:rsidP="004C09CE">
      <w:pPr>
        <w:rPr>
          <w:lang w:val="ar-SA" w:eastAsia="zh-TW" w:bidi="en-GB"/>
        </w:rPr>
      </w:pPr>
      <w:r w:rsidRPr="009666E7">
        <w:rPr>
          <w:rtl/>
        </w:rPr>
        <w:t xml:space="preserve">استعرض فريق العمل التابع للمجلس والمعني بالخطتين الاستراتيجية والمالية </w:t>
      </w:r>
      <w:r w:rsidRPr="009666E7">
        <w:t>(CWG-SFP)</w:t>
      </w:r>
      <w:r w:rsidRPr="009666E7">
        <w:rPr>
          <w:rtl/>
        </w:rPr>
        <w:t xml:space="preserve"> خلال اجتماعه الثالث "المبادئ التوجيهية لتنسيق نتائج قرارات ومقررات مؤتمر المندوبين المفوضين" وفقا</w:t>
      </w:r>
      <w:r w:rsidR="00E27CE4">
        <w:rPr>
          <w:rFonts w:hint="cs"/>
          <w:rtl/>
        </w:rPr>
        <w:t>ً</w:t>
      </w:r>
      <w:r w:rsidRPr="009666E7">
        <w:rPr>
          <w:rtl/>
        </w:rPr>
        <w:t xml:space="preserve"> لتعليمات المجلس. واتفق على تقديم محصلة المشاورة غير الرسمية إلى دورة المجلس لعام 2026 للنظر فيها (انظر الوثيقة </w:t>
      </w:r>
      <w:hyperlink r:id="rId51" w:history="1">
        <w:r w:rsidRPr="00E27CE4">
          <w:rPr>
            <w:rStyle w:val="Hyperlink"/>
            <w:noProof w:val="0"/>
            <w:rtl/>
            <w:lang w:val="en-US" w:eastAsia="zh-CN"/>
          </w:rPr>
          <w:t>C26/INF/1</w:t>
        </w:r>
      </w:hyperlink>
      <w:r w:rsidR="00E27CE4">
        <w:rPr>
          <w:rFonts w:hint="cs"/>
          <w:rtl/>
        </w:rPr>
        <w:t>)</w:t>
      </w:r>
      <w:r w:rsidRPr="009666E7">
        <w:rPr>
          <w:rtl/>
        </w:rPr>
        <w:t>.</w:t>
      </w:r>
      <w:hyperlink r:id="rId52" w:history="1"/>
    </w:p>
    <w:p w14:paraId="7514F164" w14:textId="6620A18A" w:rsidR="004C09CE" w:rsidRPr="009666E7" w:rsidRDefault="004C09CE" w:rsidP="004C09CE">
      <w:pPr>
        <w:rPr>
          <w:lang w:val="ar-SA" w:eastAsia="zh-TW" w:bidi="en-GB"/>
        </w:rPr>
      </w:pPr>
      <w:r w:rsidRPr="009666E7">
        <w:rPr>
          <w:rtl/>
        </w:rPr>
        <w:t>واستعرض الفريق أيضا</w:t>
      </w:r>
      <w:r w:rsidR="00E27CE4">
        <w:rPr>
          <w:rFonts w:hint="cs"/>
          <w:rtl/>
        </w:rPr>
        <w:t>ً</w:t>
      </w:r>
      <w:r w:rsidRPr="009666E7">
        <w:rPr>
          <w:rtl/>
        </w:rPr>
        <w:t xml:space="preserve"> المشروع المقترح للملحق 2 بالقرار 71، الذي يتضمن تحليل الحالة، ومشروع الملحق 3 بالقرار</w:t>
      </w:r>
      <w:r w:rsidR="00E27CE4">
        <w:rPr>
          <w:rFonts w:hint="cs"/>
          <w:rtl/>
        </w:rPr>
        <w:t> </w:t>
      </w:r>
      <w:r w:rsidRPr="009666E7">
        <w:rPr>
          <w:rtl/>
        </w:rPr>
        <w:t xml:space="preserve">71، الذي يتضمن مسرد المصطلحات، بما يتواءم مع كتيب الأمم المتحدة للإدارة القائمة على النتائج </w:t>
      </w:r>
      <w:r w:rsidRPr="009666E7">
        <w:t>(RBM)</w:t>
      </w:r>
      <w:r w:rsidRPr="009666E7">
        <w:rPr>
          <w:rtl/>
        </w:rPr>
        <w:t xml:space="preserve"> (انظر الوثيقتين </w:t>
      </w:r>
      <w:hyperlink r:id="rId53" w:history="1">
        <w:r w:rsidRPr="00E27CE4">
          <w:rPr>
            <w:rStyle w:val="Hyperlink"/>
            <w:noProof w:val="0"/>
            <w:rtl/>
            <w:lang w:val="en-US" w:eastAsia="zh-CN"/>
          </w:rPr>
          <w:t>CWG-SFP-3/3</w:t>
        </w:r>
      </w:hyperlink>
      <w:r w:rsidRPr="009666E7">
        <w:rPr>
          <w:rtl/>
        </w:rPr>
        <w:t xml:space="preserve"> و</w:t>
      </w:r>
      <w:hyperlink r:id="rId54" w:history="1">
        <w:r w:rsidRPr="00E27CE4">
          <w:rPr>
            <w:rStyle w:val="Hyperlink"/>
            <w:noProof w:val="0"/>
            <w:rtl/>
            <w:lang w:val="en-US" w:eastAsia="zh-CN"/>
          </w:rPr>
          <w:t>CWG-SFP-3/4</w:t>
        </w:r>
      </w:hyperlink>
      <w:r w:rsidRPr="009666E7">
        <w:rPr>
          <w:rtl/>
        </w:rPr>
        <w:t xml:space="preserve">). واتفق على أن ثمة حاجة إلى مزيد من المناقشات بشأن تحليل الحالة وعلى أن يظل مسرد المصطلحات، مع مراعاة جميع التعليقات الواردة، وثيقة قابلة للتحديث إلى حين الاتفاق على المشروع النهائي للخطتين الاستراتيجية والمالية. وعرضت الأمانة أيضاً الروابط القائمة بين الخطط الاستراتيجية والمالية والتشغيلية للاتحاد (انظر الوثيقة </w:t>
      </w:r>
      <w:hyperlink r:id="rId55" w:history="1">
        <w:r w:rsidRPr="00E27CE4">
          <w:rPr>
            <w:rStyle w:val="Hyperlink"/>
            <w:noProof w:val="0"/>
            <w:rtl/>
            <w:lang w:val="en-US" w:eastAsia="zh-CN"/>
          </w:rPr>
          <w:t>CWG-SFP-3/6</w:t>
        </w:r>
      </w:hyperlink>
      <w:r w:rsidR="00E27CE4">
        <w:rPr>
          <w:rFonts w:hint="cs"/>
          <w:rtl/>
        </w:rPr>
        <w:t>)</w:t>
      </w:r>
      <w:r w:rsidRPr="009666E7">
        <w:rPr>
          <w:rtl/>
        </w:rPr>
        <w:t xml:space="preserve">، مسلطة الضوء على نهج الإدارة القائمة على النتائج ورسمت الخطوط العريضة لنهج متتابع </w:t>
      </w:r>
      <w:r>
        <w:rPr>
          <w:rtl/>
        </w:rPr>
        <w:t xml:space="preserve">يرمي إلى </w:t>
      </w:r>
      <w:r w:rsidRPr="009666E7">
        <w:rPr>
          <w:rtl/>
        </w:rPr>
        <w:t>تعزيز المواءمة على المستويين التخطيطي والتشغيلي.</w:t>
      </w:r>
      <w:hyperlink r:id="rId56"/>
      <w:hyperlink r:id="rId57"/>
      <w:hyperlink r:id="rId58"/>
    </w:p>
    <w:p w14:paraId="3F7D8EED" w14:textId="29254E62" w:rsidR="004C09CE" w:rsidRPr="009666E7" w:rsidRDefault="004C09CE" w:rsidP="004C09CE">
      <w:pPr>
        <w:rPr>
          <w:lang w:val="ar-SA" w:eastAsia="zh-TW" w:bidi="en-GB"/>
        </w:rPr>
      </w:pPr>
      <w:r w:rsidRPr="009666E7">
        <w:rPr>
          <w:rtl/>
        </w:rPr>
        <w:t xml:space="preserve">وإضافةً إلى ذلك، عرض مركز بيانات الاتحاد (انظر </w:t>
      </w:r>
      <w:hyperlink r:id="rId59" w:history="1">
        <w:r w:rsidRPr="00E27CE4">
          <w:rPr>
            <w:rStyle w:val="Hyperlink"/>
            <w:noProof w:val="0"/>
            <w:rtl/>
            <w:lang w:val="en-US" w:eastAsia="zh-CN"/>
          </w:rPr>
          <w:t>العرض الإيضاحي</w:t>
        </w:r>
      </w:hyperlink>
      <w:r w:rsidRPr="009666E7">
        <w:rPr>
          <w:rtl/>
        </w:rPr>
        <w:t xml:space="preserve">) كجزء من الجهود المبذولة لتحديد مقاصد ومحصلات ذكية </w:t>
      </w:r>
      <w:r w:rsidRPr="009666E7">
        <w:t>(SMART)</w:t>
      </w:r>
      <w:r w:rsidRPr="009666E7">
        <w:rPr>
          <w:rtl/>
        </w:rPr>
        <w:t xml:space="preserve">، وما يخصها من المؤشرات، لوضع إطار نتائج الخطة الاستراتيجية باتباع نهج الإدارة القائمة على النتائج. وقد قُدِّم مشروع أولي أعدته الأمانة في الوثيقة </w:t>
      </w:r>
      <w:hyperlink r:id="rId60" w:history="1">
        <w:r w:rsidRPr="00E27CE4">
          <w:rPr>
            <w:rStyle w:val="Hyperlink"/>
            <w:noProof w:val="0"/>
            <w:rtl/>
            <w:lang w:val="en-US" w:eastAsia="zh-CN"/>
          </w:rPr>
          <w:t>CWG-SFP-3/7</w:t>
        </w:r>
      </w:hyperlink>
      <w:r w:rsidRPr="009666E7">
        <w:rPr>
          <w:rtl/>
        </w:rPr>
        <w:t>.</w:t>
      </w:r>
      <w:hyperlink r:id="rId61" w:history="1"/>
      <w:hyperlink r:id="rId62" w:history="1"/>
    </w:p>
    <w:p w14:paraId="51BCF91A" w14:textId="58D3B709" w:rsidR="00E27CE4" w:rsidRPr="00E27CE4" w:rsidRDefault="004C09CE" w:rsidP="004C09CE">
      <w:r w:rsidRPr="00E27CE4">
        <w:rPr>
          <w:rtl/>
        </w:rPr>
        <w:t>ووردت تسع مساهمات ونُظِر فيها أثناء الاجتماع، وهي</w:t>
      </w:r>
      <w:r w:rsidRPr="00E27CE4">
        <w:t>:</w:t>
      </w:r>
      <w:r w:rsidRPr="00E27CE4">
        <w:rPr>
          <w:rtl/>
        </w:rPr>
        <w:t xml:space="preserve"> </w:t>
      </w:r>
      <w:hyperlink r:id="rId63" w:history="1">
        <w:r w:rsidR="00E27CE4" w:rsidRPr="00E27CE4">
          <w:rPr>
            <w:rStyle w:val="Hyperlink"/>
            <w:szCs w:val="24"/>
          </w:rPr>
          <w:t>CWG-SFP-3/8</w:t>
        </w:r>
      </w:hyperlink>
      <w:r w:rsidRPr="00E27CE4">
        <w:rPr>
          <w:rtl/>
        </w:rPr>
        <w:t xml:space="preserve"> و</w:t>
      </w:r>
      <w:hyperlink r:id="rId64" w:history="1">
        <w:r w:rsidRPr="00E27CE4">
          <w:rPr>
            <w:rStyle w:val="Hyperlink"/>
            <w:noProof w:val="0"/>
            <w:rtl/>
            <w:lang w:val="en-US" w:eastAsia="zh-CN"/>
          </w:rPr>
          <w:t>CWG-SFP-3/9</w:t>
        </w:r>
      </w:hyperlink>
      <w:r w:rsidRPr="00E27CE4">
        <w:rPr>
          <w:rtl/>
        </w:rPr>
        <w:t xml:space="preserve"> و</w:t>
      </w:r>
      <w:hyperlink r:id="rId65" w:history="1">
        <w:r w:rsidR="00E27CE4" w:rsidRPr="00E27CE4">
          <w:rPr>
            <w:rStyle w:val="Hyperlink"/>
            <w:szCs w:val="24"/>
          </w:rPr>
          <w:t>CWG-SFP-3/10</w:t>
        </w:r>
      </w:hyperlink>
      <w:r w:rsidR="00E27CE4" w:rsidRPr="00E27CE4">
        <w:rPr>
          <w:rtl/>
        </w:rPr>
        <w:t xml:space="preserve"> </w:t>
      </w:r>
      <w:r w:rsidRPr="00E27CE4">
        <w:rPr>
          <w:rtl/>
        </w:rPr>
        <w:t>و</w:t>
      </w:r>
      <w:hyperlink r:id="rId66" w:history="1">
        <w:r w:rsidR="00E27CE4" w:rsidRPr="00E27CE4">
          <w:rPr>
            <w:rStyle w:val="Hyperlink"/>
            <w:szCs w:val="24"/>
          </w:rPr>
          <w:t>CWG-SFP-3/11</w:t>
        </w:r>
      </w:hyperlink>
      <w:r w:rsidR="00E27CE4" w:rsidRPr="00E27CE4">
        <w:rPr>
          <w:rtl/>
        </w:rPr>
        <w:t xml:space="preserve"> </w:t>
      </w:r>
      <w:r w:rsidRPr="00E27CE4">
        <w:rPr>
          <w:rtl/>
        </w:rPr>
        <w:t>و</w:t>
      </w:r>
      <w:hyperlink r:id="rId67" w:history="1">
        <w:r w:rsidR="00E27CE4" w:rsidRPr="00E27CE4">
          <w:rPr>
            <w:rStyle w:val="Hyperlink"/>
            <w:szCs w:val="24"/>
          </w:rPr>
          <w:t>CWG-SFP-3/12</w:t>
        </w:r>
      </w:hyperlink>
      <w:r w:rsidR="00E27CE4" w:rsidRPr="00E27CE4">
        <w:rPr>
          <w:rtl/>
        </w:rPr>
        <w:t xml:space="preserve"> </w:t>
      </w:r>
      <w:r w:rsidRPr="00E27CE4">
        <w:rPr>
          <w:rtl/>
        </w:rPr>
        <w:t>و</w:t>
      </w:r>
      <w:hyperlink r:id="rId68" w:history="1">
        <w:r w:rsidR="00E27CE4" w:rsidRPr="00E27CE4">
          <w:rPr>
            <w:rStyle w:val="Hyperlink"/>
            <w:szCs w:val="24"/>
          </w:rPr>
          <w:t>CWG-SFP-3/13</w:t>
        </w:r>
      </w:hyperlink>
      <w:r w:rsidR="00E27CE4" w:rsidRPr="00E27CE4">
        <w:rPr>
          <w:rtl/>
        </w:rPr>
        <w:t xml:space="preserve"> </w:t>
      </w:r>
      <w:r w:rsidRPr="00E27CE4">
        <w:rPr>
          <w:rtl/>
        </w:rPr>
        <w:t>و</w:t>
      </w:r>
      <w:hyperlink r:id="rId69" w:history="1">
        <w:r w:rsidR="00E27CE4" w:rsidRPr="00E27CE4">
          <w:rPr>
            <w:rStyle w:val="Hyperlink"/>
            <w:szCs w:val="24"/>
          </w:rPr>
          <w:t>CWG-SFP-3/14</w:t>
        </w:r>
      </w:hyperlink>
      <w:r w:rsidR="00E27CE4" w:rsidRPr="00E27CE4">
        <w:rPr>
          <w:rtl/>
        </w:rPr>
        <w:t xml:space="preserve"> </w:t>
      </w:r>
      <w:r w:rsidRPr="00E27CE4">
        <w:rPr>
          <w:rtl/>
        </w:rPr>
        <w:t>و</w:t>
      </w:r>
      <w:hyperlink r:id="rId70" w:history="1">
        <w:r w:rsidR="00E27CE4" w:rsidRPr="00E27CE4">
          <w:rPr>
            <w:rStyle w:val="Hyperlink"/>
            <w:szCs w:val="24"/>
          </w:rPr>
          <w:t>CWG-SFP-3/15</w:t>
        </w:r>
      </w:hyperlink>
      <w:r w:rsidR="00E27CE4" w:rsidRPr="00E27CE4">
        <w:rPr>
          <w:rtl/>
        </w:rPr>
        <w:t xml:space="preserve"> </w:t>
      </w:r>
      <w:r w:rsidRPr="00E27CE4">
        <w:rPr>
          <w:rtl/>
        </w:rPr>
        <w:t>و</w:t>
      </w:r>
      <w:hyperlink r:id="rId71" w:history="1">
        <w:r w:rsidRPr="00E27CE4">
          <w:rPr>
            <w:rStyle w:val="Hyperlink"/>
            <w:noProof w:val="0"/>
            <w:rtl/>
            <w:lang w:val="en-US" w:eastAsia="zh-CN"/>
          </w:rPr>
          <w:t>CWG-SFP-3/16</w:t>
        </w:r>
      </w:hyperlink>
      <w:r w:rsidRPr="00E27CE4">
        <w:rPr>
          <w:rtl/>
        </w:rPr>
        <w:t>.</w:t>
      </w:r>
      <w:bookmarkStart w:id="1" w:name="_Hlk221702229"/>
      <w:bookmarkEnd w:id="1"/>
    </w:p>
    <w:p w14:paraId="263798A8" w14:textId="14924748" w:rsidR="004C09CE" w:rsidRPr="00E27CE4" w:rsidRDefault="004C09CE" w:rsidP="004C09CE">
      <w:pPr>
        <w:rPr>
          <w:spacing w:val="-4"/>
          <w:lang w:val="ar-SA" w:eastAsia="zh-TW" w:bidi="en-GB"/>
        </w:rPr>
      </w:pPr>
      <w:r w:rsidRPr="00E27CE4">
        <w:rPr>
          <w:spacing w:val="-4"/>
          <w:rtl/>
        </w:rPr>
        <w:t xml:space="preserve">وفي إطار الاجتماع الثالث للفريق، عُقدت، بعد ظهر يوم 8 سبتمبر 2025، ورشة عمل استشراف استراتيجي نُظِّمت بالتعاون مع مختبرات الأمم المتحدة للمستقبل. ويرد موجز ورشة عمل الاستشراف الاستراتيجي في الوثيقة </w:t>
      </w:r>
      <w:hyperlink r:id="rId72" w:history="1">
        <w:r w:rsidRPr="00E27CE4">
          <w:rPr>
            <w:rStyle w:val="Hyperlink"/>
            <w:noProof w:val="0"/>
            <w:spacing w:val="-4"/>
            <w:rtl/>
            <w:lang w:val="en-US" w:eastAsia="zh-CN"/>
          </w:rPr>
          <w:t>CWG-SFP-4/INF/5</w:t>
        </w:r>
      </w:hyperlink>
      <w:r w:rsidRPr="00E27CE4">
        <w:rPr>
          <w:spacing w:val="-4"/>
          <w:rtl/>
        </w:rPr>
        <w:t>.</w:t>
      </w:r>
      <w:hyperlink r:id="rId73" w:history="1"/>
    </w:p>
    <w:p w14:paraId="3DE823BF" w14:textId="77777777" w:rsidR="004C09CE" w:rsidRPr="009666E7" w:rsidRDefault="004C09CE" w:rsidP="00617A1E">
      <w:pPr>
        <w:pStyle w:val="Headingb0"/>
        <w:spacing w:before="240"/>
        <w:rPr>
          <w:lang w:val="ar-SA" w:eastAsia="zh-TW" w:bidi="en-GB"/>
        </w:rPr>
      </w:pPr>
      <w:r w:rsidRPr="009666E7">
        <w:rPr>
          <w:rtl/>
        </w:rPr>
        <w:t>الاجتماع الرابع (12-14 يناير 2026)</w:t>
      </w:r>
    </w:p>
    <w:p w14:paraId="0DB03181" w14:textId="5C9F2C56" w:rsidR="004C09CE" w:rsidRPr="009666E7" w:rsidRDefault="004C09CE" w:rsidP="004C09CE">
      <w:pPr>
        <w:rPr>
          <w:lang w:val="ar-SA" w:eastAsia="zh-TW" w:bidi="en-GB"/>
        </w:rPr>
      </w:pPr>
      <w:r w:rsidRPr="009666E7">
        <w:rPr>
          <w:rtl/>
        </w:rPr>
        <w:t xml:space="preserve">واستعرض فريق العمل التابع للمجلس والمعني بالخطتين الاستراتيجية والمالية </w:t>
      </w:r>
      <w:r w:rsidRPr="009666E7">
        <w:t>(CWG-SFP)</w:t>
      </w:r>
      <w:r w:rsidRPr="009666E7">
        <w:rPr>
          <w:rtl/>
        </w:rPr>
        <w:t xml:space="preserve"> خلال اجتماعه الرابع </w:t>
      </w:r>
      <w:r w:rsidRPr="00E27CE4">
        <w:rPr>
          <w:spacing w:val="-4"/>
          <w:rtl/>
        </w:rPr>
        <w:t xml:space="preserve">مشروع الملحق 1 بالقرار 71، الذي يتضمن الخطة الاستراتيجية للفترة </w:t>
      </w:r>
      <w:r w:rsidR="00E77421">
        <w:rPr>
          <w:rFonts w:hint="cs"/>
          <w:spacing w:val="-4"/>
          <w:rtl/>
        </w:rPr>
        <w:t>2028</w:t>
      </w:r>
      <w:r w:rsidRPr="00E27CE4">
        <w:rPr>
          <w:spacing w:val="-4"/>
          <w:rtl/>
        </w:rPr>
        <w:t>-</w:t>
      </w:r>
      <w:r w:rsidR="00E77421">
        <w:rPr>
          <w:rFonts w:hint="cs"/>
          <w:spacing w:val="-4"/>
          <w:rtl/>
        </w:rPr>
        <w:t>2031</w:t>
      </w:r>
      <w:r w:rsidRPr="00E27CE4">
        <w:rPr>
          <w:spacing w:val="-4"/>
          <w:rtl/>
        </w:rPr>
        <w:t xml:space="preserve"> (انظر الوثيقة </w:t>
      </w:r>
      <w:hyperlink r:id="rId74" w:history="1">
        <w:r w:rsidRPr="00E27CE4">
          <w:rPr>
            <w:rStyle w:val="Hyperlink"/>
            <w:noProof w:val="0"/>
            <w:spacing w:val="-4"/>
            <w:rtl/>
            <w:lang w:val="en-US" w:eastAsia="zh-CN"/>
          </w:rPr>
          <w:t>CWG-SFP-4/DT/2</w:t>
        </w:r>
      </w:hyperlink>
      <w:r w:rsidRPr="00E27CE4">
        <w:rPr>
          <w:spacing w:val="-4"/>
          <w:rtl/>
        </w:rPr>
        <w:t>)</w:t>
      </w:r>
      <w:r w:rsidRPr="009666E7">
        <w:rPr>
          <w:rtl/>
        </w:rPr>
        <w:t xml:space="preserve">. ولما كان الفريق قد اتفق على الهدفين الاستراتيجيين، ألا وهما التوصيلية الشاملة والتحول الرقمي المستدام، فقد طُلِب من الأمانة تنقيح المقاصد المقترحة </w:t>
      </w:r>
      <w:r>
        <w:rPr>
          <w:rtl/>
        </w:rPr>
        <w:t xml:space="preserve">ليتجسد </w:t>
      </w:r>
      <w:r w:rsidRPr="009666E7">
        <w:rPr>
          <w:rtl/>
        </w:rPr>
        <w:t>فيها نطاق الهدفين بشكل كامل. وترد المقاصد الجديدة في المراجعة 3 للوثيقة CWG-SFP-4/DT/2. واتفق أيضا</w:t>
      </w:r>
      <w:r w:rsidR="00E77421">
        <w:rPr>
          <w:rFonts w:hint="cs"/>
          <w:rtl/>
        </w:rPr>
        <w:t>ً</w:t>
      </w:r>
      <w:r w:rsidRPr="009666E7">
        <w:rPr>
          <w:rtl/>
        </w:rPr>
        <w:t xml:space="preserve"> على تغيير اسم الأولوية 2 إلى "قابلية التشغيل البيني والابتكار في مجال الاتصالات/تكنولوجيا المعلومات والاتصالات على الصعيد العالمي" لتجسد على نحو أفضل نطاق عمل قطاع تقييس الاتصالات </w:t>
      </w:r>
      <w:r w:rsidRPr="009666E7">
        <w:t>(ITU-T)</w:t>
      </w:r>
      <w:r w:rsidRPr="009666E7">
        <w:rPr>
          <w:rtl/>
        </w:rPr>
        <w:t>.</w:t>
      </w:r>
      <w:hyperlink r:id="rId75" w:history="1"/>
    </w:p>
    <w:p w14:paraId="3B67D08B" w14:textId="721C6AB8" w:rsidR="004C09CE" w:rsidRPr="009666E7" w:rsidRDefault="004C09CE" w:rsidP="004C09CE">
      <w:pPr>
        <w:rPr>
          <w:lang w:val="ar-SA" w:eastAsia="zh-TW" w:bidi="en-GB"/>
        </w:rPr>
      </w:pPr>
      <w:r w:rsidRPr="009666E7">
        <w:rPr>
          <w:rtl/>
        </w:rPr>
        <w:lastRenderedPageBreak/>
        <w:t xml:space="preserve">وفيما يتعلق بالملحق 2 بالقرار 71، تلقى الفريق تعليقات من ثماني دول أعضاء بشأن مشروع النص المقترح الذي أعدته الأمانة (الوثيقة </w:t>
      </w:r>
      <w:hyperlink r:id="rId76" w:history="1">
        <w:r w:rsidRPr="008246C8">
          <w:rPr>
            <w:rStyle w:val="Hyperlink"/>
            <w:noProof w:val="0"/>
            <w:rtl/>
            <w:lang w:val="en-US" w:eastAsia="zh-CN"/>
          </w:rPr>
          <w:t>CWG-SFP-4/DT/1</w:t>
        </w:r>
      </w:hyperlink>
      <w:r w:rsidR="00E27CE4">
        <w:rPr>
          <w:rFonts w:hint="cs"/>
          <w:rtl/>
        </w:rPr>
        <w:t>)</w:t>
      </w:r>
      <w:r w:rsidRPr="009666E7">
        <w:rPr>
          <w:rtl/>
        </w:rPr>
        <w:t>، التي تبرز وجهات نظر مختلفة. وتسهيلا</w:t>
      </w:r>
      <w:r w:rsidR="00E77421">
        <w:rPr>
          <w:rFonts w:hint="cs"/>
          <w:rtl/>
        </w:rPr>
        <w:t>ً</w:t>
      </w:r>
      <w:r w:rsidRPr="009666E7">
        <w:rPr>
          <w:rtl/>
        </w:rPr>
        <w:t xml:space="preserve"> للتقارب، اقترح الرئيس اعتماد نهج محايد وموجز، بحيث يقتصر تحليل الحالة على صفحة واحدة تتكون حصرا</w:t>
      </w:r>
      <w:r w:rsidR="00E77421">
        <w:rPr>
          <w:rFonts w:hint="cs"/>
          <w:rtl/>
        </w:rPr>
        <w:t>ً</w:t>
      </w:r>
      <w:r w:rsidRPr="009666E7">
        <w:rPr>
          <w:rtl/>
        </w:rPr>
        <w:t xml:space="preserve"> من مخطط تحليل نقاط القوة والضعف والفرص والأخطار </w:t>
      </w:r>
      <w:r w:rsidRPr="009666E7">
        <w:t>(SWOT)</w:t>
      </w:r>
      <w:r w:rsidRPr="009666E7">
        <w:rPr>
          <w:rtl/>
        </w:rPr>
        <w:t xml:space="preserve"> المتفق عليه في الصفحة 21 من مشروع المقترح المقدم من الأمانة. ووافق الفريق أيضا</w:t>
      </w:r>
      <w:r w:rsidR="00E27CE4">
        <w:rPr>
          <w:rFonts w:hint="cs"/>
          <w:rtl/>
        </w:rPr>
        <w:t>ً</w:t>
      </w:r>
      <w:r w:rsidRPr="009666E7">
        <w:rPr>
          <w:rtl/>
        </w:rPr>
        <w:t xml:space="preserve"> على النسخة المراج</w:t>
      </w:r>
      <w:r w:rsidR="00E27CE4">
        <w:rPr>
          <w:rFonts w:hint="cs"/>
          <w:rtl/>
        </w:rPr>
        <w:t>َ</w:t>
      </w:r>
      <w:r w:rsidRPr="009666E7">
        <w:rPr>
          <w:rtl/>
        </w:rPr>
        <w:t xml:space="preserve">عة لمسرد المصطلحات (الملحق 3 بالقرار 71)، على النحو الوارد في الوثيقة </w:t>
      </w:r>
      <w:hyperlink r:id="rId77" w:history="1">
        <w:r w:rsidRPr="00E27CE4">
          <w:rPr>
            <w:rStyle w:val="Hyperlink"/>
            <w:noProof w:val="0"/>
            <w:rtl/>
            <w:lang w:val="en-US" w:eastAsia="zh-CN"/>
          </w:rPr>
          <w:t>CWG-SFP-4/3</w:t>
        </w:r>
      </w:hyperlink>
      <w:r w:rsidRPr="009666E7">
        <w:rPr>
          <w:rtl/>
        </w:rPr>
        <w:t>.</w:t>
      </w:r>
      <w:hyperlink r:id="rId78" w:history="1"/>
      <w:hyperlink r:id="rId79" w:history="1"/>
    </w:p>
    <w:p w14:paraId="1FABBB5C" w14:textId="3A6C2A01" w:rsidR="00853CBC" w:rsidRPr="00853CBC" w:rsidRDefault="004C09CE" w:rsidP="00853CBC">
      <w:r w:rsidRPr="009666E7">
        <w:rPr>
          <w:rtl/>
        </w:rPr>
        <w:t>وورد ما مجموعه عشر مساهمات ونُظِر فيها خلال هذا الاجتماع، وهي</w:t>
      </w:r>
      <w:r w:rsidR="00853CBC" w:rsidRPr="00853CBC">
        <w:rPr>
          <w:rtl/>
        </w:rPr>
        <w:t xml:space="preserve">: </w:t>
      </w:r>
      <w:hyperlink r:id="rId80" w:history="1">
        <w:r w:rsidR="00853CBC" w:rsidRPr="00853CBC">
          <w:rPr>
            <w:rStyle w:val="Hyperlink"/>
            <w:szCs w:val="24"/>
          </w:rPr>
          <w:t>CWG-SFP-4/5</w:t>
        </w:r>
      </w:hyperlink>
      <w:r w:rsidR="00853CBC" w:rsidRPr="00853CBC">
        <w:rPr>
          <w:rtl/>
        </w:rPr>
        <w:t xml:space="preserve"> و</w:t>
      </w:r>
      <w:r w:rsidR="00853CBC" w:rsidRPr="00853CBC">
        <w:rPr>
          <w:szCs w:val="24"/>
        </w:rPr>
        <w:t xml:space="preserve"> </w:t>
      </w:r>
      <w:hyperlink r:id="rId81" w:history="1">
        <w:r w:rsidR="00853CBC" w:rsidRPr="00853CBC">
          <w:rPr>
            <w:rStyle w:val="Hyperlink"/>
            <w:szCs w:val="24"/>
          </w:rPr>
          <w:t>CWG-SFP-4/6</w:t>
        </w:r>
      </w:hyperlink>
      <w:r w:rsidR="00853CBC" w:rsidRPr="00853CBC">
        <w:rPr>
          <w:rtl/>
        </w:rPr>
        <w:t>و</w:t>
      </w:r>
      <w:r w:rsidR="00853CBC" w:rsidRPr="00853CBC">
        <w:rPr>
          <w:szCs w:val="24"/>
        </w:rPr>
        <w:t xml:space="preserve"> </w:t>
      </w:r>
      <w:hyperlink r:id="rId82" w:history="1">
        <w:r w:rsidR="00853CBC" w:rsidRPr="00853CBC">
          <w:rPr>
            <w:rStyle w:val="Hyperlink"/>
            <w:szCs w:val="24"/>
          </w:rPr>
          <w:t>CWG-SFP-4/7</w:t>
        </w:r>
      </w:hyperlink>
      <w:r w:rsidR="00853CBC">
        <w:rPr>
          <w:rFonts w:hint="cs"/>
          <w:rtl/>
        </w:rPr>
        <w:t xml:space="preserve"> </w:t>
      </w:r>
      <w:r w:rsidR="00853CBC" w:rsidRPr="00853CBC">
        <w:rPr>
          <w:rtl/>
        </w:rPr>
        <w:t>و</w:t>
      </w:r>
      <w:r w:rsidR="00853CBC" w:rsidRPr="00853CBC">
        <w:rPr>
          <w:szCs w:val="24"/>
        </w:rPr>
        <w:t xml:space="preserve"> </w:t>
      </w:r>
      <w:hyperlink r:id="rId83" w:history="1">
        <w:r w:rsidR="00853CBC" w:rsidRPr="00853CBC">
          <w:rPr>
            <w:rStyle w:val="Hyperlink"/>
            <w:szCs w:val="24"/>
          </w:rPr>
          <w:t>CWG-SFP-4/8</w:t>
        </w:r>
      </w:hyperlink>
      <w:r w:rsidR="00853CBC" w:rsidRPr="00853CBC">
        <w:rPr>
          <w:rtl/>
        </w:rPr>
        <w:t>و</w:t>
      </w:r>
      <w:r w:rsidR="00853CBC" w:rsidRPr="00853CBC">
        <w:rPr>
          <w:szCs w:val="24"/>
        </w:rPr>
        <w:t xml:space="preserve"> </w:t>
      </w:r>
      <w:hyperlink r:id="rId84" w:history="1">
        <w:r w:rsidR="00853CBC" w:rsidRPr="00853CBC">
          <w:rPr>
            <w:rStyle w:val="Hyperlink"/>
            <w:szCs w:val="24"/>
          </w:rPr>
          <w:t>CWG-SFP-4/9</w:t>
        </w:r>
      </w:hyperlink>
      <w:r w:rsidR="00853CBC" w:rsidRPr="00853CBC">
        <w:rPr>
          <w:rtl/>
        </w:rPr>
        <w:t>و</w:t>
      </w:r>
      <w:r w:rsidR="00853CBC" w:rsidRPr="00853CBC">
        <w:rPr>
          <w:szCs w:val="24"/>
        </w:rPr>
        <w:t xml:space="preserve"> </w:t>
      </w:r>
      <w:hyperlink r:id="rId85" w:history="1">
        <w:r w:rsidR="00853CBC" w:rsidRPr="00853CBC">
          <w:rPr>
            <w:rStyle w:val="Hyperlink"/>
            <w:szCs w:val="24"/>
          </w:rPr>
          <w:t>CWG-SFP-4/10</w:t>
        </w:r>
      </w:hyperlink>
      <w:r w:rsidR="00853CBC" w:rsidRPr="00853CBC">
        <w:rPr>
          <w:rtl/>
        </w:rPr>
        <w:t>و</w:t>
      </w:r>
      <w:r w:rsidR="00853CBC" w:rsidRPr="00853CBC">
        <w:rPr>
          <w:szCs w:val="24"/>
        </w:rPr>
        <w:t xml:space="preserve"> </w:t>
      </w:r>
      <w:hyperlink r:id="rId86" w:history="1">
        <w:r w:rsidR="00853CBC" w:rsidRPr="00853CBC">
          <w:rPr>
            <w:rStyle w:val="Hyperlink"/>
            <w:szCs w:val="24"/>
          </w:rPr>
          <w:t>CWG-SFP-4/11</w:t>
        </w:r>
      </w:hyperlink>
      <w:r w:rsidR="00853CBC" w:rsidRPr="00853CBC">
        <w:rPr>
          <w:rtl/>
        </w:rPr>
        <w:t>و</w:t>
      </w:r>
      <w:hyperlink r:id="rId87" w:history="1">
        <w:r w:rsidR="00853CBC" w:rsidRPr="00853CBC">
          <w:rPr>
            <w:rStyle w:val="Hyperlink"/>
            <w:szCs w:val="24"/>
          </w:rPr>
          <w:t>CWG-SFP-4/12</w:t>
        </w:r>
      </w:hyperlink>
      <w:r w:rsidR="00853CBC">
        <w:rPr>
          <w:rFonts w:hint="cs"/>
          <w:rtl/>
        </w:rPr>
        <w:t xml:space="preserve"> </w:t>
      </w:r>
      <w:r w:rsidR="00853CBC" w:rsidRPr="00853CBC">
        <w:rPr>
          <w:rtl/>
        </w:rPr>
        <w:t>و</w:t>
      </w:r>
      <w:hyperlink r:id="rId88" w:history="1">
        <w:r w:rsidR="00853CBC" w:rsidRPr="00853CBC">
          <w:rPr>
            <w:rStyle w:val="Hyperlink"/>
            <w:szCs w:val="24"/>
          </w:rPr>
          <w:t>CWG-SFP-4/13</w:t>
        </w:r>
      </w:hyperlink>
      <w:r w:rsidR="00853CBC">
        <w:rPr>
          <w:rFonts w:hint="cs"/>
          <w:rtl/>
        </w:rPr>
        <w:t xml:space="preserve"> </w:t>
      </w:r>
      <w:r w:rsidR="00853CBC" w:rsidRPr="00853CBC">
        <w:rPr>
          <w:rtl/>
        </w:rPr>
        <w:t>و</w:t>
      </w:r>
      <w:hyperlink r:id="rId89" w:history="1">
        <w:r w:rsidR="00853CBC" w:rsidRPr="00853CBC">
          <w:rPr>
            <w:rStyle w:val="Hyperlink"/>
            <w:szCs w:val="24"/>
          </w:rPr>
          <w:t>CWG-SFP-4/14</w:t>
        </w:r>
      </w:hyperlink>
      <w:r w:rsidR="00853CBC" w:rsidRPr="00853CBC">
        <w:rPr>
          <w:rtl/>
        </w:rPr>
        <w:t>.</w:t>
      </w:r>
    </w:p>
    <w:p w14:paraId="702AD02D" w14:textId="77777777" w:rsidR="004C09CE" w:rsidRPr="009666E7" w:rsidRDefault="004C09CE" w:rsidP="004C09CE">
      <w:pPr>
        <w:rPr>
          <w:lang w:val="ar-SA" w:eastAsia="zh-TW" w:bidi="en-GB"/>
        </w:rPr>
      </w:pPr>
      <w:r w:rsidRPr="009666E7">
        <w:rPr>
          <w:rtl/>
        </w:rPr>
        <w:t xml:space="preserve">واتفق الفريق في اجتماعه الرابع على عقد اجتماع إضافي في اليوم السابق على دورة المجلس لعام 2026، وكذلك اجتماع مشترك مع فريق العمل التابع للمجلس والمعني بالموارد المالية والبشرية </w:t>
      </w:r>
      <w:r w:rsidRPr="009666E7">
        <w:t>(CWG-FHR)</w:t>
      </w:r>
      <w:r w:rsidRPr="009666E7">
        <w:rPr>
          <w:rtl/>
        </w:rPr>
        <w:t xml:space="preserve"> في اليوم نفسه، لاستعراض الخطة المالية التي ستُقدَّم إلى المجلس في دورته لعام 2026 ووضعها في صيغتها النهائية من أجل إقرارها.</w:t>
      </w:r>
    </w:p>
    <w:p w14:paraId="35815153" w14:textId="77777777" w:rsidR="004C09CE" w:rsidRPr="009666E7" w:rsidRDefault="004C09CE" w:rsidP="008246C8">
      <w:pPr>
        <w:pStyle w:val="Headingb0"/>
        <w:spacing w:before="240"/>
        <w:rPr>
          <w:lang w:val="ar-SA" w:eastAsia="zh-TW" w:bidi="en-GB"/>
        </w:rPr>
      </w:pPr>
      <w:r w:rsidRPr="009666E7">
        <w:rPr>
          <w:rtl/>
        </w:rPr>
        <w:t>محصلات عمل فريق العمل التابع للمجلس والمعني بالخطتين الاستراتيجية والمالية</w:t>
      </w:r>
    </w:p>
    <w:p w14:paraId="3D19A41C" w14:textId="1D0F0CAB" w:rsidR="004C09CE" w:rsidRPr="009666E7" w:rsidRDefault="004C09CE" w:rsidP="004C09CE">
      <w:pPr>
        <w:rPr>
          <w:lang w:val="ar-SA" w:eastAsia="zh-TW" w:bidi="en-GB"/>
        </w:rPr>
      </w:pPr>
      <w:r w:rsidRPr="009666E7">
        <w:rPr>
          <w:rtl/>
        </w:rPr>
        <w:t xml:space="preserve">يقدم فريق العمل التابع للمجلس والمعني بالخطتين الاستراتيجية والمالية </w:t>
      </w:r>
      <w:r w:rsidRPr="009666E7">
        <w:t>(CWG-SFP)</w:t>
      </w:r>
      <w:r w:rsidRPr="009666E7">
        <w:rPr>
          <w:rtl/>
        </w:rPr>
        <w:t xml:space="preserve"> إلى دورة المجلس لعام 2026 الوثيقتين التاليتين اللتين وافق عليهما في اجتماعه الرابع لإقرارهما وتقديمهما إلى مؤتمر المندوبين المفوضين لعام</w:t>
      </w:r>
      <w:r w:rsidR="00853CBC">
        <w:rPr>
          <w:rFonts w:hint="cs"/>
          <w:rtl/>
        </w:rPr>
        <w:t> </w:t>
      </w:r>
      <w:r w:rsidRPr="009666E7">
        <w:rPr>
          <w:rtl/>
        </w:rPr>
        <w:t>2026:</w:t>
      </w:r>
    </w:p>
    <w:p w14:paraId="1BB9A08A" w14:textId="4928E68A" w:rsidR="004C09CE" w:rsidRPr="009666E7" w:rsidRDefault="00853CBC" w:rsidP="00853CBC">
      <w:pPr>
        <w:pStyle w:val="enumlev1"/>
        <w:rPr>
          <w:lang w:val="ar-SA" w:eastAsia="zh-TW" w:bidi="en-GB"/>
        </w:rPr>
      </w:pPr>
      <w:r>
        <w:rPr>
          <w:rFonts w:hint="cs"/>
          <w:rtl/>
        </w:rPr>
        <w:t>-</w:t>
      </w:r>
      <w:r>
        <w:rPr>
          <w:rtl/>
        </w:rPr>
        <w:tab/>
      </w:r>
      <w:r w:rsidR="004C09CE" w:rsidRPr="009666E7">
        <w:rPr>
          <w:rtl/>
        </w:rPr>
        <w:t>مقترح بمشروع الملحق 3 بالقرار 71 الذي يحتوي على مسرد المصطلحات؛</w:t>
      </w:r>
    </w:p>
    <w:p w14:paraId="3B5083DB" w14:textId="44D6DC3C" w:rsidR="004C09CE" w:rsidRPr="009666E7" w:rsidRDefault="00853CBC" w:rsidP="00853CBC">
      <w:pPr>
        <w:pStyle w:val="enumlev1"/>
        <w:rPr>
          <w:lang w:val="ar-SA" w:eastAsia="zh-TW" w:bidi="en-GB"/>
        </w:rPr>
      </w:pPr>
      <w:r>
        <w:t>-</w:t>
      </w:r>
      <w:r>
        <w:tab/>
      </w:r>
      <w:r w:rsidR="004C09CE" w:rsidRPr="009666E7">
        <w:rPr>
          <w:rtl/>
        </w:rPr>
        <w:t xml:space="preserve">"المبادئ التوجيهية لتنسيق نتائج قرارات ومقررات مؤتمر المندوبين المفوضين" المقترحة (انظر الوثيقة </w:t>
      </w:r>
      <w:hyperlink r:id="rId90" w:history="1">
        <w:r w:rsidR="004C09CE" w:rsidRPr="00853CBC">
          <w:rPr>
            <w:rStyle w:val="Hyperlink"/>
            <w:noProof w:val="0"/>
            <w:rtl/>
            <w:lang w:val="en-US" w:eastAsia="zh-CN"/>
          </w:rPr>
          <w:t>C26/INF/1</w:t>
        </w:r>
      </w:hyperlink>
      <w:r w:rsidR="004C09CE" w:rsidRPr="009666E7">
        <w:rPr>
          <w:rtl/>
        </w:rPr>
        <w:t>).</w:t>
      </w:r>
      <w:r w:rsidR="00C22168">
        <w:rPr>
          <w:rFonts w:hint="cs"/>
          <w:rtl/>
        </w:rPr>
        <w:t xml:space="preserve"> </w:t>
      </w:r>
      <w:hyperlink r:id="rId91" w:history="1"/>
    </w:p>
    <w:p w14:paraId="1ADF4B77" w14:textId="77777777" w:rsidR="004C09CE" w:rsidRPr="009666E7" w:rsidRDefault="004C09CE" w:rsidP="00853CBC">
      <w:pPr>
        <w:rPr>
          <w:lang w:val="ar-SA" w:eastAsia="zh-TW" w:bidi="en-GB"/>
        </w:rPr>
      </w:pPr>
      <w:r w:rsidRPr="009666E7">
        <w:rPr>
          <w:rtl/>
        </w:rPr>
        <w:t>وسيقدم الفريق (CWG</w:t>
      </w:r>
      <w:r w:rsidRPr="009666E7">
        <w:rPr>
          <w:rtl/>
        </w:rPr>
        <w:noBreakHyphen/>
        <w:t>SFP) إضافة إلى هذا التقرير تتضمن محصلات اجتماعه الخامس المقرر عقده في 27 أبريل 2026. وتشمل الوثائق، المتاحة في الموقع الإلكتروني للفريق ما يلي:</w:t>
      </w:r>
      <w:hyperlink r:id="rId92" w:history="1"/>
    </w:p>
    <w:p w14:paraId="035EE515" w14:textId="6247ECB6" w:rsidR="004C09CE" w:rsidRPr="00853CBC" w:rsidRDefault="00853CBC" w:rsidP="00853CBC">
      <w:pPr>
        <w:pStyle w:val="enumlev1"/>
      </w:pPr>
      <w:r>
        <w:t>-</w:t>
      </w:r>
      <w:r>
        <w:tab/>
      </w:r>
      <w:r w:rsidR="004C09CE" w:rsidRPr="00853CBC">
        <w:rPr>
          <w:rtl/>
        </w:rPr>
        <w:t xml:space="preserve">مقترح بمشروع الملحق 1 بالقرار 71، الذي يتضمن الخطتين الاستراتيجية والمالية للفترة </w:t>
      </w:r>
      <w:proofErr w:type="gramStart"/>
      <w:r>
        <w:t>2028</w:t>
      </w:r>
      <w:r w:rsidR="004C09CE" w:rsidRPr="00853CBC">
        <w:rPr>
          <w:rtl/>
        </w:rPr>
        <w:t>-</w:t>
      </w:r>
      <w:r>
        <w:t>2031</w:t>
      </w:r>
      <w:r w:rsidR="004C09CE" w:rsidRPr="00853CBC">
        <w:rPr>
          <w:rtl/>
        </w:rPr>
        <w:t>؛</w:t>
      </w:r>
      <w:proofErr w:type="gramEnd"/>
    </w:p>
    <w:p w14:paraId="6A8709BA" w14:textId="012DCA42" w:rsidR="004C09CE" w:rsidRPr="00853CBC" w:rsidRDefault="00853CBC" w:rsidP="00853CBC">
      <w:pPr>
        <w:pStyle w:val="enumlev1"/>
      </w:pPr>
      <w:r>
        <w:t>-</w:t>
      </w:r>
      <w:r>
        <w:tab/>
      </w:r>
      <w:r w:rsidR="004C09CE" w:rsidRPr="00853CBC">
        <w:rPr>
          <w:rtl/>
        </w:rPr>
        <w:t>مقترح بمشروع الملحق 2 بالقرار 71، الذي يتضمن تحليل الحالة.</w:t>
      </w:r>
    </w:p>
    <w:p w14:paraId="598D2020" w14:textId="490CA9E5" w:rsidR="004C09CE" w:rsidRPr="009666E7" w:rsidRDefault="004C09CE" w:rsidP="004C09CE">
      <w:pPr>
        <w:rPr>
          <w:lang w:val="ar-SA" w:eastAsia="zh-TW" w:bidi="en-GB"/>
        </w:rPr>
      </w:pPr>
      <w:r w:rsidRPr="009666E7">
        <w:rPr>
          <w:rtl/>
        </w:rPr>
        <w:t xml:space="preserve">وشكر رئيس الفريق </w:t>
      </w:r>
      <w:r w:rsidRPr="009666E7">
        <w:t>(CWG-SFP)</w:t>
      </w:r>
      <w:r w:rsidRPr="009666E7">
        <w:rPr>
          <w:rtl/>
        </w:rPr>
        <w:t xml:space="preserve"> أمانة الاتحاد وجميع الوفود على مشاركتها النشطة في الاجتماعات وعلى مساهماتها البناءة. وشكر الرئيس أيضاً جميع أصحاب المصلحة الذين ساهموا في عمل هذا الفريق من خلال مساهماتهم في المشاورة الافتراضية، ولا</w:t>
      </w:r>
      <w:r w:rsidR="00853CBC">
        <w:t> </w:t>
      </w:r>
      <w:r w:rsidRPr="009666E7">
        <w:rPr>
          <w:rtl/>
        </w:rPr>
        <w:t>سيما الأفرقة الاستشارية للقطاعات على مشاركتهم وانخراطهم الفعالين.</w:t>
      </w:r>
    </w:p>
    <w:p w14:paraId="2637C004"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93"/>
      <w:headerReference w:type="default" r:id="rId94"/>
      <w:footerReference w:type="even" r:id="rId95"/>
      <w:footerReference w:type="default" r:id="rId96"/>
      <w:headerReference w:type="first" r:id="rId97"/>
      <w:footerReference w:type="first" r:id="rId9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6D61" w14:textId="77777777" w:rsidR="00D378BF" w:rsidRDefault="00D378BF" w:rsidP="006C3242">
      <w:pPr>
        <w:spacing w:before="0" w:line="240" w:lineRule="auto"/>
      </w:pPr>
      <w:r>
        <w:separator/>
      </w:r>
    </w:p>
  </w:endnote>
  <w:endnote w:type="continuationSeparator" w:id="0">
    <w:p w14:paraId="22F1DC7B" w14:textId="77777777" w:rsidR="00D378BF" w:rsidRDefault="00D378B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A270" w14:textId="77777777" w:rsidR="00E028C7" w:rsidRDefault="00E02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04096DC9" w14:textId="77777777" w:rsidTr="00A67F05">
      <w:trPr>
        <w:jc w:val="center"/>
      </w:trPr>
      <w:tc>
        <w:tcPr>
          <w:tcW w:w="868" w:type="pct"/>
          <w:vAlign w:val="center"/>
        </w:tcPr>
        <w:p w14:paraId="1744E4E3" w14:textId="17E46A9A" w:rsidR="00F50E3F" w:rsidRPr="0092661D" w:rsidRDefault="006363BA" w:rsidP="00E028C7">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szCs w:val="18"/>
            </w:rPr>
          </w:pPr>
          <w:r w:rsidRPr="0092661D">
            <w:rPr>
              <w:rFonts w:ascii="Calibri" w:hAnsi="Calibri" w:cs="Arial" w:hint="cs"/>
              <w:sz w:val="18"/>
              <w:szCs w:val="18"/>
              <w:rtl/>
            </w:rPr>
            <w:t>2600757</w:t>
          </w:r>
        </w:p>
      </w:tc>
      <w:tc>
        <w:tcPr>
          <w:tcW w:w="3912" w:type="pct"/>
        </w:tcPr>
        <w:p w14:paraId="490DA8F0" w14:textId="3ADBD065" w:rsidR="00F50E3F" w:rsidRPr="007B0AA0" w:rsidRDefault="00F50E3F" w:rsidP="00E028C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6363BA">
            <w:rPr>
              <w:rFonts w:ascii="Calibri" w:hAnsi="Calibri" w:cs="Arial"/>
              <w:bCs/>
              <w:color w:val="7F7F7F"/>
              <w:sz w:val="18"/>
            </w:rPr>
            <w:t>31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C16DC2D" w14:textId="77777777" w:rsidR="00F50E3F" w:rsidRPr="007B0AA0" w:rsidRDefault="00F50E3F" w:rsidP="00E028C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8C57DC6"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08B86F2" w14:textId="77777777" w:rsidTr="00A67F05">
      <w:trPr>
        <w:jc w:val="center"/>
      </w:trPr>
      <w:tc>
        <w:tcPr>
          <w:tcW w:w="1013" w:type="pct"/>
          <w:vAlign w:val="center"/>
        </w:tcPr>
        <w:p w14:paraId="6CFB4432" w14:textId="77777777" w:rsidR="007B0AA0" w:rsidRPr="000116AF" w:rsidRDefault="000116AF" w:rsidP="00E028C7">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7E742327" w14:textId="73557B9E" w:rsidR="007B0AA0" w:rsidRPr="007B0AA0" w:rsidRDefault="007B0AA0" w:rsidP="00E028C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92661D">
            <w:rPr>
              <w:rFonts w:ascii="Calibri" w:hAnsi="Calibri" w:cs="Arial"/>
              <w:bCs/>
              <w:color w:val="7F7F7F"/>
              <w:sz w:val="18"/>
            </w:rPr>
            <w:t>31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8758C13" w14:textId="77777777" w:rsidR="007B0AA0" w:rsidRPr="007B0AA0" w:rsidRDefault="00F50E3F" w:rsidP="00E028C7">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3C4EE25"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8DBD" w14:textId="77777777" w:rsidR="00D378BF" w:rsidRDefault="00D378BF" w:rsidP="006C3242">
      <w:pPr>
        <w:spacing w:before="0" w:line="240" w:lineRule="auto"/>
      </w:pPr>
      <w:r>
        <w:separator/>
      </w:r>
    </w:p>
  </w:footnote>
  <w:footnote w:type="continuationSeparator" w:id="0">
    <w:p w14:paraId="6F69809E" w14:textId="77777777" w:rsidR="00D378BF" w:rsidRDefault="00D378BF" w:rsidP="006C3242">
      <w:pPr>
        <w:spacing w:before="0" w:line="240" w:lineRule="auto"/>
      </w:pPr>
      <w:r>
        <w:continuationSeparator/>
      </w:r>
    </w:p>
  </w:footnote>
  <w:footnote w:id="1">
    <w:p w14:paraId="346462DB" w14:textId="77777777" w:rsidR="0092661D" w:rsidRPr="004C09CE" w:rsidRDefault="0092661D" w:rsidP="0092661D">
      <w:pPr>
        <w:pStyle w:val="FootnoteText"/>
        <w:tabs>
          <w:tab w:val="clear" w:pos="794"/>
          <w:tab w:val="left" w:pos="424"/>
        </w:tabs>
        <w:rPr>
          <w:lang w:bidi="ar-EG"/>
        </w:rPr>
      </w:pPr>
      <w:r w:rsidRPr="004C09CE">
        <w:rPr>
          <w:szCs w:val="20"/>
          <w:rtl/>
        </w:rPr>
        <w:t xml:space="preserve">1 </w:t>
      </w:r>
      <w:r w:rsidRPr="004C09CE">
        <w:rPr>
          <w:szCs w:val="20"/>
          <w:rtl/>
        </w:rPr>
        <w:tab/>
        <w:t xml:space="preserve">لا يزال يتعين مناقشة مشروعي الخطتين الاستراتيجية والمالية للفترة </w:t>
      </w:r>
      <w:r>
        <w:rPr>
          <w:szCs w:val="20"/>
        </w:rPr>
        <w:t>2028</w:t>
      </w:r>
      <w:r w:rsidRPr="004C09CE">
        <w:rPr>
          <w:szCs w:val="20"/>
          <w:rtl/>
        </w:rPr>
        <w:t>-</w:t>
      </w:r>
      <w:r>
        <w:rPr>
          <w:szCs w:val="20"/>
        </w:rPr>
        <w:t>2031</w:t>
      </w:r>
      <w:r w:rsidRPr="004C09CE">
        <w:rPr>
          <w:szCs w:val="20"/>
          <w:rtl/>
        </w:rPr>
        <w:t xml:space="preserve"> في اجتماع فريق العمل التابع للمجلس والمعني بالخطتين الاستراتيجية والمالية </w:t>
      </w:r>
      <w:r w:rsidRPr="004C09CE">
        <w:t>(CWG-SFP)</w:t>
      </w:r>
      <w:r w:rsidRPr="004C09CE">
        <w:rPr>
          <w:szCs w:val="20"/>
          <w:rtl/>
        </w:rPr>
        <w:t xml:space="preserve"> المزمع عقده في 27 أبريل 2026. وستنشر محصلات هذا الاجتماع في شكل ملحقات أو إضافات لهذه الوثيقة.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E558" w14:textId="77777777" w:rsidR="00E028C7" w:rsidRDefault="00E02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CAB3" w14:textId="77777777" w:rsidR="00E028C7" w:rsidRDefault="00E02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A410" w14:textId="77777777" w:rsidR="001A3E13" w:rsidRPr="00057769" w:rsidRDefault="001A3E13" w:rsidP="001A3E13">
    <w:pPr>
      <w:pStyle w:val="Header"/>
    </w:pPr>
    <w:r>
      <w:rPr>
        <w:noProof/>
      </w:rPr>
      <w:drawing>
        <wp:inline distT="0" distB="0" distL="0" distR="0" wp14:anchorId="6E1ACB70" wp14:editId="14FB74B6">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3522E"/>
    <w:multiLevelType w:val="hybridMultilevel"/>
    <w:tmpl w:val="2A124CDE"/>
    <w:lvl w:ilvl="0" w:tplc="BAE8DB3C">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D151F"/>
    <w:multiLevelType w:val="hybridMultilevel"/>
    <w:tmpl w:val="0F28F3EC"/>
    <w:lvl w:ilvl="0" w:tplc="413E3D0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00525">
    <w:abstractNumId w:val="9"/>
  </w:num>
  <w:num w:numId="2" w16cid:durableId="1454520350">
    <w:abstractNumId w:val="7"/>
  </w:num>
  <w:num w:numId="3" w16cid:durableId="1889107002">
    <w:abstractNumId w:val="6"/>
  </w:num>
  <w:num w:numId="4" w16cid:durableId="225917694">
    <w:abstractNumId w:val="5"/>
  </w:num>
  <w:num w:numId="5" w16cid:durableId="2111706257">
    <w:abstractNumId w:val="4"/>
  </w:num>
  <w:num w:numId="6" w16cid:durableId="1101871869">
    <w:abstractNumId w:val="8"/>
  </w:num>
  <w:num w:numId="7" w16cid:durableId="753478126">
    <w:abstractNumId w:val="3"/>
  </w:num>
  <w:num w:numId="8" w16cid:durableId="2005162871">
    <w:abstractNumId w:val="2"/>
  </w:num>
  <w:num w:numId="9" w16cid:durableId="551380814">
    <w:abstractNumId w:val="1"/>
  </w:num>
  <w:num w:numId="10" w16cid:durableId="342903038">
    <w:abstractNumId w:val="0"/>
  </w:num>
  <w:num w:numId="11" w16cid:durableId="1642080955">
    <w:abstractNumId w:val="10"/>
  </w:num>
  <w:num w:numId="12" w16cid:durableId="1236016565">
    <w:abstractNumId w:val="12"/>
  </w:num>
  <w:num w:numId="13" w16cid:durableId="282156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EC"/>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03A76"/>
    <w:rsid w:val="00334924"/>
    <w:rsid w:val="003409BC"/>
    <w:rsid w:val="00357185"/>
    <w:rsid w:val="00383829"/>
    <w:rsid w:val="003F4B29"/>
    <w:rsid w:val="00410B26"/>
    <w:rsid w:val="00420F8A"/>
    <w:rsid w:val="0042686F"/>
    <w:rsid w:val="004317D8"/>
    <w:rsid w:val="0043260A"/>
    <w:rsid w:val="00434183"/>
    <w:rsid w:val="00443869"/>
    <w:rsid w:val="00447F32"/>
    <w:rsid w:val="004818DE"/>
    <w:rsid w:val="00491BA9"/>
    <w:rsid w:val="00494119"/>
    <w:rsid w:val="004A4701"/>
    <w:rsid w:val="004B7334"/>
    <w:rsid w:val="004C09CE"/>
    <w:rsid w:val="004E11DC"/>
    <w:rsid w:val="005130DE"/>
    <w:rsid w:val="00513157"/>
    <w:rsid w:val="00525DDD"/>
    <w:rsid w:val="005409AC"/>
    <w:rsid w:val="005434E0"/>
    <w:rsid w:val="005546CF"/>
    <w:rsid w:val="0055516A"/>
    <w:rsid w:val="0058491B"/>
    <w:rsid w:val="00592EA5"/>
    <w:rsid w:val="005A3170"/>
    <w:rsid w:val="005F6EEC"/>
    <w:rsid w:val="00617A1E"/>
    <w:rsid w:val="006363BA"/>
    <w:rsid w:val="00657019"/>
    <w:rsid w:val="00660DEA"/>
    <w:rsid w:val="00677396"/>
    <w:rsid w:val="00683F16"/>
    <w:rsid w:val="0069200F"/>
    <w:rsid w:val="006A65CB"/>
    <w:rsid w:val="006B12E5"/>
    <w:rsid w:val="006C3242"/>
    <w:rsid w:val="006C7CC0"/>
    <w:rsid w:val="006F2DEF"/>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3CB"/>
    <w:rsid w:val="007D4ACF"/>
    <w:rsid w:val="007F0787"/>
    <w:rsid w:val="00810B7B"/>
    <w:rsid w:val="0082358A"/>
    <w:rsid w:val="008235CD"/>
    <w:rsid w:val="008246C8"/>
    <w:rsid w:val="008247DE"/>
    <w:rsid w:val="008339C0"/>
    <w:rsid w:val="00840B10"/>
    <w:rsid w:val="008513CB"/>
    <w:rsid w:val="00853CBC"/>
    <w:rsid w:val="00874E9F"/>
    <w:rsid w:val="008A7F84"/>
    <w:rsid w:val="0091702E"/>
    <w:rsid w:val="00923B0C"/>
    <w:rsid w:val="00924F46"/>
    <w:rsid w:val="0092661D"/>
    <w:rsid w:val="00935AAC"/>
    <w:rsid w:val="0093725D"/>
    <w:rsid w:val="0094021C"/>
    <w:rsid w:val="00952F86"/>
    <w:rsid w:val="0096716C"/>
    <w:rsid w:val="00982B28"/>
    <w:rsid w:val="009868AC"/>
    <w:rsid w:val="009D313F"/>
    <w:rsid w:val="00A47A5A"/>
    <w:rsid w:val="00A63AE6"/>
    <w:rsid w:val="00A6683B"/>
    <w:rsid w:val="00A67F05"/>
    <w:rsid w:val="00A87FCF"/>
    <w:rsid w:val="00A97F94"/>
    <w:rsid w:val="00AA7EA2"/>
    <w:rsid w:val="00AB5A56"/>
    <w:rsid w:val="00B03099"/>
    <w:rsid w:val="00B05BC8"/>
    <w:rsid w:val="00B30F5E"/>
    <w:rsid w:val="00B47E51"/>
    <w:rsid w:val="00B64B47"/>
    <w:rsid w:val="00B95654"/>
    <w:rsid w:val="00B97F32"/>
    <w:rsid w:val="00BA04B2"/>
    <w:rsid w:val="00C002DE"/>
    <w:rsid w:val="00C0602B"/>
    <w:rsid w:val="00C22168"/>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378BF"/>
    <w:rsid w:val="00D43F7D"/>
    <w:rsid w:val="00D63735"/>
    <w:rsid w:val="00D77D0F"/>
    <w:rsid w:val="00DA1CF0"/>
    <w:rsid w:val="00DA6A30"/>
    <w:rsid w:val="00DC1E02"/>
    <w:rsid w:val="00DC24B4"/>
    <w:rsid w:val="00DC5FB0"/>
    <w:rsid w:val="00DC6769"/>
    <w:rsid w:val="00DF16DC"/>
    <w:rsid w:val="00E028C7"/>
    <w:rsid w:val="00E27CE4"/>
    <w:rsid w:val="00E45211"/>
    <w:rsid w:val="00E473C5"/>
    <w:rsid w:val="00E61BE8"/>
    <w:rsid w:val="00E72905"/>
    <w:rsid w:val="00E752DE"/>
    <w:rsid w:val="00E77421"/>
    <w:rsid w:val="00E83FF1"/>
    <w:rsid w:val="00E92863"/>
    <w:rsid w:val="00E979B2"/>
    <w:rsid w:val="00EB796D"/>
    <w:rsid w:val="00F058DC"/>
    <w:rsid w:val="00F24FC4"/>
    <w:rsid w:val="00F2676C"/>
    <w:rsid w:val="00F363FE"/>
    <w:rsid w:val="00F50E3F"/>
    <w:rsid w:val="00F6457E"/>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A8EC1"/>
  <w15:chartTrackingRefBased/>
  <w15:docId w15:val="{2B82CA35-B017-4644-A29B-3986F83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customStyle="1" w:styleId="Headingb0">
    <w:name w:val="Heading b"/>
    <w:basedOn w:val="Normal"/>
    <w:qFormat/>
    <w:rsid w:val="004818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SFP2-INF-0002/en" TargetMode="External"/><Relationship Id="rId21" Type="http://schemas.openxmlformats.org/officeDocument/2006/relationships/hyperlink" Target="https://www.itu.int/md/S25-CWGSFP2-INF-0001/en" TargetMode="External"/><Relationship Id="rId42" Type="http://schemas.openxmlformats.org/officeDocument/2006/relationships/hyperlink" Target="https://www.itu.int/md/S25-CWGSFP2-C-0011/en" TargetMode="External"/><Relationship Id="rId47" Type="http://schemas.openxmlformats.org/officeDocument/2006/relationships/hyperlink" Target="https://www.itu.int/md/S25-CWGSFP2-C-0010/en" TargetMode="External"/><Relationship Id="rId63" Type="http://schemas.openxmlformats.org/officeDocument/2006/relationships/hyperlink" Target="https://www.itu.int/md/S25-CWGSFP3-C-0008/en" TargetMode="External"/><Relationship Id="rId68" Type="http://schemas.openxmlformats.org/officeDocument/2006/relationships/hyperlink" Target="https://www.itu.int/md/S25-CWGSFP3-C-0013/en" TargetMode="External"/><Relationship Id="rId84" Type="http://schemas.openxmlformats.org/officeDocument/2006/relationships/hyperlink" Target="https://www.itu.int/md/S26-CWGSFP4-C-0009/en" TargetMode="External"/><Relationship Id="rId89" Type="http://schemas.openxmlformats.org/officeDocument/2006/relationships/hyperlink" Target="https://www.itu.int/md/S26-CWGSFP4-C-0014/en" TargetMode="External"/><Relationship Id="rId16" Type="http://schemas.openxmlformats.org/officeDocument/2006/relationships/hyperlink" Target="https://www.itu.int/md/S24-CWGSFP1-C-0005/en" TargetMode="External"/><Relationship Id="rId11" Type="http://schemas.openxmlformats.org/officeDocument/2006/relationships/hyperlink" Target="https://view.officeapps.live.com/op/view.aspx?src=https%3A%2F%2Fwww.itu.int%2Fnet%2Fevents%2Fcl%2Fcwg-sfp-oct24-presentation-process-background-r1.pptx&amp;wdOrigin=BROWSELINK" TargetMode="External"/><Relationship Id="rId32" Type="http://schemas.openxmlformats.org/officeDocument/2006/relationships/hyperlink" Target="https://www.itu.int/md/S25-CWGSFP2-C-0004/en" TargetMode="External"/><Relationship Id="rId37" Type="http://schemas.openxmlformats.org/officeDocument/2006/relationships/hyperlink" Target="https://www.itu.int/md/S25-CWGSFP2-C-0003/en" TargetMode="External"/><Relationship Id="rId53" Type="http://schemas.openxmlformats.org/officeDocument/2006/relationships/hyperlink" Target="https://www.itu.int/md/S25-CWGSFP3-C-0003/en" TargetMode="External"/><Relationship Id="rId58" Type="http://schemas.openxmlformats.org/officeDocument/2006/relationships/hyperlink" Target="https://www.itu.int/md/S25-CWGSFP3-C-0006/en" TargetMode="External"/><Relationship Id="rId74" Type="http://schemas.openxmlformats.org/officeDocument/2006/relationships/hyperlink" Target="https://www.itu.int/md/S26-CWGSFP4-260112-TD-0002/en" TargetMode="External"/><Relationship Id="rId79" Type="http://schemas.openxmlformats.org/officeDocument/2006/relationships/hyperlink" Target="https://www.itu.int/md/S26-CWGSFP4-C-0003/en" TargetMode="External"/><Relationship Id="rId5" Type="http://schemas.openxmlformats.org/officeDocument/2006/relationships/webSettings" Target="webSettings.xml"/><Relationship Id="rId90" Type="http://schemas.openxmlformats.org/officeDocument/2006/relationships/hyperlink" Target="https://www.itu.int/md/S26-CL-INF-0001/en" TargetMode="External"/><Relationship Id="rId95" Type="http://schemas.openxmlformats.org/officeDocument/2006/relationships/footer" Target="footer1.xml"/><Relationship Id="rId22" Type="http://schemas.openxmlformats.org/officeDocument/2006/relationships/hyperlink" Target="https://www.itu.int/md/S25-CWGSFP2-INF-0001/en" TargetMode="External"/><Relationship Id="rId27" Type="http://schemas.openxmlformats.org/officeDocument/2006/relationships/hyperlink" Target="https://www.itu.int/md/S25-CWGSFP2-INF-0005/en" TargetMode="External"/><Relationship Id="rId43" Type="http://schemas.openxmlformats.org/officeDocument/2006/relationships/hyperlink" Target="https://www.itu.int/md/S25-CWGSFP2-C-0003/en" TargetMode="External"/><Relationship Id="rId48" Type="http://schemas.openxmlformats.org/officeDocument/2006/relationships/hyperlink" Target="https://www.itu.int/md/S25-CWGSFP2-C-0011/en" TargetMode="External"/><Relationship Id="rId64" Type="http://schemas.openxmlformats.org/officeDocument/2006/relationships/hyperlink" Target="https://www.itu.int/md/S25-CWGSFP3-C-0009/en" TargetMode="External"/><Relationship Id="rId69" Type="http://schemas.openxmlformats.org/officeDocument/2006/relationships/hyperlink" Target="https://www.itu.int/md/S25-CWGSFP3-C-0014/en" TargetMode="External"/><Relationship Id="rId80" Type="http://schemas.openxmlformats.org/officeDocument/2006/relationships/hyperlink" Target="https://www.itu.int/md/S26-CWGSFP4-C-0005/en" TargetMode="External"/><Relationship Id="rId85" Type="http://schemas.openxmlformats.org/officeDocument/2006/relationships/hyperlink" Target="https://www.itu.int/md/S26-CWGSFP4-C-0010/en" TargetMode="External"/><Relationship Id="rId3" Type="http://schemas.openxmlformats.org/officeDocument/2006/relationships/styles" Target="styles.xml"/><Relationship Id="rId12" Type="http://schemas.openxmlformats.org/officeDocument/2006/relationships/hyperlink" Target="https://view.officeapps.live.com/op/view.aspx?src=https%3A%2F%2Fwww.itu.int%2Fnet%2Fevents%2Fcl%2Fcwg-sfp-oct24-presentation-process-background-r1.pptx&amp;wdOrigin=BROWSELINK" TargetMode="External"/><Relationship Id="rId17" Type="http://schemas.openxmlformats.org/officeDocument/2006/relationships/hyperlink" Target="https://www.itu.int/md/S24-CWGSFP1-C-0006/en" TargetMode="External"/><Relationship Id="rId25" Type="http://schemas.openxmlformats.org/officeDocument/2006/relationships/hyperlink" Target="https://www.itu.int/md/S25-CWGSFP2-C-0002/en" TargetMode="External"/><Relationship Id="rId33" Type="http://schemas.openxmlformats.org/officeDocument/2006/relationships/hyperlink" Target="https://www.itu.int/md/S25-CWGSFP2-INF-0003/en" TargetMode="External"/><Relationship Id="rId38" Type="http://schemas.openxmlformats.org/officeDocument/2006/relationships/hyperlink" Target="https://www.itu.int/md/S25-CWGSFP2-C-0005/en" TargetMode="External"/><Relationship Id="rId46" Type="http://schemas.openxmlformats.org/officeDocument/2006/relationships/hyperlink" Target="https://www.itu.int/md/S25-CWGSFP2-C-0009/en" TargetMode="External"/><Relationship Id="rId59" Type="http://schemas.openxmlformats.org/officeDocument/2006/relationships/hyperlink" Target="https://staging.itu.int/en/council/ties/Documents/2025/CWG-SFP-presentation-Sept-2025.pdf" TargetMode="External"/><Relationship Id="rId67" Type="http://schemas.openxmlformats.org/officeDocument/2006/relationships/hyperlink" Target="https://www.itu.int/md/S25-CWGSFP3-C-0012/en" TargetMode="External"/><Relationship Id="rId20" Type="http://schemas.openxmlformats.org/officeDocument/2006/relationships/hyperlink" Target="https://www.itu.int/md/S24-CWGSFP1-C-0008/en" TargetMode="External"/><Relationship Id="rId41" Type="http://schemas.openxmlformats.org/officeDocument/2006/relationships/hyperlink" Target="https://www.itu.int/md/S25-CWGSFP2-C-0010/en" TargetMode="External"/><Relationship Id="rId54" Type="http://schemas.openxmlformats.org/officeDocument/2006/relationships/hyperlink" Target="https://www.itu.int/md/S25-CWGSFP3-C-0004/en" TargetMode="External"/><Relationship Id="rId62" Type="http://schemas.openxmlformats.org/officeDocument/2006/relationships/hyperlink" Target="https://www.itu.int/md/S25-CWGSFP3-C-0007/en" TargetMode="External"/><Relationship Id="rId70" Type="http://schemas.openxmlformats.org/officeDocument/2006/relationships/hyperlink" Target="https://www.itu.int/md/S25-CWGSFP3-C-0015/en" TargetMode="External"/><Relationship Id="rId75" Type="http://schemas.openxmlformats.org/officeDocument/2006/relationships/hyperlink" Target="https://www.itu.int/md/S26-CWGSFP4-260112-TD-0002/en" TargetMode="External"/><Relationship Id="rId83" Type="http://schemas.openxmlformats.org/officeDocument/2006/relationships/hyperlink" Target="https://www.itu.int/md/S26-CWGSFP4-C-0008/en" TargetMode="External"/><Relationship Id="rId88" Type="http://schemas.openxmlformats.org/officeDocument/2006/relationships/hyperlink" Target="https://www.itu.int/md/S26-CWGSFP4-C-0013/en" TargetMode="External"/><Relationship Id="rId91" Type="http://schemas.openxmlformats.org/officeDocument/2006/relationships/hyperlink" Target="https://www.itu.int/md/S26-CL-INF-0001/en"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WGSFP1-C-0005/en" TargetMode="External"/><Relationship Id="rId23" Type="http://schemas.openxmlformats.org/officeDocument/2006/relationships/hyperlink" Target="https://www.itu.int/md/S25-CWGSFP2-C-0002/en" TargetMode="External"/><Relationship Id="rId28" Type="http://schemas.openxmlformats.org/officeDocument/2006/relationships/hyperlink" Target="https://www.itu.int/md/S25-CWGSFP2-INF-0005/en" TargetMode="External"/><Relationship Id="rId36" Type="http://schemas.openxmlformats.org/officeDocument/2006/relationships/hyperlink" Target="https://www.itu.int/md/S25-CWGSFP2-INF-0004/en" TargetMode="External"/><Relationship Id="rId49" Type="http://schemas.openxmlformats.org/officeDocument/2006/relationships/hyperlink" Target="https://council.itu.int/2025/wp-content/uploads/sites/5/2025/06/C25-CWG-SFP-Information-Session-23Jun2025.pdf" TargetMode="External"/><Relationship Id="rId57" Type="http://schemas.openxmlformats.org/officeDocument/2006/relationships/hyperlink" Target="https://www.itu.int/md/S25-CWGSFP3-C-0004/en" TargetMode="External"/><Relationship Id="rId10" Type="http://schemas.openxmlformats.org/officeDocument/2006/relationships/hyperlink" Target="https://www.itu.int/md/S24-CL-C-0139/en" TargetMode="External"/><Relationship Id="rId31" Type="http://schemas.openxmlformats.org/officeDocument/2006/relationships/hyperlink" Target="https://www.itu.int/md/S25-CWGSFP2-C-0007/en" TargetMode="External"/><Relationship Id="rId44" Type="http://schemas.openxmlformats.org/officeDocument/2006/relationships/hyperlink" Target="https://www.itu.int/md/S25-CWGSFP2-C-0005/en" TargetMode="External"/><Relationship Id="rId52" Type="http://schemas.openxmlformats.org/officeDocument/2006/relationships/hyperlink" Target="https://www.itu.int/md/S26-CL-INF-0001/en" TargetMode="External"/><Relationship Id="rId60" Type="http://schemas.openxmlformats.org/officeDocument/2006/relationships/hyperlink" Target="https://www.itu.int/md/S25-CWGSFP3-C-0007/en" TargetMode="External"/><Relationship Id="rId65" Type="http://schemas.openxmlformats.org/officeDocument/2006/relationships/hyperlink" Target="https://www.itu.int/md/S25-CWGSFP3-C-0010/en" TargetMode="External"/><Relationship Id="rId73" Type="http://schemas.openxmlformats.org/officeDocument/2006/relationships/hyperlink" Target="https://www.itu.int/md/S26-CWGSFP4-INF-0005/en" TargetMode="External"/><Relationship Id="rId78" Type="http://schemas.openxmlformats.org/officeDocument/2006/relationships/hyperlink" Target="https://www.itu.int/md/S26-CWGSFP4-260112-TD-0001/en" TargetMode="External"/><Relationship Id="rId81" Type="http://schemas.openxmlformats.org/officeDocument/2006/relationships/hyperlink" Target="https://www.itu.int/md/S26-CWGSFP4-C-0006/en" TargetMode="External"/><Relationship Id="rId86" Type="http://schemas.openxmlformats.org/officeDocument/2006/relationships/hyperlink" Target="https://www.itu.int/md/S26-CWGSFP4-C-0011/en" TargetMode="External"/><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Documents/basic-texts-2023/RES-071-a.pdf" TargetMode="External"/><Relationship Id="rId13" Type="http://schemas.openxmlformats.org/officeDocument/2006/relationships/hyperlink" Target="https://www.itu.int/md/S24-CWGSFP1-INF-0003/en" TargetMode="External"/><Relationship Id="rId18" Type="http://schemas.openxmlformats.org/officeDocument/2006/relationships/hyperlink" Target="https://www.itu.int/md/S24-CWGSFP1-C-0007/en" TargetMode="External"/><Relationship Id="rId39" Type="http://schemas.openxmlformats.org/officeDocument/2006/relationships/hyperlink" Target="https://www.itu.int/md/S25-CWGSFP2-C-0008/en" TargetMode="External"/><Relationship Id="rId34" Type="http://schemas.openxmlformats.org/officeDocument/2006/relationships/hyperlink" Target="https://www.itu.int/md/S25-CWGSFP2-INF-0004/en" TargetMode="External"/><Relationship Id="rId50" Type="http://schemas.openxmlformats.org/officeDocument/2006/relationships/hyperlink" Target="https://council.itu.int/2025/wp-content/uploads/sites/5/2025/06/C25-CWG-SFP-Information-Session-23Jun2025.pdf" TargetMode="External"/><Relationship Id="rId55" Type="http://schemas.openxmlformats.org/officeDocument/2006/relationships/hyperlink" Target="https://www.itu.int/md/S25-CWGSFP3-C-0006/en" TargetMode="External"/><Relationship Id="rId76" Type="http://schemas.openxmlformats.org/officeDocument/2006/relationships/hyperlink" Target="https://www.itu.int/md/S26-CWGSFP4-260112-TD-0001/en" TargetMode="External"/><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itu.int/md/S25-CWGSFP3-C-0016/en" TargetMode="External"/><Relationship Id="rId92" Type="http://schemas.openxmlformats.org/officeDocument/2006/relationships/hyperlink" Target="https://www.itu.int/en/council/CWG-SFP-2028-2031/Pages/default.aspx" TargetMode="External"/><Relationship Id="rId2" Type="http://schemas.openxmlformats.org/officeDocument/2006/relationships/numbering" Target="numbering.xml"/><Relationship Id="rId29" Type="http://schemas.openxmlformats.org/officeDocument/2006/relationships/hyperlink" Target="https://www.itu.int/md/S25-CWGSFP2-C-0007/en" TargetMode="External"/><Relationship Id="rId24" Type="http://schemas.openxmlformats.org/officeDocument/2006/relationships/hyperlink" Target="https://www.itu.int/md/S25-CWGSFP2-INF-0002/en" TargetMode="External"/><Relationship Id="rId40" Type="http://schemas.openxmlformats.org/officeDocument/2006/relationships/hyperlink" Target="https://www.itu.int/md/S25-CWGSFP2-C-0009/en" TargetMode="External"/><Relationship Id="rId45" Type="http://schemas.openxmlformats.org/officeDocument/2006/relationships/hyperlink" Target="https://www.itu.int/md/S25-CWGSFP2-C-0008/en" TargetMode="External"/><Relationship Id="rId66" Type="http://schemas.openxmlformats.org/officeDocument/2006/relationships/hyperlink" Target="https://www.itu.int/md/S25-CWGSFP3-C-0011/en" TargetMode="External"/><Relationship Id="rId87" Type="http://schemas.openxmlformats.org/officeDocument/2006/relationships/hyperlink" Target="https://www.itu.int/md/S26-CWGSFP4-C-0012/en" TargetMode="External"/><Relationship Id="rId61" Type="http://schemas.openxmlformats.org/officeDocument/2006/relationships/hyperlink" Target="https://staging.itu.int/en/council/ties/Documents/2025/CWG-SFP-presentation-Sept-2025.pdf" TargetMode="External"/><Relationship Id="rId82" Type="http://schemas.openxmlformats.org/officeDocument/2006/relationships/hyperlink" Target="https://www.itu.int/md/S26-CWGSFP4-C-0007/en" TargetMode="External"/><Relationship Id="rId19" Type="http://schemas.openxmlformats.org/officeDocument/2006/relationships/hyperlink" Target="https://www.itu.int/md/S24-CWGSFP1-C-0008/en" TargetMode="External"/><Relationship Id="rId14" Type="http://schemas.openxmlformats.org/officeDocument/2006/relationships/hyperlink" Target="https://www.itu.int/md/S24-CWGSFP1-INF-0003/en" TargetMode="External"/><Relationship Id="rId30" Type="http://schemas.openxmlformats.org/officeDocument/2006/relationships/hyperlink" Target="https://www.itu.int/md/S25-CWGSFP2-C-0004/en" TargetMode="External"/><Relationship Id="rId35" Type="http://schemas.openxmlformats.org/officeDocument/2006/relationships/hyperlink" Target="https://www.itu.int/md/S25-CWGSFP2-INF-0003/en" TargetMode="External"/><Relationship Id="rId56" Type="http://schemas.openxmlformats.org/officeDocument/2006/relationships/hyperlink" Target="https://www.itu.int/md/S25-CWGSFP3-C-0003/en" TargetMode="External"/><Relationship Id="rId77" Type="http://schemas.openxmlformats.org/officeDocument/2006/relationships/hyperlink" Target="https://www.itu.int/md/S26-CWGSFP4-C-0003/en" TargetMode="External"/><Relationship Id="rId100" Type="http://schemas.openxmlformats.org/officeDocument/2006/relationships/theme" Target="theme/theme1.xml"/><Relationship Id="rId8" Type="http://schemas.openxmlformats.org/officeDocument/2006/relationships/hyperlink" Target="https://www.itu.int/md/S26-CL-C-0032/en" TargetMode="External"/><Relationship Id="rId51" Type="http://schemas.openxmlformats.org/officeDocument/2006/relationships/hyperlink" Target="https://www.itu.int/md/S26-CL-INF-0001/en" TargetMode="External"/><Relationship Id="rId72" Type="http://schemas.openxmlformats.org/officeDocument/2006/relationships/hyperlink" Target="https://www.itu.int/md/S26-CWGSFP4-INF-0005/en" TargetMode="External"/><Relationship Id="rId93" Type="http://schemas.openxmlformats.org/officeDocument/2006/relationships/header" Target="header1.xml"/><Relationship Id="rId9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4</Pages>
  <Words>2246</Words>
  <Characters>13390</Characters>
  <Application>Microsoft Office Word</Application>
  <DocSecurity>0</DocSecurity>
  <Lines>262</Lines>
  <Paragraphs>110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dc:title>
  <dc:subject>ITU Council 2026</dc:subject>
  <cp:keywords>C26; C2026; Council 2026; PP26</cp:keywords>
  <dc:description/>
  <dcterms:created xsi:type="dcterms:W3CDTF">2026-04-09T11:38:00Z</dcterms:created>
  <dcterms:modified xsi:type="dcterms:W3CDTF">2026-04-09T11:38:00Z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