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D72F49" w:rsidRPr="00065CE5" w14:paraId="3E5B252C" w14:textId="77777777" w:rsidTr="00796BDB">
        <w:trPr>
          <w:cantSplit/>
          <w:trHeight w:val="23"/>
        </w:trPr>
        <w:tc>
          <w:tcPr>
            <w:tcW w:w="3969" w:type="dxa"/>
            <w:vMerge w:val="restart"/>
            <w:tcMar>
              <w:left w:w="0" w:type="dxa"/>
            </w:tcMar>
          </w:tcPr>
          <w:p w14:paraId="1C906D2E" w14:textId="29C89895" w:rsidR="00D72F49" w:rsidRPr="00065CE5" w:rsidRDefault="00D72F49" w:rsidP="00796BDB">
            <w:pPr>
              <w:tabs>
                <w:tab w:val="left" w:pos="851"/>
              </w:tabs>
              <w:spacing w:before="0" w:line="240" w:lineRule="atLeast"/>
              <w:rPr>
                <w:b/>
              </w:rPr>
            </w:pPr>
            <w:r w:rsidRPr="00065CE5">
              <w:rPr>
                <w:b/>
              </w:rPr>
              <w:t xml:space="preserve">Point de l'ordre du </w:t>
            </w:r>
            <w:proofErr w:type="gramStart"/>
            <w:r w:rsidRPr="00065CE5">
              <w:rPr>
                <w:b/>
              </w:rPr>
              <w:t>jour:</w:t>
            </w:r>
            <w:proofErr w:type="gramEnd"/>
            <w:r w:rsidR="00323C50" w:rsidRPr="00065CE5">
              <w:rPr>
                <w:b/>
              </w:rPr>
              <w:t xml:space="preserve"> </w:t>
            </w:r>
            <w:proofErr w:type="spellStart"/>
            <w:r w:rsidR="00323C50" w:rsidRPr="00065CE5">
              <w:rPr>
                <w:b/>
              </w:rPr>
              <w:t>PL</w:t>
            </w:r>
            <w:r w:rsidR="00957B32">
              <w:rPr>
                <w:b/>
              </w:rPr>
              <w:t>-</w:t>
            </w:r>
            <w:r w:rsidR="00323C50" w:rsidRPr="00065CE5">
              <w:rPr>
                <w:b/>
              </w:rPr>
              <w:t>3</w:t>
            </w:r>
            <w:proofErr w:type="spellEnd"/>
          </w:p>
        </w:tc>
        <w:tc>
          <w:tcPr>
            <w:tcW w:w="5245" w:type="dxa"/>
          </w:tcPr>
          <w:p w14:paraId="6BB94A0F" w14:textId="0998C1DA" w:rsidR="00D72F49" w:rsidRPr="00065CE5" w:rsidRDefault="00D72F49" w:rsidP="00796BDB">
            <w:pPr>
              <w:tabs>
                <w:tab w:val="left" w:pos="851"/>
              </w:tabs>
              <w:spacing w:before="0" w:line="240" w:lineRule="atLeast"/>
              <w:jc w:val="right"/>
              <w:rPr>
                <w:b/>
              </w:rPr>
            </w:pPr>
            <w:r w:rsidRPr="00065CE5">
              <w:rPr>
                <w:b/>
              </w:rPr>
              <w:t>Document C2</w:t>
            </w:r>
            <w:r w:rsidR="00E4448E" w:rsidRPr="00065CE5">
              <w:rPr>
                <w:b/>
              </w:rPr>
              <w:t>6</w:t>
            </w:r>
            <w:r w:rsidRPr="00065CE5">
              <w:rPr>
                <w:b/>
              </w:rPr>
              <w:t>/</w:t>
            </w:r>
            <w:r w:rsidR="00323C50" w:rsidRPr="00065CE5">
              <w:rPr>
                <w:b/>
              </w:rPr>
              <w:t>30</w:t>
            </w:r>
            <w:r w:rsidRPr="00065CE5">
              <w:rPr>
                <w:b/>
              </w:rPr>
              <w:t>-F</w:t>
            </w:r>
          </w:p>
        </w:tc>
      </w:tr>
      <w:tr w:rsidR="00D72F49" w:rsidRPr="00065CE5" w14:paraId="4873E92C" w14:textId="77777777" w:rsidTr="00796BDB">
        <w:trPr>
          <w:cantSplit/>
        </w:trPr>
        <w:tc>
          <w:tcPr>
            <w:tcW w:w="3969" w:type="dxa"/>
            <w:vMerge/>
          </w:tcPr>
          <w:p w14:paraId="49ADEF69" w14:textId="77777777" w:rsidR="00D72F49" w:rsidRPr="00065CE5" w:rsidRDefault="00D72F49" w:rsidP="00796BDB">
            <w:pPr>
              <w:tabs>
                <w:tab w:val="left" w:pos="851"/>
              </w:tabs>
              <w:spacing w:line="240" w:lineRule="atLeast"/>
              <w:rPr>
                <w:b/>
              </w:rPr>
            </w:pPr>
          </w:p>
        </w:tc>
        <w:tc>
          <w:tcPr>
            <w:tcW w:w="5245" w:type="dxa"/>
          </w:tcPr>
          <w:p w14:paraId="30C67499" w14:textId="69E18171" w:rsidR="00D72F49" w:rsidRPr="00065CE5" w:rsidRDefault="00323C50" w:rsidP="00796BDB">
            <w:pPr>
              <w:tabs>
                <w:tab w:val="left" w:pos="851"/>
              </w:tabs>
              <w:spacing w:before="0"/>
              <w:jc w:val="right"/>
              <w:rPr>
                <w:b/>
              </w:rPr>
            </w:pPr>
            <w:r w:rsidRPr="00065CE5">
              <w:rPr>
                <w:b/>
              </w:rPr>
              <w:t>11 mars 2026</w:t>
            </w:r>
          </w:p>
        </w:tc>
      </w:tr>
      <w:tr w:rsidR="00D72F49" w:rsidRPr="00065CE5" w14:paraId="076FCEA1" w14:textId="77777777" w:rsidTr="00796BDB">
        <w:trPr>
          <w:cantSplit/>
          <w:trHeight w:val="23"/>
        </w:trPr>
        <w:tc>
          <w:tcPr>
            <w:tcW w:w="3969" w:type="dxa"/>
            <w:vMerge/>
          </w:tcPr>
          <w:p w14:paraId="21C523CA" w14:textId="77777777" w:rsidR="00D72F49" w:rsidRPr="00065CE5" w:rsidRDefault="00D72F49" w:rsidP="00796BDB">
            <w:pPr>
              <w:tabs>
                <w:tab w:val="left" w:pos="851"/>
              </w:tabs>
              <w:spacing w:line="240" w:lineRule="atLeast"/>
              <w:rPr>
                <w:b/>
              </w:rPr>
            </w:pPr>
          </w:p>
        </w:tc>
        <w:tc>
          <w:tcPr>
            <w:tcW w:w="5245" w:type="dxa"/>
          </w:tcPr>
          <w:p w14:paraId="22FAB7F4" w14:textId="77777777" w:rsidR="00D72F49" w:rsidRPr="00065CE5" w:rsidRDefault="00D72F49" w:rsidP="00796BDB">
            <w:pPr>
              <w:tabs>
                <w:tab w:val="left" w:pos="851"/>
              </w:tabs>
              <w:spacing w:before="0" w:line="240" w:lineRule="atLeast"/>
              <w:jc w:val="right"/>
              <w:rPr>
                <w:b/>
              </w:rPr>
            </w:pPr>
            <w:r w:rsidRPr="00065CE5">
              <w:rPr>
                <w:b/>
              </w:rPr>
              <w:t>Original: anglais</w:t>
            </w:r>
          </w:p>
        </w:tc>
      </w:tr>
      <w:tr w:rsidR="00D72F49" w:rsidRPr="00065CE5" w14:paraId="611A4128" w14:textId="77777777" w:rsidTr="00796BDB">
        <w:trPr>
          <w:cantSplit/>
          <w:trHeight w:val="23"/>
        </w:trPr>
        <w:tc>
          <w:tcPr>
            <w:tcW w:w="3969" w:type="dxa"/>
          </w:tcPr>
          <w:p w14:paraId="6756B8CC" w14:textId="77777777" w:rsidR="00D72F49" w:rsidRPr="00065CE5" w:rsidRDefault="00D72F49" w:rsidP="00796BDB">
            <w:pPr>
              <w:tabs>
                <w:tab w:val="left" w:pos="851"/>
              </w:tabs>
              <w:spacing w:line="240" w:lineRule="atLeast"/>
              <w:rPr>
                <w:b/>
              </w:rPr>
            </w:pPr>
          </w:p>
        </w:tc>
        <w:tc>
          <w:tcPr>
            <w:tcW w:w="5245" w:type="dxa"/>
          </w:tcPr>
          <w:p w14:paraId="04FC60CD" w14:textId="77777777" w:rsidR="00D72F49" w:rsidRPr="00065CE5" w:rsidRDefault="00D72F49" w:rsidP="00796BDB">
            <w:pPr>
              <w:tabs>
                <w:tab w:val="left" w:pos="851"/>
              </w:tabs>
              <w:spacing w:before="0" w:line="240" w:lineRule="atLeast"/>
              <w:jc w:val="right"/>
              <w:rPr>
                <w:b/>
              </w:rPr>
            </w:pPr>
          </w:p>
        </w:tc>
      </w:tr>
      <w:tr w:rsidR="00D72F49" w:rsidRPr="00065CE5" w14:paraId="5F3E0569" w14:textId="77777777" w:rsidTr="00796BDB">
        <w:trPr>
          <w:cantSplit/>
        </w:trPr>
        <w:tc>
          <w:tcPr>
            <w:tcW w:w="9214" w:type="dxa"/>
            <w:gridSpan w:val="2"/>
            <w:tcMar>
              <w:left w:w="0" w:type="dxa"/>
            </w:tcMar>
          </w:tcPr>
          <w:p w14:paraId="47428D92" w14:textId="77777777" w:rsidR="00D72F49" w:rsidRPr="00065CE5" w:rsidRDefault="00D72F49" w:rsidP="00796BDB">
            <w:pPr>
              <w:pStyle w:val="Source"/>
              <w:jc w:val="left"/>
              <w:rPr>
                <w:sz w:val="34"/>
                <w:szCs w:val="34"/>
              </w:rPr>
            </w:pPr>
            <w:r w:rsidRPr="00065CE5">
              <w:rPr>
                <w:rFonts w:cstheme="minorHAnsi"/>
                <w:color w:val="000000"/>
                <w:sz w:val="34"/>
                <w:szCs w:val="34"/>
              </w:rPr>
              <w:t xml:space="preserve">Rapport </w:t>
            </w:r>
            <w:r w:rsidR="00E95647" w:rsidRPr="00065CE5">
              <w:rPr>
                <w:rFonts w:cstheme="minorHAnsi"/>
                <w:color w:val="000000"/>
                <w:sz w:val="34"/>
                <w:szCs w:val="34"/>
              </w:rPr>
              <w:t xml:space="preserve">de la </w:t>
            </w:r>
            <w:r w:rsidRPr="00065CE5">
              <w:rPr>
                <w:rFonts w:cstheme="minorHAnsi"/>
                <w:color w:val="000000"/>
                <w:sz w:val="34"/>
                <w:szCs w:val="34"/>
              </w:rPr>
              <w:t>Secrétaire général</w:t>
            </w:r>
            <w:r w:rsidR="00E95647" w:rsidRPr="00065CE5">
              <w:rPr>
                <w:rFonts w:cstheme="minorHAnsi"/>
                <w:color w:val="000000"/>
                <w:sz w:val="34"/>
                <w:szCs w:val="34"/>
              </w:rPr>
              <w:t>e</w:t>
            </w:r>
          </w:p>
        </w:tc>
      </w:tr>
      <w:tr w:rsidR="00D72F49" w:rsidRPr="00065CE5" w14:paraId="00C1EFF4" w14:textId="77777777" w:rsidTr="00796BDB">
        <w:trPr>
          <w:cantSplit/>
        </w:trPr>
        <w:tc>
          <w:tcPr>
            <w:tcW w:w="9214" w:type="dxa"/>
            <w:gridSpan w:val="2"/>
            <w:tcMar>
              <w:left w:w="0" w:type="dxa"/>
            </w:tcMar>
          </w:tcPr>
          <w:p w14:paraId="69627225" w14:textId="21C1C654" w:rsidR="00D72F49" w:rsidRPr="00065CE5" w:rsidRDefault="006B0A05" w:rsidP="00796BDB">
            <w:pPr>
              <w:pStyle w:val="Subtitle"/>
              <w:framePr w:hSpace="0" w:wrap="auto" w:hAnchor="text" w:xAlign="left" w:yAlign="inline"/>
              <w:rPr>
                <w:sz w:val="32"/>
                <w:szCs w:val="32"/>
                <w:lang w:val="fr-FR"/>
              </w:rPr>
            </w:pPr>
            <w:r w:rsidRPr="00065CE5">
              <w:rPr>
                <w:rFonts w:cstheme="minorHAnsi"/>
                <w:sz w:val="32"/>
                <w:szCs w:val="32"/>
                <w:lang w:val="fr-FR"/>
              </w:rPr>
              <w:t>RAPPORT SUR LA CONFÉRENCE MONDIALE DE DÉVELOPPEMENT DES TÉLÉCOMMUNICATIONS DE 2025</w:t>
            </w:r>
          </w:p>
        </w:tc>
      </w:tr>
      <w:tr w:rsidR="00D72F49" w:rsidRPr="00065CE5" w14:paraId="1605B164" w14:textId="77777777" w:rsidTr="00796BDB">
        <w:trPr>
          <w:cantSplit/>
        </w:trPr>
        <w:tc>
          <w:tcPr>
            <w:tcW w:w="9214" w:type="dxa"/>
            <w:gridSpan w:val="2"/>
            <w:tcBorders>
              <w:top w:val="single" w:sz="4" w:space="0" w:color="auto"/>
              <w:bottom w:val="single" w:sz="4" w:space="0" w:color="auto"/>
            </w:tcBorders>
            <w:tcMar>
              <w:left w:w="0" w:type="dxa"/>
            </w:tcMar>
          </w:tcPr>
          <w:p w14:paraId="2B1F1672" w14:textId="77777777" w:rsidR="00D72F49" w:rsidRPr="00065CE5" w:rsidRDefault="00F37FE5" w:rsidP="00796BDB">
            <w:pPr>
              <w:spacing w:before="160"/>
              <w:rPr>
                <w:b/>
                <w:bCs/>
                <w:sz w:val="26"/>
                <w:szCs w:val="26"/>
              </w:rPr>
            </w:pPr>
            <w:r w:rsidRPr="00065CE5">
              <w:rPr>
                <w:b/>
                <w:bCs/>
                <w:sz w:val="26"/>
                <w:szCs w:val="26"/>
              </w:rPr>
              <w:t>Objet</w:t>
            </w:r>
          </w:p>
          <w:p w14:paraId="62ACCCBC" w14:textId="0E96518D" w:rsidR="00D72F49" w:rsidRPr="00065CE5" w:rsidRDefault="00E34212" w:rsidP="00796BDB">
            <w:r w:rsidRPr="00065CE5">
              <w:t>Le présent document rend compte des résultats de la CMDT-25.</w:t>
            </w:r>
          </w:p>
          <w:p w14:paraId="1A372BEB" w14:textId="77777777" w:rsidR="00D72F49" w:rsidRPr="00065CE5" w:rsidRDefault="00D72F49" w:rsidP="00796BDB">
            <w:pPr>
              <w:spacing w:before="160"/>
              <w:rPr>
                <w:b/>
                <w:bCs/>
                <w:sz w:val="26"/>
                <w:szCs w:val="26"/>
              </w:rPr>
            </w:pPr>
            <w:r w:rsidRPr="00065CE5">
              <w:rPr>
                <w:b/>
                <w:bCs/>
                <w:sz w:val="26"/>
                <w:szCs w:val="26"/>
              </w:rPr>
              <w:t>Suite à donner par le Conseil</w:t>
            </w:r>
          </w:p>
          <w:p w14:paraId="519C8979" w14:textId="79B646C8" w:rsidR="00D72F49" w:rsidRPr="00065CE5" w:rsidRDefault="00E34212" w:rsidP="00796BDB">
            <w:r w:rsidRPr="00065CE5">
              <w:t xml:space="preserve">Le Conseil est invité </w:t>
            </w:r>
            <w:r w:rsidRPr="00065CE5">
              <w:rPr>
                <w:b/>
                <w:bCs/>
              </w:rPr>
              <w:t>à prendre note</w:t>
            </w:r>
            <w:r w:rsidRPr="00065CE5">
              <w:t xml:space="preserve"> du présent rapport.</w:t>
            </w:r>
          </w:p>
          <w:p w14:paraId="7D52BC26" w14:textId="77777777" w:rsidR="00D72F49" w:rsidRPr="00065CE5" w:rsidRDefault="00D72F49" w:rsidP="00796BDB">
            <w:pPr>
              <w:spacing w:before="160"/>
              <w:rPr>
                <w:b/>
                <w:bCs/>
                <w:sz w:val="26"/>
                <w:szCs w:val="26"/>
              </w:rPr>
            </w:pPr>
            <w:r w:rsidRPr="00065CE5">
              <w:rPr>
                <w:b/>
                <w:bCs/>
                <w:sz w:val="26"/>
                <w:szCs w:val="26"/>
              </w:rPr>
              <w:t xml:space="preserve">Lien(s) pertinent(s) avec le </w:t>
            </w:r>
            <w:r w:rsidR="00F37FE5" w:rsidRPr="00065CE5">
              <w:rPr>
                <w:b/>
                <w:bCs/>
                <w:sz w:val="26"/>
                <w:szCs w:val="26"/>
              </w:rPr>
              <w:t>p</w:t>
            </w:r>
            <w:r w:rsidRPr="00065CE5">
              <w:rPr>
                <w:b/>
                <w:bCs/>
                <w:sz w:val="26"/>
                <w:szCs w:val="26"/>
              </w:rPr>
              <w:t>lan stratégique</w:t>
            </w:r>
          </w:p>
          <w:p w14:paraId="6A08EBCC" w14:textId="492BF53A" w:rsidR="00D72F49" w:rsidRPr="00065CE5" w:rsidRDefault="00E34212" w:rsidP="006B0A05">
            <w:pPr>
              <w:jc w:val="both"/>
            </w:pPr>
            <w:r w:rsidRPr="00065CE5">
              <w:t xml:space="preserve">Plate-forme fédératrice; travaux reposant sur les contributions des membres; présence régionale; toutes les priorités thématiques. La CMDT-25 a finalisé et approuvé la contribution de l'UIT-D au </w:t>
            </w:r>
            <w:hyperlink r:id="rId7" w:history="1">
              <w:r w:rsidRPr="00065CE5">
                <w:rPr>
                  <w:rStyle w:val="Hyperlink"/>
                  <w:rFonts w:eastAsia="Times New Roman" w:cs="Times New Roman"/>
                  <w:szCs w:val="20"/>
                </w:rPr>
                <w:t>Plan stratégique et au Plan financier de l'UIT pour la période 2028-2031</w:t>
              </w:r>
            </w:hyperlink>
            <w:r w:rsidRPr="00065CE5">
              <w:t>.</w:t>
            </w:r>
          </w:p>
          <w:p w14:paraId="734AE3D2" w14:textId="77777777" w:rsidR="00E95647" w:rsidRPr="00065CE5" w:rsidRDefault="00D72F49" w:rsidP="00796BDB">
            <w:pPr>
              <w:spacing w:before="160"/>
              <w:rPr>
                <w:b/>
                <w:bCs/>
                <w:sz w:val="26"/>
                <w:szCs w:val="26"/>
              </w:rPr>
            </w:pPr>
            <w:r w:rsidRPr="00065CE5">
              <w:rPr>
                <w:b/>
                <w:bCs/>
                <w:sz w:val="26"/>
                <w:szCs w:val="26"/>
              </w:rPr>
              <w:t>Incidences financières</w:t>
            </w:r>
          </w:p>
          <w:p w14:paraId="1B12F304" w14:textId="67EA26E5" w:rsidR="00D72F49" w:rsidRPr="00065CE5" w:rsidRDefault="00E34212" w:rsidP="006B0A05">
            <w:pPr>
              <w:jc w:val="both"/>
              <w:rPr>
                <w:szCs w:val="24"/>
              </w:rPr>
            </w:pPr>
            <w:r w:rsidRPr="00065CE5">
              <w:rPr>
                <w:szCs w:val="24"/>
              </w:rPr>
              <w:t xml:space="preserve">Les résultats de la CMDT-25 sont mis en œuvre au moyen du budget ordinaire, ainsi que des fonds extrabudgétaires reçus dans le cadre de projets et de contributions volontaires. Un </w:t>
            </w:r>
            <w:hyperlink r:id="rId8" w:history="1">
              <w:r w:rsidRPr="00065CE5">
                <w:rPr>
                  <w:rStyle w:val="Hyperlink"/>
                  <w:rFonts w:eastAsia="Times New Roman" w:cs="Times New Roman"/>
                  <w:szCs w:val="24"/>
                </w:rPr>
                <w:t>rapport</w:t>
              </w:r>
            </w:hyperlink>
            <w:r w:rsidRPr="00065CE5">
              <w:rPr>
                <w:szCs w:val="24"/>
              </w:rPr>
              <w:t xml:space="preserve"> distinct sur les incidences financières des Résolutions adoptées par la CMDT-25 a été présenté à la réunion de 2026 du Groupe consultatif pour le développement des télécommunications (GCDT-26).</w:t>
            </w:r>
          </w:p>
          <w:p w14:paraId="4101A084" w14:textId="77777777" w:rsidR="00D72F49" w:rsidRPr="00065CE5" w:rsidRDefault="00D72F49" w:rsidP="00796BDB">
            <w:pPr>
              <w:spacing w:before="160"/>
              <w:rPr>
                <w:caps/>
                <w:sz w:val="22"/>
              </w:rPr>
            </w:pPr>
            <w:r w:rsidRPr="00065CE5">
              <w:rPr>
                <w:sz w:val="22"/>
              </w:rPr>
              <w:t>__________________</w:t>
            </w:r>
          </w:p>
          <w:p w14:paraId="7677CD67" w14:textId="77777777" w:rsidR="00D72F49" w:rsidRPr="00065CE5" w:rsidRDefault="00D72F49" w:rsidP="00796BDB">
            <w:pPr>
              <w:spacing w:before="160"/>
              <w:rPr>
                <w:b/>
                <w:bCs/>
                <w:sz w:val="26"/>
                <w:szCs w:val="26"/>
              </w:rPr>
            </w:pPr>
            <w:r w:rsidRPr="00065CE5">
              <w:rPr>
                <w:b/>
                <w:bCs/>
                <w:sz w:val="26"/>
                <w:szCs w:val="26"/>
              </w:rPr>
              <w:t>Références</w:t>
            </w:r>
          </w:p>
          <w:p w14:paraId="6D0FE65F" w14:textId="037B5794" w:rsidR="00D72F49" w:rsidRPr="00957B32" w:rsidRDefault="00E34212" w:rsidP="00CE5172">
            <w:pPr>
              <w:pStyle w:val="Referencetext"/>
              <w:framePr w:hSpace="0" w:wrap="auto" w:vAnchor="margin" w:hAnchor="text" w:xAlign="left" w:yAlign="inline"/>
            </w:pPr>
            <w:hyperlink r:id="rId9" w:history="1">
              <w:r w:rsidRPr="00957B32">
                <w:rPr>
                  <w:rStyle w:val="Hyperlink"/>
                  <w:rFonts w:eastAsia="Times New Roman" w:cs="Times New Roman"/>
                </w:rPr>
                <w:t>Rapport final de la CMDT-25</w:t>
              </w:r>
            </w:hyperlink>
            <w:r w:rsidRPr="00957B32">
              <w:t xml:space="preserve">, Document </w:t>
            </w:r>
            <w:hyperlink r:id="rId10" w:history="1">
              <w:r w:rsidRPr="00957B32">
                <w:rPr>
                  <w:rStyle w:val="Hyperlink"/>
                  <w:rFonts w:eastAsia="Times New Roman" w:cs="Times New Roman"/>
                </w:rPr>
                <w:t>TDAG-26/3</w:t>
              </w:r>
            </w:hyperlink>
          </w:p>
        </w:tc>
      </w:tr>
    </w:tbl>
    <w:p w14:paraId="1F9DE263" w14:textId="77777777" w:rsidR="00A51849" w:rsidRPr="00065CE5" w:rsidRDefault="00A51849">
      <w:pPr>
        <w:tabs>
          <w:tab w:val="clear" w:pos="567"/>
          <w:tab w:val="clear" w:pos="1134"/>
          <w:tab w:val="clear" w:pos="1701"/>
          <w:tab w:val="clear" w:pos="2268"/>
          <w:tab w:val="clear" w:pos="2835"/>
        </w:tabs>
        <w:overflowPunct/>
        <w:autoSpaceDE/>
        <w:autoSpaceDN/>
        <w:adjustRightInd/>
        <w:spacing w:before="0"/>
        <w:textAlignment w:val="auto"/>
      </w:pPr>
      <w:r w:rsidRPr="00065CE5">
        <w:br w:type="page"/>
      </w:r>
    </w:p>
    <w:p w14:paraId="2611E9A7" w14:textId="3771095C" w:rsidR="000957BF" w:rsidRPr="00065CE5" w:rsidRDefault="000957BF" w:rsidP="000957BF">
      <w:pPr>
        <w:pStyle w:val="Heading1"/>
      </w:pPr>
      <w:r w:rsidRPr="00065CE5">
        <w:lastRenderedPageBreak/>
        <w:t>1</w:t>
      </w:r>
      <w:r w:rsidRPr="00065CE5">
        <w:tab/>
      </w:r>
      <w:r w:rsidR="00DE363B" w:rsidRPr="00065CE5">
        <w:t>Considérations générales</w:t>
      </w:r>
    </w:p>
    <w:p w14:paraId="6B8957F9" w14:textId="413085A3" w:rsidR="000957BF" w:rsidRPr="00065CE5" w:rsidRDefault="000957BF" w:rsidP="00957B32">
      <w:pPr>
        <w:jc w:val="both"/>
      </w:pPr>
      <w:r w:rsidRPr="00065CE5">
        <w:t>1.1</w:t>
      </w:r>
      <w:r w:rsidRPr="00065CE5">
        <w:tab/>
        <w:t>La neuvième Conférence mondiale de développement des télécommunications de 2025 (</w:t>
      </w:r>
      <w:hyperlink r:id="rId11" w:anchor="/fr" w:history="1">
        <w:r w:rsidRPr="00065CE5">
          <w:rPr>
            <w:rStyle w:val="Hyperlink"/>
            <w:rFonts w:eastAsia="Times New Roman" w:cs="Times New Roman"/>
            <w:szCs w:val="20"/>
          </w:rPr>
          <w:t>CMDT-25</w:t>
        </w:r>
      </w:hyperlink>
      <w:r w:rsidRPr="00065CE5">
        <w:t>), qui s'est tenue du 17 au 28 novembre 2025 à Bakou (Azerbaïdjan), a marqué une étape importante pour la connectivité mondiale et le développement du numérique. Présidée par S. E. M. Samaddin Asadov, Vice-Ministre du développement du numérique et des transports de la République d'Azerbaïdjan, la CMDT-25 a rassemblé environ 2 000 participants, dont des États Membres, des Membres de Secteur, des Associés et des établissements universitaires de plus de 150 pays.</w:t>
      </w:r>
    </w:p>
    <w:p w14:paraId="0F00DB1A" w14:textId="72B3C82F" w:rsidR="000957BF" w:rsidRPr="006839D0" w:rsidRDefault="000957BF" w:rsidP="00957B32">
      <w:pPr>
        <w:jc w:val="both"/>
        <w:rPr>
          <w:spacing w:val="-3"/>
        </w:rPr>
      </w:pPr>
      <w:r w:rsidRPr="006839D0">
        <w:rPr>
          <w:spacing w:val="-3"/>
        </w:rPr>
        <w:t>1.2</w:t>
      </w:r>
      <w:r w:rsidRPr="006839D0">
        <w:rPr>
          <w:spacing w:val="-3"/>
        </w:rPr>
        <w:tab/>
        <w:t>Placée sous le thème "</w:t>
      </w:r>
      <w:r w:rsidRPr="006839D0">
        <w:rPr>
          <w:b/>
          <w:bCs/>
          <w:spacing w:val="-3"/>
        </w:rPr>
        <w:t>Une connectivité universelle, efficace et financièrement abordable pour un avenir numérique inclusif et durable</w:t>
      </w:r>
      <w:r w:rsidRPr="006839D0">
        <w:rPr>
          <w:spacing w:val="-3"/>
        </w:rPr>
        <w:t>", la CMDT-25 a réuni 1 939 participants (1</w:t>
      </w:r>
      <w:r w:rsidR="006839D0" w:rsidRPr="006839D0">
        <w:rPr>
          <w:spacing w:val="-3"/>
        </w:rPr>
        <w:t> </w:t>
      </w:r>
      <w:r w:rsidRPr="006839D0">
        <w:rPr>
          <w:spacing w:val="-3"/>
        </w:rPr>
        <w:t>704 en présentiel et 235 en ligne). Les participants à la Conférence représentaient 153</w:t>
      </w:r>
      <w:r w:rsidR="006839D0" w:rsidRPr="006839D0">
        <w:rPr>
          <w:spacing w:val="-3"/>
        </w:rPr>
        <w:t> </w:t>
      </w:r>
      <w:r w:rsidRPr="006839D0">
        <w:rPr>
          <w:spacing w:val="-3"/>
        </w:rPr>
        <w:t>États Membres, 93</w:t>
      </w:r>
      <w:r w:rsidR="006839D0" w:rsidRPr="006839D0">
        <w:rPr>
          <w:spacing w:val="-3"/>
        </w:rPr>
        <w:t> </w:t>
      </w:r>
      <w:r w:rsidRPr="006839D0">
        <w:rPr>
          <w:spacing w:val="-3"/>
        </w:rPr>
        <w:t>Membres du Secteur du développement des télécommunications de l'UIT (UIT-D), 11</w:t>
      </w:r>
      <w:r w:rsidR="006839D0">
        <w:rPr>
          <w:spacing w:val="-3"/>
        </w:rPr>
        <w:t> </w:t>
      </w:r>
      <w:r w:rsidRPr="006839D0">
        <w:rPr>
          <w:spacing w:val="-3"/>
        </w:rPr>
        <w:t>établissements universitaires et un observateur au titre de la Résolution 99 de la Conférence de plénipotentiaires ainsi que l'Organisation des Nations Unies et ses institutions spécialisées.</w:t>
      </w:r>
    </w:p>
    <w:p w14:paraId="2EE240CC" w14:textId="40610930" w:rsidR="000957BF" w:rsidRPr="00065CE5" w:rsidRDefault="000957BF" w:rsidP="00957B32">
      <w:pPr>
        <w:jc w:val="both"/>
      </w:pPr>
      <w:r w:rsidRPr="00065CE5">
        <w:t>1.3</w:t>
      </w:r>
      <w:r w:rsidRPr="00065CE5">
        <w:tab/>
        <w:t xml:space="preserve">Au cours des deux premiers jours de la CMDT-25, les sessions du </w:t>
      </w:r>
      <w:hyperlink r:id="rId12" w:anchor="/fr" w:history="1">
        <w:r w:rsidRPr="00065CE5">
          <w:rPr>
            <w:rStyle w:val="Hyperlink"/>
            <w:rFonts w:eastAsia="Times New Roman" w:cs="Times New Roman"/>
            <w:szCs w:val="20"/>
          </w:rPr>
          <w:t>Segment de haut niveau</w:t>
        </w:r>
      </w:hyperlink>
      <w:r w:rsidRPr="00065CE5">
        <w:t xml:space="preserve"> ont permis aux hauts fonctionnaires et aux éminents représentants des États</w:t>
      </w:r>
      <w:r w:rsidR="008232EE" w:rsidRPr="00065CE5">
        <w:t xml:space="preserve"> </w:t>
      </w:r>
      <w:r w:rsidRPr="00065CE5">
        <w:t xml:space="preserve">Membres de l'UIT d'échanger des idées et des priorités stratégiques sur le développement des télécommunications et des TIC dans le monde. Ces sessions, auxquelles ont participé des ministres, des vice-ministres, des ambassadeurs, des responsables de la réglementation et des hauts dirigeants, témoignent de la ferme volonté de la communauté internationale de promouvoir les progrès sur le plan du numérique. Axées sur le thème d'une connectivité universelle, efficace et financièrement abordable, les discussions ont été l'occasion de mettre en avant les réalisations au niveau national et de proposer des recommandations orientées vers l'avenir pour les travaux de l'UIT-D. De plus amples renseignements sur le Segment de haut niveau sont disponibles sur le </w:t>
      </w:r>
      <w:hyperlink r:id="rId13" w:anchor="/fr" w:history="1">
        <w:r w:rsidRPr="00065CE5">
          <w:rPr>
            <w:rStyle w:val="Hyperlink"/>
            <w:rFonts w:eastAsia="Times New Roman" w:cs="Times New Roman"/>
            <w:szCs w:val="20"/>
          </w:rPr>
          <w:t>site web de la CMDT-25</w:t>
        </w:r>
      </w:hyperlink>
      <w:r w:rsidRPr="00065CE5">
        <w:t>.</w:t>
      </w:r>
    </w:p>
    <w:p w14:paraId="38DCAF79" w14:textId="52D09A36" w:rsidR="000957BF" w:rsidRPr="00065CE5" w:rsidRDefault="000957BF" w:rsidP="00957B32">
      <w:pPr>
        <w:jc w:val="both"/>
      </w:pPr>
      <w:r w:rsidRPr="00065CE5">
        <w:t>1.4</w:t>
      </w:r>
      <w:r w:rsidRPr="00065CE5">
        <w:tab/>
        <w:t>Avant l'ouverture de la CMDT-25, une célébration mondiale du rôle des jeunes, pleine d'allant, a été organisée à Bakou, à laquelle ont participé de jeunes dirigeants, des innovateurs du numérique et des étudiants du monde entier. Cette manifestation a permis aux jeunes de présenter leurs idées, de contribuer aux discussions sur l'inclusion numérique et d'interagir directement avec les décideurs et les experts du secteur. Environ 400</w:t>
      </w:r>
      <w:r w:rsidR="008232EE" w:rsidRPr="00065CE5">
        <w:t> </w:t>
      </w:r>
      <w:r w:rsidRPr="00065CE5">
        <w:t>représentants de la jeunesse de 45 pays ont participé à cette manifestation, soulignant ainsi l'engagement diversifié et enthousiaste de la nouvelle génération dans la construction de l'avenir des télécommunications et du développement du numérique.</w:t>
      </w:r>
    </w:p>
    <w:p w14:paraId="054474E0" w14:textId="77777777" w:rsidR="000957BF" w:rsidRPr="00065CE5" w:rsidRDefault="000957BF" w:rsidP="000957BF">
      <w:r w:rsidRPr="00065CE5">
        <w:t>1.5</w:t>
      </w:r>
      <w:r w:rsidRPr="00065CE5">
        <w:tab/>
        <w:t>La CMDT-25 a abouti aux principaux résultats suivants:</w:t>
      </w:r>
    </w:p>
    <w:p w14:paraId="2E446688" w14:textId="2632DB72" w:rsidR="000957BF" w:rsidRPr="00065CE5" w:rsidRDefault="000957BF" w:rsidP="00957B32">
      <w:pPr>
        <w:pStyle w:val="enumlev1"/>
        <w:jc w:val="both"/>
      </w:pPr>
      <w:r w:rsidRPr="00065CE5">
        <w:t>–</w:t>
      </w:r>
      <w:r w:rsidRPr="00065CE5">
        <w:tab/>
        <w:t xml:space="preserve">La </w:t>
      </w:r>
      <w:hyperlink r:id="rId14" w:history="1">
        <w:r w:rsidRPr="00065CE5">
          <w:rPr>
            <w:rStyle w:val="Hyperlink"/>
            <w:rFonts w:eastAsia="Times New Roman" w:cs="Times New Roman"/>
            <w:szCs w:val="20"/>
          </w:rPr>
          <w:t>Déclaration de Bakou</w:t>
        </w:r>
      </w:hyperlink>
      <w:r w:rsidRPr="00065CE5">
        <w:t>, qui met en évidence les principales conclusions et priorités établies par la Conférence et renforce l'appui politique en faveur de la mission de développement et des objectifs stratégiques de l'UIT.</w:t>
      </w:r>
    </w:p>
    <w:p w14:paraId="111E28E1" w14:textId="36A3A6C6" w:rsidR="000957BF" w:rsidRPr="00065CE5" w:rsidRDefault="000957BF" w:rsidP="00957B32">
      <w:pPr>
        <w:pStyle w:val="enumlev1"/>
        <w:jc w:val="both"/>
      </w:pPr>
      <w:r w:rsidRPr="00065CE5">
        <w:t>–</w:t>
      </w:r>
      <w:r w:rsidRPr="00065CE5">
        <w:tab/>
        <w:t xml:space="preserve">Le </w:t>
      </w:r>
      <w:hyperlink r:id="rId15" w:history="1">
        <w:r w:rsidRPr="00065CE5">
          <w:rPr>
            <w:rStyle w:val="Hyperlink"/>
            <w:rFonts w:eastAsia="Times New Roman" w:cs="Times New Roman"/>
            <w:szCs w:val="20"/>
          </w:rPr>
          <w:t>Plan d'action de Bakou</w:t>
        </w:r>
      </w:hyperlink>
      <w:r w:rsidRPr="00065CE5">
        <w:t>, plan détaillé qui fixe les priorités de l'UIT-D, oriente les initiatives de l'UIT en matière de développement du numérique et encourage le développement durable des réseaux et services de télécommunication/TIC pour la période 2026-2029.</w:t>
      </w:r>
    </w:p>
    <w:p w14:paraId="4D12FF6D" w14:textId="63426300" w:rsidR="000957BF" w:rsidRPr="00065CE5" w:rsidRDefault="000957BF" w:rsidP="00957B32">
      <w:pPr>
        <w:pStyle w:val="enumlev1"/>
        <w:jc w:val="both"/>
      </w:pPr>
      <w:r w:rsidRPr="00065CE5">
        <w:t>–</w:t>
      </w:r>
      <w:r w:rsidRPr="00065CE5">
        <w:tab/>
        <w:t xml:space="preserve">Des </w:t>
      </w:r>
      <w:hyperlink r:id="rId16" w:history="1">
        <w:r w:rsidRPr="00065CE5">
          <w:rPr>
            <w:rStyle w:val="Hyperlink"/>
            <w:rFonts w:eastAsia="Times New Roman" w:cs="Times New Roman"/>
            <w:szCs w:val="20"/>
          </w:rPr>
          <w:t>initiatives régionales</w:t>
        </w:r>
      </w:hyperlink>
      <w:r w:rsidRPr="00065CE5">
        <w:t xml:space="preserve"> pour la région Afrique, la région Amériques, la région des États arabes, la région Asie-Pacifique, la Communauté des États indépendants (CEI) et la région Europe. La CMDT-25 a approuvé un nouvel ensemble d'initiatives régionales, </w:t>
      </w:r>
      <w:r w:rsidRPr="00065CE5">
        <w:lastRenderedPageBreak/>
        <w:t>adaptées pour répondre aux besoins et aux priorités propres à chacune des six régions. Ces initiatives permettront de mener des projets ciblés, de favoriser les partenariats et de veiller à ce que notre travail reste pertinent et efficace à l'échelle locale.</w:t>
      </w:r>
    </w:p>
    <w:p w14:paraId="6CDDE192" w14:textId="2B3560E0" w:rsidR="000957BF" w:rsidRPr="00065CE5" w:rsidRDefault="000957BF" w:rsidP="00957B32">
      <w:pPr>
        <w:pStyle w:val="enumlev1"/>
        <w:jc w:val="both"/>
      </w:pPr>
      <w:r w:rsidRPr="00065CE5">
        <w:t>–</w:t>
      </w:r>
      <w:r w:rsidRPr="00065CE5">
        <w:tab/>
      </w:r>
      <w:r w:rsidRPr="00065CE5">
        <w:rPr>
          <w:b/>
          <w:bCs/>
        </w:rPr>
        <w:t>Quatre nouvelles résolutions</w:t>
      </w:r>
      <w:r w:rsidRPr="00065CE5">
        <w:t xml:space="preserve"> et </w:t>
      </w:r>
      <w:r w:rsidRPr="00065CE5">
        <w:rPr>
          <w:b/>
          <w:bCs/>
        </w:rPr>
        <w:t>4</w:t>
      </w:r>
      <w:r w:rsidR="008232EE" w:rsidRPr="00065CE5">
        <w:rPr>
          <w:b/>
          <w:bCs/>
        </w:rPr>
        <w:t>4</w:t>
      </w:r>
      <w:r w:rsidRPr="00065CE5">
        <w:rPr>
          <w:b/>
          <w:bCs/>
        </w:rPr>
        <w:t xml:space="preserve"> résolutions révisées</w:t>
      </w:r>
      <w:r w:rsidRPr="00065CE5">
        <w:t>.</w:t>
      </w:r>
    </w:p>
    <w:p w14:paraId="17238A3D" w14:textId="7ECF19EB" w:rsidR="000957BF" w:rsidRPr="00065CE5" w:rsidRDefault="000957BF" w:rsidP="00957B32">
      <w:pPr>
        <w:pStyle w:val="enumlev1"/>
        <w:jc w:val="both"/>
      </w:pPr>
      <w:r w:rsidRPr="00065CE5">
        <w:t>–</w:t>
      </w:r>
      <w:r w:rsidRPr="00065CE5">
        <w:tab/>
        <w:t xml:space="preserve">Des </w:t>
      </w:r>
      <w:r w:rsidRPr="00065CE5">
        <w:rPr>
          <w:b/>
          <w:bCs/>
        </w:rPr>
        <w:t>Questions de l'UIT-D à l'étude</w:t>
      </w:r>
      <w:r w:rsidRPr="00065CE5">
        <w:t>, nouvelles ou révisées, qui seront étudiées pendant la période d'études 2026-2029.</w:t>
      </w:r>
    </w:p>
    <w:p w14:paraId="497B04BA" w14:textId="0E98D309" w:rsidR="000957BF" w:rsidRPr="00065CE5" w:rsidRDefault="000957BF" w:rsidP="00957B32">
      <w:pPr>
        <w:pStyle w:val="enumlev1"/>
        <w:jc w:val="both"/>
      </w:pPr>
      <w:r w:rsidRPr="00065CE5">
        <w:t>–</w:t>
      </w:r>
      <w:r w:rsidRPr="00065CE5">
        <w:tab/>
        <w:t xml:space="preserve">La CMDT-25 a nommé les membres du </w:t>
      </w:r>
      <w:hyperlink r:id="rId17" w:anchor="/fr" w:history="1">
        <w:r w:rsidRPr="00065CE5">
          <w:rPr>
            <w:rStyle w:val="Hyperlink"/>
            <w:rFonts w:eastAsia="Times New Roman" w:cs="Times New Roman"/>
            <w:szCs w:val="20"/>
          </w:rPr>
          <w:t>Bureau du Groupe consultatif pour le développement des télécommunications (GCDT)</w:t>
        </w:r>
      </w:hyperlink>
      <w:r w:rsidRPr="00065CE5">
        <w:t>, qui comprend le président et les vice-présidents du GCDT, ainsi que les présidents des commissions d'études pour la période 2026-2029.</w:t>
      </w:r>
    </w:p>
    <w:p w14:paraId="0F7120C0" w14:textId="1F63CAC4" w:rsidR="000957BF" w:rsidRPr="00065CE5" w:rsidRDefault="000957BF" w:rsidP="00957B32">
      <w:pPr>
        <w:pStyle w:val="enumlev1"/>
        <w:jc w:val="both"/>
      </w:pPr>
      <w:r w:rsidRPr="00065CE5">
        <w:t>–</w:t>
      </w:r>
      <w:r w:rsidRPr="00065CE5">
        <w:tab/>
        <w:t xml:space="preserve">La CMDT-25 a nommé les Présidents et Vice-Présidents des </w:t>
      </w:r>
      <w:hyperlink r:id="rId18" w:history="1">
        <w:r w:rsidRPr="00065CE5">
          <w:rPr>
            <w:rStyle w:val="Hyperlink"/>
            <w:rFonts w:eastAsia="Times New Roman" w:cs="Times New Roman"/>
            <w:szCs w:val="20"/>
          </w:rPr>
          <w:t>Commissions d'études de l'UIT-D</w:t>
        </w:r>
      </w:hyperlink>
      <w:r w:rsidRPr="00065CE5">
        <w:t>.</w:t>
      </w:r>
    </w:p>
    <w:p w14:paraId="02021CAD" w14:textId="77777777" w:rsidR="000957BF" w:rsidRPr="00065CE5" w:rsidRDefault="000957BF" w:rsidP="000957BF">
      <w:pPr>
        <w:pStyle w:val="Heading1"/>
      </w:pPr>
      <w:r w:rsidRPr="00065CE5">
        <w:t>2</w:t>
      </w:r>
      <w:r w:rsidRPr="00065CE5">
        <w:tab/>
        <w:t>Déclaration de Bakou</w:t>
      </w:r>
    </w:p>
    <w:p w14:paraId="2612D1CC" w14:textId="3510E8E7" w:rsidR="000957BF" w:rsidRPr="00065CE5" w:rsidRDefault="000957BF" w:rsidP="00957B32">
      <w:pPr>
        <w:jc w:val="both"/>
      </w:pPr>
      <w:r w:rsidRPr="00065CE5">
        <w:t>2.1</w:t>
      </w:r>
      <w:r w:rsidRPr="00065CE5">
        <w:tab/>
        <w:t>La Déclaration de Bakou, adoptée à la neuvième Conférence mondiale de développement des télécommunications, définit une vision commune pour parvenir à une connectivité universelle, efficace et financièrement abordable, en tant que pierre angulaire d'un avenir numérique inclusif et durable. Elle réaffirme l'engagement des États Membres de l'UIT à promouvoir une transformation numérique équitable, conformément aux objectifs de développement plus larges des Nations Unies, en reconnaissant que la connectivité numérique est un catalyseur essentiel du développement socio-économique, de la résilience et d'une croissance inclusive.</w:t>
      </w:r>
    </w:p>
    <w:p w14:paraId="3B073463" w14:textId="64C3C48D" w:rsidR="000957BF" w:rsidRPr="006839D0" w:rsidRDefault="000957BF" w:rsidP="00957B32">
      <w:pPr>
        <w:jc w:val="both"/>
        <w:rPr>
          <w:spacing w:val="-2"/>
        </w:rPr>
      </w:pPr>
      <w:r w:rsidRPr="006839D0">
        <w:rPr>
          <w:spacing w:val="-2"/>
        </w:rPr>
        <w:t>2.2</w:t>
      </w:r>
      <w:r w:rsidRPr="006839D0">
        <w:rPr>
          <w:spacing w:val="-2"/>
        </w:rPr>
        <w:tab/>
        <w:t>Tout en reconnaissant les progrès réalisés dans le développement des technologies de l'information et de la communication dans le monde, la Déclaration souligne que d'importantes fractures numériques persistent à l'intérieur des pays et d'un pays à l'autre. Ces disparités continuent de toucher de manière disproportionnée les pays en développement, en particulier les pays les moins avancés, les pays en développement sans littoral et les petits États insulaires en développement, et limitent leur capacité à tirer pleinement parti de la transformation numérique. Il est urgent de remédier à ces lacunes et, pour ce faire, il est nécessaire de déployer des réponses coordonnées, centrées sur l'humain et axées sur le développement.</w:t>
      </w:r>
    </w:p>
    <w:p w14:paraId="1E718A11" w14:textId="0FE2D18E" w:rsidR="000957BF" w:rsidRPr="00957B32" w:rsidRDefault="000957BF" w:rsidP="00957B32">
      <w:pPr>
        <w:jc w:val="both"/>
        <w:rPr>
          <w:spacing w:val="-2"/>
        </w:rPr>
      </w:pPr>
      <w:r w:rsidRPr="00957B32">
        <w:rPr>
          <w:spacing w:val="-2"/>
        </w:rPr>
        <w:t>2.3</w:t>
      </w:r>
      <w:r w:rsidRPr="00957B32">
        <w:rPr>
          <w:spacing w:val="-2"/>
        </w:rPr>
        <w:tab/>
        <w:t>La Déclaration souligne le rôle central du Secteur du développement des télécommunications de l'UIT pour aider les États Membres à surmonter ces défis et à renforcer les initiatives de développement du numérique. Les gouvernements, les partenaires de développement et le secteur privé sont appelés à intensifier la coopération, l'investissement et la mise en œuvre, en accordant une attention particulière aux besoins des pays les plus vulnérables. En mettant intégralement en œuvre la Déclaration de Bakou, le Plan d'action de Bakou et les résolutions connexes, les États Membres s'engagent à faire en sorte que la transformation numérique contribue au développement inclusif, durable et équilibré pour tous.</w:t>
      </w:r>
    </w:p>
    <w:p w14:paraId="04CA6853" w14:textId="77777777" w:rsidR="000957BF" w:rsidRPr="00065CE5" w:rsidRDefault="000957BF" w:rsidP="000957BF">
      <w:pPr>
        <w:pStyle w:val="Heading1"/>
      </w:pPr>
      <w:r w:rsidRPr="00065CE5">
        <w:t>3</w:t>
      </w:r>
      <w:r w:rsidRPr="00065CE5">
        <w:tab/>
        <w:t>Plan d'action de Bakou et priorités de l'UIT-D</w:t>
      </w:r>
    </w:p>
    <w:p w14:paraId="6410E9D4" w14:textId="45583EDF" w:rsidR="000957BF" w:rsidRPr="00065CE5" w:rsidRDefault="000957BF" w:rsidP="00957B32">
      <w:pPr>
        <w:jc w:val="both"/>
      </w:pPr>
      <w:r w:rsidRPr="00065CE5">
        <w:t>3.1</w:t>
      </w:r>
      <w:r w:rsidRPr="00065CE5">
        <w:tab/>
        <w:t xml:space="preserve">Le Plan d'action de Bakou adopté à la CMDT-25 définit l'orientation stratégique et le cadre opérationnel des travaux du Secteur du développement des télécommunications de l'UIT pour la période 2026-2029. Il traduit la vision politique de la Déclaration de Bakou en un programme d'action concret, axé sur les résultats, visant à accélérer le développement du </w:t>
      </w:r>
      <w:r w:rsidRPr="00065CE5">
        <w:lastRenderedPageBreak/>
        <w:t>numérique inclusif et durable dans le monde entier. Le plan met l'accent sur l'harmonisation avec les programmes de développement mondiaux et établit une structure cohérente mettant en correspondance les objectifs stratégiques, les résultats et les produits mesurables, en veillant à ce que les activités de l'UIT-D répondent efficacement à l'évolution du paysage numérique et aux priorités de ses membres.</w:t>
      </w:r>
    </w:p>
    <w:p w14:paraId="77E75443" w14:textId="77777777" w:rsidR="000957BF" w:rsidRPr="006839D0" w:rsidRDefault="000957BF" w:rsidP="00957B32">
      <w:pPr>
        <w:jc w:val="both"/>
        <w:rPr>
          <w:spacing w:val="-2"/>
        </w:rPr>
      </w:pPr>
      <w:r w:rsidRPr="006839D0">
        <w:rPr>
          <w:spacing w:val="-2"/>
        </w:rPr>
        <w:t>3.2</w:t>
      </w:r>
      <w:r w:rsidRPr="006839D0">
        <w:rPr>
          <w:spacing w:val="-2"/>
        </w:rPr>
        <w:tab/>
        <w:t>Le Plan d'action repose sur cinq priorités interdépendantes qui définissent les travaux de l'UIT-D tout au long du cycle. Les priorités de l'UIT-D sont les suivants: élargir l'accès à une connectivité financièrement abordable; promouvoir la transformation numérique; renforcer un environnement politique et réglementaire propice; mobiliser des ressources et promouvoir la coopération internationale; et promouvoir des télécommunications et des TIC inclusives, sûres et sécurisées. Ensemble, ces priorités visent à réduire les fractures numériques persistantes, tout en reconnaissant le potentiel de transformation des technologies nouvelles et émergentes.</w:t>
      </w:r>
    </w:p>
    <w:p w14:paraId="00987DEA" w14:textId="6570CF32" w:rsidR="000957BF" w:rsidRPr="006839D0" w:rsidRDefault="000957BF" w:rsidP="00957B32">
      <w:pPr>
        <w:jc w:val="both"/>
        <w:rPr>
          <w:spacing w:val="-2"/>
        </w:rPr>
      </w:pPr>
      <w:r w:rsidRPr="006839D0">
        <w:rPr>
          <w:spacing w:val="-2"/>
        </w:rPr>
        <w:t>3.3</w:t>
      </w:r>
      <w:r w:rsidRPr="006839D0">
        <w:rPr>
          <w:spacing w:val="-2"/>
        </w:rPr>
        <w:tab/>
        <w:t>Le Plan d'action de Bakou est fondé sur une méthode de gestion axée sur les résultats qui associe les interventions de l'UIT-D à des résultats concrets aux niveaux national et régional. Il met l'accent sur l'amélioration de l'accès au large bande et de son accessibilité financière, le renforcement des capacités institutionnelles et humaines, l'amélioration des compétences numériques et la résilience accrue de l'infrastructure numérique. Le plan souligne également l'importance de la confiance, de la sécurité et de l'inclusion dans l'écosystème numérique, tout en reconnaissant que la cybersécurité, la protection en ligne des enfants et l'inclusion numérique sont des fondements essentiels d'une transformation numérique durable.</w:t>
      </w:r>
    </w:p>
    <w:p w14:paraId="752318F3" w14:textId="3D170166" w:rsidR="000957BF" w:rsidRPr="00065CE5" w:rsidRDefault="000957BF" w:rsidP="00957B32">
      <w:pPr>
        <w:jc w:val="both"/>
      </w:pPr>
      <w:r w:rsidRPr="00065CE5">
        <w:t>3.4</w:t>
      </w:r>
      <w:r w:rsidRPr="00065CE5">
        <w:tab/>
        <w:t xml:space="preserve">Le Plan d'action se caractérise notamment par l'accent mis sur la mise en </w:t>
      </w:r>
      <w:r w:rsidR="00857420" w:rsidRPr="00065CE5">
        <w:t>œ</w:t>
      </w:r>
      <w:r w:rsidRPr="00065CE5">
        <w:t>uvre par le biais de partenariats, d'initiatives régionales et d'outils pratiques. Il prévoit la fourniture de produits transversaux tels que des modèles types, des kits pratiques, des cadres d'apprentissage, des produits statistiques et une assistance technique ciblée. Les initiatives régionales jouent un rôle central dans l'adaptation des priorités mondiales aux contextes régionaux, permettant à l'UIT-D de répondre avec souplesse aux divers problèmes de développement tout en maintenant une cohérence avec le cadre stratégique global.</w:t>
      </w:r>
    </w:p>
    <w:p w14:paraId="5E812327" w14:textId="57C0C1B2" w:rsidR="000957BF" w:rsidRPr="00957B32" w:rsidRDefault="000957BF" w:rsidP="00957B32">
      <w:pPr>
        <w:jc w:val="both"/>
        <w:rPr>
          <w:spacing w:val="-2"/>
        </w:rPr>
      </w:pPr>
      <w:r w:rsidRPr="00957B32">
        <w:rPr>
          <w:spacing w:val="-2"/>
        </w:rPr>
        <w:t>3.5</w:t>
      </w:r>
      <w:r w:rsidRPr="00957B32">
        <w:rPr>
          <w:spacing w:val="-2"/>
        </w:rPr>
        <w:tab/>
        <w:t>Le Plan d'action de Bakou définit un ensemble de produits et de services intersectoriels fournis par le Bureau de développement des télécommunications (BDT) pour appuyer la mise en œuvre des priorités de l'UIT-D aux niveaux national, régional et mondial. Il s'agit notamment de politiques et de stratégies types, de kits pratiques, de plates-formes de dialogue et de coordination, de cadres d'apprentissage et de solutions de renforcement des capacités, de statistiques comparables au niveau international et d'interventions techniques ciblées. Ensemble, ces produits et services visent à traduire les priorités de l'UIT-D en un appui concret axé sur les résultats au service des États Membres, l'accent étant mis en particulier sur la prise en compte des besoins des pays en développement, notamment les pays les moins avancés, les pays en développement sans littoral et les petits États insulaires en développement.</w:t>
      </w:r>
    </w:p>
    <w:p w14:paraId="1B2E84BC" w14:textId="771B0199" w:rsidR="000957BF" w:rsidRPr="00065CE5" w:rsidRDefault="000957BF" w:rsidP="00957B32">
      <w:pPr>
        <w:jc w:val="both"/>
      </w:pPr>
      <w:r w:rsidRPr="00065CE5">
        <w:t>3.6</w:t>
      </w:r>
      <w:r w:rsidRPr="00065CE5">
        <w:tab/>
        <w:t xml:space="preserve">L'UIT-D mettra en œuvre le plan d'action par le biais de plusieurs "catalyseurs" définis dans le Plan d'action de Bakou. Ces catalyseurs comprennent l'excellence institutionnelle, le renforcement de la présence régionale, l'amélioration de la gestion des projets et la fourniture de services d'appui fiables. Ensemble, ils visent à améliorer l'efficacité opérationnelle, à favoriser les synergies intersectorielles et interfonctionnelles et à permettre la fourniture de réponses souples et axées sur les membres pour répondre à l'évolution des besoins en matière de développement du numérique. En renforçant les capacités internes, en améliorant la coordination entre le siège et les bureaux régionaux et en renforçant les fonctions de </w:t>
      </w:r>
      <w:r w:rsidRPr="00065CE5">
        <w:lastRenderedPageBreak/>
        <w:t>planification, de mise en œuvre, de suivi et d'établissement de rapports, les catalyseurs fournissent les bases institutionnelles nécessaires à la mise en</w:t>
      </w:r>
      <w:r w:rsidR="00C72604" w:rsidRPr="00065CE5">
        <w:t> </w:t>
      </w:r>
      <w:r w:rsidRPr="00065CE5">
        <w:t>œuvre réussie du Plan d'action et à la réalisation de ses objectifs axés sur les résultats.</w:t>
      </w:r>
    </w:p>
    <w:p w14:paraId="62A6D38C" w14:textId="55F857CD" w:rsidR="000957BF" w:rsidRPr="00065CE5" w:rsidRDefault="000957BF" w:rsidP="00BE1C99">
      <w:pPr>
        <w:jc w:val="both"/>
      </w:pPr>
      <w:r w:rsidRPr="00065CE5">
        <w:t>3.7</w:t>
      </w:r>
      <w:r w:rsidRPr="00065CE5">
        <w:tab/>
        <w:t>Enfin, le Plan d'action de Bakou établit un cadre de suivi et d'évaluation dynamique qui permet un examen et des ajustements réguliers tout au long du cycle. En intégrant la responsabilisation, la prise de décisions fondées sur des données probantes et l'apprentissage continu dans sa mise en œuvre, le plan vise à optimiser son incidence et à garantir sa pertinence dans le temps. Dans l'ensemble, le Plan d'action de Bakou constitue une feuille de route complète et tournée vers l'avenir pour l'UIT-D en faveur d'une connectivité efficace, d'une transformation numérique inclusive et d'un développement durable pour tous.</w:t>
      </w:r>
    </w:p>
    <w:p w14:paraId="350E84FE" w14:textId="77777777" w:rsidR="000957BF" w:rsidRPr="00065CE5" w:rsidRDefault="000957BF" w:rsidP="000957BF">
      <w:pPr>
        <w:pStyle w:val="Heading1"/>
      </w:pPr>
      <w:r w:rsidRPr="00065CE5">
        <w:t>4</w:t>
      </w:r>
      <w:r w:rsidRPr="00065CE5">
        <w:tab/>
        <w:t>Initiatives régionales</w:t>
      </w:r>
    </w:p>
    <w:p w14:paraId="0910C3AB" w14:textId="78CE5CF8" w:rsidR="000957BF" w:rsidRPr="00065CE5" w:rsidRDefault="000957BF" w:rsidP="00BE1C99">
      <w:pPr>
        <w:jc w:val="both"/>
      </w:pPr>
      <w:r w:rsidRPr="00065CE5">
        <w:t>À la CMDT-25, les membres ont adopté un ensemble complet d'initiatives régionales qui font partie intégrante du Plan d'action de Bakou pour le cycle 2026-2029. Ces initiatives traduisent les priorités mondiales de l'UIT-D en cadres propres à chaque région, qui répondent à des défis en matière de développement, à des niveaux de maturité numérique et à des environnements politiques distincts. Conçues pour être mises en œuvre grâce à des partenariats, à la mobilisation de ressources et à des projets ciblés, ces initiatives régionales constituent un mécanisme pratique pour produire des résultats mesurables en matière de développement sur le terrain. Ensemble, elles renforcent l'approche axée sur les résultats du Plan d'action tout en garantissant la flexibilité, l'appropriation et harmonisation avec les priorités régionales dans toutes les régions de l'UIT. Au total, la CMDT-25 a approuvé 30</w:t>
      </w:r>
      <w:r w:rsidR="00857420" w:rsidRPr="00065CE5">
        <w:t> </w:t>
      </w:r>
      <w:r w:rsidRPr="00065CE5">
        <w:t xml:space="preserve">initiatives régionales réparties entre les six régions, qui peuvent être consultées </w:t>
      </w:r>
      <w:hyperlink r:id="rId19" w:history="1">
        <w:r w:rsidRPr="00065CE5">
          <w:rPr>
            <w:rStyle w:val="Hyperlink"/>
            <w:rFonts w:eastAsia="Times New Roman" w:cs="Times New Roman"/>
            <w:szCs w:val="20"/>
          </w:rPr>
          <w:t>ici</w:t>
        </w:r>
      </w:hyperlink>
      <w:r w:rsidRPr="00065CE5">
        <w:t>.</w:t>
      </w:r>
    </w:p>
    <w:p w14:paraId="632F1DDB" w14:textId="77777777" w:rsidR="000957BF" w:rsidRPr="00065CE5" w:rsidRDefault="000957BF" w:rsidP="000957BF">
      <w:pPr>
        <w:pStyle w:val="Heading1"/>
      </w:pPr>
      <w:r w:rsidRPr="00065CE5">
        <w:t>5</w:t>
      </w:r>
      <w:r w:rsidRPr="00065CE5">
        <w:tab/>
        <w:t>Questions confiées aux commissions d'études de l'UIT-D</w:t>
      </w:r>
    </w:p>
    <w:p w14:paraId="2199573E" w14:textId="3F9CE706" w:rsidR="000957BF" w:rsidRPr="00065CE5" w:rsidRDefault="000957BF" w:rsidP="00BE1C99">
      <w:pPr>
        <w:jc w:val="both"/>
      </w:pPr>
      <w:r w:rsidRPr="00065CE5">
        <w:t xml:space="preserve">La CMDT-25 a révisé les Questions actuellement à l'étude au sein de l'UIT-D et formulé un nouvel ensemble de Questions, ce qui porte à dix (10) le nombre total de Questions à l'étude pour la période 2026-2029. De plus amples renseignements sur les Questions des commissions d'études adoptées sont disponibles </w:t>
      </w:r>
      <w:hyperlink r:id="rId20" w:history="1">
        <w:r w:rsidRPr="00065CE5">
          <w:rPr>
            <w:rStyle w:val="Hyperlink"/>
            <w:rFonts w:eastAsia="Times New Roman" w:cs="Times New Roman"/>
            <w:szCs w:val="20"/>
          </w:rPr>
          <w:t>ici</w:t>
        </w:r>
      </w:hyperlink>
      <w:r w:rsidRPr="00065CE5">
        <w:t>.</w:t>
      </w:r>
    </w:p>
    <w:p w14:paraId="12B4A298" w14:textId="77777777" w:rsidR="000957BF" w:rsidRPr="00065CE5" w:rsidRDefault="000957BF" w:rsidP="000957BF">
      <w:pPr>
        <w:pStyle w:val="Heading1"/>
      </w:pPr>
      <w:r w:rsidRPr="00065CE5">
        <w:t>6</w:t>
      </w:r>
      <w:r w:rsidRPr="00065CE5">
        <w:tab/>
        <w:t>Résolutions de la CMDT-25</w:t>
      </w:r>
    </w:p>
    <w:p w14:paraId="36CE561E" w14:textId="0157BA62" w:rsidR="000957BF" w:rsidRPr="00065CE5" w:rsidRDefault="000957BF" w:rsidP="00BE1C99">
      <w:pPr>
        <w:jc w:val="both"/>
      </w:pPr>
      <w:r w:rsidRPr="00065CE5">
        <w:t>La CMDT-25 a révisé 44 Résolutions existantes de la CMDT, afin de faire en sorte que les activités de l'UIT-D demeurent en phase avec les besoins des membres de l'UIT. La Conférence a également élaboré quatre (4) nouvelles Résolutions sur les sujets suivants:</w:t>
      </w:r>
    </w:p>
    <w:p w14:paraId="24CA9FE1" w14:textId="1D95F5FB" w:rsidR="000957BF" w:rsidRPr="00065CE5" w:rsidRDefault="000957BF" w:rsidP="00BE1C99">
      <w:pPr>
        <w:pStyle w:val="enumlev1"/>
        <w:jc w:val="both"/>
      </w:pPr>
      <w:r w:rsidRPr="00065CE5">
        <w:t>–</w:t>
      </w:r>
      <w:r w:rsidRPr="00065CE5">
        <w:tab/>
      </w:r>
      <w:r w:rsidRPr="00065CE5">
        <w:rPr>
          <w:b/>
          <w:bCs/>
        </w:rPr>
        <w:t>Résolution 91 (Bakou, 2025) – Technologies d'intelligence artificielle dans le développement des télécommunications</w:t>
      </w:r>
      <w:r w:rsidRPr="00065CE5">
        <w:t xml:space="preserve">: </w:t>
      </w:r>
      <w:r w:rsidR="00C71D14" w:rsidRPr="00065CE5">
        <w:t>d</w:t>
      </w:r>
      <w:r w:rsidRPr="00065CE5">
        <w:t xml:space="preserve">ans cette résolution, on reconnaît l'importance croissante de l'intelligence artificielle (IA) pour accélérer le développement des télécommunications et promouvoir une transformation numérique inclusive. Les États Membres et l'UIT-D sont encouragés à promouvoir l'adoption responsable, centrée sur l'humain et axée sur le développement des technologies IA, en particulier à l'appui de la connectivité, de la fourniture de services, du renforcement des capacités et de l'innovation. La résolution met l'accent sur le partage des connaissances, le développement des compétences et la coopération internationale pour faire en sorte </w:t>
      </w:r>
      <w:r w:rsidRPr="00065CE5">
        <w:lastRenderedPageBreak/>
        <w:t>que les pays en développement puissent tirer efficacement parti de l'IA, tout en s'attaquant aux risques associés et aux lacunes en matière de capacités.</w:t>
      </w:r>
    </w:p>
    <w:p w14:paraId="0C64528F" w14:textId="1D0A5064" w:rsidR="000957BF" w:rsidRPr="00065CE5" w:rsidRDefault="000957BF" w:rsidP="00BE1C99">
      <w:pPr>
        <w:pStyle w:val="enumlev1"/>
        <w:jc w:val="both"/>
      </w:pPr>
      <w:r w:rsidRPr="00065CE5">
        <w:t>–</w:t>
      </w:r>
      <w:r w:rsidRPr="00065CE5">
        <w:tab/>
      </w:r>
      <w:r w:rsidRPr="00065CE5">
        <w:rPr>
          <w:b/>
          <w:bCs/>
        </w:rPr>
        <w:t>Résolution 92 (Bakou, 2025) – Renforcement du rôle des bureaux régionaux de l'UIT dans l'accélération de la transformation numérique et mise à profit des partenariats</w:t>
      </w:r>
      <w:r w:rsidRPr="00065CE5">
        <w:t xml:space="preserve">: </w:t>
      </w:r>
      <w:r w:rsidR="00C71D14" w:rsidRPr="00065CE5">
        <w:t>c</w:t>
      </w:r>
      <w:r w:rsidRPr="00065CE5">
        <w:t>ette résolution souligne le rôle stratégique des bureaux régionaux de l'UIT dans la transformation des priorités mondiales en mesures adaptées aux régions. Il est demandé de renforcer leurs capacités pour soutenir la transformation numérique, améliorer la coordination avec les États Membres et les partenaires, et tirer parti des partenariats pour accroître les retombées en matière de développement. Cette résolution souligne que les bureaux régionaux sont des catalyseurs essentiels de la mise en œuvre, de la mobilisation des pays et de l'alignement des activités de l'UIT-D sur les priorités nationales et régionales.</w:t>
      </w:r>
    </w:p>
    <w:p w14:paraId="7FBFE6ED" w14:textId="189F06AC" w:rsidR="000957BF" w:rsidRPr="00065CE5" w:rsidRDefault="000957BF" w:rsidP="00BE1C99">
      <w:pPr>
        <w:pStyle w:val="enumlev1"/>
        <w:jc w:val="both"/>
      </w:pPr>
      <w:r w:rsidRPr="00065CE5">
        <w:t>–</w:t>
      </w:r>
      <w:r w:rsidRPr="00065CE5">
        <w:tab/>
      </w:r>
      <w:r w:rsidRPr="00065CE5">
        <w:rPr>
          <w:b/>
          <w:bCs/>
        </w:rPr>
        <w:t>Résolution 93 (Bakou, 2025) – Fourniture au Soudan d'une assistance et d'un appui pour la reconstruction de ses infrastructures de télécommunication/technologies de l'information et de la communication endommagées et la réduction de la fracture numérique</w:t>
      </w:r>
      <w:r w:rsidRPr="00065CE5">
        <w:t xml:space="preserve">: </w:t>
      </w:r>
      <w:r w:rsidR="00C71D14" w:rsidRPr="00065CE5">
        <w:t>c</w:t>
      </w:r>
      <w:r w:rsidRPr="00065CE5">
        <w:t>ette résolution traite de la nécessité urgente d'aider le Soudan à reconstruire et à remettre en état l'infrastructure endommagée des télécommunications et des TIC. En vertu de cette résolution, l'UIT-D et ses partenaires sont appelés à fournir une assistance technique ciblée, à renforcer les capacités et à mobiliser des ressources pour aider à rétablir la connectivité et à réduire la fracture numérique. La résolution définit les télécommunications et les TIC comme des catalyseurs essentiels du rétablissement, de la résilience et du développement socio</w:t>
      </w:r>
      <w:r w:rsidR="00857420" w:rsidRPr="00065CE5">
        <w:noBreakHyphen/>
      </w:r>
      <w:r w:rsidRPr="00065CE5">
        <w:t>économique à long terme.</w:t>
      </w:r>
    </w:p>
    <w:p w14:paraId="0702AE89" w14:textId="350D2BA3" w:rsidR="006A11AE" w:rsidRDefault="000957BF" w:rsidP="00BE1C99">
      <w:pPr>
        <w:pStyle w:val="enumlev1"/>
        <w:jc w:val="both"/>
      </w:pPr>
      <w:r w:rsidRPr="00065CE5">
        <w:t>–</w:t>
      </w:r>
      <w:r w:rsidRPr="00065CE5">
        <w:tab/>
      </w:r>
      <w:r w:rsidRPr="00065CE5">
        <w:rPr>
          <w:b/>
          <w:bCs/>
        </w:rPr>
        <w:t xml:space="preserve">Résolution 94 (Bakou, 2025) – Appuyer la transformation numérique dans les pays insulaires du Pacifique en vertu de la Déclaration de </w:t>
      </w:r>
      <w:proofErr w:type="gramStart"/>
      <w:r w:rsidRPr="00065CE5">
        <w:rPr>
          <w:b/>
          <w:bCs/>
        </w:rPr>
        <w:t>Lagatoi</w:t>
      </w:r>
      <w:r w:rsidRPr="00065CE5">
        <w:t>:</w:t>
      </w:r>
      <w:proofErr w:type="gramEnd"/>
      <w:r w:rsidRPr="00065CE5">
        <w:t xml:space="preserve"> </w:t>
      </w:r>
      <w:r w:rsidR="00C71D14" w:rsidRPr="00065CE5">
        <w:t>c</w:t>
      </w:r>
      <w:r w:rsidRPr="00065CE5">
        <w:t>ette résolution est axée sur la promotion de la transformation numérique dans les pays insulaires du Pacifique, conformément à la Déclaration de Lagatoi. Elle vise à reconnaître les vulnérabilités et les défis uniques de ces pays en matière de développement, notamment l'isolement géographique et l'exposition aux risques climatiques. En vertu de cette résolution, il est demandé d'apporter un soutien adapté par le biais du renforcement des capacités, d'infrastructures résilientes, de partenariats et de solutions innovantes pour renforcer la connectivité, l'inclusion numérique et le développement durable dans la région du Pacifique.</w:t>
      </w:r>
    </w:p>
    <w:p w14:paraId="5D84AA3C" w14:textId="77777777" w:rsidR="00BE1C99" w:rsidRPr="00065CE5" w:rsidRDefault="00BE1C99" w:rsidP="00BE1C99">
      <w:pPr>
        <w:pStyle w:val="enumlev1"/>
        <w:jc w:val="both"/>
      </w:pPr>
    </w:p>
    <w:p w14:paraId="3095856A" w14:textId="77777777" w:rsidR="00897553" w:rsidRPr="00065CE5" w:rsidRDefault="006A11AE" w:rsidP="002D2336">
      <w:pPr>
        <w:jc w:val="center"/>
      </w:pPr>
      <w:r w:rsidRPr="00065CE5">
        <w:t>______________</w:t>
      </w:r>
    </w:p>
    <w:sectPr w:rsidR="00897553" w:rsidRPr="00065CE5" w:rsidSect="00D72F49">
      <w:headerReference w:type="even" r:id="rId21"/>
      <w:footerReference w:type="even" r:id="rId22"/>
      <w:footerReference w:type="default" r:id="rId23"/>
      <w:headerReference w:type="first" r:id="rId24"/>
      <w:footerReference w:type="first" r:id="rId25"/>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E5A89" w14:textId="77777777" w:rsidR="00323C50" w:rsidRDefault="00323C50">
      <w:r>
        <w:separator/>
      </w:r>
    </w:p>
  </w:endnote>
  <w:endnote w:type="continuationSeparator" w:id="0">
    <w:p w14:paraId="0BF77693" w14:textId="77777777" w:rsidR="00323C50" w:rsidRDefault="00323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25386" w14:textId="02F3008D" w:rsidR="00732045" w:rsidRDefault="00323C50">
    <w:pPr>
      <w:pStyle w:val="Footer"/>
    </w:pPr>
    <w:fldSimple w:instr=" FILENAME \p \* MERGEFORMAT ">
      <w:r>
        <w:t>Document1</w:t>
      </w:r>
    </w:fldSimple>
    <w:r w:rsidR="00732045">
      <w:tab/>
    </w:r>
    <w:r w:rsidR="002F1B76">
      <w:fldChar w:fldCharType="begin"/>
    </w:r>
    <w:r w:rsidR="00732045">
      <w:instrText xml:space="preserve"> savedate \@ dd.MM.yy </w:instrText>
    </w:r>
    <w:r w:rsidR="002F1B76">
      <w:fldChar w:fldCharType="separate"/>
    </w:r>
    <w:r w:rsidR="00720520">
      <w:t>24.03.26</w:t>
    </w:r>
    <w:r w:rsidR="002F1B76">
      <w:fldChar w:fldCharType="end"/>
    </w:r>
    <w:r w:rsidR="00732045">
      <w:tab/>
    </w:r>
    <w:r w:rsidR="002F1B76">
      <w:fldChar w:fldCharType="begin"/>
    </w:r>
    <w:r w:rsidR="00732045">
      <w:instrText xml:space="preserve"> printdate \@ dd.MM.yy </w:instrText>
    </w:r>
    <w:r w:rsidR="002F1B76">
      <w:fldChar w:fldCharType="separate"/>
    </w:r>
    <w:r>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14ED173D" w14:textId="77777777" w:rsidTr="00E31DCE">
      <w:trPr>
        <w:jc w:val="center"/>
      </w:trPr>
      <w:tc>
        <w:tcPr>
          <w:tcW w:w="1803" w:type="dxa"/>
          <w:vAlign w:val="center"/>
        </w:tcPr>
        <w:p w14:paraId="418C04AF" w14:textId="279135B1" w:rsidR="00A51849" w:rsidRDefault="000957BF" w:rsidP="00A51849">
          <w:pPr>
            <w:pStyle w:val="Header"/>
            <w:jc w:val="left"/>
            <w:rPr>
              <w:noProof/>
            </w:rPr>
          </w:pPr>
          <w:r>
            <w:rPr>
              <w:noProof/>
            </w:rPr>
            <w:t>2600588</w:t>
          </w:r>
        </w:p>
      </w:tc>
      <w:tc>
        <w:tcPr>
          <w:tcW w:w="8261" w:type="dxa"/>
        </w:tcPr>
        <w:p w14:paraId="339C797A" w14:textId="69DC1713"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8232EE">
            <w:rPr>
              <w:bCs/>
            </w:rPr>
            <w:t>30</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66A1316F"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2C1B4790" w14:textId="77777777" w:rsidTr="00E31DCE">
      <w:trPr>
        <w:jc w:val="center"/>
      </w:trPr>
      <w:tc>
        <w:tcPr>
          <w:tcW w:w="1803" w:type="dxa"/>
          <w:vAlign w:val="center"/>
        </w:tcPr>
        <w:p w14:paraId="4920C4DE" w14:textId="77777777" w:rsidR="00A51849" w:rsidRPr="00FC6D7D" w:rsidRDefault="00E4448E" w:rsidP="00A51849">
          <w:pPr>
            <w:pStyle w:val="Header"/>
            <w:jc w:val="left"/>
            <w:rPr>
              <w:noProof/>
              <w:color w:val="0563C1"/>
            </w:rPr>
          </w:pPr>
          <w:hyperlink r:id="rId1" w:anchor="/fr" w:history="1">
            <w:proofErr w:type="spellStart"/>
            <w:r>
              <w:rPr>
                <w:rStyle w:val="Hyperlink"/>
              </w:rPr>
              <w:t>council.itu.int</w:t>
            </w:r>
            <w:proofErr w:type="spellEnd"/>
            <w:r>
              <w:rPr>
                <w:rStyle w:val="Hyperlink"/>
              </w:rPr>
              <w:t>/2026</w:t>
            </w:r>
          </w:hyperlink>
        </w:p>
      </w:tc>
      <w:tc>
        <w:tcPr>
          <w:tcW w:w="8261" w:type="dxa"/>
        </w:tcPr>
        <w:p w14:paraId="092D5B7C" w14:textId="16769EDF"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8232EE">
            <w:rPr>
              <w:bCs/>
            </w:rPr>
            <w:t>30</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2D953CE6"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AB78F" w14:textId="77777777" w:rsidR="00323C50" w:rsidRDefault="00323C50">
      <w:r>
        <w:t>____________________</w:t>
      </w:r>
    </w:p>
  </w:footnote>
  <w:footnote w:type="continuationSeparator" w:id="0">
    <w:p w14:paraId="1D97C517" w14:textId="77777777" w:rsidR="00323C50" w:rsidRDefault="00323C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8AFD2"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025DF3AB" w14:textId="77777777" w:rsidR="00732045" w:rsidRDefault="00732045">
    <w:pPr>
      <w:pStyle w:val="Header"/>
    </w:pPr>
    <w:proofErr w:type="spellStart"/>
    <w:r>
      <w:t>C2001</w:t>
    </w:r>
    <w:proofErr w:type="spellEnd"/>
    <w:r>
      <w:t>/#-F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E079A" w14:textId="77777777" w:rsidR="00A51849" w:rsidRPr="001342E0" w:rsidRDefault="001342E0" w:rsidP="001342E0">
    <w:pPr>
      <w:pStyle w:val="Header"/>
    </w:pPr>
    <w:r>
      <w:rPr>
        <w:noProof/>
      </w:rPr>
      <w:drawing>
        <wp:inline distT="0" distB="0" distL="0" distR="0" wp14:anchorId="62CA7B80" wp14:editId="0CF0B8FE">
          <wp:extent cx="5760085" cy="840740"/>
          <wp:effectExtent l="0" t="0" r="0" b="0"/>
          <wp:docPr id="322889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89409" name="Picture 322889409"/>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364A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FC17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52E2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324F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EA3A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3050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D0D2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22DA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4A9B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22DCA6"/>
    <w:lvl w:ilvl="0">
      <w:start w:val="1"/>
      <w:numFmt w:val="bullet"/>
      <w:lvlText w:val=""/>
      <w:lvlJc w:val="left"/>
      <w:pPr>
        <w:tabs>
          <w:tab w:val="num" w:pos="360"/>
        </w:tabs>
        <w:ind w:left="360" w:hanging="360"/>
      </w:pPr>
      <w:rPr>
        <w:rFonts w:ascii="Symbol" w:hAnsi="Symbol" w:hint="default"/>
      </w:rPr>
    </w:lvl>
  </w:abstractNum>
  <w:num w:numId="1" w16cid:durableId="204144983">
    <w:abstractNumId w:val="9"/>
  </w:num>
  <w:num w:numId="2" w16cid:durableId="1042679003">
    <w:abstractNumId w:val="7"/>
  </w:num>
  <w:num w:numId="3" w16cid:durableId="1710033290">
    <w:abstractNumId w:val="6"/>
  </w:num>
  <w:num w:numId="4" w16cid:durableId="1466967443">
    <w:abstractNumId w:val="5"/>
  </w:num>
  <w:num w:numId="5" w16cid:durableId="1019041869">
    <w:abstractNumId w:val="4"/>
  </w:num>
  <w:num w:numId="6" w16cid:durableId="1994942309">
    <w:abstractNumId w:val="8"/>
  </w:num>
  <w:num w:numId="7" w16cid:durableId="1943762712">
    <w:abstractNumId w:val="3"/>
  </w:num>
  <w:num w:numId="8" w16cid:durableId="1210023807">
    <w:abstractNumId w:val="2"/>
  </w:num>
  <w:num w:numId="9" w16cid:durableId="976300499">
    <w:abstractNumId w:val="1"/>
  </w:num>
  <w:num w:numId="10" w16cid:durableId="153841235">
    <w:abstractNumId w:val="0"/>
  </w:num>
  <w:num w:numId="11" w16cid:durableId="401220439">
    <w:abstractNumId w:val="8"/>
  </w:num>
  <w:num w:numId="12" w16cid:durableId="1266042031">
    <w:abstractNumId w:val="3"/>
  </w:num>
  <w:num w:numId="13" w16cid:durableId="1286500294">
    <w:abstractNumId w:val="2"/>
  </w:num>
  <w:num w:numId="14" w16cid:durableId="1804274698">
    <w:abstractNumId w:val="1"/>
  </w:num>
  <w:num w:numId="15" w16cid:durableId="232618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C50"/>
    <w:rsid w:val="000264CF"/>
    <w:rsid w:val="00065CE5"/>
    <w:rsid w:val="00076A2C"/>
    <w:rsid w:val="000957BF"/>
    <w:rsid w:val="000D0D0A"/>
    <w:rsid w:val="00103163"/>
    <w:rsid w:val="00106B19"/>
    <w:rsid w:val="001133EF"/>
    <w:rsid w:val="00115D93"/>
    <w:rsid w:val="001247A8"/>
    <w:rsid w:val="001342E0"/>
    <w:rsid w:val="001370B2"/>
    <w:rsid w:val="001378C0"/>
    <w:rsid w:val="001658F9"/>
    <w:rsid w:val="0018694A"/>
    <w:rsid w:val="0019129B"/>
    <w:rsid w:val="001A3287"/>
    <w:rsid w:val="001A6508"/>
    <w:rsid w:val="001D4C31"/>
    <w:rsid w:val="001E3D81"/>
    <w:rsid w:val="001E4D21"/>
    <w:rsid w:val="00207CD1"/>
    <w:rsid w:val="00226657"/>
    <w:rsid w:val="002477A2"/>
    <w:rsid w:val="00263A51"/>
    <w:rsid w:val="00267E02"/>
    <w:rsid w:val="00271321"/>
    <w:rsid w:val="00277DEA"/>
    <w:rsid w:val="002A5D44"/>
    <w:rsid w:val="002C3F32"/>
    <w:rsid w:val="002C4E3D"/>
    <w:rsid w:val="002D2336"/>
    <w:rsid w:val="002E0BC4"/>
    <w:rsid w:val="002F1B76"/>
    <w:rsid w:val="00323C50"/>
    <w:rsid w:val="0033568E"/>
    <w:rsid w:val="00355FF5"/>
    <w:rsid w:val="00361350"/>
    <w:rsid w:val="003C3FAE"/>
    <w:rsid w:val="004038CB"/>
    <w:rsid w:val="0040546F"/>
    <w:rsid w:val="004177BD"/>
    <w:rsid w:val="0042404A"/>
    <w:rsid w:val="0044618F"/>
    <w:rsid w:val="00465C35"/>
    <w:rsid w:val="0046769A"/>
    <w:rsid w:val="00475FB3"/>
    <w:rsid w:val="004C37A9"/>
    <w:rsid w:val="004D1D50"/>
    <w:rsid w:val="004F259E"/>
    <w:rsid w:val="004F633A"/>
    <w:rsid w:val="00504C7F"/>
    <w:rsid w:val="00511F1D"/>
    <w:rsid w:val="00520F36"/>
    <w:rsid w:val="00524E8D"/>
    <w:rsid w:val="00534E13"/>
    <w:rsid w:val="00540615"/>
    <w:rsid w:val="00540A6D"/>
    <w:rsid w:val="00553536"/>
    <w:rsid w:val="00566679"/>
    <w:rsid w:val="00571EEA"/>
    <w:rsid w:val="00575417"/>
    <w:rsid w:val="005768E1"/>
    <w:rsid w:val="005B1938"/>
    <w:rsid w:val="005C3890"/>
    <w:rsid w:val="005F7BFE"/>
    <w:rsid w:val="00600017"/>
    <w:rsid w:val="00602682"/>
    <w:rsid w:val="006235CA"/>
    <w:rsid w:val="0062366E"/>
    <w:rsid w:val="006643AB"/>
    <w:rsid w:val="006839D0"/>
    <w:rsid w:val="006A11AE"/>
    <w:rsid w:val="006B0A05"/>
    <w:rsid w:val="006B224B"/>
    <w:rsid w:val="006F0A53"/>
    <w:rsid w:val="0071402E"/>
    <w:rsid w:val="00720520"/>
    <w:rsid w:val="007210CD"/>
    <w:rsid w:val="00732045"/>
    <w:rsid w:val="0073275D"/>
    <w:rsid w:val="007369DB"/>
    <w:rsid w:val="0077110E"/>
    <w:rsid w:val="007956C2"/>
    <w:rsid w:val="00796BDB"/>
    <w:rsid w:val="007A187E"/>
    <w:rsid w:val="007C72C2"/>
    <w:rsid w:val="007D4436"/>
    <w:rsid w:val="007F257A"/>
    <w:rsid w:val="007F3665"/>
    <w:rsid w:val="00800037"/>
    <w:rsid w:val="0082299A"/>
    <w:rsid w:val="008232EE"/>
    <w:rsid w:val="0083391C"/>
    <w:rsid w:val="0084546D"/>
    <w:rsid w:val="00857420"/>
    <w:rsid w:val="00861D73"/>
    <w:rsid w:val="00882919"/>
    <w:rsid w:val="00897553"/>
    <w:rsid w:val="008A4E87"/>
    <w:rsid w:val="008D76E6"/>
    <w:rsid w:val="008F0E3F"/>
    <w:rsid w:val="0092392D"/>
    <w:rsid w:val="0093234A"/>
    <w:rsid w:val="00956A78"/>
    <w:rsid w:val="00957B32"/>
    <w:rsid w:val="00970606"/>
    <w:rsid w:val="0097363B"/>
    <w:rsid w:val="00973F53"/>
    <w:rsid w:val="0098348E"/>
    <w:rsid w:val="009A6BAA"/>
    <w:rsid w:val="009A76A8"/>
    <w:rsid w:val="009B3DC4"/>
    <w:rsid w:val="009C307F"/>
    <w:rsid w:val="009C353C"/>
    <w:rsid w:val="009D5955"/>
    <w:rsid w:val="009F0FB8"/>
    <w:rsid w:val="00A01F4F"/>
    <w:rsid w:val="00A109AF"/>
    <w:rsid w:val="00A125FB"/>
    <w:rsid w:val="00A2113E"/>
    <w:rsid w:val="00A23A51"/>
    <w:rsid w:val="00A24607"/>
    <w:rsid w:val="00A25CD3"/>
    <w:rsid w:val="00A51849"/>
    <w:rsid w:val="00A709FE"/>
    <w:rsid w:val="00A73C60"/>
    <w:rsid w:val="00A82767"/>
    <w:rsid w:val="00AA332F"/>
    <w:rsid w:val="00AA7BBB"/>
    <w:rsid w:val="00AB64A8"/>
    <w:rsid w:val="00AC0266"/>
    <w:rsid w:val="00AC0F1D"/>
    <w:rsid w:val="00AD24EC"/>
    <w:rsid w:val="00B27B00"/>
    <w:rsid w:val="00B309F9"/>
    <w:rsid w:val="00B32B60"/>
    <w:rsid w:val="00B51005"/>
    <w:rsid w:val="00B61619"/>
    <w:rsid w:val="00BA49F4"/>
    <w:rsid w:val="00BB38C1"/>
    <w:rsid w:val="00BB4545"/>
    <w:rsid w:val="00BD5873"/>
    <w:rsid w:val="00BE1C99"/>
    <w:rsid w:val="00BF4B60"/>
    <w:rsid w:val="00C049D7"/>
    <w:rsid w:val="00C04BE3"/>
    <w:rsid w:val="00C25D29"/>
    <w:rsid w:val="00C2625E"/>
    <w:rsid w:val="00C27A7C"/>
    <w:rsid w:val="00C42437"/>
    <w:rsid w:val="00C71D14"/>
    <w:rsid w:val="00C72604"/>
    <w:rsid w:val="00CA08ED"/>
    <w:rsid w:val="00CC6EAA"/>
    <w:rsid w:val="00CE5172"/>
    <w:rsid w:val="00CF0534"/>
    <w:rsid w:val="00CF183B"/>
    <w:rsid w:val="00D375CD"/>
    <w:rsid w:val="00D37B53"/>
    <w:rsid w:val="00D553A2"/>
    <w:rsid w:val="00D72F49"/>
    <w:rsid w:val="00D774D3"/>
    <w:rsid w:val="00D904E8"/>
    <w:rsid w:val="00DA08C3"/>
    <w:rsid w:val="00DB5A3E"/>
    <w:rsid w:val="00DC22AA"/>
    <w:rsid w:val="00DD1A99"/>
    <w:rsid w:val="00DE363B"/>
    <w:rsid w:val="00DE62C6"/>
    <w:rsid w:val="00DF74DD"/>
    <w:rsid w:val="00E25AD0"/>
    <w:rsid w:val="00E34212"/>
    <w:rsid w:val="00E4428F"/>
    <w:rsid w:val="00E4448E"/>
    <w:rsid w:val="00E47427"/>
    <w:rsid w:val="00E93668"/>
    <w:rsid w:val="00E95647"/>
    <w:rsid w:val="00EB6350"/>
    <w:rsid w:val="00ED799B"/>
    <w:rsid w:val="00F15B57"/>
    <w:rsid w:val="00F35EF4"/>
    <w:rsid w:val="00F37FE5"/>
    <w:rsid w:val="00F427DB"/>
    <w:rsid w:val="00FA5EB1"/>
    <w:rsid w:val="00FA7439"/>
    <w:rsid w:val="00FC4EC0"/>
    <w:rsid w:val="00FC6D7D"/>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5D4C7"/>
  <w15:docId w15:val="{0A176E45-C097-456E-A4D7-86304EAFD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ED799B"/>
    <w:pPr>
      <w:keepNext/>
      <w:keepLines/>
      <w:spacing w:before="360"/>
      <w:ind w:left="567" w:hanging="567"/>
      <w:outlineLvl w:val="0"/>
    </w:pPr>
    <w:rPr>
      <w:b/>
      <w:sz w:val="28"/>
    </w:rPr>
  </w:style>
  <w:style w:type="paragraph" w:styleId="Heading2">
    <w:name w:val="heading 2"/>
    <w:basedOn w:val="Heading1"/>
    <w:next w:val="Normal"/>
    <w:qFormat/>
    <w:rsid w:val="00ED799B"/>
    <w:pPr>
      <w:spacing w:before="200"/>
      <w:outlineLvl w:val="1"/>
    </w:pPr>
    <w:rPr>
      <w:sz w:val="24"/>
    </w:rPr>
  </w:style>
  <w:style w:type="paragraph" w:styleId="Heading3">
    <w:name w:val="heading 3"/>
    <w:basedOn w:val="Heading1"/>
    <w:next w:val="Normal"/>
    <w:qFormat/>
    <w:rsid w:val="00ED799B"/>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19129B"/>
  </w:style>
  <w:style w:type="paragraph" w:styleId="TOC3">
    <w:name w:val="toc 3"/>
    <w:basedOn w:val="TOC1"/>
    <w:next w:val="Normal"/>
    <w:rsid w:val="001658F9"/>
  </w:style>
  <w:style w:type="paragraph" w:styleId="TOC2">
    <w:name w:val="toc 2"/>
    <w:basedOn w:val="TOC1"/>
    <w:next w:val="Normal"/>
    <w:rsid w:val="001658F9"/>
    <w:pPr>
      <w:spacing w:before="160"/>
    </w:pPr>
  </w:style>
  <w:style w:type="paragraph" w:styleId="TOC1">
    <w:name w:val="toc 1"/>
    <w:basedOn w:val="Normal"/>
    <w:rsid w:val="001658F9"/>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19129B"/>
  </w:style>
  <w:style w:type="paragraph" w:styleId="TOC6">
    <w:name w:val="toc 6"/>
    <w:basedOn w:val="TOC5"/>
    <w:next w:val="Normal"/>
    <w:rsid w:val="0019129B"/>
  </w:style>
  <w:style w:type="paragraph" w:styleId="TOC5">
    <w:name w:val="toc 5"/>
    <w:basedOn w:val="TOC4"/>
    <w:next w:val="Normal"/>
    <w:rsid w:val="0019129B"/>
    <w:rPr>
      <w:lang w:val="fr-CH"/>
    </w:rPr>
  </w:style>
  <w:style w:type="paragraph" w:styleId="TOC4">
    <w:name w:val="toc 4"/>
    <w:basedOn w:val="TOC1"/>
    <w:next w:val="Normal"/>
    <w:rsid w:val="0019129B"/>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ED799B"/>
    <w:pPr>
      <w:keepLines/>
      <w:tabs>
        <w:tab w:val="left" w:pos="256"/>
      </w:tabs>
      <w:ind w:left="256" w:hanging="256"/>
    </w:pPr>
    <w:rPr>
      <w:sz w:val="22"/>
    </w:rPr>
  </w:style>
  <w:style w:type="paragraph" w:styleId="NormalIndent">
    <w:name w:val="Normal Indent"/>
    <w:basedOn w:val="Normal"/>
    <w:rsid w:val="00732045"/>
    <w:pPr>
      <w:ind w:left="567"/>
    </w:pPr>
  </w:style>
  <w:style w:type="paragraph" w:customStyle="1" w:styleId="enumlev1">
    <w:name w:val="enumlev1"/>
    <w:basedOn w:val="Normal"/>
    <w:rsid w:val="009D5955"/>
    <w:pPr>
      <w:spacing w:before="80"/>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9D595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ED799B"/>
    <w:pPr>
      <w:spacing w:before="160"/>
      <w:ind w:left="0" w:firstLine="0"/>
      <w:outlineLvl w:val="0"/>
    </w:pPr>
  </w:style>
  <w:style w:type="paragraph" w:customStyle="1" w:styleId="Title1">
    <w:name w:val="Title 1"/>
    <w:basedOn w:val="Normal"/>
    <w:next w:val="Normalaftertitle"/>
    <w:rsid w:val="0071402E"/>
    <w:pPr>
      <w:spacing w:before="360"/>
      <w:jc w:val="center"/>
    </w:pPr>
    <w:rPr>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71402E"/>
    <w:pPr>
      <w:spacing w:before="80"/>
    </w:pPr>
    <w:rPr>
      <w:sz w:val="22"/>
    </w:r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BB38C1"/>
    <w:pPr>
      <w:keepNext/>
      <w:keepLines/>
      <w:spacing w:before="720"/>
      <w:jc w:val="center"/>
    </w:pPr>
    <w:rPr>
      <w:caps/>
      <w:sz w:val="28"/>
    </w:rPr>
  </w:style>
  <w:style w:type="paragraph" w:customStyle="1" w:styleId="Annexref">
    <w:name w:val="Annex_ref"/>
    <w:basedOn w:val="Normal"/>
    <w:next w:val="Annextitle"/>
    <w:rsid w:val="00BB38C1"/>
    <w:pPr>
      <w:keepNext/>
      <w:keepLines/>
      <w:jc w:val="center"/>
    </w:pPr>
    <w:rPr>
      <w:sz w:val="28"/>
    </w:rPr>
  </w:style>
  <w:style w:type="paragraph" w:customStyle="1" w:styleId="Annextitle">
    <w:name w:val="Annex_title"/>
    <w:basedOn w:val="Normal"/>
    <w:next w:val="Normalaftertitle"/>
    <w:rsid w:val="00BB38C1"/>
    <w:pPr>
      <w:keepNext/>
      <w:keepLines/>
      <w:spacing w:before="240" w:after="240"/>
      <w:jc w:val="center"/>
    </w:pPr>
    <w:rPr>
      <w:b/>
      <w:sz w:val="28"/>
    </w:rPr>
  </w:style>
  <w:style w:type="paragraph" w:customStyle="1" w:styleId="AppendixNo">
    <w:name w:val="Appendix_No"/>
    <w:basedOn w:val="AnnexNo"/>
    <w:next w:val="Appendixref"/>
    <w:rsid w:val="00BB38C1"/>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aftertitle"/>
    <w:rsid w:val="00BB38C1"/>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BB38C1"/>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38C1"/>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aftertitle"/>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Normal"/>
    <w:rsid w:val="009D5955"/>
    <w:pPr>
      <w:spacing w:after="240"/>
      <w:jc w:val="center"/>
    </w:pPr>
  </w:style>
  <w:style w:type="paragraph" w:customStyle="1" w:styleId="Figurelegend">
    <w:name w:val="Figure_legend"/>
    <w:basedOn w:val="Normal"/>
    <w:next w:val="Normal"/>
    <w:rsid w:val="009D5955"/>
    <w:pPr>
      <w:spacing w:before="20" w:after="240"/>
    </w:pPr>
    <w:rPr>
      <w:sz w:val="18"/>
    </w:rPr>
  </w:style>
  <w:style w:type="paragraph" w:customStyle="1" w:styleId="TableNo">
    <w:name w:val="Table_No"/>
    <w:basedOn w:val="Normal"/>
    <w:next w:val="Tabletitle"/>
    <w:rsid w:val="0071402E"/>
    <w:pPr>
      <w:keepNext/>
      <w:keepLines/>
      <w:spacing w:before="480" w:after="120"/>
      <w:jc w:val="center"/>
    </w:pPr>
    <w:rPr>
      <w:caps/>
    </w:rPr>
  </w:style>
  <w:style w:type="paragraph" w:customStyle="1" w:styleId="Tabletitle">
    <w:name w:val="Table_title"/>
    <w:basedOn w:val="TableNo"/>
    <w:next w:val="Tabletext"/>
    <w:rsid w:val="0071402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9D5955"/>
    <w:pPr>
      <w:spacing w:before="120" w:after="0"/>
    </w:pPr>
  </w:style>
  <w:style w:type="paragraph" w:customStyle="1" w:styleId="Figurewithouttitle">
    <w:name w:val="Figure_without_title"/>
    <w:basedOn w:val="Figure"/>
    <w:next w:val="Normal"/>
    <w:rsid w:val="00ED799B"/>
  </w:style>
  <w:style w:type="paragraph" w:customStyle="1" w:styleId="Headingi">
    <w:name w:val="Heading_i"/>
    <w:basedOn w:val="Heading3"/>
    <w:next w:val="Normal"/>
    <w:rsid w:val="00ED799B"/>
    <w:pPr>
      <w:spacing w:before="160"/>
      <w:ind w:left="0" w:firstLine="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1402E"/>
    <w:pPr>
      <w:keepNext/>
      <w:keepLines/>
      <w:spacing w:before="720"/>
      <w:jc w:val="center"/>
    </w:pPr>
    <w:rPr>
      <w:caps/>
      <w:sz w:val="28"/>
    </w:rPr>
  </w:style>
  <w:style w:type="paragraph" w:customStyle="1" w:styleId="Rectitle">
    <w:name w:val="Rec_title"/>
    <w:basedOn w:val="Normal"/>
    <w:next w:val="Heading1"/>
    <w:rsid w:val="0071402E"/>
    <w:pPr>
      <w:keepNext/>
      <w:keepLines/>
      <w:jc w:val="center"/>
    </w:pPr>
    <w:rPr>
      <w:b/>
      <w:sz w:val="28"/>
    </w:rPr>
  </w:style>
  <w:style w:type="paragraph" w:customStyle="1" w:styleId="Recref">
    <w:name w:val="Rec_ref"/>
    <w:basedOn w:val="Rectitle"/>
    <w:next w:val="Recdate"/>
    <w:rsid w:val="005C3890"/>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71402E"/>
  </w:style>
  <w:style w:type="paragraph" w:customStyle="1" w:styleId="QuestionNo">
    <w:name w:val="Question_No"/>
    <w:basedOn w:val="RecNo"/>
    <w:next w:val="Questiontitle"/>
    <w:rsid w:val="0071402E"/>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71402E"/>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1402E"/>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71402E"/>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1402E"/>
    <w:pPr>
      <w:tabs>
        <w:tab w:val="clear" w:pos="1134"/>
        <w:tab w:val="clear" w:pos="1701"/>
        <w:tab w:val="clear" w:pos="2268"/>
        <w:tab w:val="clear" w:pos="2835"/>
        <w:tab w:val="left" w:pos="284"/>
        <w:tab w:val="left" w:pos="851"/>
      </w:tabs>
      <w:spacing w:before="40" w:after="40"/>
    </w:pPr>
    <w:rPr>
      <w:sz w:val="22"/>
    </w:rPr>
  </w:style>
  <w:style w:type="paragraph" w:customStyle="1" w:styleId="Tablehead">
    <w:name w:val="Table_head"/>
    <w:basedOn w:val="Tabletext"/>
    <w:rsid w:val="0071402E"/>
    <w:pPr>
      <w:keepNext/>
      <w:keepLines/>
      <w:spacing w:before="80" w:after="80"/>
      <w:jc w:val="center"/>
    </w:pPr>
    <w:rPr>
      <w:b/>
    </w:rPr>
  </w:style>
  <w:style w:type="paragraph" w:customStyle="1" w:styleId="Tablelegend">
    <w:name w:val="Table_legend"/>
    <w:basedOn w:val="Tabletext"/>
    <w:rsid w:val="0071402E"/>
    <w:pPr>
      <w:ind w:left="284" w:hanging="284"/>
    </w:pPr>
    <w:rPr>
      <w:sz w:val="20"/>
    </w:rPr>
  </w:style>
  <w:style w:type="paragraph" w:customStyle="1" w:styleId="Tableref">
    <w:name w:val="Table_ref"/>
    <w:basedOn w:val="Normal"/>
    <w:next w:val="Tabletitle"/>
    <w:rsid w:val="0071402E"/>
    <w:pPr>
      <w:keepNext/>
      <w:keepLines/>
      <w:jc w:val="center"/>
    </w:pPr>
    <w:rPr>
      <w:sz w:val="20"/>
    </w:rPr>
  </w:style>
  <w:style w:type="paragraph" w:customStyle="1" w:styleId="Title2">
    <w:name w:val="Title 2"/>
    <w:basedOn w:val="Title1"/>
    <w:next w:val="Normalaftertitle"/>
    <w:rsid w:val="006B224B"/>
    <w:pPr>
      <w:keepNext/>
      <w:keepLines/>
      <w:spacing w:before="240"/>
    </w:pPr>
    <w:rPr>
      <w:b/>
      <w:caps w:val="0"/>
    </w:rPr>
  </w:style>
  <w:style w:type="paragraph" w:customStyle="1" w:styleId="Title3">
    <w:name w:val="Title 3"/>
    <w:basedOn w:val="Title2"/>
    <w:next w:val="Normalaftertitle"/>
    <w:rsid w:val="006B224B"/>
    <w:rPr>
      <w:b w:val="0"/>
      <w:caps/>
    </w:rPr>
  </w:style>
  <w:style w:type="paragraph" w:customStyle="1" w:styleId="Title4">
    <w:name w:val="Title 4"/>
    <w:basedOn w:val="Annextitle"/>
    <w:next w:val="Normal"/>
    <w:rsid w:val="00CE5172"/>
    <w:pPr>
      <w:spacing w:after="120"/>
    </w:pPr>
    <w:rPr>
      <w:b w:val="0"/>
    </w:rPr>
  </w:style>
  <w:style w:type="paragraph" w:customStyle="1" w:styleId="FigureNo">
    <w:name w:val="Figure_No"/>
    <w:basedOn w:val="Normal"/>
    <w:next w:val="Figuretitle"/>
    <w:rsid w:val="009D5955"/>
    <w:pPr>
      <w:keepNext/>
      <w:keepLines/>
      <w:spacing w:before="48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paragraph" w:customStyle="1" w:styleId="Referencetext">
    <w:name w:val="Reference_text"/>
    <w:basedOn w:val="Normal"/>
    <w:rsid w:val="00CE5172"/>
    <w:pPr>
      <w:framePr w:hSpace="181" w:wrap="around" w:vAnchor="page" w:hAnchor="page" w:x="1589" w:y="2314"/>
      <w:spacing w:after="160"/>
    </w:pPr>
    <w:rPr>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D26-TDAG33-C-0004/fr" TargetMode="External"/><Relationship Id="rId13" Type="http://schemas.openxmlformats.org/officeDocument/2006/relationships/hyperlink" Target="https://www.itu.int/itu-d/meetings/wtdc25/the-conference/high-level-segment/speakers/" TargetMode="External"/><Relationship Id="rId18" Type="http://schemas.openxmlformats.org/officeDocument/2006/relationships/hyperlink" Target="https://www.itu.int/itu-d/sites/studygroups/fr/"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itu.int/md/S26-CWGSFP4-C-0007/fr" TargetMode="External"/><Relationship Id="rId12" Type="http://schemas.openxmlformats.org/officeDocument/2006/relationships/hyperlink" Target="https://www.itu.int/itu-d/meetings/wtdc25/the-conference/high-level-segment/speakers/" TargetMode="External"/><Relationship Id="rId17" Type="http://schemas.openxmlformats.org/officeDocument/2006/relationships/hyperlink" Target="https://www.itu.int/itu-d/meetings/tdag/tdag/bureau/"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itu.int/en/ITU-D/Pages/regional-initiatives-2026-2029.aspx" TargetMode="External"/><Relationship Id="rId20" Type="http://schemas.openxmlformats.org/officeDocument/2006/relationships/hyperlink" Target="https://www.itu.int/itu-d/meetings/wtdc25/wp-content/uploads/sites/29/2025/12/Study-Group-Questions-2026-2029.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itu-d/meetings/wtdc25/"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itu.int/itu-d/meetings/wtdc25/wp-content/uploads/sites/29/2025/11/090-E.pdf" TargetMode="External"/><Relationship Id="rId23" Type="http://schemas.openxmlformats.org/officeDocument/2006/relationships/footer" Target="footer2.xml"/><Relationship Id="rId10" Type="http://schemas.openxmlformats.org/officeDocument/2006/relationships/hyperlink" Target="https://www.itu.int/md/D26-TDAG33-C-0003/fr" TargetMode="External"/><Relationship Id="rId19" Type="http://schemas.openxmlformats.org/officeDocument/2006/relationships/hyperlink" Target="https://www.itu.int/en/ITU-D/Pages/regional-initiatives-2026-2029.aspx" TargetMode="External"/><Relationship Id="rId4" Type="http://schemas.openxmlformats.org/officeDocument/2006/relationships/webSettings" Target="webSettings.xml"/><Relationship Id="rId9" Type="http://schemas.openxmlformats.org/officeDocument/2006/relationships/hyperlink" Target="https://www.itu.int/itu-d/meetings/wtdc25/wp-content/uploads/sites/29/2025/11/090-E.pdf" TargetMode="External"/><Relationship Id="rId14" Type="http://schemas.openxmlformats.org/officeDocument/2006/relationships/hyperlink" Target="https://www.itu.int/itu-d/meetings/wtdc25/wp-content/uploads/sites/29/2025/11/WTDC-25-Declaration.pdf" TargetMode="External"/><Relationship Id="rId22" Type="http://schemas.openxmlformats.org/officeDocument/2006/relationships/footer" Target="footer1.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PF_Council26.dotx</Template>
  <TotalTime>20</TotalTime>
  <Pages>6</Pages>
  <Words>2630</Words>
  <Characters>16636</Characters>
  <Application>Microsoft Office Word</Application>
  <DocSecurity>0</DocSecurity>
  <Lines>259</Lines>
  <Paragraphs>79</Paragraphs>
  <ScaleCrop>false</ScaleCrop>
  <HeadingPairs>
    <vt:vector size="2" baseType="variant">
      <vt:variant>
        <vt:lpstr>Title</vt:lpstr>
      </vt:variant>
      <vt:variant>
        <vt:i4>1</vt:i4>
      </vt:variant>
    </vt:vector>
  </HeadingPairs>
  <TitlesOfParts>
    <vt:vector size="1" baseType="lpstr">
      <vt:lpstr>Rapport sur la Conférence mondiale de développement des télécommunications de 2025</vt:lpstr>
    </vt:vector>
  </TitlesOfParts>
  <Manager>Secrétariat général - Pool</Manager>
  <Company>Union internationale des télécommunications (UIT)</Company>
  <LinksUpToDate>false</LinksUpToDate>
  <CharactersWithSpaces>19187</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sur la Conférence mondiale de développement des télécommunications de 2025</dc:title>
  <dc:subject>Conseil 2026 de l'UIT</dc:subject>
  <cp:keywords>C26; C2026; Council 2026; PP26</cp:keywords>
  <dc:description/>
  <cp:lastPrinted>2000-07-18T08:55:00Z</cp:lastPrinted>
  <dcterms:created xsi:type="dcterms:W3CDTF">2026-03-24T13:20:00Z</dcterms:created>
  <dcterms:modified xsi:type="dcterms:W3CDTF">2026-03-25T07:59:00Z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