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3DABAEE2" w14:textId="77777777" w:rsidTr="00F363FE">
        <w:tc>
          <w:tcPr>
            <w:tcW w:w="6512" w:type="dxa"/>
          </w:tcPr>
          <w:p w14:paraId="2C2F1BBF" w14:textId="77C5EDD7"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9A5F2B">
              <w:rPr>
                <w:rFonts w:hint="cs"/>
                <w:b/>
                <w:bCs/>
                <w:rtl/>
                <w:lang w:bidi="ar-EG"/>
              </w:rPr>
              <w:t xml:space="preserve"> </w:t>
            </w:r>
            <w:r w:rsidR="009A5F2B">
              <w:rPr>
                <w:b/>
                <w:bCs/>
                <w:lang w:bidi="ar-EG"/>
              </w:rPr>
              <w:t>PL</w:t>
            </w:r>
            <w:r w:rsidR="00C230EA">
              <w:rPr>
                <w:b/>
                <w:bCs/>
                <w:lang w:bidi="ar-EG"/>
              </w:rPr>
              <w:t>-</w:t>
            </w:r>
            <w:r w:rsidR="009A5F2B">
              <w:rPr>
                <w:b/>
                <w:bCs/>
                <w:lang w:bidi="ar-EG"/>
              </w:rPr>
              <w:t>3</w:t>
            </w:r>
          </w:p>
        </w:tc>
        <w:tc>
          <w:tcPr>
            <w:tcW w:w="3117" w:type="dxa"/>
          </w:tcPr>
          <w:p w14:paraId="264845D4" w14:textId="05B5D012"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7B65EB">
              <w:rPr>
                <w:b/>
                <w:bCs/>
                <w:lang w:bidi="ar-EG"/>
              </w:rPr>
              <w:t>30</w:t>
            </w:r>
            <w:r w:rsidRPr="007B0AA0">
              <w:rPr>
                <w:b/>
                <w:bCs/>
                <w:lang w:bidi="ar-EG"/>
              </w:rPr>
              <w:t>-A</w:t>
            </w:r>
          </w:p>
        </w:tc>
      </w:tr>
      <w:tr w:rsidR="007B0AA0" w14:paraId="368BB03E" w14:textId="77777777" w:rsidTr="00F363FE">
        <w:tc>
          <w:tcPr>
            <w:tcW w:w="6512" w:type="dxa"/>
          </w:tcPr>
          <w:p w14:paraId="7E60D7E8" w14:textId="77777777" w:rsidR="007B0AA0" w:rsidRPr="007B0AA0" w:rsidRDefault="007B0AA0" w:rsidP="00F363FE">
            <w:pPr>
              <w:spacing w:before="60" w:after="60" w:line="260" w:lineRule="exact"/>
              <w:rPr>
                <w:b/>
                <w:bCs/>
                <w:rtl/>
                <w:lang w:bidi="ar-EG"/>
              </w:rPr>
            </w:pPr>
          </w:p>
        </w:tc>
        <w:tc>
          <w:tcPr>
            <w:tcW w:w="3117" w:type="dxa"/>
          </w:tcPr>
          <w:p w14:paraId="6447EE3E" w14:textId="722B13BE" w:rsidR="007B0AA0" w:rsidRPr="007B0AA0" w:rsidRDefault="009A5F2B" w:rsidP="00F363FE">
            <w:pPr>
              <w:spacing w:before="60" w:after="60" w:line="260" w:lineRule="exact"/>
              <w:rPr>
                <w:b/>
                <w:bCs/>
                <w:rtl/>
                <w:lang w:bidi="ar-EG"/>
              </w:rPr>
            </w:pPr>
            <w:r>
              <w:rPr>
                <w:rFonts w:hint="cs"/>
                <w:b/>
                <w:bCs/>
                <w:rtl/>
              </w:rPr>
              <w:t>‏11‏ مارس‏ 2026</w:t>
            </w:r>
          </w:p>
        </w:tc>
      </w:tr>
      <w:tr w:rsidR="007B0AA0" w14:paraId="513262A0" w14:textId="77777777" w:rsidTr="00F363FE">
        <w:tc>
          <w:tcPr>
            <w:tcW w:w="6512" w:type="dxa"/>
          </w:tcPr>
          <w:p w14:paraId="27F50DB2" w14:textId="77777777" w:rsidR="007B0AA0" w:rsidRPr="007B0AA0" w:rsidRDefault="007B0AA0" w:rsidP="00F363FE">
            <w:pPr>
              <w:spacing w:before="60" w:after="60" w:line="260" w:lineRule="exact"/>
              <w:rPr>
                <w:b/>
                <w:bCs/>
                <w:rtl/>
                <w:lang w:bidi="ar-EG"/>
              </w:rPr>
            </w:pPr>
          </w:p>
        </w:tc>
        <w:tc>
          <w:tcPr>
            <w:tcW w:w="3117" w:type="dxa"/>
          </w:tcPr>
          <w:p w14:paraId="7F1B30F7"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1EDCD86E" w14:textId="77777777" w:rsidTr="00F363FE">
        <w:tc>
          <w:tcPr>
            <w:tcW w:w="6512" w:type="dxa"/>
          </w:tcPr>
          <w:p w14:paraId="14FE6760" w14:textId="77777777" w:rsidR="007B0AA0" w:rsidRDefault="007B0AA0" w:rsidP="00F363FE">
            <w:pPr>
              <w:spacing w:before="60" w:after="60" w:line="260" w:lineRule="exact"/>
              <w:rPr>
                <w:lang w:bidi="ar-EG"/>
              </w:rPr>
            </w:pPr>
          </w:p>
        </w:tc>
        <w:tc>
          <w:tcPr>
            <w:tcW w:w="3117" w:type="dxa"/>
          </w:tcPr>
          <w:p w14:paraId="7ED079C8" w14:textId="77777777" w:rsidR="007B0AA0" w:rsidRDefault="007B0AA0" w:rsidP="00F363FE">
            <w:pPr>
              <w:spacing w:before="60" w:after="60" w:line="260" w:lineRule="exact"/>
              <w:rPr>
                <w:rtl/>
                <w:lang w:bidi="ar-EG"/>
              </w:rPr>
            </w:pPr>
          </w:p>
        </w:tc>
      </w:tr>
      <w:tr w:rsidR="007B0AA0" w14:paraId="3D634DC0" w14:textId="77777777" w:rsidTr="00EE7446">
        <w:tc>
          <w:tcPr>
            <w:tcW w:w="9629" w:type="dxa"/>
            <w:gridSpan w:val="2"/>
          </w:tcPr>
          <w:p w14:paraId="1967C7A9" w14:textId="77777777" w:rsidR="007B0AA0" w:rsidRDefault="001D64C7" w:rsidP="007B0AA0">
            <w:pPr>
              <w:pStyle w:val="Source"/>
              <w:jc w:val="left"/>
              <w:rPr>
                <w:lang w:bidi="ar-EG"/>
              </w:rPr>
            </w:pPr>
            <w:r>
              <w:rPr>
                <w:rFonts w:hint="cs"/>
                <w:rtl/>
                <w:lang w:bidi="ar-EG"/>
              </w:rPr>
              <w:t>تقرير من الأمينة العامة</w:t>
            </w:r>
          </w:p>
        </w:tc>
      </w:tr>
      <w:tr w:rsidR="007B0AA0" w14:paraId="1B81B7FB" w14:textId="77777777" w:rsidTr="007B0AA0">
        <w:tc>
          <w:tcPr>
            <w:tcW w:w="9629" w:type="dxa"/>
            <w:gridSpan w:val="2"/>
            <w:tcBorders>
              <w:bottom w:val="single" w:sz="4" w:space="0" w:color="auto"/>
            </w:tcBorders>
          </w:tcPr>
          <w:p w14:paraId="25AA90CC" w14:textId="55B0C7E7" w:rsidR="007B0AA0" w:rsidRPr="005546CF" w:rsidRDefault="009A5F2B" w:rsidP="009A5F2B">
            <w:pPr>
              <w:pStyle w:val="Subtitle0"/>
              <w:rPr>
                <w:sz w:val="32"/>
                <w:szCs w:val="32"/>
              </w:rPr>
            </w:pPr>
            <w:r w:rsidRPr="009A5F2B">
              <w:rPr>
                <w:sz w:val="32"/>
                <w:szCs w:val="32"/>
                <w:rtl/>
                <w:lang w:bidi="ar-SA"/>
              </w:rPr>
              <w:t>تقرير عن المؤتمر العالمي لتنمية الاتصالات عام 2025 (WTDC-25)</w:t>
            </w:r>
          </w:p>
        </w:tc>
      </w:tr>
      <w:tr w:rsidR="007B0AA0" w14:paraId="3DD56A46" w14:textId="77777777" w:rsidTr="007B0AA0">
        <w:tc>
          <w:tcPr>
            <w:tcW w:w="9629" w:type="dxa"/>
            <w:gridSpan w:val="2"/>
            <w:tcBorders>
              <w:top w:val="single" w:sz="4" w:space="0" w:color="auto"/>
              <w:bottom w:val="single" w:sz="4" w:space="0" w:color="auto"/>
            </w:tcBorders>
          </w:tcPr>
          <w:p w14:paraId="5A7BD1CD" w14:textId="77777777" w:rsidR="007B0AA0" w:rsidRPr="007B0AA0" w:rsidRDefault="007B0AA0" w:rsidP="007B0AA0">
            <w:pPr>
              <w:rPr>
                <w:b/>
                <w:bCs/>
                <w:rtl/>
              </w:rPr>
            </w:pPr>
            <w:r w:rsidRPr="00494119">
              <w:rPr>
                <w:rFonts w:hint="cs"/>
                <w:b/>
                <w:bCs/>
                <w:rtl/>
              </w:rPr>
              <w:t>الغرض</w:t>
            </w:r>
          </w:p>
          <w:p w14:paraId="5B2C9976" w14:textId="570DF8B5" w:rsidR="007B0AA0" w:rsidRDefault="009A5F2B" w:rsidP="009A5F2B">
            <w:pPr>
              <w:rPr>
                <w:rtl/>
              </w:rPr>
            </w:pPr>
            <w:r w:rsidRPr="009A5F2B">
              <w:rPr>
                <w:rtl/>
              </w:rPr>
              <w:t>تقدم هذه الوثيقة تقريراً عن نتائج المؤتمر العالمي لتنمية الاتصالات لعام 2025.</w:t>
            </w:r>
          </w:p>
          <w:p w14:paraId="59082499" w14:textId="77777777" w:rsidR="007B0AA0" w:rsidRPr="007B0AA0" w:rsidRDefault="007B0AA0" w:rsidP="007B0AA0">
            <w:pPr>
              <w:rPr>
                <w:b/>
                <w:bCs/>
                <w:rtl/>
              </w:rPr>
            </w:pPr>
            <w:r w:rsidRPr="007B0AA0">
              <w:rPr>
                <w:rFonts w:hint="cs"/>
                <w:b/>
                <w:bCs/>
                <w:rtl/>
              </w:rPr>
              <w:t>الإجراء المطلوب من المجلس</w:t>
            </w:r>
          </w:p>
          <w:p w14:paraId="2870EE88" w14:textId="6861D110" w:rsidR="007B0AA0" w:rsidRDefault="009A5F2B" w:rsidP="009A5F2B">
            <w:pPr>
              <w:rPr>
                <w:rtl/>
              </w:rPr>
            </w:pPr>
            <w:r w:rsidRPr="009A5F2B">
              <w:rPr>
                <w:rtl/>
              </w:rPr>
              <w:t xml:space="preserve">يُدعى المجلس إلى </w:t>
            </w:r>
            <w:r w:rsidRPr="0007703F">
              <w:rPr>
                <w:b/>
                <w:bCs/>
                <w:rtl/>
              </w:rPr>
              <w:t>الإحاطة علماً</w:t>
            </w:r>
            <w:r w:rsidRPr="009A5F2B">
              <w:rPr>
                <w:rtl/>
              </w:rPr>
              <w:t xml:space="preserve"> بهذا التقرير.</w:t>
            </w:r>
          </w:p>
          <w:p w14:paraId="0F7B8EEE"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12270ACB" w14:textId="7C1DAE01" w:rsidR="007B0AA0" w:rsidRDefault="009A3BBA" w:rsidP="009A3BBA">
            <w:pPr>
              <w:rPr>
                <w:rtl/>
              </w:rPr>
            </w:pPr>
            <w:r w:rsidRPr="009A3BBA">
              <w:rPr>
                <w:rtl/>
              </w:rPr>
              <w:t xml:space="preserve">منصة عقد الاجتماعات؛ منظمة يقودها الأعضاء؛ الحضور الإقليمي؛ جميع الأولويات المحورية. اعتمد المؤتمر العالمي لتنمية الاتصالات لعام 2025 (WTDC-25) الصيغة النهائية </w:t>
            </w:r>
            <w:hyperlink r:id="rId8" w:history="1">
              <w:r w:rsidRPr="00C74857">
                <w:rPr>
                  <w:rStyle w:val="Hyperlink"/>
                  <w:noProof w:val="0"/>
                  <w:rtl/>
                  <w:lang w:val="en-US" w:eastAsia="zh-CN"/>
                </w:rPr>
                <w:t>لمساهمة قطاع تنمية الاتصالات في خطتي الاتحاد الاستراتيجية والمالية للفترة 2028-2031</w:t>
              </w:r>
            </w:hyperlink>
            <w:r w:rsidRPr="009A3BBA">
              <w:rPr>
                <w:rtl/>
              </w:rPr>
              <w:t>.</w:t>
            </w:r>
          </w:p>
          <w:p w14:paraId="7ED5C869" w14:textId="77777777" w:rsidR="007B0AA0" w:rsidRDefault="007B0AA0" w:rsidP="00B97F32">
            <w:pPr>
              <w:rPr>
                <w:b/>
                <w:bCs/>
              </w:rPr>
            </w:pPr>
            <w:r w:rsidRPr="007B0AA0">
              <w:rPr>
                <w:rFonts w:hint="cs"/>
                <w:b/>
                <w:bCs/>
                <w:rtl/>
              </w:rPr>
              <w:t>الآثار المالية</w:t>
            </w:r>
          </w:p>
          <w:p w14:paraId="6A766CF6" w14:textId="088F6B4A" w:rsidR="006F363C" w:rsidRPr="005546CF" w:rsidRDefault="009A3BBA" w:rsidP="009A3BBA">
            <w:pPr>
              <w:rPr>
                <w:rtl/>
              </w:rPr>
            </w:pPr>
            <w:r w:rsidRPr="009A3BBA">
              <w:rPr>
                <w:rtl/>
              </w:rPr>
              <w:t xml:space="preserve">وستُنفَّذ نواتج المؤتمر باستخدام الميزانية العادية، علاوةً على الأموال الخارجة عن الميزانية </w:t>
            </w:r>
            <w:r w:rsidRPr="00F4274C">
              <w:rPr>
                <w:rtl/>
              </w:rPr>
              <w:t>المتلقاة</w:t>
            </w:r>
            <w:r w:rsidRPr="009A3BBA">
              <w:rPr>
                <w:rtl/>
              </w:rPr>
              <w:t xml:space="preserve"> من خلال المشاريع والمساهمات الطوعية. وقد قُدِّم إلى الفريق الاستشاري لتنمية الاتصالات لعام 2026 (TDAG-26) </w:t>
            </w:r>
            <w:hyperlink r:id="rId9" w:history="1">
              <w:r w:rsidRPr="002F23F2">
                <w:rPr>
                  <w:rStyle w:val="Hyperlink"/>
                  <w:noProof w:val="0"/>
                  <w:rtl/>
                  <w:lang w:val="en-US" w:eastAsia="zh-CN"/>
                </w:rPr>
                <w:t>تقرير</w:t>
              </w:r>
            </w:hyperlink>
            <w:r w:rsidRPr="009A3BBA">
              <w:rPr>
                <w:rtl/>
              </w:rPr>
              <w:t xml:space="preserve"> منفصل عن الآثار المالية المترتبة على القرارات التي اعتمدها مؤتمر عام 2025.</w:t>
            </w:r>
          </w:p>
          <w:p w14:paraId="5C3F0D48"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79ED5CEB" w14:textId="77777777" w:rsidR="007B0AA0" w:rsidRPr="007B0AA0" w:rsidRDefault="007B0AA0" w:rsidP="007B0AA0">
            <w:pPr>
              <w:rPr>
                <w:b/>
                <w:bCs/>
                <w:rtl/>
              </w:rPr>
            </w:pPr>
            <w:r w:rsidRPr="007B0AA0">
              <w:rPr>
                <w:rFonts w:hint="cs"/>
                <w:b/>
                <w:bCs/>
                <w:rtl/>
              </w:rPr>
              <w:t>المراجع</w:t>
            </w:r>
          </w:p>
          <w:p w14:paraId="22129471" w14:textId="25A8CE39" w:rsidR="007B0AA0" w:rsidRPr="005546CF" w:rsidRDefault="00121306" w:rsidP="007B0AA0">
            <w:pPr>
              <w:rPr>
                <w:i/>
                <w:iCs/>
                <w:rtl/>
              </w:rPr>
            </w:pPr>
            <w:hyperlink r:id="rId10" w:history="1">
              <w:r w:rsidRPr="00121306">
                <w:rPr>
                  <w:rStyle w:val="Hyperlink"/>
                  <w:i/>
                  <w:iCs/>
                  <w:noProof w:val="0"/>
                  <w:rtl/>
                  <w:lang w:val="en-US" w:eastAsia="zh-CN"/>
                </w:rPr>
                <w:t xml:space="preserve">المؤتمر </w:t>
              </w:r>
              <w:r w:rsidRPr="00121306">
                <w:rPr>
                  <w:rStyle w:val="Hyperlink"/>
                  <w:i/>
                  <w:iCs/>
                  <w:noProof w:val="0"/>
                  <w:lang w:val="en-US" w:eastAsia="zh-CN"/>
                </w:rPr>
                <w:t>WTDC-25</w:t>
              </w:r>
              <w:r w:rsidRPr="00121306">
                <w:rPr>
                  <w:rStyle w:val="Hyperlink"/>
                  <w:i/>
                  <w:iCs/>
                  <w:noProof w:val="0"/>
                  <w:rtl/>
                  <w:lang w:val="en-US" w:eastAsia="zh-CN"/>
                </w:rPr>
                <w:t>، التقرير النهائي</w:t>
              </w:r>
            </w:hyperlink>
            <w:r w:rsidRPr="00121306">
              <w:rPr>
                <w:i/>
                <w:iCs/>
                <w:rtl/>
              </w:rPr>
              <w:t>، الوثيقة</w:t>
            </w:r>
            <w:r w:rsidR="000474B8">
              <w:rPr>
                <w:rFonts w:hint="cs"/>
                <w:i/>
                <w:iCs/>
                <w:rtl/>
              </w:rPr>
              <w:t xml:space="preserve"> </w:t>
            </w:r>
            <w:hyperlink r:id="rId11">
              <w:r w:rsidR="000474B8" w:rsidRPr="00CB358F">
                <w:rPr>
                  <w:rStyle w:val="Hyperlink"/>
                  <w:i/>
                  <w:iCs/>
                </w:rPr>
                <w:t>TDAG-26/3</w:t>
              </w:r>
            </w:hyperlink>
          </w:p>
        </w:tc>
      </w:tr>
    </w:tbl>
    <w:p w14:paraId="1A8D6668" w14:textId="77777777" w:rsidR="00F50E3F" w:rsidRDefault="00F50E3F" w:rsidP="0043260A">
      <w:pPr>
        <w:rPr>
          <w:rtl/>
          <w:lang w:bidi="ar-EG"/>
        </w:rPr>
      </w:pPr>
      <w:r>
        <w:rPr>
          <w:rtl/>
          <w:lang w:bidi="ar-EG"/>
        </w:rPr>
        <w:br w:type="page"/>
      </w:r>
    </w:p>
    <w:p w14:paraId="4ACDB5A5" w14:textId="77777777" w:rsidR="00F27506" w:rsidRPr="00F27506" w:rsidRDefault="00F27506" w:rsidP="000077EC">
      <w:pPr>
        <w:pStyle w:val="Heading1"/>
        <w:rPr>
          <w:lang w:val="ar-SA" w:bidi="ar-EG"/>
        </w:rPr>
      </w:pPr>
      <w:r w:rsidRPr="00F27506">
        <w:rPr>
          <w:rtl/>
        </w:rPr>
        <w:lastRenderedPageBreak/>
        <w:t>1</w:t>
      </w:r>
      <w:r w:rsidRPr="00F27506">
        <w:rPr>
          <w:rtl/>
        </w:rPr>
        <w:tab/>
        <w:t>معلومات أساسية</w:t>
      </w:r>
    </w:p>
    <w:p w14:paraId="50BE5681" w14:textId="3C25F4E2" w:rsidR="00F27506" w:rsidRPr="00F27506" w:rsidRDefault="00216F7D" w:rsidP="00F27506">
      <w:pPr>
        <w:rPr>
          <w:lang w:val="ar-SA" w:bidi="ar-EG"/>
        </w:rPr>
      </w:pPr>
      <w:r>
        <w:t>1.1</w:t>
      </w:r>
      <w:r w:rsidR="00F27506" w:rsidRPr="00F27506">
        <w:rPr>
          <w:rtl/>
        </w:rPr>
        <w:tab/>
        <w:t xml:space="preserve">شكل المؤتمر العالمي التاسع لتنمية الاتصالات لعام 2025 </w:t>
      </w:r>
      <w:r w:rsidRPr="2C42D8D5">
        <w:rPr>
          <w:lang w:eastAsia="en-GB"/>
        </w:rPr>
        <w:t>(</w:t>
      </w:r>
      <w:hyperlink r:id="rId12" w:anchor="/ar">
        <w:r w:rsidRPr="00CB358F">
          <w:rPr>
            <w:rStyle w:val="Hyperlink"/>
          </w:rPr>
          <w:t>WTDC-25</w:t>
        </w:r>
      </w:hyperlink>
      <w:r w:rsidRPr="2C42D8D5">
        <w:rPr>
          <w:lang w:eastAsia="en-GB"/>
        </w:rPr>
        <w:t>)</w:t>
      </w:r>
      <w:r w:rsidR="00F27506" w:rsidRPr="00F27506">
        <w:rPr>
          <w:rtl/>
        </w:rPr>
        <w:t xml:space="preserve">، الذي عُقِد في الفترة من 17 إلى 28 نوفمبر 2025 في باكو، أذربيجان، مرحلة رئيسية مهمة للتوصيلية العالمية والتنمية الرقمية. وقد ترأس المؤتمر سعادة السيد </w:t>
      </w:r>
      <w:proofErr w:type="gramStart"/>
      <w:r w:rsidR="00F27506" w:rsidRPr="00F27506">
        <w:rPr>
          <w:rtl/>
        </w:rPr>
        <w:t>صمدين</w:t>
      </w:r>
      <w:proofErr w:type="gramEnd"/>
      <w:r w:rsidR="00F27506" w:rsidRPr="00F27506">
        <w:rPr>
          <w:rtl/>
        </w:rPr>
        <w:t xml:space="preserve"> أسدوف، نائب وزير التنمية الرقمية والنقل في جمهورية أذربيجان، وجمع نحو </w:t>
      </w:r>
      <w:r w:rsidR="00D957FF">
        <w:t>2 000</w:t>
      </w:r>
      <w:r w:rsidR="00F27506" w:rsidRPr="00F27506">
        <w:rPr>
          <w:rtl/>
        </w:rPr>
        <w:t xml:space="preserve"> مشارك من الدول الأعضاء، وأعضاء القطاع، والمنتسبين، والهيئات الأكاديمية من أكثر من 150 بلداً.</w:t>
      </w:r>
      <w:hyperlink r:id="rId13"/>
    </w:p>
    <w:p w14:paraId="31096B5B" w14:textId="14753A6A" w:rsidR="00F27506" w:rsidRPr="00F27506" w:rsidRDefault="008A2A3C" w:rsidP="00F27506">
      <w:pPr>
        <w:rPr>
          <w:spacing w:val="-2"/>
          <w:lang w:val="ar-SA" w:bidi="ar-EG"/>
        </w:rPr>
      </w:pPr>
      <w:r w:rsidRPr="00085CDA">
        <w:rPr>
          <w:spacing w:val="-2"/>
        </w:rPr>
        <w:t>2.1</w:t>
      </w:r>
      <w:r w:rsidR="00F27506" w:rsidRPr="00F27506">
        <w:rPr>
          <w:spacing w:val="-2"/>
          <w:rtl/>
        </w:rPr>
        <w:tab/>
        <w:t xml:space="preserve">وعُقِد المؤتمر تحت عنوان: </w:t>
      </w:r>
      <w:r w:rsidR="00F27506" w:rsidRPr="00F27506">
        <w:rPr>
          <w:b/>
          <w:bCs/>
          <w:spacing w:val="-2"/>
          <w:rtl/>
        </w:rPr>
        <w:t>"التوصيلية الشاملة والهادفة وميسورة التكلفة من أجل مستقبل رقمي شامل ومستدام"</w:t>
      </w:r>
      <w:r w:rsidR="00F27506" w:rsidRPr="00F27506">
        <w:rPr>
          <w:spacing w:val="-2"/>
          <w:rtl/>
        </w:rPr>
        <w:t>، وحضره 939</w:t>
      </w:r>
      <w:r w:rsidR="003449BC" w:rsidRPr="00085CDA">
        <w:rPr>
          <w:spacing w:val="-2"/>
        </w:rPr>
        <w:t> </w:t>
      </w:r>
      <w:r w:rsidR="00F27506" w:rsidRPr="00F27506">
        <w:rPr>
          <w:spacing w:val="-2"/>
          <w:rtl/>
        </w:rPr>
        <w:t>1 مشاركاً (704</w:t>
      </w:r>
      <w:r w:rsidRPr="00085CDA">
        <w:rPr>
          <w:spacing w:val="-2"/>
        </w:rPr>
        <w:t> </w:t>
      </w:r>
      <w:r w:rsidR="00F27506" w:rsidRPr="00F27506">
        <w:rPr>
          <w:spacing w:val="-2"/>
          <w:rtl/>
        </w:rPr>
        <w:t xml:space="preserve">1 حضورياً و235 عبر الإنترنت). وشارك في المؤتمر ممثلون عن 153 دولة عضواً، و93 عضواً من قطاع تنمية الاتصالات </w:t>
      </w:r>
      <w:r w:rsidR="00F27506" w:rsidRPr="00F27506">
        <w:rPr>
          <w:spacing w:val="-2"/>
          <w:lang w:bidi="ar-EG"/>
        </w:rPr>
        <w:t>(ITU-D)</w:t>
      </w:r>
      <w:r w:rsidR="00F27506" w:rsidRPr="00F27506">
        <w:rPr>
          <w:spacing w:val="-2"/>
          <w:rtl/>
        </w:rPr>
        <w:t>، و11 هيئة أكاديمية، ومراقبون بموجب القرار 99 الصادر عن مؤتمر المفوضين، والأمم المتحدة ووكالاتها المتخصصة.</w:t>
      </w:r>
    </w:p>
    <w:p w14:paraId="51684964" w14:textId="7F810A4D" w:rsidR="00F27506" w:rsidRPr="00F27506" w:rsidRDefault="008A2A3C" w:rsidP="00F27506">
      <w:pPr>
        <w:rPr>
          <w:lang w:val="ar-SA" w:bidi="ar-EG"/>
        </w:rPr>
      </w:pPr>
      <w:r>
        <w:t>3.1</w:t>
      </w:r>
      <w:r w:rsidR="00F27506" w:rsidRPr="00F27506">
        <w:rPr>
          <w:rtl/>
        </w:rPr>
        <w:tab/>
        <w:t xml:space="preserve">وخلال اليومين الأولين من المؤتمر WTDC-25، وفرت جلسات </w:t>
      </w:r>
      <w:hyperlink r:id="rId14" w:anchor="/ar" w:history="1">
        <w:r w:rsidR="00F27506" w:rsidRPr="00F27506">
          <w:rPr>
            <w:rStyle w:val="Hyperlink"/>
            <w:noProof w:val="0"/>
            <w:rtl/>
            <w:lang w:val="en-US" w:eastAsia="zh-CN"/>
          </w:rPr>
          <w:t>الجزء رفيع المستوى</w:t>
        </w:r>
      </w:hyperlink>
      <w:r w:rsidR="00F27506" w:rsidRPr="00F27506">
        <w:rPr>
          <w:rtl/>
        </w:rPr>
        <w:t xml:space="preserve"> منتدى لكبار المسؤولين والممثلين الموقرين من الدول الأعضاء في الاتحاد لتبادل الرؤى والأولويات الاستراتيجية بشأن تنمية الاتصالات وتكنولوجيا المعلومات والاتصالات على الصعيد العالمي. وعكست هذه الجلسات، التي تميزت بمشاركة وزراء ونواب وزراء وسفراء ورؤساء هيئات تنظيمية وكبار المسؤولين التنفيذيين، التزاماً دولياً قوياً بتعزيز التقدم الرقمي. وأبرزت المناقشات، التي تمحورت حول موضوع التوصيلية الشاملة والهادفة والميسورة التكلفة، الإنجازات الوطنية وقدمت توصيات مستقبلية لعمل قطاع تنمية الاتصالات. ويمكن الاطلاع على تفاصيل جلسات الجزء رفيع المستوى على </w:t>
      </w:r>
      <w:hyperlink r:id="rId15" w:anchor="/ar" w:history="1">
        <w:r w:rsidR="00F27506" w:rsidRPr="00F27506">
          <w:rPr>
            <w:rStyle w:val="Hyperlink"/>
            <w:noProof w:val="0"/>
            <w:rtl/>
            <w:lang w:val="en-US" w:eastAsia="zh-CN"/>
          </w:rPr>
          <w:t>الموقع الإلكتروني للمؤتمر WTDC-25</w:t>
        </w:r>
      </w:hyperlink>
      <w:r w:rsidR="00F27506" w:rsidRPr="00F27506">
        <w:rPr>
          <w:rtl/>
        </w:rPr>
        <w:t>.</w:t>
      </w:r>
      <w:hyperlink r:id="rId16"/>
      <w:hyperlink r:id="rId17"/>
    </w:p>
    <w:p w14:paraId="28D4582C" w14:textId="5B1F9BFD" w:rsidR="00F27506" w:rsidRPr="00F27506" w:rsidRDefault="009F06CE" w:rsidP="00F27506">
      <w:pPr>
        <w:rPr>
          <w:lang w:val="ar-SA" w:bidi="ar-EG"/>
        </w:rPr>
      </w:pPr>
      <w:r>
        <w:t>4.1</w:t>
      </w:r>
      <w:r w:rsidR="00F27506" w:rsidRPr="00F27506">
        <w:rPr>
          <w:rtl/>
        </w:rPr>
        <w:tab/>
        <w:t>وقبل افتتاح المؤتمر WTDC-25، تم تنظيم احتفال عالمي نابض بالحياة للشباب في باكو، شارك فيه قادة شباب ومبتكرون رقميون وطلاب من جميع أنحاء العالم. وعمل هذا الحدث كمنصة دينامية للشباب لعرض أفكارهم، والمساهمة في مناقشات بشأن الشمول الرقمي، والتفاعل مباشرة مع واضعي السياسات وخبراء القطاع. وشارك في</w:t>
      </w:r>
      <w:r w:rsidR="00A61210">
        <w:rPr>
          <w:rFonts w:hint="cs"/>
          <w:rtl/>
        </w:rPr>
        <w:t> </w:t>
      </w:r>
      <w:r w:rsidR="00F27506" w:rsidRPr="00F27506">
        <w:rPr>
          <w:rtl/>
        </w:rPr>
        <w:t>هذا الحدث نحو 400 ممثل شاب من 45 بلداً، ما يبرز المشاركة المتنوعة والحماسية للجيل القادم في صياغة مستقبل الاتصالات والتنمية الرقمية.</w:t>
      </w:r>
    </w:p>
    <w:p w14:paraId="75475777" w14:textId="72E0A4FC" w:rsidR="00F27506" w:rsidRPr="00F27506" w:rsidRDefault="00EF781A" w:rsidP="00F27506">
      <w:pPr>
        <w:rPr>
          <w:lang w:val="ar-SA" w:bidi="ar-EG"/>
        </w:rPr>
      </w:pPr>
      <w:r>
        <w:t>5.1</w:t>
      </w:r>
      <w:r w:rsidR="00F27506" w:rsidRPr="00F27506">
        <w:rPr>
          <w:rtl/>
        </w:rPr>
        <w:tab/>
        <w:t>وأسفر المؤتمر WTDC-25 عن المخرجات الرئيسية التالية:</w:t>
      </w:r>
    </w:p>
    <w:p w14:paraId="4CF35502" w14:textId="67F81EB6" w:rsidR="00F27506" w:rsidRPr="00C70BA5" w:rsidRDefault="006B5E16" w:rsidP="00ED29FB">
      <w:pPr>
        <w:pStyle w:val="enumlev1"/>
        <w:rPr>
          <w:spacing w:val="-2"/>
          <w:lang w:val="ar-SA" w:bidi="ar-EG"/>
        </w:rPr>
      </w:pPr>
      <w:r w:rsidRPr="00C70BA5">
        <w:rPr>
          <w:rFonts w:hint="cs"/>
          <w:spacing w:val="-2"/>
          <w:rtl/>
          <w:lang w:bidi="ar-EG"/>
        </w:rPr>
        <w:t>-</w:t>
      </w:r>
      <w:r w:rsidR="00F27506" w:rsidRPr="00C70BA5">
        <w:rPr>
          <w:spacing w:val="-2"/>
          <w:rtl/>
        </w:rPr>
        <w:tab/>
      </w:r>
      <w:hyperlink r:id="rId18" w:history="1">
        <w:r w:rsidR="00F27506" w:rsidRPr="00C70BA5">
          <w:rPr>
            <w:rStyle w:val="Hyperlink"/>
            <w:noProof w:val="0"/>
            <w:spacing w:val="-2"/>
            <w:rtl/>
            <w:lang w:val="en-US" w:eastAsia="zh-CN"/>
          </w:rPr>
          <w:t>إعلان باكو</w:t>
        </w:r>
      </w:hyperlink>
      <w:r w:rsidR="00F27506" w:rsidRPr="00C70BA5">
        <w:rPr>
          <w:spacing w:val="-2"/>
          <w:rtl/>
        </w:rPr>
        <w:t>، الذي يسلط الضوء على الاستنتاجات والأولويات الرئيسية التي حددها المؤتمر، ويعزز الدعم السياسي لمهمة التنمية في الاتحاد وغاياتها الاستراتيجية.</w:t>
      </w:r>
      <w:hyperlink r:id="rId19" w:tgtFrame="_blank" w:history="1"/>
    </w:p>
    <w:p w14:paraId="2E111368" w14:textId="67AEC80F" w:rsidR="00F27506" w:rsidRPr="00F27506" w:rsidRDefault="006B5E16" w:rsidP="00ED29FB">
      <w:pPr>
        <w:pStyle w:val="enumlev1"/>
        <w:rPr>
          <w:lang w:val="ar-SA" w:bidi="ar-EG"/>
        </w:rPr>
      </w:pPr>
      <w:r>
        <w:rPr>
          <w:rFonts w:hint="cs"/>
          <w:rtl/>
          <w:lang w:bidi="ar-EG"/>
        </w:rPr>
        <w:t>-</w:t>
      </w:r>
      <w:r w:rsidR="00F27506" w:rsidRPr="00F27506">
        <w:rPr>
          <w:rtl/>
        </w:rPr>
        <w:tab/>
      </w:r>
      <w:hyperlink r:id="rId20" w:history="1">
        <w:r w:rsidR="00F27506" w:rsidRPr="006C3C5C">
          <w:rPr>
            <w:rStyle w:val="Hyperlink"/>
            <w:noProof w:val="0"/>
            <w:rtl/>
            <w:lang w:val="en-US" w:eastAsia="zh-CN"/>
          </w:rPr>
          <w:t>خطة عمل باكو</w:t>
        </w:r>
      </w:hyperlink>
      <w:r w:rsidR="00F27506" w:rsidRPr="00F27506">
        <w:rPr>
          <w:rtl/>
        </w:rPr>
        <w:t>، وهي خطة شاملة تحدد أولويات قطاع تنمية الاتصالات، وتوجه مبادرات الاتحاد في</w:t>
      </w:r>
      <w:r w:rsidR="00C70BA5">
        <w:rPr>
          <w:rFonts w:hint="cs"/>
          <w:rtl/>
        </w:rPr>
        <w:t> </w:t>
      </w:r>
      <w:r w:rsidR="00F27506" w:rsidRPr="00F27506">
        <w:rPr>
          <w:rtl/>
        </w:rPr>
        <w:t>مجال التنمية الرقمية، وتعزز التنمية المستدامة لشبكات وخدمات الاتصالات/تكنولوجيا المعلومات والاتصالات للفترة 2026-2029.</w:t>
      </w:r>
      <w:hyperlink r:id="rId21" w:tgtFrame="_blank" w:history="1"/>
    </w:p>
    <w:p w14:paraId="602242EA" w14:textId="5A9868A6" w:rsidR="00F27506" w:rsidRPr="00C70BA5" w:rsidRDefault="006B5E16" w:rsidP="00ED29FB">
      <w:pPr>
        <w:pStyle w:val="enumlev1"/>
        <w:rPr>
          <w:spacing w:val="-2"/>
          <w:lang w:val="ar-SA" w:bidi="ar-EG"/>
        </w:rPr>
      </w:pPr>
      <w:r w:rsidRPr="00C70BA5">
        <w:rPr>
          <w:rFonts w:hint="cs"/>
          <w:spacing w:val="-2"/>
          <w:rtl/>
          <w:lang w:bidi="ar-EG"/>
        </w:rPr>
        <w:t>-</w:t>
      </w:r>
      <w:r w:rsidR="00F27506" w:rsidRPr="00C70BA5">
        <w:rPr>
          <w:spacing w:val="-2"/>
          <w:rtl/>
        </w:rPr>
        <w:tab/>
      </w:r>
      <w:hyperlink r:id="rId22" w:history="1">
        <w:r w:rsidR="00F27506" w:rsidRPr="00C70BA5">
          <w:rPr>
            <w:rStyle w:val="Hyperlink"/>
            <w:noProof w:val="0"/>
            <w:spacing w:val="-2"/>
            <w:rtl/>
            <w:lang w:val="en-US" w:eastAsia="zh-CN"/>
          </w:rPr>
          <w:t>المبادرات الإقليمية</w:t>
        </w:r>
      </w:hyperlink>
      <w:r w:rsidR="00F27506" w:rsidRPr="00C70BA5">
        <w:rPr>
          <w:spacing w:val="-2"/>
          <w:rtl/>
        </w:rPr>
        <w:t xml:space="preserve"> لإفريقيا، والأمريكتين، والدول العربية، وآسيا والمحيط الهادئ، وكومنولث الدول المستقلة</w:t>
      </w:r>
      <w:r w:rsidR="003C7691">
        <w:rPr>
          <w:rFonts w:hint="cs"/>
          <w:spacing w:val="-2"/>
          <w:rtl/>
          <w:lang w:bidi="ar-SA"/>
        </w:rPr>
        <w:t xml:space="preserve"> </w:t>
      </w:r>
      <w:r w:rsidR="003C7691">
        <w:rPr>
          <w:spacing w:val="-2"/>
          <w:lang w:val="en-GB" w:bidi="ar-SA"/>
        </w:rPr>
        <w:t>(CIS)</w:t>
      </w:r>
      <w:r w:rsidR="00F27506" w:rsidRPr="00C70BA5">
        <w:rPr>
          <w:spacing w:val="-2"/>
          <w:rtl/>
        </w:rPr>
        <w:t>، وأوروبا. وأقر المؤتمر WTDC-25 مجموعة مجددة من المبادرات الإقليمية، المصممة خصيصاً لتلبية الاحتياجات والأولويات المحددة لكل منطقة من المناطق الست. وستوجه هذه المبادرات المشاريع المستهدفة، وتعزز الشراكات، وتضمن بقاء عملنا ملائماً وفعالاً على الصعيد المحلي.</w:t>
      </w:r>
      <w:hyperlink r:id="rId23" w:tgtFrame="_blank" w:history="1"/>
    </w:p>
    <w:p w14:paraId="1D6DE573" w14:textId="066E7B10" w:rsidR="00F27506" w:rsidRPr="00F27506" w:rsidRDefault="006B5E16" w:rsidP="0094430A">
      <w:pPr>
        <w:pStyle w:val="enumlev1"/>
        <w:rPr>
          <w:lang w:val="ar-SA" w:bidi="ar-EG"/>
        </w:rPr>
      </w:pPr>
      <w:r>
        <w:rPr>
          <w:rFonts w:hint="cs"/>
          <w:rtl/>
          <w:lang w:bidi="ar-EG"/>
        </w:rPr>
        <w:t>-</w:t>
      </w:r>
      <w:r w:rsidR="00F27506" w:rsidRPr="00F27506">
        <w:rPr>
          <w:rtl/>
        </w:rPr>
        <w:tab/>
      </w:r>
      <w:r w:rsidR="00F27506" w:rsidRPr="003C7691">
        <w:rPr>
          <w:b/>
          <w:bCs/>
          <w:rtl/>
        </w:rPr>
        <w:t>أربعة</w:t>
      </w:r>
      <w:r w:rsidR="00F27506" w:rsidRPr="003F59F8">
        <w:rPr>
          <w:b/>
          <w:bCs/>
          <w:rtl/>
        </w:rPr>
        <w:t xml:space="preserve"> قرارات جديدة</w:t>
      </w:r>
      <w:r w:rsidR="00F27506" w:rsidRPr="00F27506">
        <w:rPr>
          <w:rtl/>
        </w:rPr>
        <w:t>، و</w:t>
      </w:r>
      <w:r w:rsidR="00F27506" w:rsidRPr="003F59F8">
        <w:rPr>
          <w:b/>
          <w:bCs/>
          <w:rtl/>
        </w:rPr>
        <w:t>44 قراراً مراجعاً</w:t>
      </w:r>
      <w:r w:rsidR="00F27506" w:rsidRPr="00F27506">
        <w:rPr>
          <w:rtl/>
        </w:rPr>
        <w:t>.</w:t>
      </w:r>
    </w:p>
    <w:p w14:paraId="1C082979" w14:textId="0FA6B2C2" w:rsidR="00F27506" w:rsidRPr="00F27506" w:rsidRDefault="006B5E16" w:rsidP="0094430A">
      <w:pPr>
        <w:pStyle w:val="enumlev1"/>
        <w:rPr>
          <w:lang w:val="ar-SA" w:bidi="ar-EG"/>
        </w:rPr>
      </w:pPr>
      <w:r>
        <w:rPr>
          <w:rFonts w:hint="cs"/>
          <w:rtl/>
          <w:lang w:bidi="ar-EG"/>
        </w:rPr>
        <w:t>-</w:t>
      </w:r>
      <w:r w:rsidR="00F27506" w:rsidRPr="00F27506">
        <w:rPr>
          <w:rtl/>
        </w:rPr>
        <w:tab/>
      </w:r>
      <w:r w:rsidR="00F27506" w:rsidRPr="003A029E">
        <w:rPr>
          <w:b/>
          <w:bCs/>
          <w:rtl/>
        </w:rPr>
        <w:t>مسائل دراسات</w:t>
      </w:r>
      <w:r w:rsidR="00F27506" w:rsidRPr="00F27506">
        <w:rPr>
          <w:rtl/>
        </w:rPr>
        <w:t xml:space="preserve"> جديدة ومراجعة </w:t>
      </w:r>
      <w:r w:rsidR="00F27506" w:rsidRPr="003A029E">
        <w:rPr>
          <w:b/>
          <w:bCs/>
          <w:rtl/>
        </w:rPr>
        <w:t>لقطاع تنمية الاتصالات</w:t>
      </w:r>
      <w:r w:rsidR="00F27506" w:rsidRPr="00F27506">
        <w:rPr>
          <w:rtl/>
        </w:rPr>
        <w:t>، لدراستها خلال الفترة 2026-2029.</w:t>
      </w:r>
    </w:p>
    <w:p w14:paraId="002BBF62" w14:textId="26B53B98" w:rsidR="00F27506" w:rsidRPr="00221479" w:rsidRDefault="006B5E16" w:rsidP="0094430A">
      <w:pPr>
        <w:pStyle w:val="enumlev1"/>
        <w:rPr>
          <w:spacing w:val="-2"/>
          <w:lang w:val="ar-SA" w:bidi="ar-EG"/>
        </w:rPr>
      </w:pPr>
      <w:r w:rsidRPr="00221479">
        <w:rPr>
          <w:rFonts w:hint="cs"/>
          <w:spacing w:val="-2"/>
          <w:rtl/>
          <w:lang w:bidi="ar-EG"/>
        </w:rPr>
        <w:t>-</w:t>
      </w:r>
      <w:r w:rsidR="00F27506" w:rsidRPr="00221479">
        <w:rPr>
          <w:spacing w:val="-2"/>
          <w:rtl/>
        </w:rPr>
        <w:tab/>
        <w:t xml:space="preserve">عين المؤتمر WTDC-25 أعضاء </w:t>
      </w:r>
      <w:hyperlink r:id="rId24" w:anchor="/ar" w:history="1">
        <w:r w:rsidR="00F27506" w:rsidRPr="00221479">
          <w:rPr>
            <w:rStyle w:val="Hyperlink"/>
            <w:noProof w:val="0"/>
            <w:spacing w:val="-2"/>
            <w:rtl/>
            <w:lang w:val="en-US" w:eastAsia="zh-CN"/>
          </w:rPr>
          <w:t xml:space="preserve">مكتب الفريق الاستشاري لتنمية الاتصالات </w:t>
        </w:r>
        <w:r w:rsidR="00F27506" w:rsidRPr="00221479">
          <w:rPr>
            <w:rStyle w:val="Hyperlink"/>
            <w:noProof w:val="0"/>
            <w:spacing w:val="-2"/>
            <w:lang w:val="en-US" w:eastAsia="zh-CN" w:bidi="ar-EG"/>
          </w:rPr>
          <w:t>(TDAG)</w:t>
        </w:r>
      </w:hyperlink>
      <w:r w:rsidR="00F27506" w:rsidRPr="00221479">
        <w:rPr>
          <w:spacing w:val="-2"/>
          <w:rtl/>
        </w:rPr>
        <w:t>، الذي يضم رئيسة ونواب رئيسة الفريق الاستشاري لتنمية الاتصالات ورئيسي لجنتي دراسات قطاع تنمية الاتصالات للفترة 2026-2029.</w:t>
      </w:r>
      <w:hyperlink r:id="rId25" w:tgtFrame="_blank" w:history="1"/>
    </w:p>
    <w:p w14:paraId="2959BD76" w14:textId="5A90DA94" w:rsidR="00F27506" w:rsidRPr="00F27506" w:rsidRDefault="006B5E16" w:rsidP="0094430A">
      <w:pPr>
        <w:pStyle w:val="enumlev1"/>
        <w:rPr>
          <w:lang w:val="ar-SA" w:bidi="ar-EG"/>
        </w:rPr>
      </w:pPr>
      <w:r>
        <w:rPr>
          <w:rFonts w:hint="cs"/>
          <w:rtl/>
          <w:lang w:bidi="ar-EG"/>
        </w:rPr>
        <w:t>-</w:t>
      </w:r>
      <w:r w:rsidR="00F27506" w:rsidRPr="00F27506">
        <w:rPr>
          <w:rtl/>
        </w:rPr>
        <w:tab/>
        <w:t xml:space="preserve">عين المؤتمر WTDC-25 رئيسي ونواب رئيسي </w:t>
      </w:r>
      <w:hyperlink r:id="rId26" w:history="1">
        <w:r w:rsidR="00F27506" w:rsidRPr="007405EE">
          <w:rPr>
            <w:rStyle w:val="Hyperlink"/>
            <w:noProof w:val="0"/>
            <w:rtl/>
            <w:lang w:val="en-US" w:eastAsia="zh-CN"/>
          </w:rPr>
          <w:t>لجنتي دراسات قطاع تنمية الاتصالات</w:t>
        </w:r>
      </w:hyperlink>
      <w:r w:rsidR="00F27506" w:rsidRPr="00F27506">
        <w:rPr>
          <w:rtl/>
        </w:rPr>
        <w:t>.</w:t>
      </w:r>
      <w:hyperlink r:id="rId27" w:tgtFrame="_blank" w:history="1"/>
    </w:p>
    <w:p w14:paraId="72C62DCF" w14:textId="77777777" w:rsidR="00F27506" w:rsidRPr="00F27506" w:rsidRDefault="00F27506" w:rsidP="00736EA1">
      <w:pPr>
        <w:pStyle w:val="Heading1"/>
        <w:rPr>
          <w:lang w:val="ar-SA" w:bidi="ar-EG"/>
        </w:rPr>
      </w:pPr>
      <w:r w:rsidRPr="00F27506">
        <w:rPr>
          <w:rtl/>
        </w:rPr>
        <w:lastRenderedPageBreak/>
        <w:t>2</w:t>
      </w:r>
      <w:r w:rsidRPr="00F27506">
        <w:rPr>
          <w:rtl/>
        </w:rPr>
        <w:tab/>
        <w:t>إعلان باكو</w:t>
      </w:r>
    </w:p>
    <w:p w14:paraId="37D8538A" w14:textId="021E52C9" w:rsidR="00F27506" w:rsidRPr="00F27506" w:rsidRDefault="00EF781A" w:rsidP="00736EA1">
      <w:pPr>
        <w:keepNext/>
        <w:keepLines/>
        <w:rPr>
          <w:spacing w:val="-2"/>
          <w:lang w:val="ar-SA" w:bidi="ar-EG"/>
        </w:rPr>
      </w:pPr>
      <w:r w:rsidRPr="007405EE">
        <w:rPr>
          <w:spacing w:val="-2"/>
        </w:rPr>
        <w:t>1.2</w:t>
      </w:r>
      <w:r w:rsidR="00F27506" w:rsidRPr="00F27506">
        <w:rPr>
          <w:spacing w:val="-2"/>
          <w:rtl/>
        </w:rPr>
        <w:tab/>
        <w:t>يحدد إعلان باكو، الذي اعتُمد في المؤتمر العالمي التاسع لتنمية الاتصالات، رؤية مشتركة لتحقيق توصيلية شاملة وهادفة وميسورة التكلفة، باعتبارها حجر الزاوية لمستقبل رقمي شامل ومستدام. ويؤكد الإعلان مجدداً التزام الدول الأعضاء في الاتحاد بالنهوض بالتحول الرقمي المنصف بما يتماشى مع أهداف الأمم المتحدة للتنمية الأوسع، مع الاعتراف بالتوصيلية الرقمية كعامل تمكيني رئيسي للتنمية الاجتماعية والاقتصادية، والقدرة على الصمود، وتحقيق النمو الشامل.</w:t>
      </w:r>
    </w:p>
    <w:p w14:paraId="010999FF" w14:textId="69DF29F5" w:rsidR="00F27506" w:rsidRPr="00F27506" w:rsidRDefault="00EF781A" w:rsidP="00736EA1">
      <w:pPr>
        <w:keepNext/>
        <w:keepLines/>
        <w:rPr>
          <w:spacing w:val="-2"/>
          <w:lang w:val="ar-SA" w:bidi="ar-EG"/>
        </w:rPr>
      </w:pPr>
      <w:r w:rsidRPr="0098736E">
        <w:rPr>
          <w:spacing w:val="-2"/>
        </w:rPr>
        <w:t>2.2</w:t>
      </w:r>
      <w:r w:rsidR="00F27506" w:rsidRPr="00F27506">
        <w:rPr>
          <w:spacing w:val="-2"/>
          <w:rtl/>
        </w:rPr>
        <w:tab/>
        <w:t>وفي حين يقر الإعلان بالتقدم المحرز في توسيع نطاق تكنولوجيا المعلومات والاتصالات على مستوى العالم، فإنه يسلط الضوء على أن الفجوات الرقمية الكبيرة مستمرة داخل البلدان وفيما بينها. وتواصل هذه التفاوتات في</w:t>
      </w:r>
      <w:r w:rsidR="0098736E" w:rsidRPr="0098736E">
        <w:rPr>
          <w:rFonts w:hint="cs"/>
          <w:spacing w:val="-2"/>
          <w:rtl/>
        </w:rPr>
        <w:t> </w:t>
      </w:r>
      <w:r w:rsidR="00F27506" w:rsidRPr="00F27506">
        <w:rPr>
          <w:spacing w:val="-2"/>
          <w:rtl/>
        </w:rPr>
        <w:t>التأثير بشكل غير متناسب على البلدان النامية، ولا سيما أقل البلدان نمواً، والبلدان النامية غير الساحلية، والدول الجزرية الصغيرة النامية، ما يحد من قدرتها على الاستفادة الكاملة من التحول الرقمي. وتم تحديد سد هذه الفجوات كأولوية ملحة تتطلب استجابات منسقة، وتركز على الناس، وموجهة نحو التنمية.</w:t>
      </w:r>
    </w:p>
    <w:p w14:paraId="68657C57" w14:textId="63050F0F" w:rsidR="00F27506" w:rsidRPr="00F27506" w:rsidRDefault="00EF781A" w:rsidP="00F27506">
      <w:pPr>
        <w:rPr>
          <w:spacing w:val="-4"/>
          <w:lang w:val="ar-SA" w:bidi="ar-EG"/>
        </w:rPr>
      </w:pPr>
      <w:r w:rsidRPr="0098736E">
        <w:rPr>
          <w:spacing w:val="-4"/>
        </w:rPr>
        <w:t>3.2</w:t>
      </w:r>
      <w:r w:rsidR="00F27506" w:rsidRPr="00F27506">
        <w:rPr>
          <w:spacing w:val="-4"/>
          <w:rtl/>
        </w:rPr>
        <w:tab/>
        <w:t>ويؤكد الإعلان على الدور الأساسي لقطاع تنمية الاتصالات في دعم الدول الأعضاء للتغلب على هذه التحديات وتعزيز جهود التنمية الرقمية. ويدعو الحكومات وشركاء التنمية والقطاع الخاص إلى توسيع نطاق التعاون والاستثمار والتنفيذ، مع</w:t>
      </w:r>
      <w:r w:rsidR="00FD4BDF">
        <w:rPr>
          <w:rFonts w:hint="cs"/>
          <w:spacing w:val="-4"/>
          <w:rtl/>
        </w:rPr>
        <w:t> </w:t>
      </w:r>
      <w:r w:rsidR="00F27506" w:rsidRPr="00F27506">
        <w:rPr>
          <w:spacing w:val="-4"/>
          <w:rtl/>
        </w:rPr>
        <w:t>إيلاء اهتمام خاص لاحتياجات البلدان الأكثر ضعفاً. ومن خلال التنفيذ الكامل لإعلان باكو، وخطة عمل باكو، والقرارات ذات الصلة، تلتزم الدول الأعضاء بضمان إسهام التحول الرقمي في تحقيق تنمية شاملة ومستدامة ومتوازنة للجميع.</w:t>
      </w:r>
    </w:p>
    <w:p w14:paraId="185FF1FF" w14:textId="1D9028C1" w:rsidR="00F27506" w:rsidRPr="00F27506" w:rsidRDefault="00F27506" w:rsidP="000077EC">
      <w:pPr>
        <w:pStyle w:val="Heading1"/>
        <w:rPr>
          <w:lang w:val="ar-SA" w:bidi="ar-EG"/>
        </w:rPr>
      </w:pPr>
      <w:r w:rsidRPr="00F27506">
        <w:rPr>
          <w:rtl/>
        </w:rPr>
        <w:t>3</w:t>
      </w:r>
      <w:r w:rsidRPr="00F27506">
        <w:rPr>
          <w:rtl/>
        </w:rPr>
        <w:tab/>
        <w:t xml:space="preserve">خطة عمل باكو </w:t>
      </w:r>
      <w:r w:rsidR="0098736E">
        <w:t>(BAP)</w:t>
      </w:r>
      <w:r w:rsidR="0098736E">
        <w:rPr>
          <w:rFonts w:hint="cs"/>
          <w:rtl/>
        </w:rPr>
        <w:t xml:space="preserve"> </w:t>
      </w:r>
      <w:r w:rsidRPr="00F27506">
        <w:rPr>
          <w:rtl/>
        </w:rPr>
        <w:t>وأولويات قطاع تنمية الاتصالات</w:t>
      </w:r>
    </w:p>
    <w:p w14:paraId="33D38127" w14:textId="541FA577" w:rsidR="00F27506" w:rsidRPr="00F27506" w:rsidRDefault="00EF781A" w:rsidP="00F27506">
      <w:pPr>
        <w:rPr>
          <w:lang w:val="ar-SA" w:bidi="ar-EG"/>
        </w:rPr>
      </w:pPr>
      <w:r>
        <w:t>1.3</w:t>
      </w:r>
      <w:r w:rsidR="00F27506" w:rsidRPr="00F27506">
        <w:rPr>
          <w:rtl/>
        </w:rPr>
        <w:tab/>
        <w:t xml:space="preserve">تحدد خطة عمل باكو </w:t>
      </w:r>
      <w:r w:rsidR="00F27506" w:rsidRPr="00F27506">
        <w:rPr>
          <w:lang w:bidi="ar-EG"/>
        </w:rPr>
        <w:t>(BAP)</w:t>
      </w:r>
      <w:r w:rsidR="00F27506" w:rsidRPr="00F27506">
        <w:rPr>
          <w:rtl/>
        </w:rPr>
        <w:t>، التي اعتُمدت في المؤتمر WTDC-25، التوجه الاستراتيجي والإطار التشغيلي لعمل قطاع تنمية الاتصالات للفترة 2026-2029. وهي تترجم الرؤية السياسية لإعلان باكو إلى برنامج عمل ملموس قائم على النتائج، يهدف إلى تسريع التنمية الرقمية الشاملة والمستدامة في جميع أنحاء العالم. وتؤكد الخطة على المواءمة مع جداول أعمال التنمية العالمية، وتضع هيكلاً متماسكاً يربط بين الأهداف الاستراتيجية والنواتج والمخرجات القابلة للقياس، بما يضمن استجابة أنشطة قطاع تنمية الاتصالات بفعالية للمشهد الرقمي المتطور وأولويات أعضائه.</w:t>
      </w:r>
    </w:p>
    <w:p w14:paraId="540E93E0" w14:textId="740C80D5" w:rsidR="00F27506" w:rsidRPr="00F27506" w:rsidRDefault="00EF781A" w:rsidP="00F27506">
      <w:pPr>
        <w:rPr>
          <w:lang w:val="ar-SA" w:bidi="ar-EG"/>
        </w:rPr>
      </w:pPr>
      <w:r>
        <w:t>2.3</w:t>
      </w:r>
      <w:r w:rsidR="00F27506" w:rsidRPr="00F27506">
        <w:rPr>
          <w:rtl/>
        </w:rPr>
        <w:tab/>
        <w:t>وتتمحور خطة العمل حول خمس أولويات مترابطة تحدد عمل قطاع تنمية الاتصالات خلال الدورة. توسيع نطاق التوصيلية ميسورة التكلفة؛ والنهوض بالتحول الرقمي؛ وتعزيز البيئات السياساتية والتنظيمية التمكينية؛ وتعبئة الموارد وتعزيز التعاون الدولي؛ وتعزيز الاتصالات وتكنولوجيا المعلومات والاتصالات الشاملة للجميع والآمنة والمأمونة، وتشكل جميعها أولويات قطاع تنمية الاتصالات. وتعالج هذه الأولويات معاً الفجوات الرقمية المستمرة مع الاعتراف بالإمكانيات التحويلية للتكنولوجيات الجديدة والناشئة.</w:t>
      </w:r>
    </w:p>
    <w:p w14:paraId="4E4BE8FE" w14:textId="3142C003" w:rsidR="00F27506" w:rsidRPr="00F27506" w:rsidRDefault="00EF781A" w:rsidP="00F27506">
      <w:pPr>
        <w:rPr>
          <w:lang w:val="ar-SA" w:bidi="ar-EG"/>
        </w:rPr>
      </w:pPr>
      <w:r>
        <w:t>3.3</w:t>
      </w:r>
      <w:r w:rsidR="00F27506" w:rsidRPr="00F27506">
        <w:rPr>
          <w:rtl/>
        </w:rPr>
        <w:tab/>
        <w:t>وتعتمد خطة عمل باكو نهجاً للإدارة قائماً على النتائج، يربط تدخلات قطاع تنمية الاتصالات بتحقيق نواتج ملموسة على الصعيدين الوطني والإقليمي. وتؤكد على تحسين النفاذ إلى النطاق العريض وميسورية تكلفته، وتعزيز القدرات المؤسسية والبشرية، وتعزيز المهارات الرقمية، وزيادة قدرة البنية التحتية الرقمية على الصمود. كما تسلط الخطة الضوء على أهمية الثقة والأمن والشمول في النظام الإيكولوجي الرقمي، مع الإقرار بأن الأمن السيبراني وحماية الأطفال على الإنترنت والشمول الرقمي تعد ركائز أساسية للتحول الرقمي المستدام.</w:t>
      </w:r>
    </w:p>
    <w:p w14:paraId="51363256" w14:textId="3B2BE1A2" w:rsidR="00F27506" w:rsidRPr="00F27506" w:rsidRDefault="00EF781A" w:rsidP="00F27506">
      <w:pPr>
        <w:rPr>
          <w:lang w:val="ar-SA" w:bidi="ar-EG"/>
        </w:rPr>
      </w:pPr>
      <w:r>
        <w:t>4.3</w:t>
      </w:r>
      <w:r w:rsidR="00F27506" w:rsidRPr="00F27506">
        <w:rPr>
          <w:rtl/>
        </w:rPr>
        <w:tab/>
        <w:t>ومن السمات البارزة لخطة العمل تركيزها القوي على التنفيذ من خلال الشراكات والمبادرات الإقليمية والأدوات العملية. وتتوقع تقديم مخرجات شاملة، مثل السياسات النموذجية، ومجموعات الأدوات، وأطر التعلم، والمنتجات الإحصائية، والمساعدة التقنية المستهدفة. وتضطلع المبادرات الإقليمية بدور محوري في تكييف الأولويات العالمية مع السياقات الإقليمية، ما يُمكّن قطاع تنمية الاتصالات من الاستجابة بمرونة للتحديات الإنمائية المتنوعة مع الحفاظ على الاتساق مع الإطار الاستراتيجي العام.</w:t>
      </w:r>
    </w:p>
    <w:p w14:paraId="2735F3D2" w14:textId="1A8B8A9A" w:rsidR="00F27506" w:rsidRPr="00F27506" w:rsidRDefault="00EF781A" w:rsidP="00F27506">
      <w:pPr>
        <w:rPr>
          <w:spacing w:val="-4"/>
          <w:lang w:val="ar-SA" w:bidi="ar-EG"/>
        </w:rPr>
      </w:pPr>
      <w:r w:rsidRPr="002064C2">
        <w:rPr>
          <w:spacing w:val="-4"/>
        </w:rPr>
        <w:t>5.3</w:t>
      </w:r>
      <w:r w:rsidR="00F27506" w:rsidRPr="00F27506">
        <w:rPr>
          <w:spacing w:val="-4"/>
          <w:rtl/>
        </w:rPr>
        <w:tab/>
        <w:t>وتحدد خطة عمل باكو مجموعة من المنتجات والخدمات الشاملة التي يقدمها مكتب تنمية الاتصالات</w:t>
      </w:r>
      <w:r w:rsidR="002064C2" w:rsidRPr="002064C2">
        <w:rPr>
          <w:rFonts w:hint="cs"/>
          <w:spacing w:val="-4"/>
          <w:rtl/>
        </w:rPr>
        <w:t> </w:t>
      </w:r>
      <w:r w:rsidR="002064C2" w:rsidRPr="002064C2">
        <w:rPr>
          <w:spacing w:val="-4"/>
        </w:rPr>
        <w:t>(BDT)</w:t>
      </w:r>
      <w:r w:rsidR="00E025EA" w:rsidRPr="002064C2">
        <w:rPr>
          <w:rFonts w:hint="cs"/>
          <w:spacing w:val="-4"/>
          <w:rtl/>
        </w:rPr>
        <w:t xml:space="preserve"> </w:t>
      </w:r>
      <w:r w:rsidR="00F27506" w:rsidRPr="00F27506">
        <w:rPr>
          <w:spacing w:val="-4"/>
          <w:rtl/>
        </w:rPr>
        <w:t>لدعم تنفيذ أولويات قطاع تنمية الاتصالات على المستويات الوطنية والإقليمية والعالمية. وتشتمل هذه المنتجات والخدمات الشاملة على سياسات واستراتيجيات نموذجية، ومجموعات أدوات عملية، وإنشاء منصات للحوار والتنسيق، وأطر التعلم وحلول بناء القدرات، وإحصاءات قابلة للمقارنة دولياً، وتدخلات تقنية مستهدفة. وتهدف هذه المنتجات والخدمات مجتمعة إلى ترجمة أولويات قطاع تنمية الاتصالات إلى دعم ملموس وقائم على النتائج للدول الأعضاء، مع التركيز بشكل خاص على تلبية احتياجات البلدان النامية، بما في ذلك أقل البلدان نمواً، والبلدان النامية غير الساحلية، والدول الجزرية الصغيرة النامية.</w:t>
      </w:r>
    </w:p>
    <w:p w14:paraId="5BD78C50" w14:textId="424D2A42" w:rsidR="00F27506" w:rsidRPr="00F27506" w:rsidRDefault="00EF781A" w:rsidP="00F27506">
      <w:pPr>
        <w:rPr>
          <w:lang w:val="ar-SA" w:bidi="ar-EG"/>
        </w:rPr>
      </w:pPr>
      <w:r>
        <w:t>6.3</w:t>
      </w:r>
      <w:r w:rsidR="00F27506" w:rsidRPr="00F27506">
        <w:rPr>
          <w:rtl/>
        </w:rPr>
        <w:tab/>
        <w:t>وسينفذ قطاع تنمية الاتصالات خطة العمل من خلال عدة "عوامل تمكينية" محددة في خطة عمل باكو. وتشمل هذه العوامل التميز التنظيمي، وتعزيز الحضور الإقليمي، وتعزيز إدارة المشاريع، وتوفير خدمات دعم قوية. وتهدف هذه العوامل مجتمعة إلى تحسين الكفاءة التشغيلية، وتعزيز أوجه التآزر بين القطاعات والوظائف، وتمكين استجابات مرنة محورها الأعضاء لتلبية احتياجات التنمية الرقمية المتطورة. ومن خلال تعزيز القدرات الداخلية، وتحسين التنسيق بين المقر والمكاتب الإقليمية، وتعزيز وظائف التخطيط والتنفيذ والرصد والإبلاغ، توفر العوامل التمكينية الأساس المؤسسي اللازم لتنفيذ خطة العمل بنجاح وتحقيق أهدافها القائمة على النتائج.</w:t>
      </w:r>
    </w:p>
    <w:p w14:paraId="772ECEC6" w14:textId="255B104D" w:rsidR="00F27506" w:rsidRPr="00F27506" w:rsidRDefault="00EF781A" w:rsidP="00F27506">
      <w:pPr>
        <w:rPr>
          <w:lang w:val="ar-SA" w:bidi="ar-EG"/>
        </w:rPr>
      </w:pPr>
      <w:r>
        <w:t>7.3</w:t>
      </w:r>
      <w:r w:rsidR="00F27506" w:rsidRPr="00F27506">
        <w:rPr>
          <w:rtl/>
        </w:rPr>
        <w:tab/>
        <w:t>وأخيراً، تنشئ خطة عمل باكو إطاراً دينامياً للرصد والتقييم يسمح بالاستعراض والتعديل المنتظمين طوال الدورة. ومن خلال دمج المساءلة، واتخاذ القرارات القائمة على الأدلة، والتعلم المستمر في تنفيذها، تهدف الخطة إلى تحقيق أقصى قدر من التأثير وضمان ملاءمتها بمرور الوقت. وبشكل عام، تقدم خطة عمل باكو خارطة طريق شاملة واستشرافية لقطاع تنمية الاتصالات لدعم التوصيلية الهادفة، والتحول الرقمي الشامل، والتنمية المستدامة للجميع.</w:t>
      </w:r>
    </w:p>
    <w:p w14:paraId="59BF697B" w14:textId="77777777" w:rsidR="00F27506" w:rsidRPr="00F27506" w:rsidRDefault="00F27506" w:rsidP="000077EC">
      <w:pPr>
        <w:pStyle w:val="Heading1"/>
        <w:rPr>
          <w:lang w:val="ar-SA" w:bidi="ar-EG"/>
        </w:rPr>
      </w:pPr>
      <w:r w:rsidRPr="00F27506">
        <w:rPr>
          <w:rtl/>
        </w:rPr>
        <w:t>4</w:t>
      </w:r>
      <w:r w:rsidRPr="00F27506">
        <w:rPr>
          <w:rtl/>
        </w:rPr>
        <w:tab/>
        <w:t>المبادرات الإقليمية</w:t>
      </w:r>
    </w:p>
    <w:p w14:paraId="1F3E6EB9" w14:textId="600954FD" w:rsidR="00F27506" w:rsidRPr="00F27506" w:rsidRDefault="00F27506" w:rsidP="00F27506">
      <w:pPr>
        <w:rPr>
          <w:lang w:val="ar-SA" w:bidi="ar-EG"/>
        </w:rPr>
      </w:pPr>
      <w:r w:rsidRPr="00F27506">
        <w:rPr>
          <w:rtl/>
        </w:rPr>
        <w:t xml:space="preserve">اعتمدت الدول الأعضاء، في المؤتمر WTDC-25، مجموعة شاملة من المبادرات الإقليمية كجزء لا يتجزأ من خطة عمل باكو لدورة 2026-2029. وتترجم هذه المبادرات أولويات قطاع تنمية الاتصالات العالمية إلى أطر خاصة بكل منطقة تتصدى لتحديات التنمية المختلفة، ومستويات النضج الرقمي، والبيئات السياساتية. وصممت هذه المبادرات الإقليمية كي يتم تنفيذها من خلال الشراكات، وتعبئة الموارد، والمشاريع المستهدفة، وتوفر آلية عملية لتحقيق تأثير إنمائي ملموس على أرض الواقع. وتعزز هذه المبادرات مجتمعة النهج القائم على النتائج لخطة العمل، مع ضمان المرونة، والملكية، والمواءمة مع الأولويات الإقليمية عبر جميع مناطق الاتحاد. وأقر المؤتمر WTDC-25 ما مجموعه 30 مبادرة إقليمية، موزعة عبر المناطق الست، يمكن الاطلاع عليها </w:t>
      </w:r>
      <w:hyperlink r:id="rId28" w:history="1">
        <w:r w:rsidRPr="00F27506">
          <w:rPr>
            <w:rStyle w:val="Hyperlink"/>
            <w:noProof w:val="0"/>
            <w:rtl/>
            <w:lang w:val="en-US" w:eastAsia="zh-CN"/>
          </w:rPr>
          <w:t>هنا</w:t>
        </w:r>
      </w:hyperlink>
      <w:r w:rsidRPr="00F27506">
        <w:rPr>
          <w:rtl/>
        </w:rPr>
        <w:t>.</w:t>
      </w:r>
      <w:hyperlink r:id="rId29"/>
    </w:p>
    <w:p w14:paraId="392A7D48" w14:textId="77777777" w:rsidR="00F27506" w:rsidRPr="00F27506" w:rsidRDefault="00F27506" w:rsidP="000077EC">
      <w:pPr>
        <w:pStyle w:val="Heading1"/>
        <w:rPr>
          <w:lang w:val="ar-SA" w:bidi="ar-EG"/>
        </w:rPr>
      </w:pPr>
      <w:r w:rsidRPr="00F27506">
        <w:rPr>
          <w:rtl/>
        </w:rPr>
        <w:t>5</w:t>
      </w:r>
      <w:r w:rsidRPr="00F27506">
        <w:rPr>
          <w:rtl/>
        </w:rPr>
        <w:tab/>
        <w:t>مسائل لجنتي دراسات قطاع تنمية الاتصالات</w:t>
      </w:r>
    </w:p>
    <w:p w14:paraId="2E151756" w14:textId="2818F54E" w:rsidR="00F27506" w:rsidRPr="00F27506" w:rsidRDefault="00F27506" w:rsidP="00F27506">
      <w:pPr>
        <w:rPr>
          <w:spacing w:val="-2"/>
          <w:lang w:val="ar-SA" w:bidi="ar-EG"/>
        </w:rPr>
      </w:pPr>
      <w:r w:rsidRPr="00F27506">
        <w:rPr>
          <w:spacing w:val="-2"/>
          <w:rtl/>
        </w:rPr>
        <w:t xml:space="preserve">راجع المؤتمر WTDC-25 مسائل الدراسات الحالية لقطاع تنمية الاتصالات، ووضع مجموعة جديدة من المسائل، ليصبح المجموع عشرة (10) مسائل دراسات للفترة 2026-2029. ويمكن الاطلاع على مزيد من التفاصيل عن المسائل المعتمدة للجنتي الدراسات </w:t>
      </w:r>
      <w:hyperlink r:id="rId30" w:history="1">
        <w:r w:rsidRPr="00F27506">
          <w:rPr>
            <w:rStyle w:val="Hyperlink"/>
            <w:noProof w:val="0"/>
            <w:spacing w:val="-2"/>
            <w:rtl/>
            <w:lang w:val="en-US" w:eastAsia="zh-CN"/>
          </w:rPr>
          <w:t>هنا</w:t>
        </w:r>
      </w:hyperlink>
      <w:r w:rsidRPr="00F27506">
        <w:rPr>
          <w:spacing w:val="-2"/>
          <w:rtl/>
        </w:rPr>
        <w:t>.</w:t>
      </w:r>
      <w:hyperlink r:id="rId31" w:history="1"/>
    </w:p>
    <w:p w14:paraId="7A2D1275" w14:textId="77777777" w:rsidR="00F27506" w:rsidRPr="00F27506" w:rsidRDefault="00F27506" w:rsidP="000077EC">
      <w:pPr>
        <w:pStyle w:val="Heading1"/>
        <w:rPr>
          <w:lang w:val="ar-SA" w:bidi="ar-EG"/>
        </w:rPr>
      </w:pPr>
      <w:r w:rsidRPr="00F27506">
        <w:rPr>
          <w:rtl/>
        </w:rPr>
        <w:t>6</w:t>
      </w:r>
      <w:r w:rsidRPr="00F27506">
        <w:rPr>
          <w:rtl/>
        </w:rPr>
        <w:tab/>
        <w:t>قرارات المؤتمر WTDC-25</w:t>
      </w:r>
    </w:p>
    <w:p w14:paraId="2E2A1900" w14:textId="572046B9" w:rsidR="00F27506" w:rsidRPr="00F27506" w:rsidRDefault="00F27506" w:rsidP="00F27506">
      <w:pPr>
        <w:rPr>
          <w:spacing w:val="-2"/>
          <w:rtl/>
          <w:lang w:val="ar-SA" w:bidi="ar-EG"/>
        </w:rPr>
      </w:pPr>
      <w:r w:rsidRPr="00F27506">
        <w:rPr>
          <w:spacing w:val="-2"/>
          <w:rtl/>
        </w:rPr>
        <w:t xml:space="preserve">راجع مؤتمر عام 2025 ما مقداره 44 قراراً قائماً من قرارات المؤتمر، لضمان استمرار تركيز قطاع تنمية الاتصالات </w:t>
      </w:r>
      <w:r w:rsidRPr="00F27506">
        <w:rPr>
          <w:spacing w:val="-2"/>
          <w:lang w:bidi="ar-EG"/>
        </w:rPr>
        <w:t>(ITU</w:t>
      </w:r>
      <w:r w:rsidR="00062C53" w:rsidRPr="00A225CA">
        <w:rPr>
          <w:spacing w:val="-2"/>
          <w:lang w:bidi="ar-EG"/>
        </w:rPr>
        <w:noBreakHyphen/>
      </w:r>
      <w:r w:rsidRPr="00F27506">
        <w:rPr>
          <w:spacing w:val="-2"/>
          <w:lang w:bidi="ar-EG"/>
        </w:rPr>
        <w:t>D)</w:t>
      </w:r>
      <w:r w:rsidRPr="00F27506">
        <w:rPr>
          <w:spacing w:val="-2"/>
          <w:rtl/>
        </w:rPr>
        <w:t xml:space="preserve"> على تلبية احتياجات الدول الأعضاء. كما أصدر المؤتمر أربعة (4) قرارات جديدة بشأن المواضيع التالية</w:t>
      </w:r>
      <w:r w:rsidR="00D83695">
        <w:rPr>
          <w:rFonts w:hint="cs"/>
          <w:spacing w:val="-2"/>
          <w:rtl/>
          <w:lang w:bidi="ar-EG"/>
        </w:rPr>
        <w:t>:</w:t>
      </w:r>
    </w:p>
    <w:p w14:paraId="200DF0A4" w14:textId="1AC75268" w:rsidR="00F27506" w:rsidRPr="00F27506" w:rsidRDefault="00315F3E" w:rsidP="00315F3E">
      <w:pPr>
        <w:pStyle w:val="enumlev1"/>
        <w:rPr>
          <w:lang w:val="ar-SA" w:bidi="ar-EG"/>
        </w:rPr>
      </w:pPr>
      <w:r>
        <w:rPr>
          <w:rFonts w:hint="cs"/>
          <w:rtl/>
          <w:lang w:bidi="ar-EG"/>
        </w:rPr>
        <w:t>-</w:t>
      </w:r>
      <w:r w:rsidR="00F27506" w:rsidRPr="00F27506">
        <w:rPr>
          <w:rtl/>
        </w:rPr>
        <w:tab/>
      </w:r>
      <w:r w:rsidR="00F27506" w:rsidRPr="00A225CA">
        <w:rPr>
          <w:b/>
          <w:bCs/>
          <w:rtl/>
        </w:rPr>
        <w:t>القرار 91 (باكو، 2025) - تكنولوجيات الذكاء الاصطناعي في تنمية الاتصالات:</w:t>
      </w:r>
      <w:r w:rsidR="00F27506" w:rsidRPr="00F27506">
        <w:rPr>
          <w:rtl/>
        </w:rPr>
        <w:t xml:space="preserve"> يقر هذا القرار بالأهمية المتزايدة للذكاء الاصطناعي في تسريع تنمية الاتصالات وتعزيز التحول الرقمي الشامل. ويشجع الدول الأعضاء وقطاع تنمية الاتصالات على تعزيز اعتماد تكنولوجيات الذكاء الاصطناعي بشكل مسؤول، يركز على الناس، وبشكل موجه نحو التنمية، ولا سيما في دعم التوصيلية، وتقديم الخدمات، وبناء القدرات، والابتكار. ويؤكد القرار على تبادل المعرفة، وتنمية المهارات، والتعاون الدولي لضمان قدرة البلدان النامية على الاستفادة بفعالية من الذكاء الاصطناعي والتصدي للمخاطر المرتبطة به وسد فجوات القدرات.</w:t>
      </w:r>
    </w:p>
    <w:p w14:paraId="51D57CAC" w14:textId="6BB118A6" w:rsidR="00F27506" w:rsidRPr="00F27506" w:rsidRDefault="00315F3E" w:rsidP="00315F3E">
      <w:pPr>
        <w:pStyle w:val="enumlev1"/>
        <w:rPr>
          <w:lang w:val="ar-SA" w:bidi="ar-EG"/>
        </w:rPr>
      </w:pPr>
      <w:r>
        <w:rPr>
          <w:rFonts w:hint="cs"/>
          <w:rtl/>
          <w:lang w:bidi="ar-EG"/>
        </w:rPr>
        <w:t>-</w:t>
      </w:r>
      <w:r w:rsidR="00F27506" w:rsidRPr="00F27506">
        <w:rPr>
          <w:rtl/>
        </w:rPr>
        <w:tab/>
      </w:r>
      <w:r w:rsidR="00F27506" w:rsidRPr="00A225CA">
        <w:rPr>
          <w:b/>
          <w:bCs/>
          <w:rtl/>
        </w:rPr>
        <w:t>القرار 92 (باكو، 2025) - توطيد دور المكاتب الإقليمية التابعة للاتحاد الدولي للاتصالات في تسريع مسيرة التحول الرقمي والاستفادة من الشراكات:</w:t>
      </w:r>
      <w:r w:rsidR="00F27506" w:rsidRPr="00F27506">
        <w:rPr>
          <w:rtl/>
        </w:rPr>
        <w:t xml:space="preserve"> يؤكد هذا القرار على الدور الاستراتيجي للمكاتب الإقليمية للاتحاد في ترجمة الأولويات العالمية إلى إجراءات تستجيب للاحتياجات الإقليمية. ويدعو إلى تعزيز قدراتها لدعم التحول الرقمي، وتحسين التنسيق مع الدول الأعضاء والشركاء، والاستفادة من الشراكات لتحقيق تأثير إنمائي أكبر. كما يسلط القرار الضوء على دور المكاتب الإقليمية كعوامل تمكينية رئيسية في التنفيذ، ومشاركة الدول، ومواءمة أنشطة قطاع تنمية الاتصالات مع الأولويات الوطنية والإقليمية.</w:t>
      </w:r>
    </w:p>
    <w:p w14:paraId="061CBC10" w14:textId="3938D9AF" w:rsidR="00F27506" w:rsidRPr="00D83695" w:rsidRDefault="00315F3E" w:rsidP="00805BC8">
      <w:pPr>
        <w:pStyle w:val="enumlev1"/>
        <w:keepNext/>
        <w:keepLines/>
        <w:rPr>
          <w:spacing w:val="-2"/>
          <w:lang w:val="ar-SA" w:bidi="ar-EG"/>
        </w:rPr>
      </w:pPr>
      <w:r w:rsidRPr="00D83695">
        <w:rPr>
          <w:rFonts w:hint="cs"/>
          <w:spacing w:val="-2"/>
          <w:rtl/>
          <w:lang w:bidi="ar-EG"/>
        </w:rPr>
        <w:t>-</w:t>
      </w:r>
      <w:r w:rsidR="00F27506" w:rsidRPr="00D83695">
        <w:rPr>
          <w:spacing w:val="-2"/>
          <w:rtl/>
        </w:rPr>
        <w:tab/>
      </w:r>
      <w:r w:rsidR="00F27506" w:rsidRPr="00D83695">
        <w:rPr>
          <w:b/>
          <w:bCs/>
          <w:spacing w:val="-2"/>
          <w:rtl/>
        </w:rPr>
        <w:t>القرار 93 (باكو، 2025)</w:t>
      </w:r>
      <w:r w:rsidR="00F4274C">
        <w:rPr>
          <w:rFonts w:hint="cs"/>
          <w:b/>
          <w:bCs/>
          <w:spacing w:val="-2"/>
          <w:rtl/>
        </w:rPr>
        <w:t xml:space="preserve"> </w:t>
      </w:r>
      <w:r w:rsidR="00F27506" w:rsidRPr="00D83695">
        <w:rPr>
          <w:b/>
          <w:bCs/>
          <w:spacing w:val="-2"/>
          <w:rtl/>
        </w:rPr>
        <w:t>- تقديم المساعدة والدعم إلى السودان لإعادة بناء البنية التحتية للاتصالات/تكنولوجيا المعلومات والاتصالات المتضررة وسد الفجوة الرقمية:</w:t>
      </w:r>
      <w:r w:rsidR="00F27506" w:rsidRPr="00D83695">
        <w:rPr>
          <w:spacing w:val="-2"/>
          <w:rtl/>
        </w:rPr>
        <w:t xml:space="preserve"> يتناول هذا القرار الحاجة الملحة إلى دعم السودان في إعادة بناء واستصلاح البنية التحتية المتضررة للاتصالات وتكنولوجيا المعلومات والاتصالات. ويدعو قطاع تنمية الاتصالات وشركائه إلى تقديم مساعدة تقنية موجهة، وبناء القدرات، وتعبئة الموارد للمساعدة في استعادة التوصيلية وسد الفجوة الرقمية. ويضع القرار إطاراً للاتصالات وتكنولوجيا المعلومات والاتصالات كعاملين تمكينيين أساسيين للتعافي، والقدرة على الصمود، وتحقيق التنمية الاجتماعية والاقتصادية طويلة الأجل.</w:t>
      </w:r>
    </w:p>
    <w:p w14:paraId="176762AB" w14:textId="5B20813B" w:rsidR="00F27506" w:rsidRPr="00F27506" w:rsidRDefault="00315F3E" w:rsidP="00404C36">
      <w:pPr>
        <w:pStyle w:val="enumlev1"/>
        <w:keepNext/>
        <w:keepLines/>
        <w:rPr>
          <w:lang w:val="ar-SA" w:bidi="ar-EG"/>
        </w:rPr>
      </w:pPr>
      <w:r>
        <w:rPr>
          <w:rFonts w:hint="cs"/>
          <w:rtl/>
          <w:lang w:bidi="ar-EG"/>
        </w:rPr>
        <w:t>-</w:t>
      </w:r>
      <w:r w:rsidR="00F27506" w:rsidRPr="00F27506">
        <w:rPr>
          <w:rtl/>
        </w:rPr>
        <w:tab/>
      </w:r>
      <w:r w:rsidR="00F27506" w:rsidRPr="00A225CA">
        <w:rPr>
          <w:b/>
          <w:bCs/>
          <w:rtl/>
        </w:rPr>
        <w:t>القرار 94 (باكو، 2025) - دعم التحول الرقمي للبلدان الجزرية في المحيط الهادئ تنفيذاً لإعلان لاغاتوي:</w:t>
      </w:r>
      <w:r w:rsidR="00F27506" w:rsidRPr="00F27506">
        <w:rPr>
          <w:rtl/>
        </w:rPr>
        <w:t xml:space="preserve"> يركز هذا القرار على النهوض بالتحول الرقمي في بلدان جزر المحيط الهادئ بما يتماشى مع إعلان لاغاتوي. ويقر القرار بنقاط الضعف الفريدة والتحديات الإنمائية التي تواجهها هذه البلدان، بما في ذلك العزلة الجغرافية والتعرض للمخاطر المناخية. ويدعو القرار إلى تقديم دعم مخصص من خلال بناء القدرات، والبنية التحتية القادرة على الصمود، والشراكات، والحلول المبتكرة لتعزيز التوصيلية، والشمول الرقمي، والتنمية المستدامة في جميع أنحاء منطقة المحيط الهادئ.</w:t>
      </w:r>
    </w:p>
    <w:p w14:paraId="7B284326"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32"/>
      <w:headerReference w:type="first" r:id="rId33"/>
      <w:footerReference w:type="first" r:id="rId34"/>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9DAF7" w14:textId="77777777" w:rsidR="002523AD" w:rsidRDefault="002523AD" w:rsidP="006C3242">
      <w:pPr>
        <w:spacing w:before="0" w:line="240" w:lineRule="auto"/>
      </w:pPr>
      <w:r>
        <w:separator/>
      </w:r>
    </w:p>
  </w:endnote>
  <w:endnote w:type="continuationSeparator" w:id="0">
    <w:p w14:paraId="2F893FB1" w14:textId="77777777" w:rsidR="002523AD" w:rsidRDefault="002523A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20F285B0" w14:textId="77777777" w:rsidTr="00A67F05">
      <w:trPr>
        <w:jc w:val="center"/>
      </w:trPr>
      <w:tc>
        <w:tcPr>
          <w:tcW w:w="868" w:type="pct"/>
          <w:vAlign w:val="center"/>
        </w:tcPr>
        <w:p w14:paraId="22394C81" w14:textId="43AAEFB4" w:rsidR="00F50E3F" w:rsidRPr="007B0AA0" w:rsidRDefault="00BF1F02"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Pr>
              <w:rFonts w:ascii="Calibri" w:hAnsi="Calibri" w:cs="Arial"/>
              <w:sz w:val="18"/>
              <w:szCs w:val="14"/>
            </w:rPr>
            <w:t>2600588</w:t>
          </w:r>
        </w:p>
      </w:tc>
      <w:tc>
        <w:tcPr>
          <w:tcW w:w="3912" w:type="pct"/>
        </w:tcPr>
        <w:p w14:paraId="0B38AB89" w14:textId="71D299B2"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FE3C24">
            <w:rPr>
              <w:rFonts w:ascii="Calibri" w:hAnsi="Calibri" w:cs="Arial"/>
              <w:bCs/>
              <w:color w:val="7F7F7F"/>
              <w:sz w:val="18"/>
            </w:rPr>
            <w:t>30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81962DD"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2FF7CC5"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40086263" w14:textId="77777777" w:rsidTr="00A67F05">
      <w:trPr>
        <w:jc w:val="center"/>
      </w:trPr>
      <w:tc>
        <w:tcPr>
          <w:tcW w:w="1013" w:type="pct"/>
          <w:vAlign w:val="center"/>
        </w:tcPr>
        <w:p w14:paraId="00B319E8"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71F58782" w14:textId="37FEE11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680DF4">
            <w:rPr>
              <w:rFonts w:ascii="Calibri" w:hAnsi="Calibri" w:cs="Arial"/>
              <w:bCs/>
              <w:color w:val="7F7F7F"/>
              <w:sz w:val="18"/>
            </w:rPr>
            <w:t>3</w:t>
          </w:r>
          <w:r w:rsidR="00FE3C24">
            <w:rPr>
              <w:rFonts w:ascii="Calibri" w:hAnsi="Calibri" w:cs="Arial"/>
              <w:bCs/>
              <w:color w:val="7F7F7F"/>
              <w:sz w:val="18"/>
            </w:rPr>
            <w:t>0</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35C893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1CB3495B"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F779" w14:textId="77777777" w:rsidR="002523AD" w:rsidRDefault="002523AD" w:rsidP="006C3242">
      <w:pPr>
        <w:spacing w:before="0" w:line="240" w:lineRule="auto"/>
      </w:pPr>
      <w:r>
        <w:separator/>
      </w:r>
    </w:p>
  </w:footnote>
  <w:footnote w:type="continuationSeparator" w:id="0">
    <w:p w14:paraId="0AA03940" w14:textId="77777777" w:rsidR="002523AD" w:rsidRDefault="002523AD"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71491" w14:textId="77777777" w:rsidR="001A3E13" w:rsidRPr="00057769" w:rsidRDefault="001A3E13" w:rsidP="001A3E13">
    <w:pPr>
      <w:pStyle w:val="Header"/>
    </w:pPr>
    <w:r>
      <w:rPr>
        <w:noProof/>
      </w:rPr>
      <w:drawing>
        <wp:inline distT="0" distB="0" distL="0" distR="0" wp14:anchorId="6056BB68" wp14:editId="7A6065A9">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EA"/>
    <w:rsid w:val="000077EC"/>
    <w:rsid w:val="000116AF"/>
    <w:rsid w:val="000474B8"/>
    <w:rsid w:val="000541EA"/>
    <w:rsid w:val="00062C53"/>
    <w:rsid w:val="0006468A"/>
    <w:rsid w:val="0007703F"/>
    <w:rsid w:val="00077A58"/>
    <w:rsid w:val="00085CDA"/>
    <w:rsid w:val="00090574"/>
    <w:rsid w:val="000C1C0E"/>
    <w:rsid w:val="000C548A"/>
    <w:rsid w:val="000D644B"/>
    <w:rsid w:val="00121306"/>
    <w:rsid w:val="00191059"/>
    <w:rsid w:val="001A3E13"/>
    <w:rsid w:val="001B6E2B"/>
    <w:rsid w:val="001C0169"/>
    <w:rsid w:val="001C0C21"/>
    <w:rsid w:val="001D1D50"/>
    <w:rsid w:val="001D64C7"/>
    <w:rsid w:val="001D6745"/>
    <w:rsid w:val="001E446E"/>
    <w:rsid w:val="001F32F2"/>
    <w:rsid w:val="002064C2"/>
    <w:rsid w:val="002154EE"/>
    <w:rsid w:val="00216F7D"/>
    <w:rsid w:val="00221479"/>
    <w:rsid w:val="002276D2"/>
    <w:rsid w:val="0023283D"/>
    <w:rsid w:val="002523AD"/>
    <w:rsid w:val="00254393"/>
    <w:rsid w:val="0026373E"/>
    <w:rsid w:val="00271C43"/>
    <w:rsid w:val="00290728"/>
    <w:rsid w:val="002978F4"/>
    <w:rsid w:val="002B028D"/>
    <w:rsid w:val="002C3F32"/>
    <w:rsid w:val="002E6541"/>
    <w:rsid w:val="002F23F2"/>
    <w:rsid w:val="00315F3E"/>
    <w:rsid w:val="00334924"/>
    <w:rsid w:val="003409BC"/>
    <w:rsid w:val="00344422"/>
    <w:rsid w:val="003449BC"/>
    <w:rsid w:val="00357185"/>
    <w:rsid w:val="00383829"/>
    <w:rsid w:val="003A029E"/>
    <w:rsid w:val="003A3C43"/>
    <w:rsid w:val="003B5263"/>
    <w:rsid w:val="003C7691"/>
    <w:rsid w:val="003F4B29"/>
    <w:rsid w:val="003F59F8"/>
    <w:rsid w:val="00404C36"/>
    <w:rsid w:val="00410B26"/>
    <w:rsid w:val="00420F8A"/>
    <w:rsid w:val="0042686F"/>
    <w:rsid w:val="004317D8"/>
    <w:rsid w:val="0043260A"/>
    <w:rsid w:val="00434183"/>
    <w:rsid w:val="00443869"/>
    <w:rsid w:val="00447F32"/>
    <w:rsid w:val="00483F01"/>
    <w:rsid w:val="00486D0C"/>
    <w:rsid w:val="00491BA9"/>
    <w:rsid w:val="00494119"/>
    <w:rsid w:val="004A4701"/>
    <w:rsid w:val="004B7334"/>
    <w:rsid w:val="004E11DC"/>
    <w:rsid w:val="005130DE"/>
    <w:rsid w:val="00513157"/>
    <w:rsid w:val="00525DDD"/>
    <w:rsid w:val="005409AC"/>
    <w:rsid w:val="005434E0"/>
    <w:rsid w:val="005546CF"/>
    <w:rsid w:val="0055516A"/>
    <w:rsid w:val="0058491B"/>
    <w:rsid w:val="00592EA5"/>
    <w:rsid w:val="005A3170"/>
    <w:rsid w:val="00657019"/>
    <w:rsid w:val="00660DEA"/>
    <w:rsid w:val="00677396"/>
    <w:rsid w:val="00680DF4"/>
    <w:rsid w:val="00683F16"/>
    <w:rsid w:val="0069200F"/>
    <w:rsid w:val="006A65CB"/>
    <w:rsid w:val="006B12E5"/>
    <w:rsid w:val="006B5E16"/>
    <w:rsid w:val="006C3242"/>
    <w:rsid w:val="006C3C5C"/>
    <w:rsid w:val="006C7CC0"/>
    <w:rsid w:val="006F363C"/>
    <w:rsid w:val="006F63F7"/>
    <w:rsid w:val="007025C7"/>
    <w:rsid w:val="00706D7A"/>
    <w:rsid w:val="00722F0D"/>
    <w:rsid w:val="00735081"/>
    <w:rsid w:val="00736EA1"/>
    <w:rsid w:val="007405EE"/>
    <w:rsid w:val="0074420E"/>
    <w:rsid w:val="007648A6"/>
    <w:rsid w:val="0077110E"/>
    <w:rsid w:val="00783E26"/>
    <w:rsid w:val="007A6684"/>
    <w:rsid w:val="007B0AA0"/>
    <w:rsid w:val="007B65EB"/>
    <w:rsid w:val="007C3BC7"/>
    <w:rsid w:val="007C3BCD"/>
    <w:rsid w:val="007C69C9"/>
    <w:rsid w:val="007D4ACF"/>
    <w:rsid w:val="007F0787"/>
    <w:rsid w:val="00805BC8"/>
    <w:rsid w:val="00810B7B"/>
    <w:rsid w:val="0082358A"/>
    <w:rsid w:val="008235CD"/>
    <w:rsid w:val="008247DE"/>
    <w:rsid w:val="008339C0"/>
    <w:rsid w:val="00840B10"/>
    <w:rsid w:val="008513CB"/>
    <w:rsid w:val="00874E9F"/>
    <w:rsid w:val="008A2A3C"/>
    <w:rsid w:val="008A7F84"/>
    <w:rsid w:val="008C0242"/>
    <w:rsid w:val="0091702E"/>
    <w:rsid w:val="00923B0C"/>
    <w:rsid w:val="00924F46"/>
    <w:rsid w:val="00935AAC"/>
    <w:rsid w:val="0093725D"/>
    <w:rsid w:val="0094021C"/>
    <w:rsid w:val="0094430A"/>
    <w:rsid w:val="00952F86"/>
    <w:rsid w:val="0096716C"/>
    <w:rsid w:val="00982B28"/>
    <w:rsid w:val="009868AC"/>
    <w:rsid w:val="0098736E"/>
    <w:rsid w:val="009A3BBA"/>
    <w:rsid w:val="009A5F2B"/>
    <w:rsid w:val="009B1A31"/>
    <w:rsid w:val="009D313F"/>
    <w:rsid w:val="009F06CE"/>
    <w:rsid w:val="00A225CA"/>
    <w:rsid w:val="00A47A5A"/>
    <w:rsid w:val="00A61210"/>
    <w:rsid w:val="00A63AE6"/>
    <w:rsid w:val="00A6683B"/>
    <w:rsid w:val="00A67F05"/>
    <w:rsid w:val="00A97F94"/>
    <w:rsid w:val="00AA5F57"/>
    <w:rsid w:val="00AA7EA2"/>
    <w:rsid w:val="00AB5A56"/>
    <w:rsid w:val="00B03099"/>
    <w:rsid w:val="00B05BC8"/>
    <w:rsid w:val="00B30F5E"/>
    <w:rsid w:val="00B64B47"/>
    <w:rsid w:val="00B95654"/>
    <w:rsid w:val="00B97F32"/>
    <w:rsid w:val="00BA04B2"/>
    <w:rsid w:val="00BF1F02"/>
    <w:rsid w:val="00BF45CD"/>
    <w:rsid w:val="00C002DE"/>
    <w:rsid w:val="00C0602B"/>
    <w:rsid w:val="00C224DA"/>
    <w:rsid w:val="00C230EA"/>
    <w:rsid w:val="00C53BF8"/>
    <w:rsid w:val="00C66157"/>
    <w:rsid w:val="00C674FE"/>
    <w:rsid w:val="00C67501"/>
    <w:rsid w:val="00C70BA5"/>
    <w:rsid w:val="00C74857"/>
    <w:rsid w:val="00C75633"/>
    <w:rsid w:val="00CE2EE1"/>
    <w:rsid w:val="00CE3349"/>
    <w:rsid w:val="00CE36E5"/>
    <w:rsid w:val="00CE4360"/>
    <w:rsid w:val="00CF27F5"/>
    <w:rsid w:val="00CF3FFD"/>
    <w:rsid w:val="00D10CCF"/>
    <w:rsid w:val="00D13941"/>
    <w:rsid w:val="00D23F5F"/>
    <w:rsid w:val="00D43F7D"/>
    <w:rsid w:val="00D63735"/>
    <w:rsid w:val="00D77D0F"/>
    <w:rsid w:val="00D83695"/>
    <w:rsid w:val="00D957FF"/>
    <w:rsid w:val="00DA1CF0"/>
    <w:rsid w:val="00DA6A30"/>
    <w:rsid w:val="00DC1E02"/>
    <w:rsid w:val="00DC24B4"/>
    <w:rsid w:val="00DC5FB0"/>
    <w:rsid w:val="00DF16DC"/>
    <w:rsid w:val="00E025EA"/>
    <w:rsid w:val="00E45211"/>
    <w:rsid w:val="00E473C5"/>
    <w:rsid w:val="00E61BE8"/>
    <w:rsid w:val="00E83FF1"/>
    <w:rsid w:val="00E92863"/>
    <w:rsid w:val="00E979B2"/>
    <w:rsid w:val="00EB796D"/>
    <w:rsid w:val="00ED29FB"/>
    <w:rsid w:val="00EF781A"/>
    <w:rsid w:val="00F058DC"/>
    <w:rsid w:val="00F24FC4"/>
    <w:rsid w:val="00F2676C"/>
    <w:rsid w:val="00F27506"/>
    <w:rsid w:val="00F363FE"/>
    <w:rsid w:val="00F4274C"/>
    <w:rsid w:val="00F50E3F"/>
    <w:rsid w:val="00F84366"/>
    <w:rsid w:val="00F85089"/>
    <w:rsid w:val="00F974C5"/>
    <w:rsid w:val="00FA3763"/>
    <w:rsid w:val="00FA6F46"/>
    <w:rsid w:val="00FC0E94"/>
    <w:rsid w:val="00FC4592"/>
    <w:rsid w:val="00FD4BDF"/>
    <w:rsid w:val="00FD527F"/>
    <w:rsid w:val="00FE3C24"/>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61C70"/>
  <w15:chartTrackingRefBased/>
  <w15:docId w15:val="{8024D127-3307-441F-AA7E-951BB2CFF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paragraph" w:styleId="Revision">
    <w:name w:val="Revision"/>
    <w:hidden/>
    <w:uiPriority w:val="99"/>
    <w:semiHidden/>
    <w:rsid w:val="003C7691"/>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d/meetings/wtdc25/" TargetMode="External"/><Relationship Id="rId18" Type="http://schemas.openxmlformats.org/officeDocument/2006/relationships/hyperlink" Target="https://www.itu.int/itu-d/meetings/wtdc25/wp-content/uploads/sites/29/2025/11/WTDC-25-Declaration.pdf" TargetMode="External"/><Relationship Id="rId26" Type="http://schemas.openxmlformats.org/officeDocument/2006/relationships/hyperlink" Target="https://www.itu.int/itu-d/sites/studygroups/ar/" TargetMode="External"/><Relationship Id="rId3" Type="http://schemas.openxmlformats.org/officeDocument/2006/relationships/styles" Target="styles.xml"/><Relationship Id="rId21" Type="http://schemas.openxmlformats.org/officeDocument/2006/relationships/hyperlink" Target="https://www.itu.int/itu-d/meetings/wtdc25/wp-content/uploads/sites/29/2025/11/090-E.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itu.int/itu-d/meetings/wtdc25/" TargetMode="External"/><Relationship Id="rId17" Type="http://schemas.openxmlformats.org/officeDocument/2006/relationships/hyperlink" Target="https://www.itu.int/itu-d/meetings/wtdc25/the-conference/high-level-segment/speakers/" TargetMode="External"/><Relationship Id="rId25" Type="http://schemas.openxmlformats.org/officeDocument/2006/relationships/hyperlink" Target="https://www.itu.int/en/ITU-D/Conferences/TDAG/Pages/2026/TDAG-Bureau.aspx"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itu-d/meetings/wtdc25/the-conference/high-level-segment/speakers/" TargetMode="External"/><Relationship Id="rId20" Type="http://schemas.openxmlformats.org/officeDocument/2006/relationships/hyperlink" Target="https://www.itu.int/itu-d/meetings/wtdc25/wp-content/uploads/sites/29/2025/11/090-E.pdf" TargetMode="External"/><Relationship Id="rId29" Type="http://schemas.openxmlformats.org/officeDocument/2006/relationships/hyperlink" Target="https://www.itu.int/en/ITU-D/Pages/regional-initiatives-2026-2029.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D26-TDAG33-C-0003/en" TargetMode="External"/><Relationship Id="rId24" Type="http://schemas.openxmlformats.org/officeDocument/2006/relationships/hyperlink" Target="https://www.itu.int/itu-d/meetings/tdag/tdag/burea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tu.int/itu-d/meetings/wtdc25/the-conference/high-level-segment/speakers/" TargetMode="External"/><Relationship Id="rId23" Type="http://schemas.openxmlformats.org/officeDocument/2006/relationships/hyperlink" Target="https://www.itu.int/en/ITU-D/Pages/regional-initiatives-2026-2029.aspx" TargetMode="External"/><Relationship Id="rId28" Type="http://schemas.openxmlformats.org/officeDocument/2006/relationships/hyperlink" Target="https://www.itu.int/en/ITU-D/Pages/regional-initiatives-2026-2029.aspx" TargetMode="External"/><Relationship Id="rId36" Type="http://schemas.openxmlformats.org/officeDocument/2006/relationships/theme" Target="theme/theme1.xml"/><Relationship Id="rId10" Type="http://schemas.openxmlformats.org/officeDocument/2006/relationships/hyperlink" Target="http://itu.int/go/wtdc25-final-report" TargetMode="External"/><Relationship Id="rId19" Type="http://schemas.openxmlformats.org/officeDocument/2006/relationships/hyperlink" Target="https://www.itu.int/itu-d/meetings/wtdc25/wp-content/uploads/sites/29/2025/11/WTDC-25-Declaration.pdf" TargetMode="External"/><Relationship Id="rId31" Type="http://schemas.openxmlformats.org/officeDocument/2006/relationships/hyperlink" Target="https://www.itu.int/itu-d/meetings/wtdc25/wp-content/uploads/sites/29/2025/12/Study-Group-Questions-2026-2029.pdf" TargetMode="External"/><Relationship Id="rId4" Type="http://schemas.openxmlformats.org/officeDocument/2006/relationships/settings" Target="settings.xml"/><Relationship Id="rId9" Type="http://schemas.openxmlformats.org/officeDocument/2006/relationships/hyperlink" Target="https://www.itu.int/md/D26-TDAG33-C-0004/en" TargetMode="External"/><Relationship Id="rId14" Type="http://schemas.openxmlformats.org/officeDocument/2006/relationships/hyperlink" Target="https://www.itu.int/itu-d/meetings/wtdc25/the-conference/high-level-segment/speakers/" TargetMode="External"/><Relationship Id="rId22" Type="http://schemas.openxmlformats.org/officeDocument/2006/relationships/hyperlink" Target="https://www.itu.int/en/ITU-D/Pages/regional-initiatives-2026-2029.aspx" TargetMode="External"/><Relationship Id="rId27" Type="http://schemas.openxmlformats.org/officeDocument/2006/relationships/hyperlink" Target="https://www.itu.int/itu-d/sites/studygroups/" TargetMode="External"/><Relationship Id="rId30" Type="http://schemas.openxmlformats.org/officeDocument/2006/relationships/hyperlink" Target="https://www.itu.int/itu-d/meetings/wtdc25/wp-content/uploads/sites/29/2025/12/Study-Group-Questions-2026-2029.pdf" TargetMode="External"/><Relationship Id="rId35" Type="http://schemas.openxmlformats.org/officeDocument/2006/relationships/fontTable" Target="fontTable.xml"/><Relationship Id="rId8" Type="http://schemas.openxmlformats.org/officeDocument/2006/relationships/hyperlink" Target="https://www.itu.int/md/S26-CWGSFP4-C-0007"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yabdul\Desktop\type\Arabic%20Templates%202026\SG\PA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PA_Council26</Template>
  <TotalTime>1</TotalTime>
  <Pages>5</Pages>
  <Words>1851</Words>
  <Characters>13030</Characters>
  <Application>Microsoft Office Word</Application>
  <DocSecurity>0</DocSecurity>
  <Lines>186</Lines>
  <Paragraphs>72</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2025 World Telecommunication Development Conference</dc:title>
  <dc:subject>ITU Council 2026</dc:subject>
  <dc:creator/>
  <cp:keywords>C26; C2026; Council 2026; PP26</cp:keywords>
  <dc:description/>
  <cp:lastModifiedBy>GBS</cp:lastModifiedBy>
  <cp:revision>3</cp:revision>
  <dcterms:created xsi:type="dcterms:W3CDTF">2026-04-26T12:02:00Z</dcterms:created>
  <dcterms:modified xsi:type="dcterms:W3CDTF">2026-04-26T12:03:00Z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