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CB50D8" w14:paraId="41C0110D" w14:textId="77777777" w:rsidTr="00C4421B">
        <w:trPr>
          <w:cantSplit/>
          <w:trHeight w:val="23"/>
        </w:trPr>
        <w:tc>
          <w:tcPr>
            <w:tcW w:w="3969" w:type="dxa"/>
            <w:vMerge w:val="restart"/>
            <w:tcMar>
              <w:left w:w="0" w:type="dxa"/>
            </w:tcMar>
          </w:tcPr>
          <w:p w14:paraId="7FCAD7AE" w14:textId="597A8ADA" w:rsidR="00FE57F6" w:rsidRPr="00CB50D8" w:rsidRDefault="00CC1FAF" w:rsidP="00C4421B">
            <w:pPr>
              <w:tabs>
                <w:tab w:val="left" w:pos="851"/>
              </w:tabs>
              <w:spacing w:before="0" w:line="240" w:lineRule="atLeast"/>
              <w:rPr>
                <w:b/>
                <w:lang w:val="es-ES_tradnl"/>
              </w:rPr>
            </w:pPr>
            <w:bookmarkStart w:id="0" w:name="_Hlk133421839"/>
            <w:r w:rsidRPr="00CB50D8">
              <w:rPr>
                <w:b/>
                <w:lang w:val="es-ES_tradnl"/>
              </w:rPr>
              <w:t>Punto del o</w:t>
            </w:r>
            <w:r w:rsidR="00BB6FD8" w:rsidRPr="00CB50D8">
              <w:rPr>
                <w:b/>
                <w:lang w:val="es-ES_tradnl"/>
              </w:rPr>
              <w:t>rden del día</w:t>
            </w:r>
            <w:r w:rsidR="00FE57F6" w:rsidRPr="00CB50D8">
              <w:rPr>
                <w:b/>
                <w:lang w:val="es-ES_tradnl"/>
              </w:rPr>
              <w:t xml:space="preserve">: </w:t>
            </w:r>
            <w:r w:rsidR="00207B78" w:rsidRPr="00CB50D8">
              <w:rPr>
                <w:b/>
                <w:lang w:val="es-ES_tradnl"/>
              </w:rPr>
              <w:t>PL</w:t>
            </w:r>
            <w:r w:rsidR="007931B3" w:rsidRPr="00CB50D8">
              <w:rPr>
                <w:b/>
                <w:lang w:val="es-ES_tradnl"/>
              </w:rPr>
              <w:t>-</w:t>
            </w:r>
            <w:r w:rsidR="00207B78" w:rsidRPr="00CB50D8">
              <w:rPr>
                <w:b/>
                <w:lang w:val="es-ES_tradnl"/>
              </w:rPr>
              <w:t>2</w:t>
            </w:r>
          </w:p>
        </w:tc>
        <w:tc>
          <w:tcPr>
            <w:tcW w:w="5245" w:type="dxa"/>
          </w:tcPr>
          <w:p w14:paraId="23C117F0" w14:textId="71C89EFF" w:rsidR="00FE57F6" w:rsidRPr="00CB50D8" w:rsidRDefault="00FE57F6" w:rsidP="00C4421B">
            <w:pPr>
              <w:tabs>
                <w:tab w:val="left" w:pos="851"/>
              </w:tabs>
              <w:spacing w:before="0" w:line="240" w:lineRule="atLeast"/>
              <w:jc w:val="right"/>
              <w:rPr>
                <w:b/>
                <w:lang w:val="es-ES_tradnl"/>
              </w:rPr>
            </w:pPr>
            <w:r w:rsidRPr="00CB50D8">
              <w:rPr>
                <w:b/>
                <w:lang w:val="es-ES_tradnl"/>
              </w:rPr>
              <w:t>Document</w:t>
            </w:r>
            <w:r w:rsidR="00F24B71" w:rsidRPr="00CB50D8">
              <w:rPr>
                <w:b/>
                <w:lang w:val="es-ES_tradnl"/>
              </w:rPr>
              <w:t>o</w:t>
            </w:r>
            <w:r w:rsidRPr="00CB50D8">
              <w:rPr>
                <w:b/>
                <w:lang w:val="es-ES_tradnl"/>
              </w:rPr>
              <w:t xml:space="preserve"> </w:t>
            </w:r>
            <w:proofErr w:type="spellStart"/>
            <w:r w:rsidRPr="00CB50D8">
              <w:rPr>
                <w:b/>
                <w:lang w:val="es-ES_tradnl"/>
              </w:rPr>
              <w:t>C2</w:t>
            </w:r>
            <w:r w:rsidR="00F85E5C" w:rsidRPr="00CB50D8">
              <w:rPr>
                <w:b/>
                <w:lang w:val="es-ES_tradnl"/>
              </w:rPr>
              <w:t>6</w:t>
            </w:r>
            <w:proofErr w:type="spellEnd"/>
            <w:r w:rsidRPr="00CB50D8">
              <w:rPr>
                <w:b/>
                <w:lang w:val="es-ES_tradnl"/>
              </w:rPr>
              <w:t>/</w:t>
            </w:r>
            <w:r w:rsidR="00207B78" w:rsidRPr="00CB50D8">
              <w:rPr>
                <w:b/>
                <w:lang w:val="es-ES_tradnl"/>
              </w:rPr>
              <w:t>29</w:t>
            </w:r>
            <w:r w:rsidRPr="00CB50D8">
              <w:rPr>
                <w:b/>
                <w:lang w:val="es-ES_tradnl"/>
              </w:rPr>
              <w:t>-</w:t>
            </w:r>
            <w:r w:rsidR="00F24B71" w:rsidRPr="00CB50D8">
              <w:rPr>
                <w:b/>
                <w:lang w:val="es-ES_tradnl"/>
              </w:rPr>
              <w:t>S</w:t>
            </w:r>
          </w:p>
        </w:tc>
      </w:tr>
      <w:tr w:rsidR="00FE57F6" w:rsidRPr="00CB50D8" w14:paraId="3BC7C6BE" w14:textId="77777777" w:rsidTr="00C4421B">
        <w:trPr>
          <w:cantSplit/>
        </w:trPr>
        <w:tc>
          <w:tcPr>
            <w:tcW w:w="3969" w:type="dxa"/>
            <w:vMerge/>
          </w:tcPr>
          <w:p w14:paraId="005B08C7" w14:textId="77777777" w:rsidR="00FE57F6" w:rsidRPr="00CB50D8" w:rsidRDefault="00FE57F6" w:rsidP="00C4421B">
            <w:pPr>
              <w:tabs>
                <w:tab w:val="left" w:pos="851"/>
              </w:tabs>
              <w:spacing w:line="240" w:lineRule="atLeast"/>
              <w:rPr>
                <w:b/>
                <w:lang w:val="es-ES_tradnl"/>
              </w:rPr>
            </w:pPr>
          </w:p>
        </w:tc>
        <w:tc>
          <w:tcPr>
            <w:tcW w:w="5245" w:type="dxa"/>
          </w:tcPr>
          <w:p w14:paraId="3F6C60BB" w14:textId="0075CFA0" w:rsidR="00FE57F6" w:rsidRPr="00CB50D8" w:rsidRDefault="00207B78" w:rsidP="00C4421B">
            <w:pPr>
              <w:tabs>
                <w:tab w:val="left" w:pos="851"/>
              </w:tabs>
              <w:spacing w:before="0"/>
              <w:jc w:val="right"/>
              <w:rPr>
                <w:b/>
                <w:lang w:val="es-ES_tradnl"/>
              </w:rPr>
            </w:pPr>
            <w:r w:rsidRPr="00CB50D8">
              <w:rPr>
                <w:b/>
                <w:lang w:val="es-ES_tradnl"/>
              </w:rPr>
              <w:t>30 de marzo de 2026</w:t>
            </w:r>
          </w:p>
        </w:tc>
      </w:tr>
      <w:tr w:rsidR="00FE57F6" w:rsidRPr="00CB50D8" w14:paraId="4EA1387B" w14:textId="77777777" w:rsidTr="00C4421B">
        <w:trPr>
          <w:cantSplit/>
          <w:trHeight w:val="23"/>
        </w:trPr>
        <w:tc>
          <w:tcPr>
            <w:tcW w:w="3969" w:type="dxa"/>
            <w:vMerge/>
          </w:tcPr>
          <w:p w14:paraId="7A2042F5" w14:textId="77777777" w:rsidR="00FE57F6" w:rsidRPr="00CB50D8" w:rsidRDefault="00FE57F6" w:rsidP="00C4421B">
            <w:pPr>
              <w:tabs>
                <w:tab w:val="left" w:pos="851"/>
              </w:tabs>
              <w:spacing w:line="240" w:lineRule="atLeast"/>
              <w:rPr>
                <w:b/>
                <w:lang w:val="es-ES_tradnl"/>
              </w:rPr>
            </w:pPr>
          </w:p>
        </w:tc>
        <w:tc>
          <w:tcPr>
            <w:tcW w:w="5245" w:type="dxa"/>
          </w:tcPr>
          <w:p w14:paraId="42B5AC56" w14:textId="77777777" w:rsidR="00FE57F6" w:rsidRPr="00CB50D8" w:rsidRDefault="00F24B71" w:rsidP="00C4421B">
            <w:pPr>
              <w:tabs>
                <w:tab w:val="left" w:pos="851"/>
              </w:tabs>
              <w:spacing w:before="0" w:line="240" w:lineRule="atLeast"/>
              <w:jc w:val="right"/>
              <w:rPr>
                <w:b/>
                <w:bCs/>
                <w:lang w:val="es-ES_tradnl"/>
              </w:rPr>
            </w:pPr>
            <w:r w:rsidRPr="00CB50D8">
              <w:rPr>
                <w:rFonts w:cstheme="minorHAnsi"/>
                <w:b/>
                <w:bCs/>
                <w:lang w:val="es-ES_tradnl"/>
              </w:rPr>
              <w:t>Original: inglés</w:t>
            </w:r>
          </w:p>
        </w:tc>
      </w:tr>
      <w:tr w:rsidR="00FE57F6" w:rsidRPr="00CB50D8" w14:paraId="41D83F63" w14:textId="77777777" w:rsidTr="00C4421B">
        <w:trPr>
          <w:cantSplit/>
          <w:trHeight w:val="23"/>
        </w:trPr>
        <w:tc>
          <w:tcPr>
            <w:tcW w:w="3969" w:type="dxa"/>
          </w:tcPr>
          <w:p w14:paraId="1A00AD57" w14:textId="77777777" w:rsidR="00FE57F6" w:rsidRPr="00CB50D8" w:rsidRDefault="00FE57F6" w:rsidP="00C4421B">
            <w:pPr>
              <w:tabs>
                <w:tab w:val="left" w:pos="851"/>
              </w:tabs>
              <w:spacing w:line="240" w:lineRule="atLeast"/>
              <w:rPr>
                <w:b/>
                <w:lang w:val="es-ES_tradnl"/>
              </w:rPr>
            </w:pPr>
          </w:p>
        </w:tc>
        <w:tc>
          <w:tcPr>
            <w:tcW w:w="5245" w:type="dxa"/>
          </w:tcPr>
          <w:p w14:paraId="2706903D" w14:textId="77777777" w:rsidR="00FE57F6" w:rsidRPr="00CB50D8" w:rsidRDefault="00FE57F6" w:rsidP="00C4421B">
            <w:pPr>
              <w:tabs>
                <w:tab w:val="left" w:pos="851"/>
              </w:tabs>
              <w:spacing w:before="0" w:line="240" w:lineRule="atLeast"/>
              <w:jc w:val="right"/>
              <w:rPr>
                <w:b/>
                <w:lang w:val="es-ES_tradnl"/>
              </w:rPr>
            </w:pPr>
          </w:p>
        </w:tc>
      </w:tr>
      <w:tr w:rsidR="00FE57F6" w:rsidRPr="00CB50D8" w14:paraId="6C9D2231" w14:textId="77777777" w:rsidTr="00C4421B">
        <w:trPr>
          <w:cantSplit/>
        </w:trPr>
        <w:tc>
          <w:tcPr>
            <w:tcW w:w="9214" w:type="dxa"/>
            <w:gridSpan w:val="2"/>
            <w:tcMar>
              <w:left w:w="0" w:type="dxa"/>
            </w:tcMar>
          </w:tcPr>
          <w:p w14:paraId="2004A0E5" w14:textId="77777777" w:rsidR="00FE57F6" w:rsidRPr="00CB50D8" w:rsidRDefault="00157AC4" w:rsidP="00C741C0">
            <w:pPr>
              <w:pStyle w:val="Source"/>
              <w:framePr w:hSpace="0" w:wrap="auto" w:vAnchor="margin" w:hAnchor="text" w:xAlign="left" w:yAlign="inline"/>
              <w:rPr>
                <w:lang w:val="es-ES_tradnl"/>
              </w:rPr>
            </w:pPr>
            <w:r w:rsidRPr="00CB50D8">
              <w:rPr>
                <w:lang w:val="es-ES_tradnl"/>
              </w:rPr>
              <w:t>Informe de la Secretaria General</w:t>
            </w:r>
          </w:p>
        </w:tc>
      </w:tr>
      <w:tr w:rsidR="00FE57F6" w:rsidRPr="00CB50D8" w14:paraId="1CC9EFD2" w14:textId="77777777" w:rsidTr="00C4421B">
        <w:trPr>
          <w:cantSplit/>
        </w:trPr>
        <w:tc>
          <w:tcPr>
            <w:tcW w:w="9214" w:type="dxa"/>
            <w:gridSpan w:val="2"/>
            <w:tcMar>
              <w:left w:w="0" w:type="dxa"/>
            </w:tcMar>
          </w:tcPr>
          <w:p w14:paraId="6335AA0F" w14:textId="3A348AFF" w:rsidR="00FE57F6" w:rsidRPr="00CB50D8" w:rsidRDefault="00C741C0" w:rsidP="00C4421B">
            <w:pPr>
              <w:pStyle w:val="Subtitle"/>
              <w:framePr w:hSpace="0" w:wrap="auto" w:hAnchor="text" w:xAlign="left" w:yAlign="inline"/>
              <w:rPr>
                <w:lang w:val="es-ES_tradnl"/>
              </w:rPr>
            </w:pPr>
            <w:r w:rsidRPr="00CB50D8">
              <w:rPr>
                <w:lang w:val="es-ES_tradnl"/>
              </w:rPr>
              <w:t>INFORME DE LA RESOLUCIÓN 214 (BUCAREST, 2022) DE LA PP – LAS TECNOLOGÍAS DE INTELIGENCIA ARTIFICIAL Y LAS TELECOMUNICACIONES/TECNOLOGÍAS DE LA INFORMACIÓN Y LA COMUNICACIÓN</w:t>
            </w:r>
          </w:p>
        </w:tc>
      </w:tr>
      <w:tr w:rsidR="00FE57F6" w:rsidRPr="00CB50D8" w14:paraId="16B3B91A" w14:textId="77777777" w:rsidTr="00C741C0">
        <w:trPr>
          <w:cantSplit/>
          <w:trHeight w:val="6300"/>
        </w:trPr>
        <w:tc>
          <w:tcPr>
            <w:tcW w:w="9214" w:type="dxa"/>
            <w:gridSpan w:val="2"/>
            <w:tcBorders>
              <w:top w:val="single" w:sz="4" w:space="0" w:color="auto"/>
              <w:bottom w:val="single" w:sz="4" w:space="0" w:color="auto"/>
            </w:tcBorders>
            <w:tcMar>
              <w:left w:w="0" w:type="dxa"/>
            </w:tcMar>
          </w:tcPr>
          <w:p w14:paraId="0A02141F" w14:textId="77777777" w:rsidR="00FE57F6" w:rsidRPr="00CB50D8" w:rsidRDefault="00F24B71" w:rsidP="00C4421B">
            <w:pPr>
              <w:spacing w:before="160"/>
              <w:rPr>
                <w:b/>
                <w:bCs/>
                <w:sz w:val="26"/>
                <w:szCs w:val="26"/>
                <w:lang w:val="es-ES_tradnl"/>
              </w:rPr>
            </w:pPr>
            <w:r w:rsidRPr="00CB50D8">
              <w:rPr>
                <w:b/>
                <w:bCs/>
                <w:sz w:val="26"/>
                <w:szCs w:val="26"/>
                <w:lang w:val="es-ES_tradnl"/>
              </w:rPr>
              <w:t>Finalidad</w:t>
            </w:r>
          </w:p>
          <w:p w14:paraId="0CCAB205" w14:textId="1E4D467A" w:rsidR="00FE57F6" w:rsidRPr="00CB50D8" w:rsidRDefault="00207B78" w:rsidP="00C741C0">
            <w:pPr>
              <w:jc w:val="both"/>
              <w:rPr>
                <w:lang w:val="es-ES_tradnl"/>
              </w:rPr>
            </w:pPr>
            <w:r w:rsidRPr="00CB50D8">
              <w:rPr>
                <w:lang w:val="es-ES_tradnl"/>
              </w:rPr>
              <w:t>El objetivo de este documento es presentar un informe global sobre las actividades de la UIT relacionadas con la inteligencia artificial (IA), estructurado con respecto a tres elementos fundamentales: Soluciones y conocimiento, Competencias y capacidad y Normas y políticas.</w:t>
            </w:r>
          </w:p>
          <w:p w14:paraId="571C2B9A" w14:textId="77777777" w:rsidR="00FE57F6" w:rsidRPr="00CB50D8" w:rsidRDefault="00F24B71" w:rsidP="00C4421B">
            <w:pPr>
              <w:spacing w:before="160"/>
              <w:rPr>
                <w:b/>
                <w:bCs/>
                <w:sz w:val="26"/>
                <w:szCs w:val="26"/>
                <w:lang w:val="es-ES_tradnl"/>
              </w:rPr>
            </w:pPr>
            <w:r w:rsidRPr="00CB50D8">
              <w:rPr>
                <w:b/>
                <w:bCs/>
                <w:sz w:val="26"/>
                <w:szCs w:val="26"/>
                <w:lang w:val="es-ES_tradnl"/>
              </w:rPr>
              <w:t xml:space="preserve">Acción solicitada </w:t>
            </w:r>
            <w:r w:rsidR="00677A97" w:rsidRPr="00CB50D8">
              <w:rPr>
                <w:b/>
                <w:bCs/>
                <w:sz w:val="26"/>
                <w:szCs w:val="26"/>
                <w:lang w:val="es-ES_tradnl"/>
              </w:rPr>
              <w:t>al</w:t>
            </w:r>
            <w:r w:rsidRPr="00CB50D8">
              <w:rPr>
                <w:b/>
                <w:bCs/>
                <w:sz w:val="26"/>
                <w:szCs w:val="26"/>
                <w:lang w:val="es-ES_tradnl"/>
              </w:rPr>
              <w:t xml:space="preserve"> Consejo</w:t>
            </w:r>
          </w:p>
          <w:p w14:paraId="0B93CBF4" w14:textId="77777777" w:rsidR="00207B78" w:rsidRPr="00CB50D8" w:rsidRDefault="00207B78" w:rsidP="00207B78">
            <w:pPr>
              <w:rPr>
                <w:lang w:val="es-ES_tradnl"/>
              </w:rPr>
            </w:pPr>
            <w:r w:rsidRPr="00CB50D8">
              <w:rPr>
                <w:lang w:val="es-ES_tradnl"/>
              </w:rPr>
              <w:t xml:space="preserve">Se invita al Consejo a </w:t>
            </w:r>
            <w:r w:rsidRPr="00CB50D8">
              <w:rPr>
                <w:b/>
                <w:bCs/>
                <w:lang w:val="es-ES_tradnl"/>
              </w:rPr>
              <w:t xml:space="preserve">tomar nota </w:t>
            </w:r>
            <w:r w:rsidRPr="00CB50D8">
              <w:rPr>
                <w:lang w:val="es-ES_tradnl"/>
              </w:rPr>
              <w:t>del documento.</w:t>
            </w:r>
          </w:p>
          <w:p w14:paraId="1505ECE1" w14:textId="77777777" w:rsidR="00F92BED" w:rsidRPr="00CB50D8" w:rsidRDefault="00F92BED" w:rsidP="00C4421B">
            <w:pPr>
              <w:spacing w:before="160"/>
              <w:rPr>
                <w:b/>
                <w:bCs/>
                <w:sz w:val="26"/>
                <w:szCs w:val="26"/>
                <w:lang w:val="es-ES_tradnl"/>
              </w:rPr>
            </w:pPr>
            <w:r w:rsidRPr="00CB50D8">
              <w:rPr>
                <w:b/>
                <w:bCs/>
                <w:sz w:val="26"/>
                <w:szCs w:val="26"/>
                <w:lang w:val="es-ES_tradnl"/>
              </w:rPr>
              <w:t>Vínculo(s) pertinente(s) con el Plan Estratégico</w:t>
            </w:r>
          </w:p>
          <w:p w14:paraId="1F5D3CCC" w14:textId="29466F28" w:rsidR="00F92BED" w:rsidRPr="00CB50D8" w:rsidRDefault="00207B78" w:rsidP="00C741C0">
            <w:pPr>
              <w:jc w:val="both"/>
              <w:rPr>
                <w:lang w:val="es-ES_tradnl"/>
              </w:rPr>
            </w:pPr>
            <w:r w:rsidRPr="00CB50D8">
              <w:rPr>
                <w:lang w:val="es-ES_tradnl"/>
              </w:rPr>
              <w:t>Elaboración de normas internacionales; elaboración de productos de conocimiento; desarrollo de capacidades; creación de plataformas</w:t>
            </w:r>
            <w:r w:rsidR="00CB50D8" w:rsidRPr="00CB50D8">
              <w:rPr>
                <w:lang w:val="es-ES_tradnl"/>
              </w:rPr>
              <w:t>.</w:t>
            </w:r>
          </w:p>
          <w:p w14:paraId="56F21568" w14:textId="77777777" w:rsidR="00F92BED" w:rsidRPr="00CB50D8" w:rsidRDefault="00F92BED" w:rsidP="00C4421B">
            <w:pPr>
              <w:spacing w:before="160"/>
              <w:rPr>
                <w:b/>
                <w:bCs/>
                <w:sz w:val="26"/>
                <w:szCs w:val="26"/>
                <w:lang w:val="es-ES_tradnl"/>
              </w:rPr>
            </w:pPr>
            <w:r w:rsidRPr="00CB50D8">
              <w:rPr>
                <w:b/>
                <w:bCs/>
                <w:sz w:val="26"/>
                <w:szCs w:val="26"/>
                <w:lang w:val="es-ES_tradnl"/>
              </w:rPr>
              <w:t>Repercusiones financieras</w:t>
            </w:r>
          </w:p>
          <w:p w14:paraId="202C1292" w14:textId="662BE1FF" w:rsidR="00F92BED" w:rsidRPr="00CB50D8" w:rsidRDefault="00207B78" w:rsidP="00C741C0">
            <w:pPr>
              <w:jc w:val="both"/>
              <w:rPr>
                <w:lang w:val="es-ES_tradnl"/>
              </w:rPr>
            </w:pPr>
            <w:r w:rsidRPr="00CB50D8">
              <w:rPr>
                <w:lang w:val="es-ES_tradnl"/>
              </w:rPr>
              <w:t>Se ha solicitado financiación adicional para facilitar las actividades de la UIT relacionadas con la IA (véase el Documento </w:t>
            </w:r>
            <w:proofErr w:type="spellStart"/>
            <w:r w:rsidRPr="00CB50D8">
              <w:rPr>
                <w:lang w:val="es-ES_tradnl"/>
              </w:rPr>
              <w:fldChar w:fldCharType="begin"/>
            </w:r>
            <w:r w:rsidRPr="00CB50D8">
              <w:rPr>
                <w:lang w:val="es-ES_tradnl"/>
              </w:rPr>
              <w:instrText>HYPERLINK "https://www.itu.int/md/S26-CL-C-0042/es" \h</w:instrText>
            </w:r>
            <w:r w:rsidRPr="00CB50D8">
              <w:rPr>
                <w:lang w:val="es-ES_tradnl"/>
              </w:rPr>
            </w:r>
            <w:r w:rsidRPr="00CB50D8">
              <w:rPr>
                <w:lang w:val="es-ES_tradnl"/>
              </w:rPr>
              <w:fldChar w:fldCharType="separate"/>
            </w:r>
            <w:r w:rsidRPr="00CB50D8">
              <w:rPr>
                <w:rStyle w:val="Hyperlink"/>
                <w:rFonts w:asciiTheme="minorHAnsi" w:eastAsia="Malgun Gothic" w:hAnsiTheme="minorHAnsi"/>
                <w:lang w:val="es-ES_tradnl" w:eastAsia="ko-KR"/>
              </w:rPr>
              <w:t>C26</w:t>
            </w:r>
            <w:proofErr w:type="spellEnd"/>
            <w:r w:rsidRPr="00CB50D8">
              <w:rPr>
                <w:rStyle w:val="Hyperlink"/>
                <w:rFonts w:asciiTheme="minorHAnsi" w:eastAsia="Malgun Gothic" w:hAnsiTheme="minorHAnsi"/>
                <w:lang w:val="es-ES_tradnl" w:eastAsia="ko-KR"/>
              </w:rPr>
              <w:t>/42</w:t>
            </w:r>
            <w:r w:rsidRPr="00CB50D8">
              <w:rPr>
                <w:lang w:val="es-ES_tradnl"/>
              </w:rPr>
              <w:fldChar w:fldCharType="end"/>
            </w:r>
            <w:r w:rsidRPr="00CB50D8">
              <w:rPr>
                <w:lang w:val="es-ES_tradnl"/>
              </w:rPr>
              <w:t xml:space="preserve"> del Consejo).</w:t>
            </w:r>
          </w:p>
          <w:p w14:paraId="55D13212" w14:textId="77777777" w:rsidR="00FE57F6" w:rsidRPr="00CB50D8" w:rsidRDefault="00FE57F6" w:rsidP="00C4421B">
            <w:pPr>
              <w:spacing w:before="160"/>
              <w:rPr>
                <w:caps/>
                <w:sz w:val="22"/>
                <w:lang w:val="es-ES_tradnl"/>
              </w:rPr>
            </w:pPr>
            <w:r w:rsidRPr="00CB50D8">
              <w:rPr>
                <w:sz w:val="22"/>
                <w:lang w:val="es-ES_tradnl"/>
              </w:rPr>
              <w:t>__________________</w:t>
            </w:r>
          </w:p>
          <w:p w14:paraId="557ABDDF" w14:textId="75AC9FA4" w:rsidR="00FE57F6" w:rsidRPr="00CB50D8" w:rsidRDefault="00F24B71" w:rsidP="00C4421B">
            <w:pPr>
              <w:spacing w:before="160"/>
              <w:rPr>
                <w:b/>
                <w:bCs/>
                <w:sz w:val="26"/>
                <w:szCs w:val="26"/>
                <w:lang w:val="es-ES_tradnl"/>
              </w:rPr>
            </w:pPr>
            <w:r w:rsidRPr="00CB50D8">
              <w:rPr>
                <w:b/>
                <w:bCs/>
                <w:sz w:val="26"/>
                <w:szCs w:val="26"/>
                <w:lang w:val="es-ES_tradnl"/>
              </w:rPr>
              <w:t>Referencia</w:t>
            </w:r>
            <w:r w:rsidR="00F92BED" w:rsidRPr="00CB50D8">
              <w:rPr>
                <w:b/>
                <w:bCs/>
                <w:sz w:val="26"/>
                <w:szCs w:val="26"/>
                <w:lang w:val="es-ES_tradnl"/>
              </w:rPr>
              <w:t>s</w:t>
            </w:r>
          </w:p>
          <w:p w14:paraId="60D2EBFA" w14:textId="1E66F3A3" w:rsidR="00FE57F6" w:rsidRPr="00CB50D8" w:rsidRDefault="00207B78" w:rsidP="00C741C0">
            <w:pPr>
              <w:spacing w:after="160"/>
              <w:rPr>
                <w:i/>
                <w:iCs/>
                <w:sz w:val="22"/>
                <w:szCs w:val="22"/>
                <w:lang w:val="es-ES_tradnl"/>
              </w:rPr>
            </w:pPr>
            <w:hyperlink r:id="rId7" w:history="1">
              <w:r w:rsidR="00C741C0" w:rsidRPr="00CB50D8">
                <w:rPr>
                  <w:i/>
                  <w:iCs/>
                  <w:spacing w:val="-2"/>
                  <w:sz w:val="22"/>
                  <w:szCs w:val="22"/>
                  <w:lang w:val="es-ES_tradnl"/>
                </w:rPr>
                <w:t xml:space="preserve">Resolución </w:t>
              </w:r>
              <w:r w:rsidRPr="00CB50D8">
                <w:rPr>
                  <w:rStyle w:val="Hyperlink"/>
                  <w:i/>
                  <w:iCs/>
                  <w:sz w:val="22"/>
                  <w:lang w:val="es-ES_tradnl"/>
                </w:rPr>
                <w:t>214 (Bucarest, 2022)</w:t>
              </w:r>
            </w:hyperlink>
            <w:r w:rsidR="00C741C0" w:rsidRPr="00CB50D8">
              <w:rPr>
                <w:i/>
                <w:iCs/>
                <w:sz w:val="22"/>
                <w:szCs w:val="22"/>
                <w:lang w:val="es-ES_tradnl"/>
              </w:rPr>
              <w:t xml:space="preserve"> de la Conferencia de Plenipotenciarios</w:t>
            </w:r>
            <w:r w:rsidR="00C741C0" w:rsidRPr="00CB50D8">
              <w:rPr>
                <w:i/>
                <w:iCs/>
                <w:sz w:val="22"/>
                <w:szCs w:val="22"/>
                <w:lang w:val="es-ES_tradnl"/>
              </w:rPr>
              <w:t>;</w:t>
            </w:r>
            <w:r w:rsidR="00C741C0" w:rsidRPr="00CB50D8">
              <w:rPr>
                <w:i/>
                <w:iCs/>
                <w:spacing w:val="-2"/>
                <w:sz w:val="22"/>
                <w:szCs w:val="22"/>
                <w:lang w:val="es-ES_tradnl"/>
              </w:rPr>
              <w:t xml:space="preserve"> </w:t>
            </w:r>
            <w:r w:rsidR="00C741C0" w:rsidRPr="00CB50D8">
              <w:rPr>
                <w:i/>
                <w:iCs/>
                <w:spacing w:val="-2"/>
                <w:sz w:val="22"/>
                <w:szCs w:val="22"/>
                <w:lang w:val="es-ES_tradnl"/>
              </w:rPr>
              <w:t xml:space="preserve">Resolución </w:t>
            </w:r>
            <w:hyperlink r:id="rId8" w:history="1">
              <w:r w:rsidRPr="00CB50D8">
                <w:rPr>
                  <w:rStyle w:val="Hyperlink"/>
                  <w:i/>
                  <w:iCs/>
                  <w:sz w:val="22"/>
                  <w:lang w:val="es-ES_tradnl"/>
                </w:rPr>
                <w:t>101 (Nueva Delhi, 2024)</w:t>
              </w:r>
            </w:hyperlink>
            <w:r w:rsidR="00C741C0" w:rsidRPr="00CB50D8">
              <w:rPr>
                <w:i/>
                <w:iCs/>
                <w:sz w:val="22"/>
                <w:szCs w:val="22"/>
                <w:lang w:val="es-ES_tradnl"/>
              </w:rPr>
              <w:t xml:space="preserve"> de la </w:t>
            </w:r>
            <w:proofErr w:type="spellStart"/>
            <w:r w:rsidR="00C741C0" w:rsidRPr="00CB50D8">
              <w:rPr>
                <w:i/>
                <w:iCs/>
                <w:sz w:val="22"/>
                <w:szCs w:val="22"/>
                <w:lang w:val="es-ES_tradnl"/>
              </w:rPr>
              <w:t>AMNT</w:t>
            </w:r>
            <w:proofErr w:type="spellEnd"/>
            <w:r w:rsidR="00C741C0" w:rsidRPr="00CB50D8">
              <w:rPr>
                <w:i/>
                <w:iCs/>
                <w:sz w:val="22"/>
                <w:szCs w:val="22"/>
                <w:lang w:val="es-ES_tradnl"/>
              </w:rPr>
              <w:t>;</w:t>
            </w:r>
            <w:r w:rsidRPr="00CB50D8">
              <w:rPr>
                <w:i/>
                <w:iCs/>
                <w:spacing w:val="-2"/>
                <w:sz w:val="22"/>
                <w:szCs w:val="22"/>
                <w:lang w:val="es-ES_tradnl"/>
              </w:rPr>
              <w:t xml:space="preserve"> Resolución </w:t>
            </w:r>
            <w:hyperlink r:id="rId9" w:history="1">
              <w:r w:rsidRPr="00CB50D8">
                <w:rPr>
                  <w:rStyle w:val="Hyperlink"/>
                  <w:i/>
                  <w:iCs/>
                  <w:spacing w:val="-2"/>
                  <w:sz w:val="22"/>
                  <w:lang w:val="es-ES_tradnl"/>
                </w:rPr>
                <w:t>91 (Bakú, 2025)</w:t>
              </w:r>
            </w:hyperlink>
            <w:r w:rsidR="00C741C0" w:rsidRPr="00CB50D8">
              <w:rPr>
                <w:rFonts w:eastAsiaTheme="minorHAnsi"/>
                <w:i/>
                <w:iCs/>
                <w:lang w:val="es-ES_tradnl"/>
              </w:rPr>
              <w:t xml:space="preserve"> </w:t>
            </w:r>
            <w:r w:rsidR="00C741C0" w:rsidRPr="00CB50D8">
              <w:rPr>
                <w:i/>
                <w:iCs/>
                <w:sz w:val="22"/>
                <w:szCs w:val="22"/>
                <w:lang w:val="es-ES_tradnl"/>
              </w:rPr>
              <w:t xml:space="preserve">de la </w:t>
            </w:r>
            <w:proofErr w:type="spellStart"/>
            <w:r w:rsidR="00C741C0" w:rsidRPr="00CB50D8">
              <w:rPr>
                <w:i/>
                <w:iCs/>
                <w:sz w:val="22"/>
                <w:szCs w:val="22"/>
                <w:lang w:val="es-ES_tradnl"/>
              </w:rPr>
              <w:t>CMDT</w:t>
            </w:r>
            <w:proofErr w:type="spellEnd"/>
          </w:p>
        </w:tc>
      </w:tr>
      <w:bookmarkEnd w:id="0"/>
    </w:tbl>
    <w:p w14:paraId="07D0E7C6" w14:textId="77777777" w:rsidR="00093EEB" w:rsidRPr="00CB50D8" w:rsidRDefault="00093EEB">
      <w:pPr>
        <w:rPr>
          <w:lang w:val="es-ES_tradnl"/>
        </w:rPr>
      </w:pPr>
    </w:p>
    <w:p w14:paraId="74585BC9" w14:textId="77777777" w:rsidR="001559F5" w:rsidRPr="00CB50D8"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CB50D8">
        <w:rPr>
          <w:lang w:val="es-ES_tradnl"/>
        </w:rPr>
        <w:br w:type="page"/>
      </w:r>
    </w:p>
    <w:p w14:paraId="1930906D" w14:textId="77777777" w:rsidR="00207B78" w:rsidRPr="00CB50D8" w:rsidRDefault="00207B78" w:rsidP="00C741C0">
      <w:pPr>
        <w:jc w:val="both"/>
        <w:rPr>
          <w:lang w:val="es-ES_tradnl"/>
        </w:rPr>
      </w:pPr>
      <w:r w:rsidRPr="00CB50D8">
        <w:rPr>
          <w:lang w:val="es-ES_tradnl"/>
        </w:rPr>
        <w:lastRenderedPageBreak/>
        <w:t>En 2025, la Secretaria General de la UIT inició un examen estratégico exhaustivo de la IA destinada a desarrollar la oferta unificada de IA "Una UIT", sobre la base de la gran variedad de activos y actividades relacionados con la IA en la organización. A finales de año, ese proceso había dado lugar a un inventario y análisis pormenorizados de más de 100 actividades de IA, evaluadas con arreglo a criterios como su prioridad estratégica, potencial de ampliación, nivel de riesgo, estado de financiación y necesidades de recursos. También se evaluó si las actividades debían ampliarse, mantenerse o suprimirse.</w:t>
      </w:r>
    </w:p>
    <w:p w14:paraId="77216CDA" w14:textId="1465D5FC" w:rsidR="00207B78" w:rsidRPr="00CB50D8" w:rsidRDefault="00207B78" w:rsidP="00C741C0">
      <w:pPr>
        <w:jc w:val="both"/>
        <w:rPr>
          <w:lang w:val="es-ES_tradnl"/>
        </w:rPr>
      </w:pPr>
      <w:r w:rsidRPr="00CB50D8">
        <w:rPr>
          <w:lang w:val="es-ES_tradnl"/>
        </w:rPr>
        <w:t xml:space="preserve">Dicha labor se llevó a cabo en estrecha colaboración con coordinadores de la TSB, la BDT, la BR y la Secretaría General, e incluyó la armonización de las actividades con las Resoluciones pertinentes de la UIT y las Naciones Unidas en materia de </w:t>
      </w:r>
      <w:r w:rsidR="00AF17F2">
        <w:rPr>
          <w:lang w:val="es-ES_tradnl"/>
        </w:rPr>
        <w:t>IA</w:t>
      </w:r>
      <w:r w:rsidRPr="00CB50D8">
        <w:rPr>
          <w:lang w:val="es-ES_tradnl"/>
        </w:rPr>
        <w:t xml:space="preserve">, incluido un análisis de las iniciativas regionales de </w:t>
      </w:r>
      <w:r w:rsidR="00AF17F2">
        <w:rPr>
          <w:lang w:val="es-ES_tradnl"/>
        </w:rPr>
        <w:t>IA</w:t>
      </w:r>
      <w:r w:rsidRPr="00CB50D8">
        <w:rPr>
          <w:lang w:val="es-ES_tradnl"/>
        </w:rPr>
        <w:t xml:space="preserve">. El análisis también contribuyó a mejorar la calidad y la coherencia del recientemente publicado Centro </w:t>
      </w:r>
      <w:r w:rsidRPr="00CB50D8">
        <w:rPr>
          <w:lang w:val="es-ES_tradnl" w:eastAsia="zh-CN"/>
        </w:rPr>
        <w:t xml:space="preserve">de Recursos </w:t>
      </w:r>
      <w:r w:rsidRPr="00CB50D8">
        <w:rPr>
          <w:lang w:val="es-ES_tradnl"/>
        </w:rPr>
        <w:t>de la ONU</w:t>
      </w:r>
      <w:r w:rsidRPr="00CB50D8">
        <w:rPr>
          <w:lang w:val="es-ES_tradnl" w:eastAsia="zh-CN"/>
        </w:rPr>
        <w:t xml:space="preserve"> sobre </w:t>
      </w:r>
      <w:r w:rsidR="00AF17F2">
        <w:rPr>
          <w:lang w:val="es-ES_tradnl"/>
        </w:rPr>
        <w:t>IA</w:t>
      </w:r>
      <w:r w:rsidRPr="00CB50D8">
        <w:rPr>
          <w:lang w:val="es-ES_tradnl"/>
        </w:rPr>
        <w:t>. D</w:t>
      </w:r>
      <w:r w:rsidR="007931B3" w:rsidRPr="00CB50D8">
        <w:rPr>
          <w:lang w:val="es-ES_tradnl"/>
        </w:rPr>
        <w:t>e</w:t>
      </w:r>
      <w:r w:rsidRPr="00CB50D8">
        <w:rPr>
          <w:lang w:val="es-ES_tradnl"/>
        </w:rPr>
        <w:t xml:space="preserve"> forma simultánea, se llevó a cabo una revisión interna de las herramientas de </w:t>
      </w:r>
      <w:r w:rsidR="00AF17F2">
        <w:rPr>
          <w:lang w:val="es-ES_tradnl"/>
        </w:rPr>
        <w:t>IA</w:t>
      </w:r>
      <w:r w:rsidRPr="00CB50D8">
        <w:rPr>
          <w:lang w:val="es-ES_tradnl"/>
        </w:rPr>
        <w:t xml:space="preserve"> utilizadas en la UIT para mejorar la eficacia operacional.</w:t>
      </w:r>
    </w:p>
    <w:p w14:paraId="5859DD6E" w14:textId="24734030" w:rsidR="00207B78" w:rsidRPr="00CB50D8" w:rsidRDefault="00207B78" w:rsidP="00C741C0">
      <w:pPr>
        <w:jc w:val="both"/>
        <w:rPr>
          <w:lang w:val="es-ES_tradnl"/>
        </w:rPr>
      </w:pPr>
      <w:r w:rsidRPr="00CB50D8">
        <w:rPr>
          <w:lang w:val="es-ES_tradnl"/>
        </w:rPr>
        <w:t xml:space="preserve">En el proceso se escogieron a más de 40 miembros del personal de la UIT en calidad de partes activas en IA, lo que demuestra un fuerte compromiso interinstitucional en materia de programación de las actividades de IA para el bien. A raíz de ello, como se refleja en este documento del Consejo, se refundió la oferta de IA de la UIT con arreglo a tres pilares estratégicos: 1) </w:t>
      </w:r>
      <w:hyperlink w:anchor="_1_Soluciones_y" w:history="1">
        <w:r w:rsidRPr="00CB50D8">
          <w:rPr>
            <w:rStyle w:val="Hyperlink"/>
            <w:rFonts w:eastAsia="Times New Roman" w:cs="Times New Roman"/>
            <w:szCs w:val="20"/>
            <w:lang w:val="es-ES_tradnl"/>
          </w:rPr>
          <w:t>Soluciones y conocimientos</w:t>
        </w:r>
      </w:hyperlink>
      <w:r w:rsidRPr="00CB50D8">
        <w:rPr>
          <w:lang w:val="es-ES_tradnl"/>
        </w:rPr>
        <w:t xml:space="preserve">, 2) </w:t>
      </w:r>
      <w:hyperlink w:anchor="_2_Competencias_y" w:history="1">
        <w:r w:rsidRPr="00CB50D8">
          <w:rPr>
            <w:rStyle w:val="Hyperlink"/>
            <w:rFonts w:eastAsia="Times New Roman" w:cs="Times New Roman"/>
            <w:szCs w:val="20"/>
            <w:lang w:val="es-ES_tradnl"/>
          </w:rPr>
          <w:t>Competencias y capacidad</w:t>
        </w:r>
      </w:hyperlink>
      <w:r w:rsidRPr="00CB50D8">
        <w:rPr>
          <w:lang w:val="es-ES_tradnl"/>
        </w:rPr>
        <w:t xml:space="preserve">, y 3) </w:t>
      </w:r>
      <w:hyperlink w:anchor="_3_Normas_y" w:history="1">
        <w:r w:rsidRPr="00CB50D8">
          <w:rPr>
            <w:rStyle w:val="Hyperlink"/>
            <w:rFonts w:eastAsia="Times New Roman" w:cs="Times New Roman"/>
            <w:szCs w:val="20"/>
            <w:lang w:val="es-ES_tradnl"/>
          </w:rPr>
          <w:t>Normas y políticas</w:t>
        </w:r>
      </w:hyperlink>
      <w:r w:rsidRPr="00CB50D8">
        <w:rPr>
          <w:lang w:val="es-ES_tradnl"/>
        </w:rPr>
        <w:t>. Ese enfoque estructurado facilita a la UIT la movilización de sus activos de IA en todas las oficinas y las actividades de orientación a los Miembros a lo largo de toda la cadena de valor de la IA, en particular en lo atinente a casos de utilización, formulación de estrategias, y actividades de despliegue seguro y ampliación, en un marco coherente para toda la organización, basado en los mandatos adoptados por los Estados Miembros a través de varias Resoluciones de la UIT y las Naciones Unidas (ONU).</w:t>
      </w:r>
    </w:p>
    <w:p w14:paraId="0A90B715" w14:textId="77777777" w:rsidR="00207B78" w:rsidRPr="00CB50D8" w:rsidRDefault="00207B78" w:rsidP="00207B78">
      <w:pPr>
        <w:pStyle w:val="Heading1"/>
        <w:rPr>
          <w:lang w:val="es-ES_tradnl"/>
        </w:rPr>
      </w:pPr>
      <w:bookmarkStart w:id="1" w:name="_1._Solutions_&amp;"/>
      <w:bookmarkStart w:id="2" w:name="_1_Soluciones_y"/>
      <w:bookmarkEnd w:id="1"/>
      <w:bookmarkEnd w:id="2"/>
      <w:r w:rsidRPr="00CB50D8">
        <w:rPr>
          <w:lang w:val="es-ES_tradnl"/>
        </w:rPr>
        <w:t>1</w:t>
      </w:r>
      <w:r w:rsidRPr="00CB50D8">
        <w:rPr>
          <w:lang w:val="es-ES_tradnl"/>
        </w:rPr>
        <w:tab/>
        <w:t>Soluciones y conocimientos</w:t>
      </w:r>
    </w:p>
    <w:p w14:paraId="6CCC463E" w14:textId="77777777" w:rsidR="00207B78" w:rsidRPr="00CB50D8" w:rsidRDefault="00207B78" w:rsidP="00C741C0">
      <w:pPr>
        <w:jc w:val="both"/>
        <w:rPr>
          <w:lang w:val="es-ES_tradnl"/>
        </w:rPr>
      </w:pPr>
      <w:r w:rsidRPr="00CB50D8">
        <w:rPr>
          <w:lang w:val="es-ES_tradnl"/>
        </w:rPr>
        <w:t>La UIT ha estado a la vanguardia de la IA desde 2017 con el objetivo de identificar aplicaciones prácticas de IA para abordar retos a escala mundial y contribuir a la conectividad universal y a la transformación digital sostenible.</w:t>
      </w:r>
    </w:p>
    <w:p w14:paraId="73AF9967" w14:textId="77777777" w:rsidR="00207B78" w:rsidRPr="00CB50D8" w:rsidRDefault="00207B78" w:rsidP="00C741C0">
      <w:pPr>
        <w:pStyle w:val="Headingb"/>
        <w:jc w:val="both"/>
        <w:rPr>
          <w:lang w:val="es-ES_tradnl" w:eastAsia="zh-CN"/>
        </w:rPr>
      </w:pPr>
      <w:r w:rsidRPr="00CB50D8">
        <w:rPr>
          <w:lang w:val="es-ES_tradnl" w:eastAsia="zh-CN"/>
        </w:rPr>
        <w:t>IA para el Bien</w:t>
      </w:r>
    </w:p>
    <w:p w14:paraId="329CFF60" w14:textId="77777777" w:rsidR="00207B78" w:rsidRPr="00CB50D8" w:rsidRDefault="00207B78" w:rsidP="00C741C0">
      <w:pPr>
        <w:jc w:val="both"/>
        <w:rPr>
          <w:rFonts w:eastAsia="Malgun Gothic"/>
          <w:lang w:val="es-ES_tradnl" w:eastAsia="ko-KR"/>
        </w:rPr>
      </w:pPr>
      <w:r w:rsidRPr="00CB50D8">
        <w:rPr>
          <w:lang w:val="es-ES_tradnl"/>
        </w:rPr>
        <w:t xml:space="preserve">Los esfuerzos de la UIT han hecho hincapié en la plataforma </w:t>
      </w:r>
      <w:hyperlink r:id="rId10">
        <w:r w:rsidRPr="00AF17F2">
          <w:rPr>
            <w:rStyle w:val="Hyperlink"/>
            <w:i/>
            <w:iCs/>
            <w:lang w:val="es-ES_tradnl"/>
          </w:rPr>
          <w:t>AI for Good</w:t>
        </w:r>
      </w:hyperlink>
      <w:r w:rsidRPr="00CB50D8">
        <w:rPr>
          <w:lang w:val="es-ES_tradnl"/>
        </w:rPr>
        <w:t xml:space="preserve"> (IA para el bien), coordinada por la UIT y respaldada por más de 50 asociados de las Naciones Unidas</w:t>
      </w:r>
      <w:r w:rsidRPr="00CB50D8">
        <w:rPr>
          <w:rFonts w:eastAsia="Malgun Gothic"/>
          <w:lang w:val="es-ES_tradnl" w:eastAsia="ko-KR"/>
        </w:rPr>
        <w:t>, en el marco de la cual los Estados miembros obtienen acceso a:</w:t>
      </w:r>
    </w:p>
    <w:p w14:paraId="4BFDE290" w14:textId="57788C36" w:rsidR="00207B78" w:rsidRPr="00CB50D8" w:rsidRDefault="007931B3" w:rsidP="00C741C0">
      <w:pPr>
        <w:pStyle w:val="enumlev1"/>
        <w:jc w:val="both"/>
        <w:rPr>
          <w:lang w:val="es-ES_tradnl"/>
        </w:rPr>
      </w:pPr>
      <w:r w:rsidRPr="00CB50D8">
        <w:rPr>
          <w:lang w:val="es-ES_tradnl"/>
        </w:rPr>
        <w:t>–</w:t>
      </w:r>
      <w:r w:rsidR="00207B78" w:rsidRPr="00CB50D8">
        <w:rPr>
          <w:lang w:val="es-ES_tradnl"/>
        </w:rPr>
        <w:tab/>
        <w:t>Soluciones de IA demostradas, casos de utilización en sectores específicos, prácticas idóneas y conocimientos especializados.</w:t>
      </w:r>
    </w:p>
    <w:p w14:paraId="65E97C3C" w14:textId="60D02AEC" w:rsidR="00207B78" w:rsidRPr="00CB50D8" w:rsidRDefault="007931B3" w:rsidP="00C741C0">
      <w:pPr>
        <w:pStyle w:val="enumlev1"/>
        <w:jc w:val="both"/>
        <w:rPr>
          <w:lang w:val="es-ES_tradnl"/>
        </w:rPr>
      </w:pPr>
      <w:r w:rsidRPr="00CB50D8">
        <w:rPr>
          <w:lang w:val="es-ES_tradnl"/>
        </w:rPr>
        <w:t>–</w:t>
      </w:r>
      <w:r w:rsidRPr="00CB50D8">
        <w:rPr>
          <w:lang w:val="es-ES_tradnl"/>
        </w:rPr>
        <w:tab/>
      </w:r>
      <w:r w:rsidR="00207B78" w:rsidRPr="00CB50D8">
        <w:rPr>
          <w:lang w:val="es-ES_tradnl"/>
        </w:rPr>
        <w:t>Redes mundiales que facilitan la colaboración del sector industrial, asociados de las Naciones Unidas, ONG, gobiernos, empresas de nueva creación e investigadores.</w:t>
      </w:r>
    </w:p>
    <w:p w14:paraId="49500667" w14:textId="0525DF90" w:rsidR="00207B78" w:rsidRPr="00CB50D8" w:rsidRDefault="007931B3" w:rsidP="00C741C0">
      <w:pPr>
        <w:pStyle w:val="enumlev1"/>
        <w:jc w:val="both"/>
        <w:rPr>
          <w:lang w:val="es-ES_tradnl"/>
        </w:rPr>
      </w:pPr>
      <w:r w:rsidRPr="00CB50D8">
        <w:rPr>
          <w:lang w:val="es-ES_tradnl"/>
        </w:rPr>
        <w:t>–</w:t>
      </w:r>
      <w:r w:rsidRPr="00CB50D8">
        <w:rPr>
          <w:lang w:val="es-ES_tradnl"/>
        </w:rPr>
        <w:tab/>
      </w:r>
      <w:r w:rsidR="00207B78" w:rsidRPr="00CB50D8">
        <w:rPr>
          <w:lang w:val="es-ES_tradnl"/>
        </w:rPr>
        <w:t>Competencias, recursos técnicos y orientación para la aplicación de la IA.</w:t>
      </w:r>
    </w:p>
    <w:p w14:paraId="1E1279E2" w14:textId="0529FEC2" w:rsidR="00207B78" w:rsidRPr="00CB50D8" w:rsidRDefault="007931B3" w:rsidP="00C741C0">
      <w:pPr>
        <w:pStyle w:val="enumlev1"/>
        <w:jc w:val="both"/>
        <w:rPr>
          <w:lang w:val="es-ES_tradnl"/>
        </w:rPr>
      </w:pPr>
      <w:r w:rsidRPr="00CB50D8">
        <w:rPr>
          <w:lang w:val="es-ES_tradnl"/>
        </w:rPr>
        <w:t>–</w:t>
      </w:r>
      <w:r w:rsidRPr="00CB50D8">
        <w:rPr>
          <w:lang w:val="es-ES_tradnl"/>
        </w:rPr>
        <w:tab/>
      </w:r>
      <w:r w:rsidR="00207B78" w:rsidRPr="00CB50D8">
        <w:rPr>
          <w:lang w:val="es-ES_tradnl"/>
        </w:rPr>
        <w:t>Colaboración multilateral en la innovación en materia de IA para abordar retos a escala mundial.</w:t>
      </w:r>
    </w:p>
    <w:p w14:paraId="45DA8C1F" w14:textId="5C133380" w:rsidR="00207B78" w:rsidRPr="00AF17F2" w:rsidRDefault="00207B78" w:rsidP="00C741C0">
      <w:pPr>
        <w:jc w:val="both"/>
        <w:rPr>
          <w:spacing w:val="-2"/>
          <w:lang w:val="es-ES_tradnl"/>
        </w:rPr>
      </w:pPr>
      <w:r w:rsidRPr="00AF17F2">
        <w:rPr>
          <w:spacing w:val="-2"/>
          <w:lang w:val="es-ES_tradnl"/>
        </w:rPr>
        <w:t xml:space="preserve">El desarrollo de la IA en cuanto a rapidez y alcance, la </w:t>
      </w:r>
      <w:hyperlink r:id="rId11" w:history="1">
        <w:r w:rsidRPr="00AF17F2">
          <w:rPr>
            <w:rStyle w:val="Hyperlink"/>
            <w:spacing w:val="-2"/>
            <w:lang w:val="es-ES_tradnl"/>
          </w:rPr>
          <w:t>Cumbre Global</w:t>
        </w:r>
        <w:r w:rsidRPr="00AF17F2">
          <w:rPr>
            <w:rStyle w:val="Hyperlink"/>
            <w:rFonts w:eastAsia="Times New Roman" w:cs="Times New Roman"/>
            <w:spacing w:val="-2"/>
            <w:szCs w:val="20"/>
            <w:lang w:val="es-ES_tradnl"/>
          </w:rPr>
          <w:t xml:space="preserve"> </w:t>
        </w:r>
        <w:r w:rsidRPr="00AF17F2">
          <w:rPr>
            <w:rStyle w:val="Hyperlink"/>
            <w:i/>
            <w:iCs/>
            <w:spacing w:val="-2"/>
            <w:lang w:val="es-ES_tradnl"/>
          </w:rPr>
          <w:t>AI for Good</w:t>
        </w:r>
      </w:hyperlink>
      <w:r w:rsidR="00004325" w:rsidRPr="00AF17F2">
        <w:rPr>
          <w:spacing w:val="-2"/>
          <w:lang w:val="es-ES_tradnl"/>
        </w:rPr>
        <w:t xml:space="preserve"> </w:t>
      </w:r>
      <w:r w:rsidRPr="00AF17F2">
        <w:rPr>
          <w:spacing w:val="-2"/>
          <w:lang w:val="es-ES_tradnl"/>
        </w:rPr>
        <w:t xml:space="preserve">y los eventos regionales </w:t>
      </w:r>
      <w:proofErr w:type="spellStart"/>
      <w:r w:rsidRPr="00AF17F2">
        <w:rPr>
          <w:i/>
          <w:iCs/>
          <w:spacing w:val="-2"/>
          <w:lang w:val="es-ES_tradnl"/>
        </w:rPr>
        <w:t>Impact</w:t>
      </w:r>
      <w:proofErr w:type="spellEnd"/>
      <w:r w:rsidRPr="00AF17F2">
        <w:rPr>
          <w:spacing w:val="-2"/>
          <w:lang w:val="es-ES_tradnl"/>
        </w:rPr>
        <w:t xml:space="preserve"> fortalecen la colaboración mundial por medio de competencias, normativas </w:t>
      </w:r>
      <w:r w:rsidRPr="00AF17F2">
        <w:rPr>
          <w:spacing w:val="-2"/>
          <w:lang w:val="es-ES_tradnl"/>
        </w:rPr>
        <w:lastRenderedPageBreak/>
        <w:t>y marcos sobre políticas en materia de IA. Más de 11</w:t>
      </w:r>
      <w:r w:rsidR="00FF4471" w:rsidRPr="00AF17F2">
        <w:rPr>
          <w:spacing w:val="-2"/>
          <w:lang w:val="es-ES_tradnl"/>
        </w:rPr>
        <w:t> </w:t>
      </w:r>
      <w:r w:rsidRPr="00AF17F2">
        <w:rPr>
          <w:spacing w:val="-2"/>
          <w:lang w:val="es-ES_tradnl"/>
        </w:rPr>
        <w:t>000 participantes de 169</w:t>
      </w:r>
      <w:r w:rsidR="00FF4471" w:rsidRPr="00AF17F2">
        <w:rPr>
          <w:spacing w:val="-2"/>
          <w:lang w:val="es-ES_tradnl"/>
        </w:rPr>
        <w:t> </w:t>
      </w:r>
      <w:r w:rsidRPr="00AF17F2">
        <w:rPr>
          <w:spacing w:val="-2"/>
          <w:lang w:val="es-ES_tradnl"/>
        </w:rPr>
        <w:t xml:space="preserve">países asistieron a la Cumbre 2025 y al Evento de Alto Nivel </w:t>
      </w:r>
      <w:proofErr w:type="spellStart"/>
      <w:r w:rsidRPr="00AF17F2">
        <w:rPr>
          <w:spacing w:val="-2"/>
          <w:lang w:val="es-ES_tradnl"/>
        </w:rPr>
        <w:t>CMSI+20</w:t>
      </w:r>
      <w:proofErr w:type="spellEnd"/>
      <w:r w:rsidRPr="00AF17F2">
        <w:rPr>
          <w:spacing w:val="-2"/>
          <w:lang w:val="es-ES_tradnl"/>
        </w:rPr>
        <w:t xml:space="preserve">. Las iniciativas </w:t>
      </w:r>
      <w:r w:rsidRPr="00FC7087">
        <w:rPr>
          <w:i/>
          <w:iCs/>
          <w:spacing w:val="-2"/>
          <w:lang w:val="es-ES_tradnl"/>
        </w:rPr>
        <w:t>AI</w:t>
      </w:r>
      <w:r w:rsidR="00FF4471" w:rsidRPr="00FC7087">
        <w:rPr>
          <w:i/>
          <w:iCs/>
          <w:spacing w:val="-2"/>
          <w:lang w:val="es-ES_tradnl"/>
        </w:rPr>
        <w:t> </w:t>
      </w:r>
      <w:r w:rsidRPr="00FC7087">
        <w:rPr>
          <w:i/>
          <w:iCs/>
          <w:spacing w:val="-2"/>
          <w:lang w:val="es-ES_tradnl"/>
        </w:rPr>
        <w:t>for Good</w:t>
      </w:r>
      <w:r w:rsidRPr="00AF17F2">
        <w:rPr>
          <w:spacing w:val="-2"/>
          <w:lang w:val="es-ES_tradnl"/>
        </w:rPr>
        <w:t xml:space="preserve"> incluyen la </w:t>
      </w:r>
      <w:r w:rsidRPr="00AF17F2">
        <w:rPr>
          <w:spacing w:val="-2"/>
          <w:lang w:val="es-ES_tradnl" w:eastAsia="zh-CN"/>
        </w:rPr>
        <w:t xml:space="preserve">plataforma inteligente para el establecimiento de contactos sobre </w:t>
      </w:r>
      <w:hyperlink r:id="rId12">
        <w:r w:rsidRPr="00AF17F2">
          <w:rPr>
            <w:rStyle w:val="Hyperlink"/>
            <w:spacing w:val="-2"/>
            <w:lang w:val="es-ES_tradnl"/>
          </w:rPr>
          <w:t>redes neuronales</w:t>
        </w:r>
      </w:hyperlink>
      <w:r w:rsidRPr="00AF17F2">
        <w:rPr>
          <w:spacing w:val="-2"/>
          <w:lang w:val="es-ES_tradnl" w:eastAsia="zh-CN"/>
        </w:rPr>
        <w:t>, que cuenta con más de 55</w:t>
      </w:r>
      <w:r w:rsidR="00CB50D8" w:rsidRPr="00AF17F2">
        <w:rPr>
          <w:spacing w:val="-2"/>
          <w:lang w:val="es-ES_tradnl" w:eastAsia="zh-CN"/>
        </w:rPr>
        <w:t> </w:t>
      </w:r>
      <w:r w:rsidRPr="00AF17F2">
        <w:rPr>
          <w:spacing w:val="-2"/>
          <w:lang w:val="es-ES_tradnl" w:eastAsia="zh-CN"/>
        </w:rPr>
        <w:t>000 miembros de más de 180 países</w:t>
      </w:r>
      <w:r w:rsidRPr="00AF17F2">
        <w:rPr>
          <w:spacing w:val="-2"/>
          <w:lang w:val="es-ES_tradnl"/>
        </w:rPr>
        <w:t xml:space="preserve">, </w:t>
      </w:r>
      <w:hyperlink r:id="rId13" w:history="1">
        <w:proofErr w:type="spellStart"/>
        <w:r w:rsidRPr="00AF17F2">
          <w:rPr>
            <w:rStyle w:val="Hyperlink"/>
            <w:i/>
            <w:iCs/>
            <w:spacing w:val="-2"/>
            <w:lang w:val="es-ES_tradnl"/>
          </w:rPr>
          <w:t>Innovation</w:t>
        </w:r>
        <w:proofErr w:type="spellEnd"/>
        <w:r w:rsidRPr="00AF17F2">
          <w:rPr>
            <w:rStyle w:val="Hyperlink"/>
            <w:i/>
            <w:iCs/>
            <w:spacing w:val="-2"/>
            <w:lang w:val="es-ES_tradnl"/>
          </w:rPr>
          <w:t xml:space="preserve"> Factory</w:t>
        </w:r>
      </w:hyperlink>
      <w:r w:rsidRPr="00AF17F2">
        <w:rPr>
          <w:spacing w:val="-2"/>
          <w:lang w:val="es-ES_tradnl"/>
        </w:rPr>
        <w:t xml:space="preserve">, un </w:t>
      </w:r>
      <w:hyperlink r:id="rId14" w:history="1">
        <w:r w:rsidRPr="00AF17F2">
          <w:rPr>
            <w:rStyle w:val="Hyperlink"/>
            <w:spacing w:val="-2"/>
            <w:lang w:val="es-ES_tradnl"/>
          </w:rPr>
          <w:t>concurso</w:t>
        </w:r>
      </w:hyperlink>
      <w:r w:rsidRPr="00AF17F2">
        <w:rPr>
          <w:spacing w:val="-2"/>
          <w:lang w:val="es-ES_tradnl"/>
        </w:rPr>
        <w:t xml:space="preserve"> anual </w:t>
      </w:r>
      <w:hyperlink r:id="rId15" w:history="1">
        <w:r w:rsidRPr="00AF17F2">
          <w:rPr>
            <w:rStyle w:val="Hyperlink"/>
            <w:spacing w:val="-2"/>
            <w:lang w:val="es-ES_tradnl"/>
          </w:rPr>
          <w:t>de presentación de nuevas empresas de IA</w:t>
        </w:r>
      </w:hyperlink>
      <w:r w:rsidRPr="00AF17F2">
        <w:rPr>
          <w:spacing w:val="-2"/>
          <w:lang w:val="es-ES_tradnl"/>
        </w:rPr>
        <w:t xml:space="preserve">, </w:t>
      </w:r>
      <w:hyperlink r:id="rId16" w:history="1">
        <w:r w:rsidRPr="00AF17F2">
          <w:rPr>
            <w:rStyle w:val="Hyperlink"/>
            <w:spacing w:val="-2"/>
            <w:lang w:val="es-ES_tradnl"/>
          </w:rPr>
          <w:t xml:space="preserve">el desafío juvenil </w:t>
        </w:r>
        <w:r w:rsidRPr="00AF17F2">
          <w:rPr>
            <w:rStyle w:val="Hyperlink"/>
            <w:i/>
            <w:iCs/>
            <w:spacing w:val="-2"/>
            <w:lang w:val="es-ES_tradnl"/>
          </w:rPr>
          <w:t xml:space="preserve">Global </w:t>
        </w:r>
        <w:proofErr w:type="spellStart"/>
        <w:r w:rsidRPr="00AF17F2">
          <w:rPr>
            <w:rStyle w:val="Hyperlink"/>
            <w:i/>
            <w:iCs/>
            <w:spacing w:val="-2"/>
            <w:lang w:val="es-ES_tradnl"/>
          </w:rPr>
          <w:t>Robotics</w:t>
        </w:r>
        <w:proofErr w:type="spellEnd"/>
        <w:r w:rsidRPr="00AF17F2">
          <w:rPr>
            <w:rStyle w:val="Hyperlink"/>
            <w:i/>
            <w:iCs/>
            <w:spacing w:val="-2"/>
            <w:lang w:val="es-ES_tradnl"/>
          </w:rPr>
          <w:t xml:space="preserve"> for Good</w:t>
        </w:r>
      </w:hyperlink>
      <w:r w:rsidRPr="00AF17F2">
        <w:rPr>
          <w:spacing w:val="-2"/>
          <w:lang w:val="es-ES_tradnl"/>
        </w:rPr>
        <w:t xml:space="preserve">, </w:t>
      </w:r>
      <w:hyperlink r:id="rId17" w:history="1">
        <w:r w:rsidRPr="00AF17F2">
          <w:rPr>
            <w:rStyle w:val="Hyperlink"/>
            <w:spacing w:val="-2"/>
            <w:lang w:val="es-ES_tradnl"/>
          </w:rPr>
          <w:t>los desafíos sobre aprendizaje automático</w:t>
        </w:r>
      </w:hyperlink>
      <w:r w:rsidRPr="00AF17F2">
        <w:rPr>
          <w:spacing w:val="-2"/>
          <w:lang w:val="es-ES_tradnl"/>
        </w:rPr>
        <w:t xml:space="preserve">, </w:t>
      </w:r>
      <w:hyperlink r:id="rId18" w:history="1">
        <w:r w:rsidRPr="00AF17F2">
          <w:rPr>
            <w:rStyle w:val="Hyperlink"/>
            <w:i/>
            <w:iCs/>
            <w:spacing w:val="-2"/>
            <w:lang w:val="es-ES_tradnl"/>
          </w:rPr>
          <w:t xml:space="preserve">AI </w:t>
        </w:r>
        <w:proofErr w:type="spellStart"/>
        <w:r w:rsidRPr="00AF17F2">
          <w:rPr>
            <w:rStyle w:val="Hyperlink"/>
            <w:i/>
            <w:iCs/>
            <w:spacing w:val="-2"/>
            <w:lang w:val="es-ES_tradnl"/>
          </w:rPr>
          <w:t>Skills</w:t>
        </w:r>
        <w:proofErr w:type="spellEnd"/>
        <w:r w:rsidRPr="00AF17F2">
          <w:rPr>
            <w:rStyle w:val="Hyperlink"/>
            <w:i/>
            <w:iCs/>
            <w:spacing w:val="-2"/>
            <w:lang w:val="es-ES_tradnl"/>
          </w:rPr>
          <w:t xml:space="preserve"> </w:t>
        </w:r>
        <w:proofErr w:type="spellStart"/>
        <w:r w:rsidRPr="00AF17F2">
          <w:rPr>
            <w:rStyle w:val="Hyperlink"/>
            <w:i/>
            <w:iCs/>
            <w:spacing w:val="-2"/>
            <w:lang w:val="es-ES_tradnl"/>
          </w:rPr>
          <w:t>Coalition</w:t>
        </w:r>
        <w:proofErr w:type="spellEnd"/>
      </w:hyperlink>
      <w:r w:rsidRPr="00AF17F2">
        <w:rPr>
          <w:spacing w:val="-2"/>
          <w:lang w:val="es-ES_tradnl"/>
        </w:rPr>
        <w:t xml:space="preserve">, </w:t>
      </w:r>
      <w:hyperlink r:id="rId19" w:history="1">
        <w:proofErr w:type="spellStart"/>
        <w:r w:rsidRPr="00AF17F2">
          <w:rPr>
            <w:rStyle w:val="Hyperlink"/>
            <w:i/>
            <w:iCs/>
            <w:spacing w:val="-2"/>
            <w:lang w:val="es-ES_tradnl"/>
          </w:rPr>
          <w:t>Innovate</w:t>
        </w:r>
        <w:proofErr w:type="spellEnd"/>
        <w:r w:rsidRPr="00AF17F2">
          <w:rPr>
            <w:rStyle w:val="Hyperlink"/>
            <w:i/>
            <w:iCs/>
            <w:spacing w:val="-2"/>
            <w:lang w:val="es-ES_tradnl"/>
          </w:rPr>
          <w:t xml:space="preserve"> for </w:t>
        </w:r>
        <w:proofErr w:type="spellStart"/>
        <w:r w:rsidRPr="00AF17F2">
          <w:rPr>
            <w:rStyle w:val="Hyperlink"/>
            <w:i/>
            <w:iCs/>
            <w:spacing w:val="-2"/>
            <w:lang w:val="es-ES_tradnl"/>
          </w:rPr>
          <w:t>Impact</w:t>
        </w:r>
        <w:proofErr w:type="spellEnd"/>
      </w:hyperlink>
      <w:r w:rsidRPr="00AF17F2">
        <w:rPr>
          <w:spacing w:val="-2"/>
          <w:lang w:val="es-ES_tradnl"/>
        </w:rPr>
        <w:t xml:space="preserve">, la </w:t>
      </w:r>
      <w:hyperlink r:id="rId20" w:history="1">
        <w:r w:rsidRPr="00AF17F2">
          <w:rPr>
            <w:rStyle w:val="Hyperlink"/>
            <w:spacing w:val="-2"/>
            <w:lang w:val="es-ES_tradnl"/>
          </w:rPr>
          <w:t>comunidad de jóvenes líderes en IA</w:t>
        </w:r>
      </w:hyperlink>
      <w:r w:rsidRPr="00AF17F2">
        <w:rPr>
          <w:spacing w:val="-2"/>
          <w:lang w:val="es-ES_tradnl"/>
        </w:rPr>
        <w:t xml:space="preserve"> y la </w:t>
      </w:r>
      <w:hyperlink r:id="rId21" w:history="1">
        <w:r w:rsidRPr="00AF17F2">
          <w:rPr>
            <w:rStyle w:val="Hyperlink"/>
            <w:i/>
            <w:iCs/>
            <w:spacing w:val="-2"/>
            <w:lang w:val="es-ES_tradnl"/>
          </w:rPr>
          <w:t xml:space="preserve">AI for Good </w:t>
        </w:r>
        <w:proofErr w:type="spellStart"/>
        <w:r w:rsidRPr="00AF17F2">
          <w:rPr>
            <w:rStyle w:val="Hyperlink"/>
            <w:i/>
            <w:iCs/>
            <w:spacing w:val="-2"/>
            <w:lang w:val="es-ES_tradnl"/>
          </w:rPr>
          <w:t>Impact</w:t>
        </w:r>
        <w:proofErr w:type="spellEnd"/>
        <w:r w:rsidRPr="00AF17F2">
          <w:rPr>
            <w:rStyle w:val="Hyperlink"/>
            <w:i/>
            <w:iCs/>
            <w:spacing w:val="-2"/>
            <w:lang w:val="es-ES_tradnl"/>
          </w:rPr>
          <w:t xml:space="preserve"> </w:t>
        </w:r>
        <w:proofErr w:type="spellStart"/>
        <w:r w:rsidRPr="00AF17F2">
          <w:rPr>
            <w:rStyle w:val="Hyperlink"/>
            <w:i/>
            <w:iCs/>
            <w:spacing w:val="-2"/>
            <w:lang w:val="es-ES_tradnl"/>
          </w:rPr>
          <w:t>Initiative</w:t>
        </w:r>
        <w:proofErr w:type="spellEnd"/>
      </w:hyperlink>
      <w:r w:rsidR="00CB50D8" w:rsidRPr="00AF17F2">
        <w:rPr>
          <w:spacing w:val="-2"/>
          <w:lang w:val="es-ES_tradnl"/>
        </w:rPr>
        <w:t xml:space="preserve">, </w:t>
      </w:r>
      <w:r w:rsidRPr="00AF17F2">
        <w:rPr>
          <w:spacing w:val="-2"/>
          <w:lang w:val="es-ES_tradnl"/>
        </w:rPr>
        <w:t>que moviliza recursos para fomentar las aplicaciones y proyectos de IA para el bien a escala mundial.</w:t>
      </w:r>
    </w:p>
    <w:p w14:paraId="6C3E63DD" w14:textId="77777777" w:rsidR="00207B78" w:rsidRPr="00CB50D8" w:rsidRDefault="00207B78" w:rsidP="00C741C0">
      <w:pPr>
        <w:jc w:val="both"/>
        <w:rPr>
          <w:lang w:val="es-ES_tradnl"/>
        </w:rPr>
      </w:pPr>
      <w:r w:rsidRPr="00CB50D8">
        <w:rPr>
          <w:lang w:val="es-ES_tradnl"/>
        </w:rPr>
        <w:t xml:space="preserve">Como complemento a esos productos, la </w:t>
      </w:r>
      <w:hyperlink r:id="rId22" w:history="1">
        <w:r w:rsidRPr="00CB50D8">
          <w:rPr>
            <w:rStyle w:val="Hyperlink"/>
            <w:lang w:val="es-ES_tradnl"/>
          </w:rPr>
          <w:t xml:space="preserve">serie de seminarios </w:t>
        </w:r>
        <w:r w:rsidRPr="00CB50D8">
          <w:rPr>
            <w:rStyle w:val="Hyperlink"/>
            <w:i/>
            <w:iCs/>
            <w:lang w:val="es-ES_tradnl"/>
          </w:rPr>
          <w:t>web Discovery</w:t>
        </w:r>
      </w:hyperlink>
      <w:r w:rsidRPr="00CB50D8">
        <w:rPr>
          <w:lang w:val="es-ES_tradnl"/>
        </w:rPr>
        <w:t xml:space="preserve"> ofrece un programa casi diario de sesiones específicas en las que participa una gran cantidad de destacados </w:t>
      </w:r>
      <w:r w:rsidRPr="00CB50D8">
        <w:rPr>
          <w:lang w:val="es-ES_tradnl" w:eastAsia="zh-CN"/>
        </w:rPr>
        <w:t>expertos</w:t>
      </w:r>
      <w:r w:rsidRPr="00CB50D8">
        <w:rPr>
          <w:lang w:val="es-ES_tradnl"/>
        </w:rPr>
        <w:t xml:space="preserve"> internacionales en IA, en colaboración con numerosas agencias de las Naciones Unidas, que abarcan una amplia gama de temas prioritarios, en particular la salud, la respuesta frente a catástrofes, la seguridad alimentaria, la educación, el futuro del trabajo, la fabricación industrial y la tecnología cuántica para el bien.</w:t>
      </w:r>
    </w:p>
    <w:p w14:paraId="308A16FD" w14:textId="77777777" w:rsidR="00207B78" w:rsidRPr="00CB50D8" w:rsidRDefault="00207B78" w:rsidP="00C741C0">
      <w:pPr>
        <w:jc w:val="both"/>
        <w:rPr>
          <w:lang w:val="es-ES_tradnl"/>
        </w:rPr>
      </w:pPr>
      <w:r w:rsidRPr="00CB50D8">
        <w:rPr>
          <w:lang w:val="es-ES_tradnl"/>
        </w:rPr>
        <w:t xml:space="preserve">La iniciativa </w:t>
      </w:r>
      <w:r w:rsidRPr="00FC7087">
        <w:rPr>
          <w:i/>
          <w:iCs/>
          <w:lang w:val="es-ES_tradnl"/>
        </w:rPr>
        <w:t>AI for Good</w:t>
      </w:r>
      <w:r w:rsidRPr="00CB50D8">
        <w:rPr>
          <w:lang w:val="es-ES_tradnl"/>
        </w:rPr>
        <w:t xml:space="preserve"> también actúa como plataforma líder de conocimiento, a fin de </w:t>
      </w:r>
      <w:r w:rsidRPr="00CB50D8">
        <w:rPr>
          <w:lang w:val="es-ES_tradnl" w:eastAsia="zh-CN"/>
        </w:rPr>
        <w:t>elaborar</w:t>
      </w:r>
      <w:r w:rsidRPr="00CB50D8">
        <w:rPr>
          <w:lang w:val="es-ES_tradnl"/>
        </w:rPr>
        <w:t xml:space="preserve"> una amplia gama de </w:t>
      </w:r>
      <w:hyperlink r:id="rId23" w:history="1">
        <w:r w:rsidRPr="00CB50D8">
          <w:rPr>
            <w:rStyle w:val="Hyperlink"/>
            <w:lang w:val="es-ES_tradnl"/>
          </w:rPr>
          <w:t>informes, estudios de caso y estudios</w:t>
        </w:r>
      </w:hyperlink>
      <w:r w:rsidRPr="00CB50D8">
        <w:rPr>
          <w:lang w:val="es-ES_tradnl"/>
        </w:rPr>
        <w:t xml:space="preserve"> sobre aplicaciones prácticas de la IA, tendencias incipientes y valoraciones de su red mundial de asociados de la ONU y expertos en la materia. Por ejemplo, los tres informes emblemáticos siguientes lograron amplia cobertura mediática internacional y fortalecieron aún más el papel de </w:t>
      </w:r>
      <w:r w:rsidRPr="00FC7087">
        <w:rPr>
          <w:i/>
          <w:iCs/>
          <w:lang w:val="es-ES_tradnl"/>
        </w:rPr>
        <w:t>AI for Good</w:t>
      </w:r>
      <w:r w:rsidRPr="00CB50D8">
        <w:rPr>
          <w:lang w:val="es-ES_tradnl"/>
        </w:rPr>
        <w:t xml:space="preserve"> en la configuración de la agenda mundial sobre IA:</w:t>
      </w:r>
    </w:p>
    <w:p w14:paraId="3CA0AB92" w14:textId="3210C10E" w:rsidR="00207B78" w:rsidRPr="00CB50D8" w:rsidRDefault="00004325" w:rsidP="00C741C0">
      <w:pPr>
        <w:pStyle w:val="enumlev1"/>
        <w:jc w:val="both"/>
        <w:rPr>
          <w:lang w:val="es-ES_tradnl"/>
        </w:rPr>
      </w:pPr>
      <w:r w:rsidRPr="00CB50D8">
        <w:rPr>
          <w:lang w:val="es-ES_tradnl"/>
        </w:rPr>
        <w:t>–</w:t>
      </w:r>
      <w:r w:rsidRPr="00CB50D8">
        <w:rPr>
          <w:lang w:val="es-ES_tradnl"/>
        </w:rPr>
        <w:tab/>
      </w:r>
      <w:hyperlink r:id="rId24" w:history="1">
        <w:r w:rsidR="00207B78" w:rsidRPr="00CB50D8">
          <w:rPr>
            <w:rStyle w:val="Hyperlink"/>
            <w:lang w:val="es-ES_tradnl"/>
          </w:rPr>
          <w:t>Aprovechar el potencial de la inteligencia artificial al servicio de la humanidad</w:t>
        </w:r>
      </w:hyperlink>
      <w:r w:rsidR="00207B78" w:rsidRPr="00CB50D8">
        <w:rPr>
          <w:lang w:val="es-ES_tradnl"/>
        </w:rPr>
        <w:t xml:space="preserve">. Elaborado en colaboración con la Universidad de las Naciones Unidas (UNU), este informe emblemático ofrece una visión global de la plataforma </w:t>
      </w:r>
      <w:r w:rsidR="00207B78" w:rsidRPr="00FC7087">
        <w:rPr>
          <w:i/>
          <w:iCs/>
          <w:lang w:val="es-ES_tradnl"/>
        </w:rPr>
        <w:t>AI for Good</w:t>
      </w:r>
      <w:r w:rsidR="00207B78" w:rsidRPr="00CB50D8">
        <w:rPr>
          <w:lang w:val="es-ES_tradnl"/>
        </w:rPr>
        <w:t xml:space="preserve"> y de su papel, a lo largo de casi un decenio, para reunir a líderes y expertos en IA con el fin de aprovechar el potencial de la IA para abordar diversos retos mundiales, en particular la inestabilidad geopolítica, el cambio climático y la recuperación tras pandemias.</w:t>
      </w:r>
    </w:p>
    <w:p w14:paraId="7AE2DAB3" w14:textId="67AB9EC6" w:rsidR="00207B78" w:rsidRPr="00CB50D8" w:rsidRDefault="00004325" w:rsidP="00C741C0">
      <w:pPr>
        <w:pStyle w:val="enumlev1"/>
        <w:jc w:val="both"/>
        <w:rPr>
          <w:lang w:val="es-ES_tradnl"/>
        </w:rPr>
      </w:pPr>
      <w:r w:rsidRPr="00CB50D8">
        <w:rPr>
          <w:lang w:val="es-ES_tradnl"/>
        </w:rPr>
        <w:t>–</w:t>
      </w:r>
      <w:r w:rsidRPr="00CB50D8">
        <w:rPr>
          <w:lang w:val="es-ES_tradnl"/>
        </w:rPr>
        <w:tab/>
      </w:r>
      <w:hyperlink r:id="rId25" w:history="1">
        <w:r w:rsidR="00207B78" w:rsidRPr="00CB50D8">
          <w:rPr>
            <w:rStyle w:val="Hyperlink"/>
            <w:i/>
            <w:iCs/>
            <w:lang w:val="es-ES_tradnl"/>
          </w:rPr>
          <w:t xml:space="preserve">AI for Good </w:t>
        </w:r>
        <w:proofErr w:type="spellStart"/>
        <w:r w:rsidR="00207B78" w:rsidRPr="00CB50D8">
          <w:rPr>
            <w:rStyle w:val="Hyperlink"/>
            <w:i/>
            <w:iCs/>
            <w:lang w:val="es-ES_tradnl"/>
          </w:rPr>
          <w:t>Impact</w:t>
        </w:r>
        <w:proofErr w:type="spellEnd"/>
        <w:r w:rsidR="00207B78" w:rsidRPr="00CB50D8">
          <w:rPr>
            <w:rStyle w:val="Hyperlink"/>
            <w:i/>
            <w:iCs/>
            <w:lang w:val="es-ES_tradnl"/>
          </w:rPr>
          <w:t xml:space="preserve"> </w:t>
        </w:r>
        <w:proofErr w:type="spellStart"/>
        <w:r w:rsidR="00207B78" w:rsidRPr="00CB50D8">
          <w:rPr>
            <w:rStyle w:val="Hyperlink"/>
            <w:i/>
            <w:iCs/>
            <w:lang w:val="es-ES_tradnl"/>
          </w:rPr>
          <w:t>Report</w:t>
        </w:r>
        <w:proofErr w:type="spellEnd"/>
        <w:r w:rsidR="00207B78" w:rsidRPr="00CB50D8">
          <w:rPr>
            <w:rStyle w:val="Hyperlink"/>
            <w:i/>
            <w:iCs/>
            <w:lang w:val="es-ES_tradnl"/>
          </w:rPr>
          <w:t xml:space="preserve"> 2025</w:t>
        </w:r>
        <w:r w:rsidR="00207B78" w:rsidRPr="00CB50D8">
          <w:rPr>
            <w:rStyle w:val="Hyperlink"/>
            <w:lang w:val="es-ES_tradnl"/>
          </w:rPr>
          <w:t xml:space="preserve"> </w:t>
        </w:r>
        <w:r w:rsidR="00A87D1A" w:rsidRPr="00CB50D8">
          <w:rPr>
            <w:rStyle w:val="Hyperlink"/>
            <w:lang w:val="es-ES_tradnl"/>
          </w:rPr>
          <w:t>–</w:t>
        </w:r>
        <w:r w:rsidR="00207B78" w:rsidRPr="00CB50D8">
          <w:rPr>
            <w:rStyle w:val="Hyperlink"/>
            <w:lang w:val="es-ES_tradnl"/>
          </w:rPr>
          <w:t xml:space="preserve"> 2</w:t>
        </w:r>
        <w:r w:rsidR="00CB50D8">
          <w:rPr>
            <w:rStyle w:val="Hyperlink"/>
            <w:lang w:val="es-ES_tradnl"/>
          </w:rPr>
          <w:t>.</w:t>
        </w:r>
        <w:r w:rsidR="00207B78" w:rsidRPr="00CB50D8">
          <w:rPr>
            <w:rStyle w:val="Hyperlink"/>
            <w:lang w:val="es-ES_tradnl"/>
          </w:rPr>
          <w:t>ª edición</w:t>
        </w:r>
      </w:hyperlink>
      <w:r w:rsidR="00207B78" w:rsidRPr="00CB50D8">
        <w:rPr>
          <w:lang w:val="es-ES_tradnl"/>
        </w:rPr>
        <w:t>. Elaborado en colaboración con Deloitte, este informe ofrece una visión global de la manera en que la IA transforma el modo en que las sociedades aprenden, trabajan, prestan asistencia sanitaria y afrontan los retos medioambientales, y abarca el estado actual de la IA, su posible evolución futura, el entorno normativo y las aplicaciones en sectores clave.</w:t>
      </w:r>
    </w:p>
    <w:p w14:paraId="6BECFCFC" w14:textId="256B1B53" w:rsidR="00207B78" w:rsidRPr="00CB50D8" w:rsidRDefault="00004325" w:rsidP="00C741C0">
      <w:pPr>
        <w:pStyle w:val="enumlev1"/>
        <w:jc w:val="both"/>
        <w:rPr>
          <w:lang w:val="es-ES_tradnl"/>
        </w:rPr>
      </w:pPr>
      <w:r w:rsidRPr="00CB50D8">
        <w:rPr>
          <w:lang w:val="es-ES_tradnl"/>
        </w:rPr>
        <w:t>–</w:t>
      </w:r>
      <w:r w:rsidRPr="00CB50D8">
        <w:rPr>
          <w:lang w:val="es-ES_tradnl"/>
        </w:rPr>
        <w:tab/>
      </w:r>
      <w:hyperlink r:id="rId26" w:history="1">
        <w:hyperlink r:id="rId27" w:history="1">
          <w:r w:rsidR="00207B78" w:rsidRPr="00CB50D8">
            <w:rPr>
              <w:rStyle w:val="Hyperlink"/>
              <w:i/>
              <w:iCs/>
              <w:lang w:val="es-ES_tradnl"/>
            </w:rPr>
            <w:t>AI Ready – Analysis Towards a Standardized Readiness Framework</w:t>
          </w:r>
        </w:hyperlink>
      </w:hyperlink>
      <w:r w:rsidR="00207B78" w:rsidRPr="00CB50D8">
        <w:rPr>
          <w:lang w:val="es-ES_tradnl"/>
        </w:rPr>
        <w:t>. En este informe de la UIT sobre preparación para la IA colaboran varias partes interesadas con el fin de evaluar y mejorar el nivel de integración de la IA en diversos ámbitos, analizar casos de utilización para validar la importancia de factores clave en esas esferas, mejorar la capacitación a escala mundial en materia de IA y fomentar las oportunidades de colaboración internacional.</w:t>
      </w:r>
    </w:p>
    <w:p w14:paraId="7DB24867" w14:textId="77777777" w:rsidR="00207B78" w:rsidRPr="00CB50D8" w:rsidRDefault="00207B78" w:rsidP="00FC7087">
      <w:pPr>
        <w:jc w:val="both"/>
        <w:rPr>
          <w:lang w:val="es-ES_tradnl"/>
        </w:rPr>
      </w:pPr>
      <w:r w:rsidRPr="00FC7087">
        <w:rPr>
          <w:i/>
          <w:iCs/>
          <w:lang w:val="es-ES_tradnl"/>
        </w:rPr>
        <w:t>AI for Good</w:t>
      </w:r>
      <w:r w:rsidRPr="00CB50D8">
        <w:rPr>
          <w:lang w:val="es-ES_tradnl"/>
        </w:rPr>
        <w:t xml:space="preserve"> genera sistemáticamente una amplia cobertura mediática internacional y una participación digital de gran repercusión, y da lugar a situaciones que fomentan </w:t>
      </w:r>
      <w:r w:rsidRPr="00CB50D8">
        <w:rPr>
          <w:lang w:val="es-ES_tradnl" w:eastAsia="zh-CN"/>
        </w:rPr>
        <w:t>sustancialmente</w:t>
      </w:r>
      <w:r w:rsidRPr="00CB50D8">
        <w:rPr>
          <w:lang w:val="es-ES_tradnl"/>
        </w:rPr>
        <w:t xml:space="preserve"> la visibilidad y el prestigio de la UIT en el ecosistema mundial de la IA y en todo el sistema de las Naciones Unidas.</w:t>
      </w:r>
    </w:p>
    <w:p w14:paraId="3B90972C" w14:textId="77777777" w:rsidR="00207B78" w:rsidRPr="00CB50D8" w:rsidRDefault="00207B78" w:rsidP="00207B78">
      <w:pPr>
        <w:pStyle w:val="Headingb"/>
        <w:rPr>
          <w:lang w:val="es-ES_tradnl" w:eastAsia="zh-CN"/>
        </w:rPr>
      </w:pPr>
      <w:r w:rsidRPr="00CB50D8">
        <w:rPr>
          <w:lang w:val="es-ES_tradnl" w:eastAsia="zh-CN"/>
        </w:rPr>
        <w:t>Centro de recursos sobre IA de las Naciones Unidas</w:t>
      </w:r>
    </w:p>
    <w:p w14:paraId="35044149" w14:textId="0CF9737E" w:rsidR="00207B78" w:rsidRPr="00AF17F2" w:rsidRDefault="00207B78" w:rsidP="00C741C0">
      <w:pPr>
        <w:jc w:val="both"/>
        <w:rPr>
          <w:spacing w:val="-2"/>
          <w:lang w:val="es-ES_tradnl" w:eastAsia="zh-CN"/>
        </w:rPr>
      </w:pPr>
      <w:r w:rsidRPr="00AF17F2">
        <w:rPr>
          <w:spacing w:val="-2"/>
          <w:lang w:val="es-ES_tradnl" w:eastAsia="zh-CN"/>
        </w:rPr>
        <w:t xml:space="preserve">La UIT coordina las aportaciones y prepara el </w:t>
      </w:r>
      <w:hyperlink r:id="rId28" w:history="1">
        <w:r w:rsidRPr="00AF17F2">
          <w:rPr>
            <w:rStyle w:val="Hyperlink"/>
            <w:spacing w:val="-2"/>
            <w:lang w:val="es-ES_tradnl" w:eastAsia="zh-CN"/>
          </w:rPr>
          <w:t>informe anual</w:t>
        </w:r>
      </w:hyperlink>
      <w:r w:rsidRPr="00AF17F2">
        <w:rPr>
          <w:spacing w:val="-2"/>
          <w:lang w:val="es-ES_tradnl"/>
        </w:rPr>
        <w:t xml:space="preserve"> de las Naciones Unidas </w:t>
      </w:r>
      <w:hyperlink r:id="rId29" w:history="1">
        <w:r w:rsidRPr="00AF17F2">
          <w:rPr>
            <w:rStyle w:val="Hyperlink"/>
            <w:spacing w:val="-2"/>
            <w:lang w:val="es-ES_tradnl" w:eastAsia="zh-CN"/>
          </w:rPr>
          <w:t xml:space="preserve">sobre actividades de </w:t>
        </w:r>
        <w:r w:rsidRPr="00AF17F2">
          <w:rPr>
            <w:rStyle w:val="Hyperlink"/>
            <w:rFonts w:eastAsia="Times New Roman" w:cs="Times New Roman"/>
            <w:spacing w:val="-2"/>
            <w:szCs w:val="20"/>
            <w:lang w:val="es-ES_tradnl" w:eastAsia="zh-CN"/>
          </w:rPr>
          <w:t>IA</w:t>
        </w:r>
      </w:hyperlink>
      <w:r w:rsidRPr="00AF17F2">
        <w:rPr>
          <w:spacing w:val="-2"/>
          <w:lang w:val="es-ES_tradnl" w:eastAsia="zh-CN"/>
        </w:rPr>
        <w:t xml:space="preserve">, que en 2025 abarcó 729 proyectos, frente a 406 en 2024, y constituye el único </w:t>
      </w:r>
      <w:r w:rsidRPr="00AF17F2">
        <w:rPr>
          <w:spacing w:val="-2"/>
          <w:lang w:val="es-ES_tradnl" w:eastAsia="zh-CN"/>
        </w:rPr>
        <w:lastRenderedPageBreak/>
        <w:t xml:space="preserve">directorio exhaustivo de este tipo del sistema de las Naciones Unidas en relación con la IA. Sobre la base de este informe, el PNUD, la UIT y la UNESCO han desarrollado conjuntamente el </w:t>
      </w:r>
      <w:hyperlink r:id="rId30" w:history="1">
        <w:r w:rsidRPr="00AF17F2">
          <w:rPr>
            <w:rStyle w:val="Hyperlink"/>
            <w:spacing w:val="-2"/>
            <w:lang w:val="es-ES_tradnl" w:eastAsia="zh-CN"/>
          </w:rPr>
          <w:t xml:space="preserve">Centro de Recursos de las Naciones Unidas sobre IA, </w:t>
        </w:r>
      </w:hyperlink>
      <w:r w:rsidRPr="00AF17F2">
        <w:rPr>
          <w:spacing w:val="-2"/>
          <w:lang w:val="es-ES_tradnl" w:eastAsia="zh-CN"/>
        </w:rPr>
        <w:t xml:space="preserve">plataforma pública dinámica que permite efectuar búsquedas y organizar actividades y conocimientos especializados sobre IA en todo el sistema de las Naciones Unidas, con arreglo a una taxonomía normalizada. El Centro se aloja en la plataforma </w:t>
      </w:r>
      <w:r w:rsidRPr="00FC7087">
        <w:rPr>
          <w:i/>
          <w:iCs/>
          <w:spacing w:val="-2"/>
          <w:lang w:val="es-ES_tradnl" w:eastAsia="zh-CN"/>
        </w:rPr>
        <w:t>AI for Good</w:t>
      </w:r>
      <w:r w:rsidRPr="00AF17F2">
        <w:rPr>
          <w:spacing w:val="-2"/>
          <w:lang w:val="es-ES_tradnl" w:eastAsia="zh-CN"/>
        </w:rPr>
        <w:t xml:space="preserve"> y se mantiene gracias a la colaboración de todo el sistema, con aportaciones del </w:t>
      </w:r>
      <w:hyperlink r:id="rId31" w:history="1">
        <w:r w:rsidRPr="00AF17F2">
          <w:rPr>
            <w:rStyle w:val="Hyperlink"/>
            <w:spacing w:val="-2"/>
            <w:lang w:val="es-ES_tradnl" w:eastAsia="zh-CN"/>
          </w:rPr>
          <w:t>Grupo de Trabajo Interinstitucional sobre IA</w:t>
        </w:r>
      </w:hyperlink>
      <w:r w:rsidRPr="00AF17F2">
        <w:rPr>
          <w:spacing w:val="-2"/>
          <w:lang w:val="es-ES_tradnl" w:eastAsia="zh-CN"/>
        </w:rPr>
        <w:t xml:space="preserve"> (</w:t>
      </w:r>
      <w:proofErr w:type="spellStart"/>
      <w:r w:rsidRPr="00AF17F2">
        <w:rPr>
          <w:spacing w:val="-2"/>
          <w:lang w:val="es-ES_tradnl" w:eastAsia="zh-CN"/>
        </w:rPr>
        <w:t>IAWG</w:t>
      </w:r>
      <w:proofErr w:type="spellEnd"/>
      <w:r w:rsidRPr="00AF17F2">
        <w:rPr>
          <w:spacing w:val="-2"/>
          <w:lang w:val="es-ES_tradnl" w:eastAsia="zh-CN"/>
        </w:rPr>
        <w:t>-AI), e incluye más de 800</w:t>
      </w:r>
      <w:r w:rsidR="00FC7087">
        <w:rPr>
          <w:spacing w:val="-2"/>
          <w:lang w:val="es-ES_tradnl" w:eastAsia="zh-CN"/>
        </w:rPr>
        <w:t> </w:t>
      </w:r>
      <w:r w:rsidRPr="00AF17F2">
        <w:rPr>
          <w:spacing w:val="-2"/>
          <w:lang w:val="es-ES_tradnl" w:eastAsia="zh-CN"/>
        </w:rPr>
        <w:t>proyectos, acompañados de información detallada y metadatos.</w:t>
      </w:r>
    </w:p>
    <w:p w14:paraId="7F49603D" w14:textId="77777777" w:rsidR="00207B78" w:rsidRPr="00CB50D8" w:rsidRDefault="00207B78" w:rsidP="00207B78">
      <w:pPr>
        <w:pStyle w:val="Headingb"/>
        <w:rPr>
          <w:lang w:val="es-ES_tradnl" w:eastAsia="zh-CN"/>
        </w:rPr>
      </w:pPr>
      <w:r w:rsidRPr="00CB50D8">
        <w:rPr>
          <w:lang w:val="es-ES_tradnl" w:eastAsia="zh-CN"/>
        </w:rPr>
        <w:t>Iniciativas abiertas sobre IA generativa</w:t>
      </w:r>
    </w:p>
    <w:p w14:paraId="3CFDF261" w14:textId="77777777" w:rsidR="00207B78" w:rsidRPr="00CB50D8" w:rsidRDefault="00207B78" w:rsidP="00C741C0">
      <w:pPr>
        <w:jc w:val="both"/>
        <w:rPr>
          <w:lang w:val="es-ES_tradnl"/>
        </w:rPr>
      </w:pPr>
      <w:r w:rsidRPr="00CB50D8">
        <w:rPr>
          <w:lang w:val="es-ES_tradnl"/>
        </w:rPr>
        <w:t xml:space="preserve">La iniciativa de referencia abierta y colaborativa sobre IA generativa </w:t>
      </w:r>
      <w:hyperlink r:id="rId32">
        <w:r w:rsidRPr="005F4966">
          <w:rPr>
            <w:rStyle w:val="Hyperlink"/>
            <w:i/>
            <w:iCs/>
            <w:lang w:val="es-ES_tradnl"/>
          </w:rPr>
          <w:t xml:space="preserve">Global </w:t>
        </w:r>
        <w:proofErr w:type="spellStart"/>
        <w:r w:rsidRPr="005F4966">
          <w:rPr>
            <w:rStyle w:val="Hyperlink"/>
            <w:i/>
            <w:iCs/>
            <w:lang w:val="es-ES_tradnl"/>
          </w:rPr>
          <w:t>Empowerment</w:t>
        </w:r>
        <w:proofErr w:type="spellEnd"/>
        <w:r w:rsidRPr="005F4966">
          <w:rPr>
            <w:rStyle w:val="Hyperlink"/>
            <w:i/>
            <w:iCs/>
            <w:lang w:val="es-ES_tradnl"/>
          </w:rPr>
          <w:t xml:space="preserve">, </w:t>
        </w:r>
        <w:proofErr w:type="spellStart"/>
        <w:r w:rsidRPr="005F4966">
          <w:rPr>
            <w:rStyle w:val="Hyperlink"/>
            <w:i/>
            <w:iCs/>
            <w:lang w:val="es-ES_tradnl"/>
          </w:rPr>
          <w:t>Intelligence</w:t>
        </w:r>
        <w:proofErr w:type="spellEnd"/>
        <w:r w:rsidRPr="005F4966">
          <w:rPr>
            <w:rStyle w:val="Hyperlink"/>
            <w:i/>
            <w:iCs/>
            <w:lang w:val="es-ES_tradnl"/>
          </w:rPr>
          <w:t xml:space="preserve"> and </w:t>
        </w:r>
        <w:proofErr w:type="spellStart"/>
        <w:r w:rsidRPr="005F4966">
          <w:rPr>
            <w:rStyle w:val="Hyperlink"/>
            <w:i/>
            <w:iCs/>
            <w:lang w:val="es-ES_tradnl"/>
          </w:rPr>
          <w:t>Equity</w:t>
        </w:r>
        <w:proofErr w:type="spellEnd"/>
        <w:r w:rsidRPr="005F4966">
          <w:rPr>
            <w:rStyle w:val="Hyperlink"/>
            <w:i/>
            <w:iCs/>
            <w:lang w:val="es-ES_tradnl"/>
          </w:rPr>
          <w:t xml:space="preserve"> (</w:t>
        </w:r>
        <w:proofErr w:type="spellStart"/>
        <w:r w:rsidRPr="005F4966">
          <w:rPr>
            <w:rStyle w:val="Hyperlink"/>
            <w:i/>
            <w:iCs/>
            <w:lang w:val="es-ES_tradnl"/>
          </w:rPr>
          <w:t>GENIE.AI</w:t>
        </w:r>
        <w:proofErr w:type="spellEnd"/>
        <w:r w:rsidRPr="005F4966">
          <w:rPr>
            <w:rStyle w:val="Hyperlink"/>
            <w:i/>
            <w:iCs/>
            <w:lang w:val="es-ES_tradnl"/>
          </w:rPr>
          <w:t>)</w:t>
        </w:r>
      </w:hyperlink>
      <w:r w:rsidRPr="00CB50D8">
        <w:rPr>
          <w:lang w:val="es-ES_tradnl"/>
        </w:rPr>
        <w:t xml:space="preserve">, se desarrolló bajo coordinación de la UIT con el apoyo de una comunidad internacional de colaboradores de código abierto. Sirve de banco de pruebas práctico para facilitar la normalización, la elaboración de especificaciones y las directrices </w:t>
      </w:r>
      <w:r w:rsidRPr="00CB50D8">
        <w:rPr>
          <w:lang w:val="es-ES_tradnl" w:eastAsia="zh-CN"/>
        </w:rPr>
        <w:t>operacionales</w:t>
      </w:r>
      <w:r w:rsidRPr="00CB50D8">
        <w:rPr>
          <w:lang w:val="es-ES_tradnl"/>
        </w:rPr>
        <w:t xml:space="preserve"> de sistemas de IA generativa abiertos, interoperables y eficaces en ecosistemas de Infraestructuras Públicas Digitales (</w:t>
      </w:r>
      <w:proofErr w:type="spellStart"/>
      <w:r w:rsidRPr="00CB50D8">
        <w:rPr>
          <w:rFonts w:eastAsia="Malgun Gothic"/>
          <w:lang w:val="es-ES_tradnl" w:eastAsia="ko-KR"/>
        </w:rPr>
        <w:t>IPD</w:t>
      </w:r>
      <w:proofErr w:type="spellEnd"/>
      <w:r w:rsidRPr="00CB50D8">
        <w:rPr>
          <w:lang w:val="es-ES_tradnl"/>
        </w:rPr>
        <w:t>) y Bienes Públicos Digitales (</w:t>
      </w:r>
      <w:proofErr w:type="spellStart"/>
      <w:r w:rsidRPr="00CB50D8">
        <w:rPr>
          <w:lang w:val="es-ES_tradnl"/>
        </w:rPr>
        <w:t>BDP</w:t>
      </w:r>
      <w:proofErr w:type="spellEnd"/>
      <w:r w:rsidRPr="00CB50D8">
        <w:rPr>
          <w:lang w:val="es-ES_tradnl"/>
        </w:rPr>
        <w:t xml:space="preserve">). GENIE se rige por la </w:t>
      </w:r>
      <w:hyperlink r:id="rId33" w:history="1">
        <w:r w:rsidRPr="00CB50D8">
          <w:rPr>
            <w:rStyle w:val="Hyperlink"/>
            <w:lang w:val="es-ES_tradnl"/>
          </w:rPr>
          <w:t>definición de IA de código abierto</w:t>
        </w:r>
      </w:hyperlink>
      <w:r w:rsidRPr="00CB50D8">
        <w:rPr>
          <w:lang w:val="es-ES_tradnl"/>
        </w:rPr>
        <w:t xml:space="preserve">, en consonancia con la norma </w:t>
      </w:r>
      <w:proofErr w:type="spellStart"/>
      <w:r w:rsidRPr="00CB50D8">
        <w:rPr>
          <w:lang w:val="es-ES_tradnl"/>
        </w:rPr>
        <w:t>DPG</w:t>
      </w:r>
      <w:proofErr w:type="spellEnd"/>
      <w:r w:rsidRPr="00CB50D8">
        <w:rPr>
          <w:lang w:val="es-ES_tradnl"/>
        </w:rPr>
        <w:t xml:space="preserve">, contribuye a la evolución de las especificaciones sobre IA abierta en el marco de </w:t>
      </w:r>
      <w:hyperlink r:id="rId34" w:history="1">
        <w:proofErr w:type="spellStart"/>
        <w:r w:rsidRPr="00CB50D8">
          <w:rPr>
            <w:rStyle w:val="Hyperlink"/>
            <w:lang w:val="es-ES_tradnl"/>
          </w:rPr>
          <w:t>GovStack</w:t>
        </w:r>
        <w:proofErr w:type="spellEnd"/>
      </w:hyperlink>
      <w:r w:rsidRPr="00CB50D8">
        <w:rPr>
          <w:lang w:val="es-ES_tradnl"/>
        </w:rPr>
        <w:t xml:space="preserve"> y se integra en el entorno de pruebas </w:t>
      </w:r>
      <w:proofErr w:type="spellStart"/>
      <w:r w:rsidRPr="00CB50D8">
        <w:rPr>
          <w:lang w:val="es-ES_tradnl"/>
        </w:rPr>
        <w:t>GovStack</w:t>
      </w:r>
      <w:proofErr w:type="spellEnd"/>
      <w:r w:rsidRPr="00CB50D8">
        <w:rPr>
          <w:lang w:val="es-ES_tradnl"/>
        </w:rPr>
        <w:t>, lo que la hace directamente accesible para fines de experimentación, adaptación y adopción.</w:t>
      </w:r>
    </w:p>
    <w:p w14:paraId="75485491" w14:textId="77777777" w:rsidR="00207B78" w:rsidRPr="00CB50D8" w:rsidRDefault="00207B78" w:rsidP="00C741C0">
      <w:pPr>
        <w:jc w:val="both"/>
        <w:rPr>
          <w:lang w:val="es-ES_tradnl"/>
        </w:rPr>
      </w:pPr>
      <w:r w:rsidRPr="00CB50D8">
        <w:rPr>
          <w:lang w:val="es-ES_tradnl"/>
        </w:rPr>
        <w:t xml:space="preserve">Sobre la base de las actividades sobre IA Generativa de Código </w:t>
      </w:r>
      <w:hyperlink r:id="rId35" w:history="1">
        <w:r w:rsidRPr="00CB50D8">
          <w:rPr>
            <w:rStyle w:val="Hyperlink"/>
            <w:lang w:val="es-ES_tradnl"/>
          </w:rPr>
          <w:t>Abierto para Bienes Públicos Digitales</w:t>
        </w:r>
      </w:hyperlink>
      <w:r w:rsidRPr="00CB50D8">
        <w:rPr>
          <w:lang w:val="es-ES_tradnl"/>
        </w:rPr>
        <w:t xml:space="preserve">, la UIT y IEEE </w:t>
      </w:r>
      <w:proofErr w:type="spellStart"/>
      <w:r w:rsidRPr="00CB50D8">
        <w:rPr>
          <w:lang w:val="es-ES_tradnl"/>
        </w:rPr>
        <w:t>Humanitarian</w:t>
      </w:r>
      <w:proofErr w:type="spellEnd"/>
      <w:r w:rsidRPr="00CB50D8">
        <w:rPr>
          <w:lang w:val="es-ES_tradnl"/>
        </w:rPr>
        <w:t xml:space="preserve"> Technologies se puso en marcha el </w:t>
      </w:r>
      <w:hyperlink r:id="rId36" w:history="1">
        <w:r w:rsidRPr="00CB50D8">
          <w:rPr>
            <w:rStyle w:val="Hyperlink"/>
            <w:lang w:val="es-ES_tradnl"/>
          </w:rPr>
          <w:t>Desafío GenAI for Good</w:t>
        </w:r>
      </w:hyperlink>
      <w:r w:rsidRPr="00CB50D8">
        <w:rPr>
          <w:lang w:val="es-ES_tradnl"/>
        </w:rPr>
        <w:t xml:space="preserve"> como un mecanismo en el que colaboran varias partes interesadas para transformar la IA generativa de código abierto en casos de utilización específicos en el sector público. Dicho desafío se ajusta a las necesidades de Gambia, </w:t>
      </w:r>
      <w:proofErr w:type="spellStart"/>
      <w:r w:rsidRPr="00CB50D8">
        <w:rPr>
          <w:lang w:val="es-ES_tradnl"/>
        </w:rPr>
        <w:t>Lesotho</w:t>
      </w:r>
      <w:proofErr w:type="spellEnd"/>
      <w:r w:rsidRPr="00CB50D8">
        <w:rPr>
          <w:lang w:val="es-ES_tradnl"/>
        </w:rPr>
        <w:t xml:space="preserve"> y Bangladesh, y facilita a gobiernos y sistemas de innovación locales el despliegue de soluciones de IA generativa para aplicaciones </w:t>
      </w:r>
      <w:r w:rsidRPr="00CB50D8">
        <w:rPr>
          <w:lang w:val="es-ES_tradnl" w:eastAsia="zh-CN"/>
        </w:rPr>
        <w:t>sanitarias</w:t>
      </w:r>
      <w:r w:rsidRPr="00CB50D8">
        <w:rPr>
          <w:lang w:val="es-ES_tradnl"/>
        </w:rPr>
        <w:t xml:space="preserve">, agrícolas y de resiliencia climática, al tiempo que complementa </w:t>
      </w:r>
      <w:proofErr w:type="spellStart"/>
      <w:r w:rsidRPr="00CB50D8">
        <w:rPr>
          <w:lang w:val="es-ES_tradnl"/>
        </w:rPr>
        <w:t>GENIE.AI</w:t>
      </w:r>
      <w:proofErr w:type="spellEnd"/>
      <w:r w:rsidRPr="00CB50D8">
        <w:rPr>
          <w:lang w:val="es-ES_tradnl"/>
        </w:rPr>
        <w:t xml:space="preserve"> mediante la adaptación de arquitecturas basadas en normas para facilitar el despliegue de soluciones específicas a escala nacional.</w:t>
      </w:r>
    </w:p>
    <w:p w14:paraId="72E13D01" w14:textId="77777777" w:rsidR="00207B78" w:rsidRPr="00CB50D8" w:rsidRDefault="00207B78" w:rsidP="00207B78">
      <w:pPr>
        <w:pStyle w:val="Headingb"/>
        <w:rPr>
          <w:lang w:val="es-ES_tradnl" w:eastAsia="zh-CN"/>
        </w:rPr>
      </w:pPr>
      <w:r w:rsidRPr="00CB50D8">
        <w:rPr>
          <w:lang w:val="es-ES_tradnl" w:eastAsia="zh-CN"/>
        </w:rPr>
        <w:t>Iniciativas de alerta temprana</w:t>
      </w:r>
    </w:p>
    <w:p w14:paraId="45EE32CB" w14:textId="61C7B8E6" w:rsidR="00207B78" w:rsidRPr="00CB50D8" w:rsidRDefault="00207B78" w:rsidP="00C741C0">
      <w:pPr>
        <w:jc w:val="both"/>
        <w:rPr>
          <w:lang w:val="es-ES_tradnl"/>
        </w:rPr>
      </w:pPr>
      <w:r w:rsidRPr="00CB50D8">
        <w:rPr>
          <w:lang w:val="es-ES_tradnl"/>
        </w:rPr>
        <w:t xml:space="preserve">En el </w:t>
      </w:r>
      <w:r w:rsidRPr="00CB50D8">
        <w:rPr>
          <w:lang w:val="es-ES_tradnl" w:eastAsia="zh-CN"/>
        </w:rPr>
        <w:t>marco</w:t>
      </w:r>
      <w:r w:rsidRPr="00CB50D8">
        <w:rPr>
          <w:lang w:val="es-ES_tradnl"/>
        </w:rPr>
        <w:t xml:space="preserve"> de la Iniciativa </w:t>
      </w:r>
      <w:hyperlink r:id="rId37" w:history="1">
        <w:r w:rsidRPr="00CB50D8">
          <w:rPr>
            <w:rStyle w:val="Hyperlink"/>
            <w:lang w:val="es-ES_tradnl"/>
          </w:rPr>
          <w:t>Alerta Temprana para Todos (</w:t>
        </w:r>
        <w:proofErr w:type="spellStart"/>
        <w:r w:rsidRPr="00CB50D8">
          <w:rPr>
            <w:rStyle w:val="Hyperlink"/>
            <w:lang w:val="es-ES_tradnl"/>
          </w:rPr>
          <w:t>EW4All</w:t>
        </w:r>
        <w:proofErr w:type="spellEnd"/>
        <w:r w:rsidRPr="00CB50D8">
          <w:rPr>
            <w:rStyle w:val="Hyperlink"/>
            <w:lang w:val="es-ES_tradnl"/>
          </w:rPr>
          <w:t>)</w:t>
        </w:r>
      </w:hyperlink>
      <w:r w:rsidRPr="00CB50D8">
        <w:rPr>
          <w:lang w:val="es-ES_tradnl"/>
        </w:rPr>
        <w:t xml:space="preserve"> de las Naciones Unidas, la UIT coordina el </w:t>
      </w:r>
      <w:hyperlink r:id="rId38">
        <w:r w:rsidRPr="00CB50D8">
          <w:rPr>
            <w:rStyle w:val="Hyperlink"/>
            <w:lang w:val="es-ES_tradnl"/>
          </w:rPr>
          <w:t>Subgrupo sobre IA</w:t>
        </w:r>
      </w:hyperlink>
      <w:r w:rsidRPr="00CB50D8">
        <w:rPr>
          <w:lang w:val="es-ES_tradnl"/>
        </w:rPr>
        <w:t xml:space="preserve"> y puso en marcha el </w:t>
      </w:r>
      <w:hyperlink r:id="rId39">
        <w:r w:rsidRPr="00CB50D8">
          <w:rPr>
            <w:rStyle w:val="Hyperlink"/>
            <w:lang w:val="es-ES_tradnl"/>
          </w:rPr>
          <w:t xml:space="preserve">Desafío de Innovación en IA para </w:t>
        </w:r>
        <w:proofErr w:type="spellStart"/>
        <w:r w:rsidRPr="00CB50D8">
          <w:rPr>
            <w:rStyle w:val="Hyperlink"/>
            <w:lang w:val="es-ES_tradnl"/>
          </w:rPr>
          <w:t>EW4All</w:t>
        </w:r>
        <w:proofErr w:type="spellEnd"/>
      </w:hyperlink>
      <w:r w:rsidRPr="00CB50D8">
        <w:rPr>
          <w:lang w:val="es-ES_tradnl"/>
        </w:rPr>
        <w:t xml:space="preserve"> (2025), que brinda apoyo a los finalistas de países piloto específicos. Se prevé que la OMM, </w:t>
      </w:r>
      <w:proofErr w:type="spellStart"/>
      <w:r w:rsidRPr="00CB50D8">
        <w:rPr>
          <w:lang w:val="es-ES_tradnl"/>
        </w:rPr>
        <w:t>UNDRR</w:t>
      </w:r>
      <w:proofErr w:type="spellEnd"/>
      <w:r w:rsidRPr="00CB50D8">
        <w:rPr>
          <w:lang w:val="es-ES_tradnl"/>
        </w:rPr>
        <w:t xml:space="preserve">, la UIT y la </w:t>
      </w:r>
      <w:proofErr w:type="spellStart"/>
      <w:r w:rsidRPr="00CB50D8">
        <w:rPr>
          <w:lang w:val="es-ES_tradnl"/>
        </w:rPr>
        <w:t>IFRC</w:t>
      </w:r>
      <w:proofErr w:type="spellEnd"/>
      <w:r w:rsidRPr="00CB50D8">
        <w:rPr>
          <w:lang w:val="es-ES_tradnl"/>
        </w:rPr>
        <w:t xml:space="preserve"> publiquen un catálogo de soluciones de IA y un informe sobre IA para la iniciativa </w:t>
      </w:r>
      <w:proofErr w:type="spellStart"/>
      <w:r w:rsidRPr="00CB50D8">
        <w:rPr>
          <w:lang w:val="es-ES_tradnl"/>
        </w:rPr>
        <w:t>EW4All</w:t>
      </w:r>
      <w:proofErr w:type="spellEnd"/>
      <w:r w:rsidRPr="00CB50D8">
        <w:rPr>
          <w:lang w:val="es-ES_tradnl"/>
        </w:rPr>
        <w:t xml:space="preserve"> en el marco de la Cumbre </w:t>
      </w:r>
      <w:r w:rsidRPr="00CB50D8">
        <w:rPr>
          <w:lang w:val="es-ES_tradnl" w:eastAsia="zh-CN"/>
        </w:rPr>
        <w:t xml:space="preserve">Mundial </w:t>
      </w:r>
      <w:r w:rsidRPr="00CB50D8">
        <w:rPr>
          <w:lang w:val="es-ES_tradnl"/>
        </w:rPr>
        <w:t xml:space="preserve">sobre IA para el Bien de 2026. </w:t>
      </w:r>
      <w:hyperlink r:id="rId40">
        <w:r w:rsidRPr="00CB50D8">
          <w:rPr>
            <w:rStyle w:val="Hyperlink"/>
            <w:lang w:val="es-ES_tradnl"/>
          </w:rPr>
          <w:t>El mapa de conectividad para alerta temprana</w:t>
        </w:r>
      </w:hyperlink>
      <w:r w:rsidR="00442C83" w:rsidRPr="00CB50D8">
        <w:rPr>
          <w:lang w:val="es-ES_tradnl"/>
        </w:rPr>
        <w:t xml:space="preserve"> (</w:t>
      </w:r>
      <w:proofErr w:type="spellStart"/>
      <w:r w:rsidR="00442C83" w:rsidRPr="00CB50D8">
        <w:rPr>
          <w:lang w:val="es-ES_tradnl"/>
        </w:rPr>
        <w:t>E</w:t>
      </w:r>
      <w:r w:rsidRPr="00CB50D8">
        <w:rPr>
          <w:lang w:val="es-ES_tradnl"/>
        </w:rPr>
        <w:t>WCM</w:t>
      </w:r>
      <w:proofErr w:type="spellEnd"/>
      <w:r w:rsidRPr="00CB50D8">
        <w:rPr>
          <w:lang w:val="es-ES_tradnl"/>
        </w:rPr>
        <w:t>, por sus siglas en inglés) es una herramienta de IA que permite visualizar los lugares en los que hallan personas dentro de una zona de cobertura, y lugares sin conectividad que dejan a la población fuera del alcance de las alertas móviles</w:t>
      </w:r>
      <w:r w:rsidRPr="00CB50D8">
        <w:rPr>
          <w:lang w:val="es-ES_tradnl" w:eastAsia="zh-CN"/>
        </w:rPr>
        <w:t xml:space="preserve">. </w:t>
      </w:r>
      <w:r w:rsidRPr="00CB50D8">
        <w:rPr>
          <w:lang w:val="es-ES_tradnl"/>
        </w:rPr>
        <w:t xml:space="preserve">Se dispone de resultados para 33 países que participan en la iniciativa </w:t>
      </w:r>
      <w:proofErr w:type="spellStart"/>
      <w:r w:rsidRPr="00CB50D8">
        <w:rPr>
          <w:lang w:val="es-ES_tradnl"/>
        </w:rPr>
        <w:t>EW4All</w:t>
      </w:r>
      <w:proofErr w:type="spellEnd"/>
      <w:r w:rsidRPr="00CB50D8">
        <w:rPr>
          <w:lang w:val="es-ES_tradnl"/>
        </w:rPr>
        <w:t>, y actualmente se llevan a cabo varias actividades de transferencia de capacidad (por ejemplo, formación de organismos de reglamentación en Somalia y Madagascar).</w:t>
      </w:r>
    </w:p>
    <w:p w14:paraId="5E1F7115" w14:textId="77777777" w:rsidR="00207B78" w:rsidRPr="00CB50D8" w:rsidRDefault="00207B78" w:rsidP="00207B78">
      <w:pPr>
        <w:pStyle w:val="Headingb"/>
        <w:rPr>
          <w:lang w:val="es-ES_tradnl" w:eastAsia="zh-CN"/>
        </w:rPr>
      </w:pPr>
      <w:r w:rsidRPr="00CB50D8">
        <w:rPr>
          <w:lang w:val="es-ES_tradnl" w:eastAsia="zh-CN"/>
        </w:rPr>
        <w:t>Otros trabajos relacionados con el conocimiento</w:t>
      </w:r>
    </w:p>
    <w:p w14:paraId="77421C93" w14:textId="6CBACC72" w:rsidR="00207B78" w:rsidRPr="00CB50D8" w:rsidRDefault="00207B78" w:rsidP="00C741C0">
      <w:pPr>
        <w:jc w:val="both"/>
        <w:rPr>
          <w:lang w:val="es-ES_tradnl" w:eastAsia="zh-CN"/>
        </w:rPr>
      </w:pPr>
      <w:r w:rsidRPr="00CB50D8">
        <w:rPr>
          <w:lang w:val="es-ES_tradnl"/>
        </w:rPr>
        <w:t xml:space="preserve">En el marco de </w:t>
      </w:r>
      <w:hyperlink r:id="rId41" w:anchor="/es" w:history="1">
        <w:r w:rsidRPr="00CB50D8">
          <w:rPr>
            <w:rStyle w:val="Hyperlink"/>
            <w:lang w:val="es-ES_tradnl"/>
          </w:rPr>
          <w:t>la Iniciativa Unidos por las Ciudades Inteligentes y Sostenibles (</w:t>
        </w:r>
        <w:proofErr w:type="spellStart"/>
        <w:r w:rsidRPr="00CB50D8">
          <w:rPr>
            <w:rStyle w:val="Hyperlink"/>
            <w:lang w:val="es-ES_tradnl"/>
          </w:rPr>
          <w:t>U4SSC</w:t>
        </w:r>
        <w:proofErr w:type="spellEnd"/>
        <w:r w:rsidR="00442C83" w:rsidRPr="00CB50D8">
          <w:rPr>
            <w:rStyle w:val="Hyperlink"/>
            <w:lang w:val="es-ES_tradnl"/>
          </w:rPr>
          <w:t>)</w:t>
        </w:r>
      </w:hyperlink>
      <w:r w:rsidRPr="00CB50D8">
        <w:rPr>
          <w:lang w:val="es-ES_tradnl"/>
        </w:rPr>
        <w:t xml:space="preserve">, un Grupo Temático sobre IA para ciudades, entre otros grupos de trabajo conexos, lleva a cabo estudios sobre enfoques innovadores basados en la Inteligencia Artificial, funciones de IA </w:t>
      </w:r>
      <w:r w:rsidRPr="00CB50D8">
        <w:rPr>
          <w:lang w:val="es-ES_tradnl"/>
        </w:rPr>
        <w:lastRenderedPageBreak/>
        <w:t xml:space="preserve">agéntica y nuevas fuentes de datos para mejorar la medición, la precisión y la puntualidad de los indicadores de rendimiento urbano. La iniciativa </w:t>
      </w:r>
      <w:hyperlink r:id="rId42" w:history="1">
        <w:r w:rsidRPr="005F4966">
          <w:rPr>
            <w:rStyle w:val="Hyperlink"/>
            <w:i/>
            <w:iCs/>
            <w:lang w:val="es-ES_tradnl"/>
          </w:rPr>
          <w:t xml:space="preserve">Green Digital </w:t>
        </w:r>
        <w:proofErr w:type="spellStart"/>
        <w:r w:rsidRPr="005F4966">
          <w:rPr>
            <w:rStyle w:val="Hyperlink"/>
            <w:i/>
            <w:iCs/>
            <w:lang w:val="es-ES_tradnl"/>
          </w:rPr>
          <w:t>Action</w:t>
        </w:r>
        <w:proofErr w:type="spellEnd"/>
      </w:hyperlink>
      <w:r w:rsidRPr="00CB50D8">
        <w:rPr>
          <w:lang w:val="es-ES_tradnl"/>
        </w:rPr>
        <w:t xml:space="preserve"> constituyó un subgrupo de trabajo sobre IA sostenible para identificar lagunas en la medición y comprobación de cargas de trabajo de IA a fin de tener una comprensión más cabal de la huella medioambiental</w:t>
      </w:r>
      <w:r w:rsidRPr="00CB50D8">
        <w:rPr>
          <w:lang w:val="es-ES_tradnl" w:eastAsia="zh-CN"/>
        </w:rPr>
        <w:t xml:space="preserve">. </w:t>
      </w:r>
      <w:r w:rsidRPr="00CB50D8">
        <w:rPr>
          <w:lang w:val="es-ES_tradnl"/>
        </w:rPr>
        <w:t xml:space="preserve">El grupo publicó el informe </w:t>
      </w:r>
      <w:hyperlink r:id="rId43" w:history="1">
        <w:proofErr w:type="spellStart"/>
        <w:r w:rsidRPr="005F4966">
          <w:rPr>
            <w:rStyle w:val="Hyperlink"/>
            <w:i/>
            <w:iCs/>
            <w:lang w:val="es-ES_tradnl"/>
          </w:rPr>
          <w:t>Measuring</w:t>
        </w:r>
        <w:proofErr w:type="spellEnd"/>
        <w:r w:rsidRPr="005F4966">
          <w:rPr>
            <w:rStyle w:val="Hyperlink"/>
            <w:i/>
            <w:iCs/>
            <w:lang w:val="es-ES_tradnl"/>
          </w:rPr>
          <w:t xml:space="preserve"> </w:t>
        </w:r>
        <w:proofErr w:type="spellStart"/>
        <w:r w:rsidRPr="005F4966">
          <w:rPr>
            <w:rStyle w:val="Hyperlink"/>
            <w:i/>
            <w:iCs/>
            <w:lang w:val="es-ES_tradnl"/>
          </w:rPr>
          <w:t>What</w:t>
        </w:r>
        <w:proofErr w:type="spellEnd"/>
        <w:r w:rsidRPr="005F4966">
          <w:rPr>
            <w:rStyle w:val="Hyperlink"/>
            <w:i/>
            <w:iCs/>
            <w:lang w:val="es-ES_tradnl"/>
          </w:rPr>
          <w:t xml:space="preserve"> Matters: How to </w:t>
        </w:r>
        <w:proofErr w:type="spellStart"/>
        <w:r w:rsidRPr="005F4966">
          <w:rPr>
            <w:rStyle w:val="Hyperlink"/>
            <w:i/>
            <w:iCs/>
            <w:lang w:val="es-ES_tradnl"/>
          </w:rPr>
          <w:t>Assess</w:t>
        </w:r>
        <w:proofErr w:type="spellEnd"/>
        <w:r w:rsidRPr="005F4966">
          <w:rPr>
            <w:rStyle w:val="Hyperlink"/>
            <w:i/>
            <w:iCs/>
            <w:lang w:val="es-ES_tradnl"/>
          </w:rPr>
          <w:t xml:space="preserve"> </w:t>
        </w:r>
        <w:proofErr w:type="spellStart"/>
        <w:r w:rsidRPr="005F4966">
          <w:rPr>
            <w:rStyle w:val="Hyperlink"/>
            <w:i/>
            <w:iCs/>
            <w:lang w:val="es-ES_tradnl"/>
          </w:rPr>
          <w:t>AI's</w:t>
        </w:r>
        <w:proofErr w:type="spellEnd"/>
        <w:r w:rsidRPr="005F4966">
          <w:rPr>
            <w:rStyle w:val="Hyperlink"/>
            <w:i/>
            <w:iCs/>
            <w:lang w:val="es-ES_tradnl"/>
          </w:rPr>
          <w:t xml:space="preserve"> </w:t>
        </w:r>
        <w:proofErr w:type="spellStart"/>
        <w:r w:rsidRPr="005F4966">
          <w:rPr>
            <w:rStyle w:val="Hyperlink"/>
            <w:i/>
            <w:iCs/>
            <w:lang w:val="es-ES_tradnl"/>
          </w:rPr>
          <w:t>Environmental</w:t>
        </w:r>
        <w:proofErr w:type="spellEnd"/>
        <w:r w:rsidRPr="005F4966">
          <w:rPr>
            <w:rStyle w:val="Hyperlink"/>
            <w:i/>
            <w:iCs/>
            <w:lang w:val="es-ES_tradnl"/>
          </w:rPr>
          <w:t xml:space="preserve"> </w:t>
        </w:r>
        <w:proofErr w:type="spellStart"/>
        <w:r w:rsidRPr="005F4966">
          <w:rPr>
            <w:rStyle w:val="Hyperlink"/>
            <w:i/>
            <w:iCs/>
            <w:lang w:val="es-ES_tradnl"/>
          </w:rPr>
          <w:t>Impact</w:t>
        </w:r>
        <w:proofErr w:type="spellEnd"/>
      </w:hyperlink>
      <w:r w:rsidRPr="00CB50D8">
        <w:rPr>
          <w:lang w:val="es-ES_tradnl"/>
        </w:rPr>
        <w:t xml:space="preserve"> y creó un </w:t>
      </w:r>
      <w:hyperlink r:id="rId44" w:history="1">
        <w:r w:rsidRPr="00CB50D8">
          <w:rPr>
            <w:rStyle w:val="Hyperlink"/>
            <w:lang w:val="es-ES_tradnl"/>
          </w:rPr>
          <w:t>repositorio de libre acceso</w:t>
        </w:r>
      </w:hyperlink>
      <w:r w:rsidRPr="00CB50D8">
        <w:rPr>
          <w:lang w:val="es-ES_tradnl"/>
        </w:rPr>
        <w:t xml:space="preserve"> con una lista de prácticas de software sostenible. </w:t>
      </w:r>
      <w:hyperlink r:id="rId45" w:anchor="/es" w:history="1">
        <w:r w:rsidRPr="00CB50D8">
          <w:rPr>
            <w:rStyle w:val="Hyperlink"/>
            <w:lang w:val="es-ES_tradnl" w:eastAsia="zh-CN"/>
          </w:rPr>
          <w:t>El Órgano Consultivo Académico sobre Tecnologías Incipientes</w:t>
        </w:r>
      </w:hyperlink>
      <w:r w:rsidRPr="00CB50D8">
        <w:rPr>
          <w:lang w:val="es-ES_tradnl" w:eastAsia="zh-CN"/>
        </w:rPr>
        <w:t xml:space="preserve"> ha creado un grupo temático dedicado a la IA, que actualmente elabora un informe centrado en áreas clave como los nuevos paradigmas de computación, la inteligencia artificial general y la sostenibilidad. </w:t>
      </w:r>
      <w:hyperlink r:id="rId46" w:history="1">
        <w:r w:rsidRPr="00CB50D8">
          <w:rPr>
            <w:rStyle w:val="Hyperlink"/>
            <w:lang w:val="es-ES_tradnl" w:eastAsia="zh-CN"/>
          </w:rPr>
          <w:t>La Junta Asesora de la Juventud</w:t>
        </w:r>
      </w:hyperlink>
      <w:r w:rsidRPr="00CB50D8">
        <w:rPr>
          <w:lang w:val="es-ES_tradnl" w:eastAsia="zh-CN"/>
        </w:rPr>
        <w:t xml:space="preserve"> ha proporcionado diversas recomendaciones a la Secretaria General sobre cuestiones y tendencias de IA.</w:t>
      </w:r>
    </w:p>
    <w:p w14:paraId="3E4F2D76" w14:textId="77777777" w:rsidR="00207B78" w:rsidRPr="00CB50D8" w:rsidRDefault="00207B78" w:rsidP="00207B78">
      <w:pPr>
        <w:pStyle w:val="Headingb"/>
        <w:rPr>
          <w:lang w:val="es-ES_tradnl"/>
        </w:rPr>
      </w:pPr>
      <w:r w:rsidRPr="00CB50D8">
        <w:rPr>
          <w:lang w:val="es-ES_tradnl"/>
        </w:rPr>
        <w:t xml:space="preserve">Grupo de </w:t>
      </w:r>
      <w:r w:rsidRPr="00CB50D8">
        <w:rPr>
          <w:color w:val="000000" w:themeColor="text1"/>
          <w:lang w:val="es-ES_tradnl"/>
        </w:rPr>
        <w:t xml:space="preserve">expertos </w:t>
      </w:r>
      <w:r w:rsidRPr="00CB50D8">
        <w:rPr>
          <w:lang w:val="es-ES_tradnl"/>
        </w:rPr>
        <w:t>científicos y diálogo sobre gobernanza de la IA</w:t>
      </w:r>
    </w:p>
    <w:p w14:paraId="7E8FDDA8" w14:textId="66A75574" w:rsidR="00207B78" w:rsidRPr="00CB50D8" w:rsidRDefault="00207B78" w:rsidP="00C741C0">
      <w:pPr>
        <w:jc w:val="both"/>
        <w:rPr>
          <w:lang w:val="es-ES_tradnl" w:eastAsia="zh-CN"/>
        </w:rPr>
      </w:pPr>
      <w:r w:rsidRPr="00CB50D8">
        <w:rPr>
          <w:lang w:val="es-ES_tradnl"/>
        </w:rPr>
        <w:t xml:space="preserve">La UIT forma parte de la secretaría conjunta de los dos procesos establecidos a escala mundial por la Asamblea General de las Naciones Unidas </w:t>
      </w:r>
      <w:r w:rsidRPr="00CB50D8">
        <w:rPr>
          <w:lang w:val="es-ES_tradnl" w:eastAsia="zh-CN"/>
        </w:rPr>
        <w:t>(</w:t>
      </w:r>
      <w:proofErr w:type="spellStart"/>
      <w:r w:rsidRPr="00CB50D8">
        <w:rPr>
          <w:lang w:val="es-ES_tradnl" w:eastAsia="zh-CN"/>
        </w:rPr>
        <w:t>AGNU</w:t>
      </w:r>
      <w:proofErr w:type="spellEnd"/>
      <w:r w:rsidRPr="00CB50D8">
        <w:rPr>
          <w:lang w:val="es-ES_tradnl"/>
        </w:rPr>
        <w:t xml:space="preserve">) en el marco de su </w:t>
      </w:r>
      <w:r w:rsidRPr="00CB50D8">
        <w:rPr>
          <w:rFonts w:eastAsiaTheme="minorHAnsi" w:cstheme="minorBidi"/>
          <w:szCs w:val="22"/>
          <w:lang w:val="es-ES_tradnl"/>
        </w:rPr>
        <w:t>Resolución</w:t>
      </w:r>
      <w:r w:rsidR="005F4966">
        <w:rPr>
          <w:rFonts w:eastAsiaTheme="minorHAnsi" w:cstheme="minorBidi"/>
          <w:szCs w:val="22"/>
          <w:lang w:val="es-ES_tradnl"/>
        </w:rPr>
        <w:t> </w:t>
      </w:r>
      <w:hyperlink r:id="rId47" w:history="1">
        <w:r w:rsidRPr="00CB50D8">
          <w:rPr>
            <w:rStyle w:val="Hyperlink"/>
            <w:lang w:val="es-ES_tradnl"/>
          </w:rPr>
          <w:t>A/RES/79/325</w:t>
        </w:r>
      </w:hyperlink>
      <w:r w:rsidRPr="00CB50D8">
        <w:rPr>
          <w:lang w:val="es-ES_tradnl"/>
        </w:rPr>
        <w:t xml:space="preserve">, a saber, el Diálogo Mundial sobre la Gobernanza de </w:t>
      </w:r>
      <w:r w:rsidRPr="00CB50D8">
        <w:rPr>
          <w:lang w:val="es-ES_tradnl" w:eastAsia="zh-CN"/>
        </w:rPr>
        <w:t xml:space="preserve">la IA </w:t>
      </w:r>
      <w:r w:rsidRPr="00CB50D8">
        <w:rPr>
          <w:lang w:val="es-ES_tradnl"/>
        </w:rPr>
        <w:t xml:space="preserve">y el Grupo internacional de expertos científicos sobre IA. Los demás miembros de dicha secretaría conjunta son la UNESCO y la Oficina del Enviado del Secretario General de </w:t>
      </w:r>
      <w:r w:rsidRPr="00CB50D8">
        <w:rPr>
          <w:lang w:val="es-ES_tradnl" w:eastAsia="zh-CN"/>
        </w:rPr>
        <w:t xml:space="preserve">las Naciones </w:t>
      </w:r>
      <w:r w:rsidRPr="00CB50D8">
        <w:rPr>
          <w:lang w:val="es-ES_tradnl"/>
        </w:rPr>
        <w:t xml:space="preserve">Unidas para </w:t>
      </w:r>
      <w:r w:rsidRPr="00CB50D8">
        <w:rPr>
          <w:lang w:val="es-ES_tradnl" w:eastAsia="zh-CN"/>
        </w:rPr>
        <w:t>la</w:t>
      </w:r>
      <w:r w:rsidRPr="00CB50D8">
        <w:rPr>
          <w:lang w:val="es-ES_tradnl"/>
        </w:rPr>
        <w:t xml:space="preserve"> Tecnología (ODET), con el apoyo de la Oficina Ejecutiva de la Secretaría General de </w:t>
      </w:r>
      <w:r w:rsidRPr="00CB50D8">
        <w:rPr>
          <w:lang w:val="es-ES_tradnl" w:eastAsia="zh-CN"/>
        </w:rPr>
        <w:t xml:space="preserve">las Naciones Unidas </w:t>
      </w:r>
      <w:r w:rsidRPr="00CB50D8">
        <w:rPr>
          <w:lang w:val="es-ES_tradnl"/>
        </w:rPr>
        <w:t>(</w:t>
      </w:r>
      <w:proofErr w:type="spellStart"/>
      <w:r w:rsidRPr="00CB50D8">
        <w:rPr>
          <w:lang w:val="es-ES_tradnl"/>
        </w:rPr>
        <w:t>OESG</w:t>
      </w:r>
      <w:proofErr w:type="spellEnd"/>
      <w:r w:rsidRPr="00CB50D8">
        <w:rPr>
          <w:lang w:val="es-ES_tradnl"/>
        </w:rPr>
        <w:t>)</w:t>
      </w:r>
      <w:r w:rsidRPr="00CB50D8">
        <w:rPr>
          <w:lang w:val="es-ES_tradnl" w:eastAsia="zh-CN"/>
        </w:rPr>
        <w:t>.</w:t>
      </w:r>
    </w:p>
    <w:p w14:paraId="70377568" w14:textId="4EFC5790" w:rsidR="00207B78" w:rsidRPr="00CB50D8" w:rsidRDefault="00207B78" w:rsidP="00C741C0">
      <w:pPr>
        <w:jc w:val="both"/>
        <w:rPr>
          <w:lang w:val="es-ES_tradnl" w:eastAsia="zh-CN"/>
        </w:rPr>
      </w:pPr>
      <w:r w:rsidRPr="00CB50D8">
        <w:rPr>
          <w:lang w:val="es-ES_tradnl"/>
        </w:rPr>
        <w:t xml:space="preserve">El </w:t>
      </w:r>
      <w:hyperlink r:id="rId48">
        <w:r w:rsidRPr="00CB50D8">
          <w:rPr>
            <w:rStyle w:val="Hyperlink"/>
            <w:lang w:val="es-ES_tradnl"/>
          </w:rPr>
          <w:t>Diálogo Mundial</w:t>
        </w:r>
      </w:hyperlink>
      <w:r w:rsidRPr="00CB50D8">
        <w:rPr>
          <w:lang w:val="es-ES_tradnl"/>
        </w:rPr>
        <w:t xml:space="preserve"> inaugural de las Naciones Unidas </w:t>
      </w:r>
      <w:hyperlink r:id="rId49">
        <w:r w:rsidRPr="00CB50D8">
          <w:rPr>
            <w:rStyle w:val="Hyperlink"/>
            <w:lang w:val="es-ES_tradnl"/>
          </w:rPr>
          <w:t>sobre Gobernanza de la IA</w:t>
        </w:r>
      </w:hyperlink>
      <w:r w:rsidRPr="00CB50D8">
        <w:rPr>
          <w:lang w:val="es-ES_tradnl"/>
        </w:rPr>
        <w:t xml:space="preserve"> tendrá lugar en el Centro Internacional de Exposiciones y Congresos de Palexpo en Ginebra (Suiza), el 6 </w:t>
      </w:r>
      <w:r w:rsidR="005F4966">
        <w:rPr>
          <w:lang w:val="es-ES_tradnl"/>
        </w:rPr>
        <w:t xml:space="preserve">y </w:t>
      </w:r>
      <w:r w:rsidRPr="00CB50D8">
        <w:rPr>
          <w:lang w:val="es-ES_tradnl"/>
        </w:rPr>
        <w:t xml:space="preserve">7 de </w:t>
      </w:r>
      <w:r w:rsidRPr="00CB50D8">
        <w:rPr>
          <w:lang w:val="es-ES_tradnl" w:eastAsia="zh-CN"/>
        </w:rPr>
        <w:t>julio</w:t>
      </w:r>
      <w:r w:rsidRPr="00CB50D8">
        <w:rPr>
          <w:lang w:val="es-ES_tradnl"/>
        </w:rPr>
        <w:t xml:space="preserve"> de 2026, y se celebrará de forma simultánea a la Cumbre Mundial </w:t>
      </w:r>
      <w:r w:rsidRPr="00FC7087">
        <w:rPr>
          <w:i/>
          <w:iCs/>
          <w:lang w:val="es-ES_tradnl"/>
        </w:rPr>
        <w:t>AI for Good</w:t>
      </w:r>
      <w:r w:rsidRPr="00CB50D8">
        <w:rPr>
          <w:lang w:val="es-ES_tradnl"/>
        </w:rPr>
        <w:t xml:space="preserve">. El Diálogo será facilitado por el Secretario General de la ONU, y la UIT coordinará los trabajos conexos con la UNESCO, en estrecha colaboración con los copresidentes, a saber, los representantes permanentes de El Salvador y Estonia ante las Naciones Unidas en Nueva York, con el apoyo de </w:t>
      </w:r>
      <w:proofErr w:type="spellStart"/>
      <w:r w:rsidRPr="00CB50D8">
        <w:rPr>
          <w:lang w:val="es-ES_tradnl"/>
        </w:rPr>
        <w:t>EOSG</w:t>
      </w:r>
      <w:proofErr w:type="spellEnd"/>
      <w:r w:rsidRPr="00CB50D8">
        <w:rPr>
          <w:lang w:val="es-ES_tradnl"/>
        </w:rPr>
        <w:t xml:space="preserve"> y la ODET. La Secretaría General de las Naciones Unidas ha cursado cartas de invitación a los Estados Miembros, y las invitaciones a otras partes interesadas se publicarán </w:t>
      </w:r>
      <w:hyperlink r:id="rId50">
        <w:r w:rsidRPr="00CB50D8">
          <w:rPr>
            <w:rStyle w:val="Hyperlink"/>
            <w:lang w:val="es-ES_tradnl"/>
          </w:rPr>
          <w:t>en el sitio web del Diálogo Mundial</w:t>
        </w:r>
      </w:hyperlink>
      <w:r w:rsidRPr="00CB50D8">
        <w:rPr>
          <w:lang w:val="es-ES_tradnl"/>
        </w:rPr>
        <w:t>.</w:t>
      </w:r>
    </w:p>
    <w:p w14:paraId="1AA00EE5" w14:textId="77777777" w:rsidR="00207B78" w:rsidRPr="00CB50D8" w:rsidRDefault="00207B78" w:rsidP="00C741C0">
      <w:pPr>
        <w:jc w:val="both"/>
        <w:rPr>
          <w:lang w:val="es-ES_tradnl"/>
        </w:rPr>
      </w:pPr>
      <w:r w:rsidRPr="00CB50D8">
        <w:rPr>
          <w:lang w:val="es-ES_tradnl"/>
        </w:rPr>
        <w:t xml:space="preserve">Se ha publicado una </w:t>
      </w:r>
      <w:hyperlink r:id="rId51" w:history="1">
        <w:r w:rsidRPr="00CB50D8">
          <w:rPr>
            <w:rStyle w:val="Hyperlink"/>
            <w:lang w:val="es-ES_tradnl"/>
          </w:rPr>
          <w:t>hoja de ruta</w:t>
        </w:r>
      </w:hyperlink>
      <w:r w:rsidRPr="00CB50D8">
        <w:rPr>
          <w:lang w:val="es-ES_tradnl"/>
        </w:rPr>
        <w:t xml:space="preserve"> en la que se esboza el proceso de consulta con los Estados miembros y todas las partes interesadas pertinentes, con el objetivo de informar sobre los temas, la estructura y el programa del Diálogo. Las consultas ya están en marcha, incluidos los compromisos (tanto presenciales como virtuales) con los Estados Miembros, las consultas a las partes </w:t>
      </w:r>
      <w:r w:rsidRPr="00CB50D8">
        <w:rPr>
          <w:lang w:val="es-ES_tradnl" w:eastAsia="zh-CN"/>
        </w:rPr>
        <w:t>interesadas</w:t>
      </w:r>
      <w:r w:rsidRPr="00CB50D8">
        <w:rPr>
          <w:lang w:val="es-ES_tradnl"/>
        </w:rPr>
        <w:t xml:space="preserve"> con un conjunto amplio y diverso de participantes, celebradas con India </w:t>
      </w:r>
      <w:r w:rsidRPr="00FC7087">
        <w:rPr>
          <w:i/>
          <w:iCs/>
          <w:lang w:val="es-ES_tradnl"/>
        </w:rPr>
        <w:t xml:space="preserve">AI </w:t>
      </w:r>
      <w:proofErr w:type="spellStart"/>
      <w:r w:rsidRPr="00FC7087">
        <w:rPr>
          <w:i/>
          <w:iCs/>
          <w:lang w:val="es-ES_tradnl"/>
        </w:rPr>
        <w:t>Impact</w:t>
      </w:r>
      <w:proofErr w:type="spellEnd"/>
      <w:r w:rsidRPr="00FC7087">
        <w:rPr>
          <w:i/>
          <w:iCs/>
          <w:lang w:val="es-ES_tradnl"/>
        </w:rPr>
        <w:t xml:space="preserve"> Summit</w:t>
      </w:r>
      <w:r w:rsidRPr="00CB50D8">
        <w:rPr>
          <w:lang w:val="es-ES_tradnl"/>
        </w:rPr>
        <w:t xml:space="preserve"> y mediante formatos virtuales, así como consultas en todo el sistema de las Naciones Unidas en el marco del </w:t>
      </w:r>
      <w:proofErr w:type="spellStart"/>
      <w:r w:rsidRPr="00CB50D8">
        <w:rPr>
          <w:lang w:val="es-ES_tradnl"/>
        </w:rPr>
        <w:t>IAWG</w:t>
      </w:r>
      <w:proofErr w:type="spellEnd"/>
      <w:r w:rsidRPr="00CB50D8">
        <w:rPr>
          <w:lang w:val="es-ES_tradnl"/>
        </w:rPr>
        <w:t xml:space="preserve">-AI. Se prevén varias consultas adicionales en los próximos meses. A raíz de esas consultas, los copresidentes visitarán Ginebra en abril para seguir dialogando con las principales partes interesadas, incluidas las Misiones Permanentes, las organizaciones internacionales y la comunidad más amplia de partes interesadas con sede en Ginebra. Se ha puesto en marcha un </w:t>
      </w:r>
      <w:hyperlink r:id="rId52" w:history="1">
        <w:r w:rsidRPr="00CB50D8">
          <w:rPr>
            <w:rStyle w:val="Hyperlink"/>
            <w:lang w:val="es-ES_tradnl"/>
          </w:rPr>
          <w:t>portal en línea</w:t>
        </w:r>
      </w:hyperlink>
      <w:r w:rsidRPr="00CB50D8">
        <w:rPr>
          <w:lang w:val="es-ES_tradnl"/>
        </w:rPr>
        <w:t xml:space="preserve"> específico para recabar las contribuciones escritas que servirán de base al Diálogo Mundial.</w:t>
      </w:r>
    </w:p>
    <w:p w14:paraId="09682144" w14:textId="5ED9474D" w:rsidR="00207B78" w:rsidRPr="00CB50D8" w:rsidRDefault="00207B78" w:rsidP="00C741C0">
      <w:pPr>
        <w:jc w:val="both"/>
        <w:rPr>
          <w:lang w:val="es-ES_tradnl" w:eastAsia="zh-CN"/>
        </w:rPr>
      </w:pPr>
      <w:r w:rsidRPr="00CB50D8">
        <w:rPr>
          <w:lang w:val="es-ES_tradnl" w:eastAsia="zh-CN"/>
        </w:rPr>
        <w:t xml:space="preserve">En el marco de la secretaría conjunta del </w:t>
      </w:r>
      <w:hyperlink r:id="rId53" w:history="1">
        <w:r w:rsidRPr="00CB50D8">
          <w:rPr>
            <w:rStyle w:val="Hyperlink"/>
            <w:lang w:val="es-ES_tradnl" w:eastAsia="zh-CN"/>
          </w:rPr>
          <w:t>Grupo internacional de expertos científicos sobre Inteligencia Artificial</w:t>
        </w:r>
      </w:hyperlink>
      <w:r w:rsidRPr="00CB50D8">
        <w:rPr>
          <w:lang w:val="es-ES_tradnl" w:eastAsia="zh-CN"/>
        </w:rPr>
        <w:t xml:space="preserve">, la UIT ha participado activamente en el establecimiento de dicho Grupo, y ha desempeñado un papel fundamental en el proceso de selección en el marco del </w:t>
      </w:r>
      <w:proofErr w:type="spellStart"/>
      <w:r w:rsidRPr="00CB50D8">
        <w:rPr>
          <w:lang w:val="es-ES_tradnl" w:eastAsia="zh-CN"/>
        </w:rPr>
        <w:t>IAWG</w:t>
      </w:r>
      <w:proofErr w:type="spellEnd"/>
      <w:r w:rsidRPr="00CB50D8">
        <w:rPr>
          <w:lang w:val="es-ES_tradnl" w:eastAsia="zh-CN"/>
        </w:rPr>
        <w:t xml:space="preserve">-AI para facilitar la coordinación en todo el sistema. La UIT colabora estrechamente con ODET y la UNESCO para facilitar la puesta en marcha del Grupo. La primera reunión del Grupo, </w:t>
      </w:r>
      <w:r w:rsidRPr="00CB50D8">
        <w:rPr>
          <w:lang w:val="es-ES_tradnl" w:eastAsia="zh-CN"/>
        </w:rPr>
        <w:lastRenderedPageBreak/>
        <w:t>celebrada virtualmente el 3 de marzo, congregó al Secretario General de las Naciones Unidas y a los directores de los organismos de la secretaría conjunta. Actualmente se llevan a cabo los preparativos de la primera reunión presencial, prevista en Madrid del 22 al 24 de abril. La secretaría conjunta colabora estrechamente con los copresidentes del Grupo en la creación de grupos de trabajo temáticos, entre otras actividades sustantivas. Se prevé que el primer informe anual del Grupo se presente en el Diálogo Mundial sobre Gobernanza de la</w:t>
      </w:r>
      <w:r w:rsidR="00FD78DF" w:rsidRPr="00CB50D8">
        <w:rPr>
          <w:lang w:val="es-ES_tradnl" w:eastAsia="zh-CN"/>
        </w:rPr>
        <w:t> </w:t>
      </w:r>
      <w:r w:rsidRPr="00CB50D8">
        <w:rPr>
          <w:lang w:val="es-ES_tradnl" w:eastAsia="zh-CN"/>
        </w:rPr>
        <w:t>IA.</w:t>
      </w:r>
    </w:p>
    <w:p w14:paraId="7AD0D869" w14:textId="7E3121AD" w:rsidR="00207B78" w:rsidRPr="00CB50D8" w:rsidRDefault="00207B78" w:rsidP="00207B78">
      <w:pPr>
        <w:pStyle w:val="Headingb"/>
        <w:rPr>
          <w:lang w:val="es-ES_tradnl" w:eastAsia="zh-CN"/>
        </w:rPr>
      </w:pPr>
      <w:r w:rsidRPr="00CB50D8">
        <w:rPr>
          <w:lang w:val="es-ES_tradnl" w:eastAsia="zh-CN"/>
        </w:rPr>
        <w:t>Grupo de Trabajo Interinstitucional sobre I</w:t>
      </w:r>
      <w:r w:rsidR="00055D75">
        <w:rPr>
          <w:lang w:val="es-ES_tradnl" w:eastAsia="zh-CN"/>
        </w:rPr>
        <w:t>A</w:t>
      </w:r>
    </w:p>
    <w:p w14:paraId="390B2284" w14:textId="002C57B7" w:rsidR="00207B78" w:rsidRPr="00AF17F2" w:rsidRDefault="00207B78" w:rsidP="00C741C0">
      <w:pPr>
        <w:jc w:val="both"/>
        <w:rPr>
          <w:spacing w:val="-2"/>
          <w:lang w:val="es-ES_tradnl" w:eastAsia="zh-CN"/>
        </w:rPr>
      </w:pPr>
      <w:hyperlink r:id="rId54" w:history="1">
        <w:r w:rsidRPr="00AF17F2">
          <w:rPr>
            <w:rStyle w:val="Hyperlink"/>
            <w:spacing w:val="-2"/>
            <w:lang w:val="es-ES_tradnl"/>
          </w:rPr>
          <w:t>El Grupo de Trabajo Interinstitucional sobre IA</w:t>
        </w:r>
      </w:hyperlink>
      <w:r w:rsidRPr="00AF17F2">
        <w:rPr>
          <w:spacing w:val="-2"/>
          <w:lang w:val="es-ES_tradnl"/>
        </w:rPr>
        <w:t xml:space="preserve"> (</w:t>
      </w:r>
      <w:proofErr w:type="spellStart"/>
      <w:r w:rsidRPr="00AF17F2">
        <w:rPr>
          <w:spacing w:val="-2"/>
          <w:lang w:val="es-ES_tradnl"/>
        </w:rPr>
        <w:t>IAWG</w:t>
      </w:r>
      <w:proofErr w:type="spellEnd"/>
      <w:r w:rsidRPr="00AF17F2">
        <w:rPr>
          <w:spacing w:val="-2"/>
          <w:lang w:val="es-ES_tradnl"/>
        </w:rPr>
        <w:t>-AI</w:t>
      </w:r>
      <w:r w:rsidRPr="00AF17F2">
        <w:rPr>
          <w:spacing w:val="-2"/>
          <w:lang w:val="es-ES_tradnl" w:eastAsia="zh-CN"/>
        </w:rPr>
        <w:t>)</w:t>
      </w:r>
      <w:r w:rsidRPr="00AF17F2">
        <w:rPr>
          <w:spacing w:val="-2"/>
          <w:lang w:val="es-ES_tradnl"/>
        </w:rPr>
        <w:t xml:space="preserve">, constituido </w:t>
      </w:r>
      <w:r w:rsidRPr="00AF17F2">
        <w:rPr>
          <w:spacing w:val="-2"/>
          <w:lang w:val="es-ES_tradnl" w:eastAsia="zh-CN"/>
        </w:rPr>
        <w:t xml:space="preserve">inicialmente </w:t>
      </w:r>
      <w:r w:rsidRPr="00AF17F2">
        <w:rPr>
          <w:spacing w:val="-2"/>
          <w:lang w:val="es-ES_tradnl"/>
        </w:rPr>
        <w:t xml:space="preserve">por el Comité de Alto Nivel sobre Programas y copresidido por la UIT y la UNESCO, es el principal </w:t>
      </w:r>
      <w:r w:rsidRPr="00AF17F2">
        <w:rPr>
          <w:spacing w:val="-2"/>
          <w:lang w:val="es-ES_tradnl" w:eastAsia="zh-CN"/>
        </w:rPr>
        <w:t>coordinador</w:t>
      </w:r>
      <w:r w:rsidRPr="00AF17F2">
        <w:rPr>
          <w:spacing w:val="-2"/>
          <w:lang w:val="es-ES_tradnl"/>
        </w:rPr>
        <w:t xml:space="preserve"> de </w:t>
      </w:r>
      <w:r w:rsidRPr="00AF17F2">
        <w:rPr>
          <w:spacing w:val="-2"/>
          <w:lang w:val="es-ES_tradnl" w:eastAsia="zh-CN"/>
        </w:rPr>
        <w:t xml:space="preserve">más de </w:t>
      </w:r>
      <w:r w:rsidRPr="00AF17F2">
        <w:rPr>
          <w:spacing w:val="-2"/>
          <w:lang w:val="es-ES_tradnl"/>
        </w:rPr>
        <w:t>60 organismos de las Naciones Unidas</w:t>
      </w:r>
      <w:r w:rsidRPr="00AF17F2">
        <w:rPr>
          <w:spacing w:val="-2"/>
          <w:lang w:val="es-ES_tradnl" w:eastAsia="zh-CN"/>
        </w:rPr>
        <w:t xml:space="preserve">. El </w:t>
      </w:r>
      <w:proofErr w:type="spellStart"/>
      <w:r w:rsidRPr="00AF17F2">
        <w:rPr>
          <w:spacing w:val="-2"/>
          <w:lang w:val="es-ES_tradnl" w:eastAsia="zh-CN"/>
        </w:rPr>
        <w:t>IAWG</w:t>
      </w:r>
      <w:proofErr w:type="spellEnd"/>
      <w:r w:rsidRPr="00AF17F2">
        <w:rPr>
          <w:spacing w:val="-2"/>
          <w:lang w:val="es-ES_tradnl" w:eastAsia="zh-CN"/>
        </w:rPr>
        <w:t xml:space="preserve">-AI ha desarrollado </w:t>
      </w:r>
      <w:r w:rsidRPr="00AF17F2">
        <w:rPr>
          <w:spacing w:val="-2"/>
          <w:lang w:val="es-ES_tradnl"/>
        </w:rPr>
        <w:t xml:space="preserve">varios recursos a lo largo de los años, en particular los </w:t>
      </w:r>
      <w:hyperlink r:id="rId55" w:tgtFrame="_blank" w:history="1">
        <w:r w:rsidRPr="00AF17F2">
          <w:rPr>
            <w:rStyle w:val="Hyperlink"/>
            <w:spacing w:val="-2"/>
            <w:lang w:val="es-ES_tradnl"/>
          </w:rPr>
          <w:t>Principios éticos sobre IA del Sistema de las Naciones Unidas</w:t>
        </w:r>
      </w:hyperlink>
      <w:r w:rsidRPr="00AF17F2">
        <w:rPr>
          <w:spacing w:val="-2"/>
          <w:lang w:val="es-ES_tradnl"/>
        </w:rPr>
        <w:t xml:space="preserve">, el </w:t>
      </w:r>
      <w:hyperlink r:id="rId56" w:history="1">
        <w:r w:rsidRPr="00AF17F2">
          <w:rPr>
            <w:rStyle w:val="Hyperlink"/>
            <w:spacing w:val="-2"/>
            <w:lang w:val="es-ES_tradnl"/>
          </w:rPr>
          <w:t>Manual sobre gobernanza de IA del Sistema de las Naciones Unidas</w:t>
        </w:r>
      </w:hyperlink>
      <w:r w:rsidRPr="00AF17F2">
        <w:rPr>
          <w:spacing w:val="-2"/>
          <w:lang w:val="es-ES_tradnl"/>
        </w:rPr>
        <w:t xml:space="preserve"> y el </w:t>
      </w:r>
      <w:hyperlink r:id="rId57" w:history="1">
        <w:r w:rsidRPr="00AF17F2">
          <w:rPr>
            <w:rStyle w:val="Hyperlink"/>
            <w:spacing w:val="-2"/>
            <w:lang w:val="es-ES_tradnl"/>
          </w:rPr>
          <w:t>Centro de recursos de IA de las Naciones Unidas</w:t>
        </w:r>
      </w:hyperlink>
      <w:r w:rsidRPr="00AF17F2">
        <w:rPr>
          <w:spacing w:val="-2"/>
          <w:lang w:val="es-ES_tradnl"/>
        </w:rPr>
        <w:t xml:space="preserve">. Las Resoluciones de los Estados </w:t>
      </w:r>
      <w:r w:rsidR="00055D75" w:rsidRPr="00AF17F2">
        <w:rPr>
          <w:spacing w:val="-2"/>
          <w:lang w:val="es-ES_tradnl"/>
        </w:rPr>
        <w:t xml:space="preserve">Miembros </w:t>
      </w:r>
      <w:r w:rsidRPr="00AF17F2">
        <w:rPr>
          <w:spacing w:val="-2"/>
          <w:lang w:val="es-ES_tradnl"/>
        </w:rPr>
        <w:t xml:space="preserve">reconocen el trabajo del </w:t>
      </w:r>
      <w:proofErr w:type="spellStart"/>
      <w:r w:rsidRPr="00AF17F2">
        <w:rPr>
          <w:spacing w:val="-2"/>
          <w:lang w:val="es-ES_tradnl"/>
        </w:rPr>
        <w:t>IAWG</w:t>
      </w:r>
      <w:proofErr w:type="spellEnd"/>
      <w:r w:rsidRPr="00AF17F2">
        <w:rPr>
          <w:spacing w:val="-2"/>
          <w:lang w:val="es-ES_tradnl"/>
        </w:rPr>
        <w:t>-AI (en particular, la Res</w:t>
      </w:r>
      <w:r w:rsidR="00055D75" w:rsidRPr="00AF17F2">
        <w:rPr>
          <w:spacing w:val="-2"/>
          <w:lang w:val="es-ES_tradnl"/>
        </w:rPr>
        <w:t>olución</w:t>
      </w:r>
      <w:r w:rsidRPr="00AF17F2">
        <w:rPr>
          <w:spacing w:val="-2"/>
          <w:lang w:val="es-ES_tradnl"/>
        </w:rPr>
        <w:t xml:space="preserve"> 101 de la </w:t>
      </w:r>
      <w:proofErr w:type="spellStart"/>
      <w:r w:rsidRPr="00AF17F2">
        <w:rPr>
          <w:spacing w:val="-2"/>
          <w:lang w:val="es-ES_tradnl"/>
        </w:rPr>
        <w:t>AMNT</w:t>
      </w:r>
      <w:proofErr w:type="spellEnd"/>
      <w:r w:rsidRPr="00AF17F2">
        <w:rPr>
          <w:spacing w:val="-2"/>
          <w:lang w:val="es-ES_tradnl"/>
        </w:rPr>
        <w:t xml:space="preserve"> de la UIT (Nueva Delhi, 2024)</w:t>
      </w:r>
      <w:r w:rsidRPr="00AF17F2">
        <w:rPr>
          <w:spacing w:val="-2"/>
          <w:lang w:val="es-ES_tradnl" w:eastAsia="zh-CN"/>
        </w:rPr>
        <w:t xml:space="preserve">, </w:t>
      </w:r>
      <w:r w:rsidRPr="00AF17F2">
        <w:rPr>
          <w:spacing w:val="-2"/>
          <w:lang w:val="es-ES_tradnl"/>
        </w:rPr>
        <w:t>la Decisión 220 EX/41 de la UNESCO y la Res</w:t>
      </w:r>
      <w:r w:rsidR="00055D75" w:rsidRPr="00AF17F2">
        <w:rPr>
          <w:spacing w:val="-2"/>
          <w:lang w:val="es-ES_tradnl"/>
        </w:rPr>
        <w:t>olución</w:t>
      </w:r>
      <w:r w:rsidRPr="00AF17F2">
        <w:rPr>
          <w:spacing w:val="-2"/>
          <w:lang w:val="es-ES_tradnl"/>
        </w:rPr>
        <w:t xml:space="preserve"> 91 de la </w:t>
      </w:r>
      <w:proofErr w:type="spellStart"/>
      <w:r w:rsidRPr="00AF17F2">
        <w:rPr>
          <w:spacing w:val="-2"/>
          <w:lang w:val="es-ES_tradnl"/>
        </w:rPr>
        <w:t>CMDT</w:t>
      </w:r>
      <w:proofErr w:type="spellEnd"/>
      <w:r w:rsidRPr="00AF17F2">
        <w:rPr>
          <w:spacing w:val="-2"/>
          <w:lang w:val="es-ES_tradnl"/>
        </w:rPr>
        <w:t xml:space="preserve"> de la UIT (Bakú, 2025)). En virtud de la </w:t>
      </w:r>
      <w:hyperlink r:id="rId58" w:history="1">
        <w:r w:rsidRPr="00AF17F2">
          <w:rPr>
            <w:rStyle w:val="Hyperlink"/>
            <w:spacing w:val="-2"/>
            <w:lang w:val="es-ES_tradnl"/>
          </w:rPr>
          <w:t xml:space="preserve">resolución de la </w:t>
        </w:r>
        <w:proofErr w:type="spellStart"/>
        <w:r w:rsidRPr="00AF17F2">
          <w:rPr>
            <w:rStyle w:val="Hyperlink"/>
            <w:spacing w:val="-2"/>
            <w:lang w:val="es-ES_tradnl"/>
          </w:rPr>
          <w:t>AGNU</w:t>
        </w:r>
        <w:proofErr w:type="spellEnd"/>
        <w:r w:rsidRPr="00AF17F2">
          <w:rPr>
            <w:rStyle w:val="Hyperlink"/>
            <w:spacing w:val="-2"/>
            <w:lang w:val="es-ES_tradnl"/>
          </w:rPr>
          <w:t xml:space="preserve"> sobre las </w:t>
        </w:r>
        <w:r w:rsidR="00055D75" w:rsidRPr="00AF17F2">
          <w:rPr>
            <w:rStyle w:val="Hyperlink"/>
            <w:spacing w:val="-2"/>
            <w:lang w:val="es-ES_tradnl"/>
          </w:rPr>
          <w:t>m</w:t>
        </w:r>
        <w:r w:rsidRPr="00AF17F2">
          <w:rPr>
            <w:rStyle w:val="Hyperlink"/>
            <w:spacing w:val="-2"/>
            <w:lang w:val="es-ES_tradnl"/>
          </w:rPr>
          <w:t>odalidades de la IA</w:t>
        </w:r>
      </w:hyperlink>
      <w:r w:rsidRPr="00AF17F2">
        <w:rPr>
          <w:spacing w:val="-2"/>
          <w:lang w:val="es-ES_tradnl"/>
        </w:rPr>
        <w:t xml:space="preserve">, se pide a la Secretaría General de las Naciones Unidas que aproveche las capacidades de todo el sistema de las Naciones Unidas, incluido el </w:t>
      </w:r>
      <w:proofErr w:type="spellStart"/>
      <w:r w:rsidRPr="00AF17F2">
        <w:rPr>
          <w:spacing w:val="-2"/>
          <w:lang w:val="es-ES_tradnl"/>
        </w:rPr>
        <w:t>IAWG</w:t>
      </w:r>
      <w:proofErr w:type="spellEnd"/>
      <w:r w:rsidRPr="00AF17F2">
        <w:rPr>
          <w:spacing w:val="-2"/>
          <w:lang w:val="es-ES_tradnl"/>
        </w:rPr>
        <w:t>-AI, con respecto al Grupo internacional de expertos científicos sobre IA y el Diálogo Mundial sobre Gobernanza de la IA</w:t>
      </w:r>
      <w:r w:rsidRPr="00AF17F2">
        <w:rPr>
          <w:spacing w:val="-2"/>
          <w:lang w:val="es-ES_tradnl" w:eastAsia="zh-CN"/>
        </w:rPr>
        <w:t xml:space="preserve">. En el marco de la Resolución </w:t>
      </w:r>
      <w:hyperlink r:id="rId59" w:history="1">
        <w:r w:rsidRPr="00AF17F2">
          <w:rPr>
            <w:rStyle w:val="Hyperlink"/>
            <w:spacing w:val="-2"/>
            <w:lang w:val="es-ES_tradnl"/>
          </w:rPr>
          <w:t>A/RES/80/173</w:t>
        </w:r>
      </w:hyperlink>
      <w:r w:rsidRPr="00AF17F2">
        <w:rPr>
          <w:rFonts w:eastAsiaTheme="minorHAnsi" w:cstheme="minorBidi"/>
          <w:spacing w:val="-2"/>
          <w:szCs w:val="22"/>
          <w:lang w:val="es-ES_tradnl"/>
        </w:rPr>
        <w:t xml:space="preserve"> de</w:t>
      </w:r>
      <w:r w:rsidRPr="00AF17F2">
        <w:rPr>
          <w:spacing w:val="-2"/>
          <w:lang w:val="es-ES_tradnl"/>
        </w:rPr>
        <w:t xml:space="preserve"> la </w:t>
      </w:r>
      <w:proofErr w:type="spellStart"/>
      <w:r w:rsidRPr="00AF17F2">
        <w:rPr>
          <w:spacing w:val="-2"/>
          <w:lang w:val="es-ES_tradnl"/>
        </w:rPr>
        <w:t>AGNU</w:t>
      </w:r>
      <w:proofErr w:type="spellEnd"/>
      <w:r w:rsidRPr="00AF17F2">
        <w:rPr>
          <w:spacing w:val="-2"/>
          <w:lang w:val="es-ES_tradnl"/>
        </w:rPr>
        <w:t xml:space="preserve"> sobre la revisión de la </w:t>
      </w:r>
      <w:proofErr w:type="spellStart"/>
      <w:r w:rsidRPr="00AF17F2">
        <w:rPr>
          <w:spacing w:val="-2"/>
          <w:lang w:val="es-ES_tradnl"/>
        </w:rPr>
        <w:t>CMSI+20</w:t>
      </w:r>
      <w:proofErr w:type="spellEnd"/>
      <w:r w:rsidRPr="00AF17F2">
        <w:rPr>
          <w:spacing w:val="-2"/>
          <w:lang w:val="es-ES_tradnl"/>
        </w:rPr>
        <w:t xml:space="preserve">, se encarga </w:t>
      </w:r>
      <w:r w:rsidRPr="00AF17F2">
        <w:rPr>
          <w:spacing w:val="-2"/>
          <w:lang w:val="es-ES_tradnl" w:eastAsia="zh-CN"/>
        </w:rPr>
        <w:t xml:space="preserve">al </w:t>
      </w:r>
      <w:proofErr w:type="spellStart"/>
      <w:r w:rsidRPr="00AF17F2">
        <w:rPr>
          <w:spacing w:val="-2"/>
          <w:lang w:val="es-ES_tradnl" w:eastAsia="zh-CN"/>
        </w:rPr>
        <w:t>IAWG</w:t>
      </w:r>
      <w:proofErr w:type="spellEnd"/>
      <w:r w:rsidRPr="00AF17F2">
        <w:rPr>
          <w:spacing w:val="-2"/>
          <w:lang w:val="es-ES_tradnl" w:eastAsia="zh-CN"/>
        </w:rPr>
        <w:t xml:space="preserve">-AI </w:t>
      </w:r>
      <w:r w:rsidRPr="00AF17F2">
        <w:rPr>
          <w:spacing w:val="-2"/>
          <w:lang w:val="es-ES_tradnl"/>
        </w:rPr>
        <w:t xml:space="preserve">que analice las iniciativas de las Naciones Unidas para el desarrollo de capacidades y el establecimiento de becas y programas de investigación sobre </w:t>
      </w:r>
      <w:r w:rsidR="00FC7087">
        <w:rPr>
          <w:spacing w:val="-2"/>
          <w:lang w:val="es-ES_tradnl"/>
        </w:rPr>
        <w:t>IA</w:t>
      </w:r>
      <w:r w:rsidRPr="00AF17F2">
        <w:rPr>
          <w:spacing w:val="-2"/>
          <w:lang w:val="es-ES_tradnl"/>
        </w:rPr>
        <w:t xml:space="preserve">. </w:t>
      </w:r>
      <w:r w:rsidRPr="00AF17F2">
        <w:rPr>
          <w:spacing w:val="-2"/>
          <w:lang w:val="es-ES_tradnl" w:eastAsia="zh-CN"/>
        </w:rPr>
        <w:t xml:space="preserve">El </w:t>
      </w:r>
      <w:proofErr w:type="spellStart"/>
      <w:r w:rsidRPr="00AF17F2">
        <w:rPr>
          <w:spacing w:val="-2"/>
          <w:lang w:val="es-ES_tradnl" w:eastAsia="zh-CN"/>
        </w:rPr>
        <w:t>IAWG</w:t>
      </w:r>
      <w:proofErr w:type="spellEnd"/>
      <w:r w:rsidRPr="00AF17F2">
        <w:rPr>
          <w:spacing w:val="-2"/>
          <w:lang w:val="es-ES_tradnl" w:eastAsia="zh-CN"/>
        </w:rPr>
        <w:t>-AI ha pasado a constituir un mecanismo estable de coordinación institucional, en el que la UIT y la UNESCO actúan conjuntamente como secretaría de apoyo. Esa transición permite al sistema de las Naciones Unidas refundir aún más los conocimientos, las pruebas y el apoyo a los Estados Miembros.</w:t>
      </w:r>
    </w:p>
    <w:p w14:paraId="7B37EADB" w14:textId="77777777" w:rsidR="00207B78" w:rsidRPr="00CB50D8" w:rsidRDefault="00207B78" w:rsidP="00207B78">
      <w:pPr>
        <w:pStyle w:val="Headingb"/>
        <w:rPr>
          <w:lang w:val="es-ES_tradnl" w:eastAsia="zh-CN"/>
        </w:rPr>
      </w:pPr>
      <w:r w:rsidRPr="00CB50D8">
        <w:rPr>
          <w:lang w:val="es-ES_tradnl" w:eastAsia="zh-CN"/>
        </w:rPr>
        <w:t>Otras plataformas de colaboración</w:t>
      </w:r>
    </w:p>
    <w:p w14:paraId="2B39C9A6" w14:textId="6CB3E091" w:rsidR="00207B78" w:rsidRPr="00CB50D8" w:rsidRDefault="00055D75" w:rsidP="00C741C0">
      <w:pPr>
        <w:jc w:val="both"/>
        <w:rPr>
          <w:lang w:val="es-ES_tradnl"/>
        </w:rPr>
      </w:pPr>
      <w:hyperlink r:id="rId60" w:history="1">
        <w:r w:rsidR="00207B78" w:rsidRPr="00055D75">
          <w:rPr>
            <w:rStyle w:val="Hyperlink"/>
            <w:lang w:val="es-ES_tradnl"/>
          </w:rPr>
          <w:t>El Foro</w:t>
        </w:r>
        <w:r w:rsidR="00207B78" w:rsidRPr="00055D75">
          <w:rPr>
            <w:rStyle w:val="Hyperlink"/>
            <w:rFonts w:eastAsia="Times New Roman" w:cs="Times New Roman"/>
            <w:szCs w:val="20"/>
            <w:lang w:val="es-ES_tradnl"/>
          </w:rPr>
          <w:t xml:space="preserve"> anual </w:t>
        </w:r>
        <w:r w:rsidR="00207B78" w:rsidRPr="00055D75">
          <w:rPr>
            <w:rStyle w:val="Hyperlink"/>
            <w:lang w:val="es-ES_tradnl"/>
          </w:rPr>
          <w:t xml:space="preserve">de la </w:t>
        </w:r>
        <w:proofErr w:type="spellStart"/>
        <w:r w:rsidR="00207B78" w:rsidRPr="00055D75">
          <w:rPr>
            <w:rStyle w:val="Hyperlink"/>
            <w:lang w:val="es-ES_tradnl"/>
          </w:rPr>
          <w:t>CMSI</w:t>
        </w:r>
        <w:proofErr w:type="spellEnd"/>
      </w:hyperlink>
      <w:r w:rsidR="00207B78" w:rsidRPr="00CB50D8">
        <w:rPr>
          <w:lang w:val="es-ES_tradnl"/>
        </w:rPr>
        <w:t xml:space="preserve"> ofrece una plataforma multipartita para debatir sobre IA en la esfera del desarrollo. La programación conjunta con la Cumbre </w:t>
      </w:r>
      <w:r w:rsidR="00207B78" w:rsidRPr="00BB63EC">
        <w:rPr>
          <w:i/>
          <w:iCs/>
          <w:lang w:val="es-ES_tradnl"/>
        </w:rPr>
        <w:t>AI for Good</w:t>
      </w:r>
      <w:r w:rsidR="00207B78" w:rsidRPr="00CB50D8">
        <w:rPr>
          <w:lang w:val="es-ES_tradnl"/>
        </w:rPr>
        <w:t xml:space="preserve"> facilitó a las comunidades la </w:t>
      </w:r>
      <w:r w:rsidR="00207B78" w:rsidRPr="00CB50D8">
        <w:rPr>
          <w:lang w:val="es-ES_tradnl" w:eastAsia="zh-CN"/>
        </w:rPr>
        <w:t>utilización</w:t>
      </w:r>
      <w:r w:rsidR="00207B78" w:rsidRPr="00CB50D8">
        <w:rPr>
          <w:lang w:val="es-ES_tradnl"/>
        </w:rPr>
        <w:t xml:space="preserve"> de ambas plataformas.</w:t>
      </w:r>
    </w:p>
    <w:p w14:paraId="62F9A2F8" w14:textId="30405873" w:rsidR="00207B78" w:rsidRPr="00CB50D8" w:rsidRDefault="00207B78" w:rsidP="00055D75">
      <w:pPr>
        <w:jc w:val="both"/>
        <w:rPr>
          <w:rFonts w:eastAsia="Malgun Gothic"/>
          <w:lang w:val="es-ES_tradnl" w:eastAsia="ko-KR"/>
        </w:rPr>
      </w:pPr>
      <w:hyperlink r:id="rId61" w:history="1">
        <w:r w:rsidRPr="00CB50D8">
          <w:rPr>
            <w:rStyle w:val="Hyperlink"/>
            <w:lang w:val="es-ES_tradnl"/>
          </w:rPr>
          <w:t>El proyecto Giga</w:t>
        </w:r>
      </w:hyperlink>
      <w:r w:rsidRPr="00CB50D8">
        <w:rPr>
          <w:lang w:val="es-ES_tradnl"/>
        </w:rPr>
        <w:t xml:space="preserve"> de la UIT con UNICEF utiliza la IA de forma estratégica para ampliar la </w:t>
      </w:r>
      <w:r w:rsidRPr="00CB50D8">
        <w:rPr>
          <w:lang w:val="es-ES_tradnl" w:eastAsia="zh-CN"/>
        </w:rPr>
        <w:t>conectividad</w:t>
      </w:r>
      <w:r w:rsidRPr="00CB50D8">
        <w:rPr>
          <w:lang w:val="es-ES_tradnl"/>
        </w:rPr>
        <w:t xml:space="preserve"> a Internet con el fin de conectar escuelas de todo el mundo. En asociación con la </w:t>
      </w:r>
      <w:hyperlink r:id="rId62" w:anchor="/es" w:history="1">
        <w:r w:rsidRPr="00CB50D8">
          <w:rPr>
            <w:rStyle w:val="Hyperlink"/>
            <w:lang w:val="es-ES_tradnl"/>
          </w:rPr>
          <w:t xml:space="preserve">Coalición Digital </w:t>
        </w:r>
        <w:proofErr w:type="spellStart"/>
        <w:r w:rsidRPr="00CB50D8">
          <w:rPr>
            <w:rStyle w:val="Hyperlink"/>
            <w:lang w:val="es-ES_tradnl"/>
          </w:rPr>
          <w:t>Partner2Connect</w:t>
        </w:r>
        <w:proofErr w:type="spellEnd"/>
      </w:hyperlink>
      <w:r w:rsidRPr="00CB50D8">
        <w:rPr>
          <w:lang w:val="es-ES_tradnl"/>
        </w:rPr>
        <w:t xml:space="preserve">, la UIT invita a realizar contribuciones para mejorar el acceso y la inclusión mediante IA. En el marco de la iniciativa </w:t>
      </w:r>
      <w:r w:rsidRPr="00055D75">
        <w:rPr>
          <w:i/>
          <w:iCs/>
          <w:lang w:val="es-ES_tradnl"/>
        </w:rPr>
        <w:t xml:space="preserve">Digital </w:t>
      </w:r>
      <w:proofErr w:type="spellStart"/>
      <w:r w:rsidRPr="00055D75">
        <w:rPr>
          <w:i/>
          <w:iCs/>
          <w:lang w:val="es-ES_tradnl"/>
        </w:rPr>
        <w:t>Infrastructure</w:t>
      </w:r>
      <w:proofErr w:type="spellEnd"/>
      <w:r w:rsidRPr="00055D75">
        <w:rPr>
          <w:i/>
          <w:iCs/>
          <w:lang w:val="es-ES_tradnl"/>
        </w:rPr>
        <w:t xml:space="preserve"> </w:t>
      </w:r>
      <w:proofErr w:type="spellStart"/>
      <w:r w:rsidRPr="00055D75">
        <w:rPr>
          <w:i/>
          <w:iCs/>
          <w:lang w:val="es-ES_tradnl"/>
        </w:rPr>
        <w:t>Investment</w:t>
      </w:r>
      <w:proofErr w:type="spellEnd"/>
      <w:r w:rsidRPr="00055D75">
        <w:rPr>
          <w:i/>
          <w:iCs/>
          <w:lang w:val="es-ES_tradnl"/>
        </w:rPr>
        <w:t xml:space="preserve"> </w:t>
      </w:r>
      <w:proofErr w:type="spellStart"/>
      <w:r w:rsidRPr="00055D75">
        <w:rPr>
          <w:i/>
          <w:iCs/>
          <w:lang w:val="es-ES_tradnl"/>
        </w:rPr>
        <w:t>Catalyser</w:t>
      </w:r>
      <w:proofErr w:type="spellEnd"/>
      <w:r w:rsidRPr="00CB50D8">
        <w:rPr>
          <w:lang w:val="es-ES_tradnl"/>
        </w:rPr>
        <w:t xml:space="preserve">, la UIT desarrolla el proyecto </w:t>
      </w:r>
      <w:r w:rsidRPr="00055D75">
        <w:rPr>
          <w:i/>
          <w:iCs/>
          <w:lang w:val="es-ES_tradnl"/>
        </w:rPr>
        <w:t xml:space="preserve">Digital and AI </w:t>
      </w:r>
      <w:proofErr w:type="spellStart"/>
      <w:r w:rsidRPr="00055D75">
        <w:rPr>
          <w:i/>
          <w:iCs/>
          <w:lang w:val="es-ES_tradnl"/>
        </w:rPr>
        <w:t>Infrastructure</w:t>
      </w:r>
      <w:proofErr w:type="spellEnd"/>
      <w:r w:rsidRPr="00055D75">
        <w:rPr>
          <w:i/>
          <w:iCs/>
          <w:lang w:val="es-ES_tradnl"/>
        </w:rPr>
        <w:t xml:space="preserve"> </w:t>
      </w:r>
      <w:proofErr w:type="spellStart"/>
      <w:r w:rsidRPr="00055D75">
        <w:rPr>
          <w:i/>
          <w:iCs/>
          <w:lang w:val="es-ES_tradnl"/>
        </w:rPr>
        <w:t>Investment</w:t>
      </w:r>
      <w:proofErr w:type="spellEnd"/>
      <w:r w:rsidRPr="00055D75">
        <w:rPr>
          <w:i/>
          <w:iCs/>
          <w:lang w:val="es-ES_tradnl"/>
        </w:rPr>
        <w:t xml:space="preserve"> </w:t>
      </w:r>
      <w:proofErr w:type="spellStart"/>
      <w:r w:rsidRPr="00055D75">
        <w:rPr>
          <w:i/>
          <w:iCs/>
          <w:lang w:val="es-ES_tradnl"/>
        </w:rPr>
        <w:t>Playbook</w:t>
      </w:r>
      <w:proofErr w:type="spellEnd"/>
      <w:r w:rsidRPr="00CB50D8">
        <w:rPr>
          <w:lang w:val="es-ES_tradnl"/>
        </w:rPr>
        <w:t>.</w:t>
      </w:r>
    </w:p>
    <w:p w14:paraId="1DEDF0BE" w14:textId="77777777" w:rsidR="00207B78" w:rsidRPr="00CB50D8" w:rsidRDefault="00207B78" w:rsidP="00207B78">
      <w:pPr>
        <w:pStyle w:val="Heading1"/>
        <w:rPr>
          <w:lang w:val="es-ES_tradnl"/>
        </w:rPr>
      </w:pPr>
      <w:bookmarkStart w:id="3" w:name="_2._Skills_&amp;"/>
      <w:bookmarkStart w:id="4" w:name="_2_Competencias_y"/>
      <w:bookmarkEnd w:id="3"/>
      <w:bookmarkEnd w:id="4"/>
      <w:r w:rsidRPr="00CB50D8">
        <w:rPr>
          <w:lang w:val="es-ES_tradnl"/>
        </w:rPr>
        <w:t>2</w:t>
      </w:r>
      <w:r w:rsidRPr="00CB50D8">
        <w:rPr>
          <w:lang w:val="es-ES_tradnl"/>
        </w:rPr>
        <w:tab/>
        <w:t xml:space="preserve">Competencias </w:t>
      </w:r>
      <w:r w:rsidRPr="00CB50D8">
        <w:rPr>
          <w:lang w:val="es-ES_tradnl" w:eastAsia="zh-CN"/>
        </w:rPr>
        <w:t xml:space="preserve">y </w:t>
      </w:r>
      <w:r w:rsidRPr="00CB50D8">
        <w:rPr>
          <w:lang w:val="es-ES_tradnl"/>
        </w:rPr>
        <w:t>capacidades</w:t>
      </w:r>
    </w:p>
    <w:p w14:paraId="4C396B09" w14:textId="77777777" w:rsidR="00207B78" w:rsidRPr="00CB50D8" w:rsidRDefault="00207B78" w:rsidP="00207B78">
      <w:pPr>
        <w:pStyle w:val="Headingb"/>
        <w:rPr>
          <w:lang w:val="es-ES_tradnl" w:eastAsia="zh-CN"/>
        </w:rPr>
      </w:pPr>
      <w:r w:rsidRPr="00CB50D8">
        <w:rPr>
          <w:lang w:val="es-ES_tradnl" w:eastAsia="zh-CN"/>
        </w:rPr>
        <w:t>Coalición sobre competencias en IA</w:t>
      </w:r>
    </w:p>
    <w:p w14:paraId="51CC1315" w14:textId="6BC9D1CD" w:rsidR="00207B78" w:rsidRPr="00CB50D8" w:rsidRDefault="00207B78" w:rsidP="00C741C0">
      <w:pPr>
        <w:jc w:val="both"/>
        <w:rPr>
          <w:lang w:val="es-ES_tradnl"/>
        </w:rPr>
      </w:pPr>
      <w:r w:rsidRPr="00CB50D8">
        <w:rPr>
          <w:lang w:val="es-ES_tradnl"/>
        </w:rPr>
        <w:t xml:space="preserve">En el marco de la </w:t>
      </w:r>
      <w:hyperlink r:id="rId63" w:history="1">
        <w:r w:rsidRPr="00CB50D8">
          <w:rPr>
            <w:rStyle w:val="Hyperlink"/>
            <w:lang w:val="es-ES_tradnl"/>
          </w:rPr>
          <w:t xml:space="preserve">iniciativa </w:t>
        </w:r>
        <w:r w:rsidRPr="00BB63EC">
          <w:rPr>
            <w:rStyle w:val="Hyperlink"/>
            <w:i/>
            <w:iCs/>
            <w:lang w:val="es-ES_tradnl"/>
          </w:rPr>
          <w:t xml:space="preserve">AI for Good </w:t>
        </w:r>
        <w:proofErr w:type="spellStart"/>
        <w:r w:rsidRPr="00BB63EC">
          <w:rPr>
            <w:rStyle w:val="Hyperlink"/>
            <w:i/>
            <w:iCs/>
            <w:lang w:val="es-ES_tradnl"/>
          </w:rPr>
          <w:t>Impact</w:t>
        </w:r>
        <w:proofErr w:type="spellEnd"/>
      </w:hyperlink>
      <w:r w:rsidRPr="00CB50D8">
        <w:rPr>
          <w:lang w:val="es-ES_tradnl"/>
        </w:rPr>
        <w:t>, la UIT amplía las soluciones de IA eficaces y redobla los esfuerzos de capacitación, en particular en los países en desarrollo. La iniciativa</w:t>
      </w:r>
      <w:r w:rsidR="007931B3" w:rsidRPr="00CB50D8">
        <w:rPr>
          <w:lang w:val="es-ES_tradnl"/>
        </w:rPr>
        <w:t xml:space="preserve"> </w:t>
      </w:r>
      <w:hyperlink r:id="rId64" w:history="1">
        <w:r w:rsidRPr="00BB63EC">
          <w:rPr>
            <w:rStyle w:val="Hyperlink"/>
            <w:i/>
            <w:iCs/>
            <w:lang w:val="es-ES_tradnl"/>
          </w:rPr>
          <w:t xml:space="preserve">AI for Good AI </w:t>
        </w:r>
        <w:proofErr w:type="spellStart"/>
        <w:r w:rsidRPr="00BB63EC">
          <w:rPr>
            <w:rStyle w:val="Hyperlink"/>
            <w:i/>
            <w:iCs/>
            <w:lang w:val="es-ES_tradnl"/>
          </w:rPr>
          <w:t>Skills</w:t>
        </w:r>
        <w:proofErr w:type="spellEnd"/>
        <w:r w:rsidRPr="00BB63EC">
          <w:rPr>
            <w:rStyle w:val="Hyperlink"/>
            <w:i/>
            <w:iCs/>
            <w:lang w:val="es-ES_tradnl"/>
          </w:rPr>
          <w:t xml:space="preserve"> </w:t>
        </w:r>
        <w:proofErr w:type="spellStart"/>
        <w:r w:rsidRPr="00BB63EC">
          <w:rPr>
            <w:rStyle w:val="Hyperlink"/>
            <w:i/>
            <w:iCs/>
            <w:lang w:val="es-ES_tradnl"/>
          </w:rPr>
          <w:t>Coalition</w:t>
        </w:r>
        <w:proofErr w:type="spellEnd"/>
      </w:hyperlink>
      <w:r w:rsidRPr="00CB50D8">
        <w:rPr>
          <w:lang w:val="es-ES_tradnl"/>
        </w:rPr>
        <w:t xml:space="preserve"> obedece a un movimiento transformador destinado a capacitar a las </w:t>
      </w:r>
      <w:r w:rsidRPr="00CB50D8">
        <w:rPr>
          <w:lang w:val="es-ES_tradnl" w:eastAsia="zh-CN"/>
        </w:rPr>
        <w:t>personas</w:t>
      </w:r>
      <w:r w:rsidRPr="00CB50D8">
        <w:rPr>
          <w:lang w:val="es-ES_tradnl"/>
        </w:rPr>
        <w:t xml:space="preserve"> y las comunidades con experiencia y conocimientos esenciales en IA. En colaboración con </w:t>
      </w:r>
      <w:proofErr w:type="spellStart"/>
      <w:r w:rsidRPr="00CB50D8">
        <w:rPr>
          <w:lang w:val="es-ES_tradnl"/>
        </w:rPr>
        <w:t>Google.org</w:t>
      </w:r>
      <w:proofErr w:type="spellEnd"/>
      <w:r w:rsidRPr="00CB50D8">
        <w:rPr>
          <w:lang w:val="es-ES_tradnl"/>
        </w:rPr>
        <w:t xml:space="preserve"> y </w:t>
      </w:r>
      <w:proofErr w:type="spellStart"/>
      <w:r w:rsidRPr="00BB63EC">
        <w:rPr>
          <w:i/>
          <w:iCs/>
          <w:lang w:val="es-ES_tradnl"/>
        </w:rPr>
        <w:t>i.am</w:t>
      </w:r>
      <w:proofErr w:type="spellEnd"/>
      <w:r w:rsidRPr="00BB63EC">
        <w:rPr>
          <w:i/>
          <w:iCs/>
          <w:lang w:val="es-ES_tradnl"/>
        </w:rPr>
        <w:t xml:space="preserve"> Angel Foundation</w:t>
      </w:r>
      <w:r w:rsidRPr="00CB50D8">
        <w:rPr>
          <w:lang w:val="es-ES_tradnl"/>
        </w:rPr>
        <w:t xml:space="preserve">, y en el marco de </w:t>
      </w:r>
      <w:r w:rsidRPr="00BB63EC">
        <w:rPr>
          <w:i/>
          <w:iCs/>
          <w:lang w:val="es-ES_tradnl"/>
        </w:rPr>
        <w:t xml:space="preserve">AI for Good </w:t>
      </w:r>
      <w:proofErr w:type="spellStart"/>
      <w:r w:rsidRPr="00BB63EC">
        <w:rPr>
          <w:i/>
          <w:iCs/>
          <w:lang w:val="es-ES_tradnl"/>
        </w:rPr>
        <w:t>Skills</w:t>
      </w:r>
      <w:proofErr w:type="spellEnd"/>
      <w:r w:rsidRPr="00BB63EC">
        <w:rPr>
          <w:i/>
          <w:iCs/>
          <w:lang w:val="es-ES_tradnl"/>
        </w:rPr>
        <w:t xml:space="preserve"> </w:t>
      </w:r>
      <w:proofErr w:type="spellStart"/>
      <w:r w:rsidRPr="00BB63EC">
        <w:rPr>
          <w:i/>
          <w:iCs/>
          <w:lang w:val="es-ES_tradnl"/>
        </w:rPr>
        <w:t>Coalition</w:t>
      </w:r>
      <w:proofErr w:type="spellEnd"/>
      <w:r w:rsidRPr="00CB50D8">
        <w:rPr>
          <w:lang w:val="es-ES_tradnl"/>
        </w:rPr>
        <w:t xml:space="preserve"> y Giga, la UIT prevé organizar varios programas de formación para profesores de educación secundaria </w:t>
      </w:r>
      <w:r w:rsidRPr="00CB50D8" w:rsidDel="007C0853">
        <w:rPr>
          <w:lang w:val="es-ES_tradnl" w:eastAsia="zh-CN"/>
        </w:rPr>
        <w:t xml:space="preserve">y </w:t>
      </w:r>
      <w:r w:rsidRPr="00CB50D8">
        <w:rPr>
          <w:lang w:val="es-ES_tradnl"/>
        </w:rPr>
        <w:t xml:space="preserve">constituir clubes escolares de IA en Ghana, Nigeria, Sudáfrica, Kenya </w:t>
      </w:r>
      <w:r w:rsidRPr="00CB50D8">
        <w:rPr>
          <w:lang w:val="es-ES_tradnl"/>
        </w:rPr>
        <w:lastRenderedPageBreak/>
        <w:t xml:space="preserve">y </w:t>
      </w:r>
      <w:proofErr w:type="spellStart"/>
      <w:r w:rsidRPr="00CB50D8">
        <w:rPr>
          <w:lang w:val="es-ES_tradnl"/>
        </w:rPr>
        <w:t>Côte</w:t>
      </w:r>
      <w:proofErr w:type="spellEnd"/>
      <w:r w:rsidRPr="00CB50D8">
        <w:rPr>
          <w:lang w:val="es-ES_tradnl"/>
        </w:rPr>
        <w:t xml:space="preserve"> </w:t>
      </w:r>
      <w:proofErr w:type="spellStart"/>
      <w:r w:rsidRPr="00CB50D8">
        <w:rPr>
          <w:lang w:val="es-ES_tradnl"/>
        </w:rPr>
        <w:t>d’Ivoire</w:t>
      </w:r>
      <w:proofErr w:type="spellEnd"/>
      <w:r w:rsidRPr="00CB50D8">
        <w:rPr>
          <w:lang w:val="es-ES_tradnl"/>
        </w:rPr>
        <w:t xml:space="preserve"> para dotar a los alumnos de 10 a 18 años, en particular niñas, y a las comunidades rurales y desfavorecidas, de conocimientos prácticos sobre IA y robótica en consonancia con las prioridades a escala nacional.</w:t>
      </w:r>
    </w:p>
    <w:p w14:paraId="1D04EC2A" w14:textId="2F8E11F7" w:rsidR="00207B78" w:rsidRPr="00FC7087" w:rsidRDefault="00207B78" w:rsidP="00FC7087">
      <w:pPr>
        <w:pStyle w:val="Headingb"/>
        <w:rPr>
          <w:i/>
          <w:iCs/>
          <w:lang w:val="es-ES_tradnl" w:eastAsia="zh-CN"/>
        </w:rPr>
      </w:pPr>
      <w:r w:rsidRPr="00CB50D8">
        <w:rPr>
          <w:lang w:val="es-ES_tradnl" w:eastAsia="zh-CN"/>
        </w:rPr>
        <w:t xml:space="preserve">Entorno de pruebas de la UIT relativo a </w:t>
      </w:r>
      <w:r w:rsidRPr="00FC7087">
        <w:rPr>
          <w:i/>
          <w:iCs/>
          <w:lang w:val="es-ES_tradnl" w:eastAsia="zh-CN"/>
        </w:rPr>
        <w:t>AI for Good</w:t>
      </w:r>
    </w:p>
    <w:p w14:paraId="60E4D16F" w14:textId="77777777" w:rsidR="00207B78" w:rsidRPr="00CB50D8" w:rsidRDefault="00207B78" w:rsidP="00C741C0">
      <w:pPr>
        <w:jc w:val="both"/>
        <w:rPr>
          <w:lang w:val="es-ES_tradnl"/>
        </w:rPr>
      </w:pPr>
      <w:r w:rsidRPr="00CB50D8">
        <w:rPr>
          <w:lang w:val="es-ES_tradnl"/>
        </w:rPr>
        <w:t xml:space="preserve">El entorno de pruebas relativo a la iniciativa </w:t>
      </w:r>
      <w:r w:rsidRPr="00FC7087">
        <w:rPr>
          <w:i/>
          <w:iCs/>
          <w:lang w:val="es-ES_tradnl"/>
        </w:rPr>
        <w:t>AI for Good</w:t>
      </w:r>
      <w:r w:rsidRPr="00CB50D8">
        <w:rPr>
          <w:lang w:val="es-ES_tradnl"/>
        </w:rPr>
        <w:t xml:space="preserve"> de la UIT es una plataforma distribuida, basada en normas, con un conjunto de recursos compartido que incluyen computación, datos abiertos, modelos, código abierto y formación. Dicha plataforma reduce los obstáculos de investigación, experimentación e innovación en IA en los sectores académico, industrial, innovador y de investigación e innovación, así como respecto de los encargados de la formulación de políticas. Su objetivo es capacitar a los usuarios para desarrollar, validar y compartir prácticas idóneas, actividades de aprendizaje y soluciones de IA acordes con las normas del UIT-T.</w:t>
      </w:r>
    </w:p>
    <w:p w14:paraId="454388C8" w14:textId="7853F091" w:rsidR="00207B78" w:rsidRPr="00CB50D8" w:rsidRDefault="00207B78" w:rsidP="00207B78">
      <w:pPr>
        <w:pStyle w:val="Headingb"/>
        <w:rPr>
          <w:lang w:val="es-ES_tradnl" w:eastAsia="zh-CN"/>
        </w:rPr>
      </w:pPr>
      <w:r w:rsidRPr="00CB50D8">
        <w:rPr>
          <w:lang w:val="es-ES_tradnl" w:eastAsia="zh-CN"/>
        </w:rPr>
        <w:t xml:space="preserve">Preparación en </w:t>
      </w:r>
      <w:r w:rsidRPr="00CB50D8">
        <w:rPr>
          <w:rFonts w:eastAsia="Malgun Gothic"/>
          <w:lang w:val="es-ES_tradnl" w:eastAsia="ko-KR"/>
        </w:rPr>
        <w:t>la UIT</w:t>
      </w:r>
      <w:r w:rsidRPr="00CB50D8">
        <w:rPr>
          <w:lang w:val="es-ES_tradnl" w:eastAsia="zh-CN"/>
        </w:rPr>
        <w:t xml:space="preserve"> con respecto a la IA</w:t>
      </w:r>
    </w:p>
    <w:p w14:paraId="4AE34B5B" w14:textId="77777777" w:rsidR="00207B78" w:rsidRPr="00CB50D8" w:rsidRDefault="00207B78" w:rsidP="00C741C0">
      <w:pPr>
        <w:jc w:val="both"/>
        <w:rPr>
          <w:lang w:val="es-ES_tradnl"/>
        </w:rPr>
      </w:pPr>
      <w:hyperlink r:id="rId65" w:history="1">
        <w:r w:rsidRPr="00CB50D8">
          <w:rPr>
            <w:lang w:val="es-ES_tradnl"/>
          </w:rPr>
          <w:t xml:space="preserve">La </w:t>
        </w:r>
        <w:r w:rsidRPr="00CB50D8">
          <w:rPr>
            <w:rStyle w:val="Hyperlink"/>
            <w:lang w:val="es-ES_tradnl"/>
          </w:rPr>
          <w:t>preparación en la UIT</w:t>
        </w:r>
        <w:r w:rsidRPr="00CB50D8">
          <w:rPr>
            <w:lang w:val="es-ES_tradnl"/>
          </w:rPr>
          <w:t xml:space="preserve"> con respecto a la IA </w:t>
        </w:r>
      </w:hyperlink>
      <w:r w:rsidRPr="00CB50D8">
        <w:rPr>
          <w:lang w:val="es-ES_tradnl"/>
        </w:rPr>
        <w:t>abarca un conjunto de herramientas de capacitación destinado a fortalecer las condiciones previas que faciliten la labor de todos los sectores verticales de la IA y orientar su aplicación práctica. El marco de preparación para la IA de la UIT ha sido una herramienta fundamental para evaluar la integración de la IA en diversas esferas y ofrecer orientaciones prácticas sobre los principales factores que permiten mejorar la preparación con respecto a la IA.</w:t>
      </w:r>
    </w:p>
    <w:p w14:paraId="0CCEAEB7" w14:textId="77777777" w:rsidR="00207B78" w:rsidRPr="00CB50D8" w:rsidRDefault="00207B78" w:rsidP="00207B78">
      <w:pPr>
        <w:pStyle w:val="Headingb"/>
        <w:rPr>
          <w:lang w:val="es-ES_tradnl" w:eastAsia="zh-CN"/>
        </w:rPr>
      </w:pPr>
      <w:r w:rsidRPr="00CB50D8">
        <w:rPr>
          <w:lang w:val="es-ES_tradnl" w:eastAsia="zh-CN"/>
        </w:rPr>
        <w:t>Concursos AI/ML</w:t>
      </w:r>
    </w:p>
    <w:p w14:paraId="70114EFC" w14:textId="77777777" w:rsidR="00207B78" w:rsidRPr="00CB50D8" w:rsidRDefault="00207B78" w:rsidP="00C741C0">
      <w:pPr>
        <w:jc w:val="both"/>
        <w:rPr>
          <w:lang w:val="es-ES_tradnl"/>
        </w:rPr>
      </w:pPr>
      <w:r w:rsidRPr="00CB50D8">
        <w:rPr>
          <w:lang w:val="es-ES_tradnl"/>
        </w:rPr>
        <w:t>Se trata de una plataforma de colaboración emblemática en la que miles de alumnos y profesionales diseñan y ensayan modelos de IA sobre casos de aplicación práctica, incluidas las redes de comunicación y la IA geoespacial. Los desafíos planteados tienen por objeto fortalecer las capacidades técnicas y contribuir a la labor de normalización de la UIT.</w:t>
      </w:r>
    </w:p>
    <w:p w14:paraId="631015B4" w14:textId="77777777" w:rsidR="00207B78" w:rsidRPr="00CB50D8" w:rsidRDefault="00207B78" w:rsidP="00207B78">
      <w:pPr>
        <w:pStyle w:val="Headingb"/>
        <w:rPr>
          <w:lang w:val="es-ES_tradnl" w:eastAsia="zh-CN"/>
        </w:rPr>
      </w:pPr>
      <w:r w:rsidRPr="00CB50D8">
        <w:rPr>
          <w:lang w:val="es-ES_tradnl" w:eastAsia="zh-CN"/>
        </w:rPr>
        <w:t>Cursos de IA en el marco de la Academia de la UIT</w:t>
      </w:r>
    </w:p>
    <w:p w14:paraId="7B1D737A" w14:textId="467D9409" w:rsidR="00207B78" w:rsidRPr="00AF17F2" w:rsidRDefault="00207B78" w:rsidP="00C741C0">
      <w:pPr>
        <w:jc w:val="both"/>
        <w:rPr>
          <w:spacing w:val="-2"/>
          <w:lang w:val="es-ES_tradnl" w:eastAsia="zh-CN"/>
        </w:rPr>
      </w:pPr>
      <w:hyperlink r:id="rId66" w:anchor="/es" w:history="1">
        <w:r w:rsidRPr="00AF17F2">
          <w:rPr>
            <w:rStyle w:val="Hyperlink"/>
            <w:spacing w:val="-2"/>
            <w:lang w:val="es-ES_tradnl"/>
          </w:rPr>
          <w:t>El conjunto de herramientas de competencias digitales de la UIT</w:t>
        </w:r>
      </w:hyperlink>
      <w:r w:rsidRPr="00AF17F2">
        <w:rPr>
          <w:spacing w:val="-2"/>
          <w:lang w:val="es-ES_tradnl"/>
        </w:rPr>
        <w:t xml:space="preserve"> facilita la formulación de estrategias nacionales </w:t>
      </w:r>
      <w:r w:rsidRPr="00AF17F2">
        <w:rPr>
          <w:spacing w:val="-2"/>
          <w:lang w:val="es-ES_tradnl" w:eastAsia="zh-CN"/>
        </w:rPr>
        <w:t>para subsanar deficiencias en materia de IA y competencias digitales</w:t>
      </w:r>
      <w:r w:rsidRPr="00AF17F2">
        <w:rPr>
          <w:spacing w:val="-2"/>
          <w:lang w:val="es-ES_tradnl"/>
        </w:rPr>
        <w:t xml:space="preserve">. El año pasado se impartieron numerosos cursos de IA </w:t>
      </w:r>
      <w:r w:rsidRPr="00AF17F2">
        <w:rPr>
          <w:spacing w:val="-2"/>
          <w:lang w:val="es-ES_tradnl" w:eastAsia="zh-CN"/>
        </w:rPr>
        <w:t xml:space="preserve">en </w:t>
      </w:r>
      <w:r w:rsidRPr="00AF17F2">
        <w:rPr>
          <w:spacing w:val="-2"/>
          <w:lang w:val="es-ES_tradnl"/>
        </w:rPr>
        <w:t xml:space="preserve">la </w:t>
      </w:r>
      <w:hyperlink r:id="rId67" w:anchor="/es">
        <w:r w:rsidRPr="00AF17F2">
          <w:rPr>
            <w:rStyle w:val="Hyperlink"/>
            <w:spacing w:val="-2"/>
            <w:lang w:val="es-ES_tradnl"/>
          </w:rPr>
          <w:t>Academia de la UIT</w:t>
        </w:r>
      </w:hyperlink>
      <w:r w:rsidRPr="00AF17F2">
        <w:rPr>
          <w:spacing w:val="-2"/>
          <w:lang w:val="es-ES_tradnl"/>
        </w:rPr>
        <w:t xml:space="preserve">. En el marco del proyecto </w:t>
      </w:r>
      <w:r w:rsidRPr="00AF17F2">
        <w:rPr>
          <w:spacing w:val="-2"/>
          <w:lang w:val="es-ES_tradnl" w:eastAsia="zh-CN"/>
        </w:rPr>
        <w:t>"</w:t>
      </w:r>
      <w:r w:rsidRPr="00AF17F2">
        <w:rPr>
          <w:spacing w:val="-2"/>
          <w:lang w:val="es-ES_tradnl"/>
        </w:rPr>
        <w:t>Capacitación para la transformación digital</w:t>
      </w:r>
      <w:r w:rsidRPr="00AF17F2">
        <w:rPr>
          <w:spacing w:val="-2"/>
          <w:lang w:val="es-ES_tradnl" w:eastAsia="zh-CN"/>
        </w:rPr>
        <w:t>"</w:t>
      </w:r>
      <w:r w:rsidRPr="00AF17F2">
        <w:rPr>
          <w:spacing w:val="-2"/>
          <w:lang w:val="es-ES_tradnl"/>
        </w:rPr>
        <w:t xml:space="preserve">, la formación sobre </w:t>
      </w:r>
      <w:hyperlink r:id="rId68" w:anchor="/es">
        <w:r w:rsidRPr="00AF17F2">
          <w:rPr>
            <w:rStyle w:val="Hyperlink"/>
            <w:spacing w:val="-2"/>
            <w:lang w:val="es-ES_tradnl"/>
          </w:rPr>
          <w:t>gobernanza de la IA en la práctica</w:t>
        </w:r>
      </w:hyperlink>
      <w:r w:rsidRPr="00AF17F2">
        <w:rPr>
          <w:spacing w:val="-2"/>
          <w:lang w:val="es-ES_tradnl"/>
        </w:rPr>
        <w:t xml:space="preserve"> dio comienzo en octubre de 2025 en Ginebra (con participantes de 33</w:t>
      </w:r>
      <w:r w:rsidR="00BB63EC" w:rsidRPr="00AF17F2">
        <w:rPr>
          <w:spacing w:val="-2"/>
          <w:lang w:val="es-ES_tradnl"/>
        </w:rPr>
        <w:t> </w:t>
      </w:r>
      <w:r w:rsidRPr="00AF17F2">
        <w:rPr>
          <w:spacing w:val="-2"/>
          <w:lang w:val="es-ES_tradnl"/>
        </w:rPr>
        <w:t xml:space="preserve">países) y se impartió en </w:t>
      </w:r>
      <w:hyperlink r:id="rId69" w:anchor="/es">
        <w:r w:rsidRPr="00AF17F2">
          <w:rPr>
            <w:rStyle w:val="Hyperlink"/>
            <w:spacing w:val="-2"/>
            <w:lang w:val="es-ES_tradnl"/>
          </w:rPr>
          <w:t>Asia-Pacífico</w:t>
        </w:r>
      </w:hyperlink>
      <w:r w:rsidRPr="00AF17F2">
        <w:rPr>
          <w:spacing w:val="-2"/>
          <w:lang w:val="es-ES_tradnl"/>
        </w:rPr>
        <w:t xml:space="preserve">, </w:t>
      </w:r>
      <w:hyperlink r:id="rId70" w:anchor="/es">
        <w:r w:rsidRPr="00AF17F2">
          <w:rPr>
            <w:rStyle w:val="Hyperlink"/>
            <w:spacing w:val="-2"/>
            <w:lang w:val="es-ES_tradnl"/>
          </w:rPr>
          <w:t>África</w:t>
        </w:r>
      </w:hyperlink>
      <w:r w:rsidRPr="00AF17F2">
        <w:rPr>
          <w:spacing w:val="-2"/>
          <w:lang w:val="es-ES_tradnl"/>
        </w:rPr>
        <w:t xml:space="preserve"> y </w:t>
      </w:r>
      <w:hyperlink r:id="rId71" w:anchor="/es">
        <w:r w:rsidRPr="00AF17F2">
          <w:rPr>
            <w:rStyle w:val="Hyperlink"/>
            <w:spacing w:val="-2"/>
            <w:lang w:val="es-ES_tradnl"/>
          </w:rPr>
          <w:t>América</w:t>
        </w:r>
      </w:hyperlink>
      <w:r w:rsidRPr="00AF17F2">
        <w:rPr>
          <w:spacing w:val="-2"/>
          <w:lang w:val="es-ES_tradnl"/>
        </w:rPr>
        <w:t xml:space="preserve">, al tiempo que se prevén nuevas ediciones en Europa y Asia-Pacífico en 2026. El curso abarca conceptos clave de la IA, ética, ciberseguridad y marcos jurídicos, y permite a los participantes crear conjuntamente hojas de ruta quinquenales sobre gobernanza de la IA. Una versión sobre aprendizaje electrónico está en fase de desarrollo. Otros cursos destacados son los siguientes: </w:t>
      </w:r>
      <w:r w:rsidRPr="00AF17F2">
        <w:rPr>
          <w:spacing w:val="-2"/>
          <w:lang w:val="es-ES_tradnl" w:eastAsia="zh-CN"/>
        </w:rPr>
        <w:t>"</w:t>
      </w:r>
      <w:r w:rsidRPr="00AF17F2">
        <w:rPr>
          <w:spacing w:val="-2"/>
          <w:lang w:val="es-ES_tradnl"/>
        </w:rPr>
        <w:t>Convergencia y seguridad en las esferas de las tecnologías digitales y la inteligencia</w:t>
      </w:r>
      <w:r w:rsidRPr="00AF17F2">
        <w:rPr>
          <w:spacing w:val="-2"/>
          <w:lang w:val="es-ES_tradnl" w:eastAsia="zh-CN"/>
        </w:rPr>
        <w:t xml:space="preserve">", </w:t>
      </w:r>
      <w:r w:rsidRPr="00AF17F2">
        <w:rPr>
          <w:spacing w:val="-2"/>
          <w:lang w:val="es-ES_tradnl"/>
        </w:rPr>
        <w:t>"La IA en la práctica</w:t>
      </w:r>
      <w:r w:rsidRPr="00AF17F2">
        <w:rPr>
          <w:spacing w:val="-2"/>
          <w:lang w:val="es-ES_tradnl" w:eastAsia="zh-CN"/>
        </w:rPr>
        <w:t>", "</w:t>
      </w:r>
      <w:proofErr w:type="spellStart"/>
      <w:r w:rsidRPr="00AF17F2">
        <w:rPr>
          <w:spacing w:val="-2"/>
          <w:lang w:val="es-ES_tradnl"/>
        </w:rPr>
        <w:t>IoT</w:t>
      </w:r>
      <w:proofErr w:type="spellEnd"/>
      <w:r w:rsidRPr="00AF17F2">
        <w:rPr>
          <w:spacing w:val="-2"/>
          <w:lang w:val="es-ES_tradnl"/>
        </w:rPr>
        <w:t>, macrodatos e IA</w:t>
      </w:r>
      <w:r w:rsidRPr="00AF17F2">
        <w:rPr>
          <w:spacing w:val="-2"/>
          <w:lang w:val="es-ES_tradnl" w:eastAsia="zh-CN"/>
        </w:rPr>
        <w:t>", "</w:t>
      </w:r>
      <w:r w:rsidRPr="00AF17F2">
        <w:rPr>
          <w:spacing w:val="-2"/>
          <w:lang w:val="es-ES_tradnl"/>
        </w:rPr>
        <w:t>Ingeniería oportuna para la gobernanza de las telecomunicaciones</w:t>
      </w:r>
      <w:r w:rsidR="007931B3" w:rsidRPr="00AF17F2">
        <w:rPr>
          <w:spacing w:val="-2"/>
          <w:lang w:val="es-ES_tradnl"/>
        </w:rPr>
        <w:t>"</w:t>
      </w:r>
      <w:r w:rsidRPr="00AF17F2">
        <w:rPr>
          <w:spacing w:val="-2"/>
          <w:lang w:val="es-ES_tradnl" w:eastAsia="zh-CN"/>
        </w:rPr>
        <w:t xml:space="preserve"> y "</w:t>
      </w:r>
      <w:r w:rsidRPr="00AF17F2">
        <w:rPr>
          <w:spacing w:val="-2"/>
          <w:lang w:val="es-ES_tradnl"/>
        </w:rPr>
        <w:t xml:space="preserve">Internet de banda ancha fija y móvil del futuro, computación en la nube e </w:t>
      </w:r>
      <w:proofErr w:type="spellStart"/>
      <w:r w:rsidRPr="00AF17F2">
        <w:rPr>
          <w:spacing w:val="-2"/>
          <w:lang w:val="es-ES_tradnl"/>
        </w:rPr>
        <w:t>IoT</w:t>
      </w:r>
      <w:proofErr w:type="spellEnd"/>
      <w:r w:rsidRPr="00AF17F2">
        <w:rPr>
          <w:spacing w:val="-2"/>
          <w:lang w:val="es-ES_tradnl"/>
        </w:rPr>
        <w:t>/</w:t>
      </w:r>
      <w:r w:rsidR="00FC7087">
        <w:rPr>
          <w:spacing w:val="-2"/>
          <w:lang w:val="es-ES_tradnl"/>
        </w:rPr>
        <w:t>IA</w:t>
      </w:r>
      <w:r w:rsidRPr="00AF17F2">
        <w:rPr>
          <w:spacing w:val="-2"/>
          <w:lang w:val="es-ES_tradnl" w:eastAsia="zh-CN"/>
        </w:rPr>
        <w:t>"</w:t>
      </w:r>
      <w:r w:rsidRPr="00AF17F2">
        <w:rPr>
          <w:spacing w:val="-2"/>
          <w:lang w:val="es-ES_tradnl"/>
        </w:rPr>
        <w:t xml:space="preserve">. En el marco de la Iniciativa de </w:t>
      </w:r>
      <w:hyperlink r:id="rId72" w:anchor="/es" w:history="1">
        <w:r w:rsidRPr="00AF17F2">
          <w:rPr>
            <w:rStyle w:val="Hyperlink"/>
            <w:spacing w:val="-2"/>
            <w:lang w:val="es-ES_tradnl"/>
          </w:rPr>
          <w:t>Centros de Transformación</w:t>
        </w:r>
      </w:hyperlink>
      <w:r w:rsidRPr="00AF17F2">
        <w:rPr>
          <w:spacing w:val="-2"/>
          <w:lang w:val="es-ES_tradnl"/>
        </w:rPr>
        <w:t xml:space="preserve"> Digital, residentes de comunidades rurales o insuficientemente atendidas se benefician de formación básica en IA con el apoyo de diversos asociados.</w:t>
      </w:r>
    </w:p>
    <w:p w14:paraId="33E40E66" w14:textId="77777777" w:rsidR="00207B78" w:rsidRPr="00CB50D8" w:rsidRDefault="00207B78" w:rsidP="00207B78">
      <w:pPr>
        <w:pStyle w:val="Headingb"/>
        <w:rPr>
          <w:lang w:val="es-ES_tradnl" w:eastAsia="zh-CN"/>
        </w:rPr>
      </w:pPr>
      <w:r w:rsidRPr="00CB50D8">
        <w:rPr>
          <w:lang w:val="es-ES_tradnl" w:eastAsia="zh-CN"/>
        </w:rPr>
        <w:t>Iniciativas de creación de capacidad en IA</w:t>
      </w:r>
    </w:p>
    <w:p w14:paraId="4F093B4A" w14:textId="1ABCBCB7" w:rsidR="00207B78" w:rsidRPr="00CB50D8" w:rsidRDefault="00207B78" w:rsidP="00C741C0">
      <w:pPr>
        <w:jc w:val="both"/>
        <w:rPr>
          <w:lang w:val="es-ES_tradnl" w:eastAsia="zh-CN"/>
        </w:rPr>
      </w:pPr>
      <w:r w:rsidRPr="00CB50D8">
        <w:rPr>
          <w:lang w:val="es-ES_tradnl"/>
        </w:rPr>
        <w:t xml:space="preserve">En 2025, la UIT puso en marcha la </w:t>
      </w:r>
      <w:hyperlink r:id="rId73">
        <w:r w:rsidRPr="00CB50D8">
          <w:rPr>
            <w:rStyle w:val="Hyperlink"/>
            <w:lang w:val="es-ES_tradnl"/>
          </w:rPr>
          <w:t>Comunidad de Jóvenes Líderes en IA</w:t>
        </w:r>
      </w:hyperlink>
      <w:r w:rsidRPr="00CB50D8">
        <w:rPr>
          <w:lang w:val="es-ES_tradnl"/>
        </w:rPr>
        <w:t xml:space="preserve"> para expertos de 18 a 30 años. </w:t>
      </w:r>
      <w:r w:rsidRPr="00CB50D8">
        <w:rPr>
          <w:lang w:val="es-ES_tradnl" w:eastAsia="zh-CN"/>
        </w:rPr>
        <w:t>Dicha</w:t>
      </w:r>
      <w:r w:rsidRPr="00CB50D8">
        <w:rPr>
          <w:lang w:val="es-ES_tradnl"/>
        </w:rPr>
        <w:t xml:space="preserve"> Comunidad ha establecido más de 100 centros de colaboración en 50 países y </w:t>
      </w:r>
      <w:r w:rsidRPr="00CB50D8">
        <w:rPr>
          <w:lang w:val="es-ES_tradnl"/>
        </w:rPr>
        <w:lastRenderedPageBreak/>
        <w:t xml:space="preserve">ha acogido a más de 650 miembros, a fin de proporcionar competencias, plataformas y apoyo para desarrollar proyectos de IA con repercusión a escalas local y mundial. El proyecto </w:t>
      </w:r>
      <w:hyperlink r:id="rId74" w:history="1">
        <w:r w:rsidRPr="00BB63EC">
          <w:rPr>
            <w:rStyle w:val="Hyperlink"/>
            <w:i/>
            <w:iCs/>
            <w:lang w:val="es-ES_tradnl"/>
          </w:rPr>
          <w:t xml:space="preserve">AI </w:t>
        </w:r>
        <w:proofErr w:type="spellStart"/>
        <w:r w:rsidRPr="00BB63EC">
          <w:rPr>
            <w:rStyle w:val="Hyperlink"/>
            <w:i/>
            <w:iCs/>
            <w:lang w:val="es-ES_tradnl"/>
          </w:rPr>
          <w:t>skills</w:t>
        </w:r>
        <w:proofErr w:type="spellEnd"/>
        <w:r w:rsidRPr="00BB63EC">
          <w:rPr>
            <w:rStyle w:val="Hyperlink"/>
            <w:i/>
            <w:iCs/>
            <w:lang w:val="es-ES_tradnl"/>
          </w:rPr>
          <w:t xml:space="preserve"> </w:t>
        </w:r>
        <w:proofErr w:type="spellStart"/>
        <w:r w:rsidRPr="00BB63EC">
          <w:rPr>
            <w:rStyle w:val="Hyperlink"/>
            <w:i/>
            <w:iCs/>
            <w:lang w:val="es-ES_tradnl"/>
          </w:rPr>
          <w:t>accelerator</w:t>
        </w:r>
        <w:proofErr w:type="spellEnd"/>
        <w:r w:rsidRPr="00BB63EC">
          <w:rPr>
            <w:rStyle w:val="Hyperlink"/>
            <w:i/>
            <w:iCs/>
            <w:lang w:val="es-ES_tradnl"/>
          </w:rPr>
          <w:t xml:space="preserve"> for </w:t>
        </w:r>
        <w:proofErr w:type="spellStart"/>
        <w:r w:rsidRPr="00BB63EC">
          <w:rPr>
            <w:rStyle w:val="Hyperlink"/>
            <w:i/>
            <w:iCs/>
            <w:lang w:val="es-ES_tradnl"/>
          </w:rPr>
          <w:t>Girls</w:t>
        </w:r>
        <w:proofErr w:type="spellEnd"/>
      </w:hyperlink>
      <w:r w:rsidRPr="00CB50D8">
        <w:rPr>
          <w:lang w:val="es-ES_tradnl"/>
        </w:rPr>
        <w:t xml:space="preserve"> facilita a niñas y mujeres competencias digitales, éticas y de gestión para que lleguen a ser creadoras de contenido </w:t>
      </w:r>
      <w:r w:rsidR="00BB63EC">
        <w:rPr>
          <w:lang w:val="es-ES_tradnl"/>
        </w:rPr>
        <w:t>y</w:t>
      </w:r>
      <w:r w:rsidRPr="00CB50D8">
        <w:rPr>
          <w:lang w:val="es-ES_tradnl"/>
        </w:rPr>
        <w:t xml:space="preserve"> fomenten la creatividad y la innovación. La Oficina Regional de la UIT para Asia y el Pacífico organizó </w:t>
      </w:r>
      <w:hyperlink r:id="rId75" w:history="1">
        <w:r w:rsidRPr="00CB50D8">
          <w:rPr>
            <w:rStyle w:val="Hyperlink"/>
            <w:lang w:val="es-ES_tradnl"/>
          </w:rPr>
          <w:t>la serie de seminarios web sobre IA en Asia Sudoriental</w:t>
        </w:r>
      </w:hyperlink>
      <w:r w:rsidRPr="00CB50D8">
        <w:rPr>
          <w:lang w:val="es-ES_tradnl"/>
        </w:rPr>
        <w:t>, en los que se compartió información y se creó capacidad sobre normas, políticas, marcos e iniciativas de IA que tiene en cuenta aspectos de género y son socialmente integradoras. El proyecto "</w:t>
      </w:r>
      <w:hyperlink r:id="rId76">
        <w:r w:rsidRPr="00CB50D8">
          <w:rPr>
            <w:rStyle w:val="Hyperlink"/>
            <w:lang w:val="es-ES_tradnl"/>
          </w:rPr>
          <w:t>Capacitación en tecnología y normativa de IA en Asia-Pacífico</w:t>
        </w:r>
      </w:hyperlink>
      <w:r w:rsidRPr="00CB50D8">
        <w:rPr>
          <w:lang w:val="es-ES_tradnl"/>
        </w:rPr>
        <w:t xml:space="preserve">" (financiado por Japón, en colaboración con el UIT-D y el UIT-T) organizó varios talleres subregionales y nacionales en la India, Malasia, </w:t>
      </w:r>
      <w:proofErr w:type="spellStart"/>
      <w:r w:rsidRPr="00CB50D8">
        <w:rPr>
          <w:lang w:val="es-ES_tradnl"/>
        </w:rPr>
        <w:t>Bhután</w:t>
      </w:r>
      <w:proofErr w:type="spellEnd"/>
      <w:r w:rsidRPr="00CB50D8">
        <w:rPr>
          <w:lang w:val="es-ES_tradnl"/>
        </w:rPr>
        <w:t xml:space="preserve"> y Camboya en 2025, en los que se formó a 253 participantes de 16 Estados Miembros y se evaluaron las necesidades actuales y futuras en materia de capacitación.</w:t>
      </w:r>
    </w:p>
    <w:p w14:paraId="303476BA" w14:textId="3CC4A857" w:rsidR="00207B78" w:rsidRPr="00CB50D8" w:rsidRDefault="00207B78" w:rsidP="00C741C0">
      <w:pPr>
        <w:jc w:val="both"/>
        <w:rPr>
          <w:lang w:val="es-ES_tradnl"/>
        </w:rPr>
      </w:pPr>
      <w:r w:rsidRPr="00CB50D8">
        <w:rPr>
          <w:lang w:val="es-ES_tradnl"/>
        </w:rPr>
        <w:t xml:space="preserve">En el marco del proyecto </w:t>
      </w:r>
      <w:r w:rsidRPr="00CB50D8">
        <w:rPr>
          <w:lang w:val="es-ES_tradnl" w:eastAsia="zh-CN"/>
        </w:rPr>
        <w:t>"Asistencia para fomentar la utilización de tecnologías innovadoras con el fin de forjar una sociedad digital basada en prosperidad compartida</w:t>
      </w:r>
      <w:r w:rsidR="007931B3" w:rsidRPr="00CB50D8">
        <w:rPr>
          <w:lang w:val="es-ES_tradnl" w:eastAsia="zh-CN"/>
        </w:rPr>
        <w:t>"</w:t>
      </w:r>
      <w:r w:rsidRPr="00CB50D8">
        <w:rPr>
          <w:lang w:val="es-ES_tradnl"/>
        </w:rPr>
        <w:t xml:space="preserve">, la UIT colabora con Corea </w:t>
      </w:r>
      <w:r w:rsidRPr="00CB50D8">
        <w:rPr>
          <w:lang w:val="es-ES_tradnl" w:eastAsia="zh-CN"/>
        </w:rPr>
        <w:t xml:space="preserve">del </w:t>
      </w:r>
      <w:r w:rsidRPr="00CB50D8">
        <w:rPr>
          <w:lang w:val="es-ES_tradnl"/>
        </w:rPr>
        <w:t xml:space="preserve">Sur para facilitar el uso de la IA y las tecnologías incipientes a los efectos de desarrollo de infraestructuras digitales mediante capacitación e intercambio de conocimientos a escala regional. De forma simultánea, el proyecto </w:t>
      </w:r>
      <w:r w:rsidRPr="00CB50D8">
        <w:rPr>
          <w:lang w:val="es-ES_tradnl" w:eastAsia="zh-CN"/>
        </w:rPr>
        <w:t xml:space="preserve">"Servicio de asesoramiento agrícola basado en IA de código abierto para pequeños agricultores de </w:t>
      </w:r>
      <w:proofErr w:type="spellStart"/>
      <w:r w:rsidRPr="00CB50D8">
        <w:rPr>
          <w:lang w:val="es-ES_tradnl" w:eastAsia="zh-CN"/>
        </w:rPr>
        <w:t>Lesot</w:t>
      </w:r>
      <w:r w:rsidR="00363DFA" w:rsidRPr="00CB50D8">
        <w:rPr>
          <w:lang w:val="es-ES_tradnl" w:eastAsia="zh-CN"/>
        </w:rPr>
        <w:t>h</w:t>
      </w:r>
      <w:r w:rsidRPr="00CB50D8">
        <w:rPr>
          <w:lang w:val="es-ES_tradnl" w:eastAsia="zh-CN"/>
        </w:rPr>
        <w:t>o</w:t>
      </w:r>
      <w:proofErr w:type="spellEnd"/>
      <w:r w:rsidR="007931B3" w:rsidRPr="00CB50D8">
        <w:rPr>
          <w:lang w:val="es-ES_tradnl" w:eastAsia="zh-CN"/>
        </w:rPr>
        <w:t>"</w:t>
      </w:r>
      <w:r w:rsidRPr="00CB50D8">
        <w:rPr>
          <w:lang w:val="es-ES_tradnl" w:eastAsia="zh-CN"/>
        </w:rPr>
        <w:t xml:space="preserve"> </w:t>
      </w:r>
      <w:r w:rsidRPr="00CB50D8">
        <w:rPr>
          <w:lang w:val="es-ES_tradnl"/>
        </w:rPr>
        <w:t xml:space="preserve">ofrece en colaboración con la FAO un servicio de asesoramiento agrícola basado en inteligencia artificial de código abierto a pequeños agricultores en </w:t>
      </w:r>
      <w:proofErr w:type="spellStart"/>
      <w:r w:rsidRPr="00CB50D8">
        <w:rPr>
          <w:lang w:val="es-ES_tradnl"/>
        </w:rPr>
        <w:t>Lesotho</w:t>
      </w:r>
      <w:proofErr w:type="spellEnd"/>
      <w:r w:rsidRPr="00CB50D8">
        <w:rPr>
          <w:lang w:val="es-ES_tradnl"/>
        </w:rPr>
        <w:t>, a fin de demostrar servicios digitales basados en IA susceptibles de ser reproducidos.</w:t>
      </w:r>
    </w:p>
    <w:p w14:paraId="67BB862C" w14:textId="04858D58" w:rsidR="00207B78" w:rsidRPr="00CB50D8" w:rsidRDefault="00207B78" w:rsidP="00C741C0">
      <w:pPr>
        <w:jc w:val="both"/>
        <w:rPr>
          <w:lang w:val="es-ES_tradnl"/>
        </w:rPr>
      </w:pPr>
      <w:r w:rsidRPr="00CB50D8">
        <w:rPr>
          <w:lang w:val="es-ES_tradnl"/>
        </w:rPr>
        <w:t xml:space="preserve">Al facilitar la aplicación de la Resolución 91 de la </w:t>
      </w:r>
      <w:proofErr w:type="spellStart"/>
      <w:r w:rsidRPr="00CB50D8">
        <w:rPr>
          <w:lang w:val="es-ES_tradnl"/>
        </w:rPr>
        <w:t>CMDT</w:t>
      </w:r>
      <w:proofErr w:type="spellEnd"/>
      <w:r w:rsidRPr="00CB50D8">
        <w:rPr>
          <w:lang w:val="es-ES_tradnl"/>
        </w:rPr>
        <w:t>, los programas hacen hincapié en la IA para mejorar la planificación basada en pruebas, el despliegue y la asequibilidad de</w:t>
      </w:r>
      <w:r w:rsidR="007931B3" w:rsidRPr="00CB50D8">
        <w:rPr>
          <w:lang w:val="es-ES_tradnl"/>
        </w:rPr>
        <w:t xml:space="preserve"> </w:t>
      </w:r>
      <w:r w:rsidRPr="00CB50D8">
        <w:rPr>
          <w:lang w:val="es-ES_tradnl"/>
        </w:rPr>
        <w:t xml:space="preserve">infraestructuras digitales (en particular, el análisis de conectividad basados en datos, herramientas de aprendizaje automático y soluciones digitales abiertas e interoperables para servicios públicos), así como en la </w:t>
      </w:r>
      <w:hyperlink r:id="rId77" w:history="1">
        <w:r w:rsidRPr="00CB50D8">
          <w:rPr>
            <w:rStyle w:val="Hyperlink"/>
            <w:lang w:val="es-ES_tradnl"/>
          </w:rPr>
          <w:t>creación de capacidad</w:t>
        </w:r>
      </w:hyperlink>
      <w:r w:rsidRPr="00CB50D8">
        <w:rPr>
          <w:lang w:val="es-ES_tradnl"/>
        </w:rPr>
        <w:t xml:space="preserve"> en el marco de la Academia de la UIT. Ello incluye una herramienta de simulación automatizada de conversaciones humanas, o </w:t>
      </w:r>
      <w:proofErr w:type="spellStart"/>
      <w:r w:rsidRPr="00CB50D8">
        <w:rPr>
          <w:lang w:val="es-ES_tradnl"/>
        </w:rPr>
        <w:t>chatbot</w:t>
      </w:r>
      <w:proofErr w:type="spellEnd"/>
      <w:r w:rsidRPr="00CB50D8">
        <w:rPr>
          <w:lang w:val="es-ES_tradnl"/>
        </w:rPr>
        <w:t>, basada en generación aumentada por recuperación de datos (GAR) que proporciona acceso interactivo a contenido específico de infraestructuras de TIC de la UIT con objeto de facilitar la toma de decisiones basada en datos.</w:t>
      </w:r>
    </w:p>
    <w:p w14:paraId="20174690" w14:textId="77777777" w:rsidR="00207B78" w:rsidRPr="00CB50D8" w:rsidRDefault="00207B78" w:rsidP="00207B78">
      <w:pPr>
        <w:pStyle w:val="Headingb"/>
        <w:rPr>
          <w:lang w:val="es-ES_tradnl" w:eastAsia="zh-CN"/>
        </w:rPr>
      </w:pPr>
      <w:r w:rsidRPr="00CB50D8">
        <w:rPr>
          <w:lang w:val="es-ES_tradnl" w:eastAsia="zh-CN"/>
        </w:rPr>
        <w:t>Capacitación interna de la UIT en materia de IA</w:t>
      </w:r>
    </w:p>
    <w:p w14:paraId="37FAD077" w14:textId="42676DC3" w:rsidR="00207B78" w:rsidRPr="00CB50D8" w:rsidRDefault="00207B78" w:rsidP="00C741C0">
      <w:pPr>
        <w:jc w:val="both"/>
        <w:rPr>
          <w:lang w:val="es-ES_tradnl"/>
        </w:rPr>
      </w:pPr>
      <w:r w:rsidRPr="00CB50D8">
        <w:rPr>
          <w:lang w:val="es-ES_tradnl"/>
        </w:rPr>
        <w:t xml:space="preserve">La adopción de IA constituye un elemento clave del programa de transformación de la UIT. La UIT </w:t>
      </w:r>
      <w:r w:rsidRPr="00CB50D8">
        <w:rPr>
          <w:lang w:val="es-ES_tradnl" w:eastAsia="zh-CN"/>
        </w:rPr>
        <w:t>puso</w:t>
      </w:r>
      <w:r w:rsidRPr="00CB50D8">
        <w:rPr>
          <w:lang w:val="es-ES_tradnl"/>
        </w:rPr>
        <w:t xml:space="preserve"> en marcha un </w:t>
      </w:r>
      <w:hyperlink r:id="rId78" w:history="1">
        <w:r w:rsidRPr="00C27D4E">
          <w:rPr>
            <w:rStyle w:val="Hyperlink"/>
            <w:lang w:val="es-ES_tradnl"/>
          </w:rPr>
          <w:t>centro</w:t>
        </w:r>
        <w:r w:rsidRPr="00C27D4E">
          <w:rPr>
            <w:rStyle w:val="Hyperlink"/>
            <w:rFonts w:eastAsia="Times New Roman" w:cs="Times New Roman"/>
            <w:szCs w:val="20"/>
            <w:lang w:val="es-ES_tradnl"/>
          </w:rPr>
          <w:t xml:space="preserve"> interno de </w:t>
        </w:r>
        <w:r w:rsidRPr="00C27D4E">
          <w:rPr>
            <w:rStyle w:val="Hyperlink"/>
            <w:lang w:val="es-ES_tradnl"/>
          </w:rPr>
          <w:t>IA</w:t>
        </w:r>
      </w:hyperlink>
      <w:r w:rsidRPr="00CB50D8">
        <w:rPr>
          <w:lang w:val="es-ES_tradnl"/>
        </w:rPr>
        <w:t xml:space="preserve"> para los recursos de los miembros del personal y publicó varias </w:t>
      </w:r>
      <w:hyperlink r:id="rId79" w:history="1">
        <w:r w:rsidRPr="00CB50D8">
          <w:rPr>
            <w:rStyle w:val="Hyperlink"/>
            <w:lang w:val="es-ES_tradnl"/>
          </w:rPr>
          <w:t xml:space="preserve">directrices internas sobre utilización </w:t>
        </w:r>
        <w:r w:rsidRPr="00CB50D8">
          <w:rPr>
            <w:rStyle w:val="Hyperlink"/>
            <w:lang w:val="es-ES_tradnl" w:eastAsia="zh-CN"/>
          </w:rPr>
          <w:t xml:space="preserve">responsable </w:t>
        </w:r>
        <w:r w:rsidRPr="00CB50D8">
          <w:rPr>
            <w:rStyle w:val="Hyperlink"/>
            <w:lang w:val="es-ES_tradnl"/>
          </w:rPr>
          <w:t>de GenAI</w:t>
        </w:r>
      </w:hyperlink>
      <w:r w:rsidRPr="00CB50D8">
        <w:rPr>
          <w:lang w:val="es-ES_tradnl" w:eastAsia="zh-CN"/>
        </w:rPr>
        <w:t xml:space="preserve">. </w:t>
      </w:r>
      <w:r w:rsidRPr="00CB50D8">
        <w:rPr>
          <w:lang w:val="es-ES_tradnl"/>
        </w:rPr>
        <w:t xml:space="preserve">Se organizan periódicamente sesiones didácticas para el personal y la comunidad diplomática a través de los Laboratorios de Aprendizaje y la iniciativa </w:t>
      </w:r>
      <w:proofErr w:type="spellStart"/>
      <w:r w:rsidRPr="00C27D4E">
        <w:rPr>
          <w:i/>
          <w:iCs/>
          <w:lang w:val="es-ES_tradnl"/>
        </w:rPr>
        <w:t>Demystifying</w:t>
      </w:r>
      <w:proofErr w:type="spellEnd"/>
      <w:r w:rsidRPr="00C27D4E">
        <w:rPr>
          <w:i/>
          <w:iCs/>
          <w:lang w:val="es-ES_tradnl"/>
        </w:rPr>
        <w:t xml:space="preserve"> Digital</w:t>
      </w:r>
      <w:r w:rsidRPr="00CB50D8">
        <w:rPr>
          <w:lang w:val="es-ES_tradnl"/>
        </w:rPr>
        <w:t>.</w:t>
      </w:r>
    </w:p>
    <w:p w14:paraId="2C1C2A04" w14:textId="77777777" w:rsidR="00207B78" w:rsidRPr="00CB50D8" w:rsidRDefault="00207B78" w:rsidP="00207B78">
      <w:pPr>
        <w:pStyle w:val="Heading1"/>
        <w:rPr>
          <w:lang w:val="es-ES_tradnl"/>
        </w:rPr>
      </w:pPr>
      <w:bookmarkStart w:id="5" w:name="_3._Standards_&amp;"/>
      <w:bookmarkStart w:id="6" w:name="_3_Normas_y"/>
      <w:bookmarkEnd w:id="5"/>
      <w:bookmarkEnd w:id="6"/>
      <w:r w:rsidRPr="00CB50D8">
        <w:rPr>
          <w:lang w:val="es-ES_tradnl"/>
        </w:rPr>
        <w:t>3</w:t>
      </w:r>
      <w:r w:rsidRPr="00CB50D8">
        <w:rPr>
          <w:lang w:val="es-ES_tradnl"/>
        </w:rPr>
        <w:tab/>
        <w:t xml:space="preserve">Normas </w:t>
      </w:r>
      <w:r w:rsidRPr="00CB50D8">
        <w:rPr>
          <w:lang w:val="es-ES_tradnl" w:eastAsia="zh-CN"/>
        </w:rPr>
        <w:t xml:space="preserve">y </w:t>
      </w:r>
      <w:r w:rsidRPr="00CB50D8">
        <w:rPr>
          <w:lang w:val="es-ES_tradnl"/>
        </w:rPr>
        <w:t>políticas</w:t>
      </w:r>
    </w:p>
    <w:p w14:paraId="4F84AB8D" w14:textId="77777777" w:rsidR="00207B78" w:rsidRPr="00CB50D8" w:rsidRDefault="00207B78" w:rsidP="00C741C0">
      <w:pPr>
        <w:jc w:val="both"/>
        <w:rPr>
          <w:lang w:val="es-ES_tradnl" w:eastAsia="zh-CN"/>
        </w:rPr>
      </w:pPr>
      <w:r w:rsidRPr="00CB50D8">
        <w:rPr>
          <w:lang w:val="es-ES_tradnl"/>
        </w:rPr>
        <w:t xml:space="preserve">La UIT cuenta con más de 470 normas sobre IA y publicaciones conexas, ya sea en fase elaboración o </w:t>
      </w:r>
      <w:r w:rsidRPr="00CB50D8">
        <w:rPr>
          <w:lang w:val="es-ES_tradnl" w:eastAsia="zh-CN"/>
        </w:rPr>
        <w:t>publicadas</w:t>
      </w:r>
      <w:r w:rsidRPr="00CB50D8">
        <w:rPr>
          <w:lang w:val="es-ES_tradnl"/>
        </w:rPr>
        <w:t xml:space="preserve">, impulsadas por un amplio número de miembros y mejoradas por medio de actividades de colaboración con la ISO y la CEI en el marco de la </w:t>
      </w:r>
      <w:hyperlink r:id="rId80" w:history="1">
        <w:r w:rsidRPr="00CB50D8">
          <w:rPr>
            <w:rStyle w:val="Hyperlink"/>
            <w:lang w:val="es-ES_tradnl"/>
          </w:rPr>
          <w:t>Cooperación Mundial sobre Normas (</w:t>
        </w:r>
        <w:proofErr w:type="spellStart"/>
        <w:r w:rsidRPr="00CB50D8">
          <w:rPr>
            <w:rStyle w:val="Hyperlink"/>
            <w:lang w:val="es-ES_tradnl"/>
          </w:rPr>
          <w:t>CMN</w:t>
        </w:r>
        <w:proofErr w:type="spellEnd"/>
      </w:hyperlink>
      <w:r w:rsidRPr="00CB50D8">
        <w:rPr>
          <w:lang w:val="es-ES_tradnl"/>
        </w:rPr>
        <w:t>).</w:t>
      </w:r>
    </w:p>
    <w:p w14:paraId="2FB620BB" w14:textId="77777777" w:rsidR="00207B78" w:rsidRPr="00CB50D8" w:rsidRDefault="00207B78" w:rsidP="00207B78">
      <w:pPr>
        <w:pStyle w:val="Headingb"/>
        <w:rPr>
          <w:lang w:val="es-ES_tradnl" w:eastAsia="zh-CN"/>
        </w:rPr>
      </w:pPr>
      <w:r w:rsidRPr="00CB50D8">
        <w:rPr>
          <w:lang w:val="es-ES_tradnl" w:eastAsia="zh-CN"/>
        </w:rPr>
        <w:lastRenderedPageBreak/>
        <w:t>Actividades de las Comisiones de Estudio sobre IA</w:t>
      </w:r>
    </w:p>
    <w:p w14:paraId="79127DF9" w14:textId="351CC273" w:rsidR="00207B78" w:rsidRPr="00AF17F2" w:rsidRDefault="00207B78" w:rsidP="00C741C0">
      <w:pPr>
        <w:jc w:val="both"/>
        <w:rPr>
          <w:spacing w:val="-2"/>
          <w:lang w:val="es-ES_tradnl" w:eastAsia="zh-CN"/>
        </w:rPr>
      </w:pPr>
      <w:r w:rsidRPr="00AF17F2">
        <w:rPr>
          <w:spacing w:val="-2"/>
          <w:lang w:val="es-ES_tradnl"/>
        </w:rPr>
        <w:t xml:space="preserve">Entre las actividades de las Comisiones de Estudio </w:t>
      </w:r>
      <w:r w:rsidRPr="00AF17F2">
        <w:rPr>
          <w:spacing w:val="-2"/>
          <w:lang w:val="es-ES_tradnl" w:eastAsia="zh-CN"/>
        </w:rPr>
        <w:t xml:space="preserve">(CE) </w:t>
      </w:r>
      <w:r w:rsidRPr="00AF17F2">
        <w:rPr>
          <w:spacing w:val="-2"/>
          <w:lang w:val="es-ES_tradnl"/>
        </w:rPr>
        <w:t xml:space="preserve">del UIT-T </w:t>
      </w:r>
      <w:r w:rsidRPr="00AF17F2">
        <w:rPr>
          <w:spacing w:val="-2"/>
          <w:lang w:val="es-ES_tradnl" w:eastAsia="zh-CN"/>
        </w:rPr>
        <w:t>sobre I</w:t>
      </w:r>
      <w:r w:rsidR="00931F48" w:rsidRPr="00AF17F2">
        <w:rPr>
          <w:spacing w:val="-2"/>
          <w:lang w:val="es-ES_tradnl" w:eastAsia="zh-CN"/>
        </w:rPr>
        <w:t>A</w:t>
      </w:r>
      <w:r w:rsidRPr="00AF17F2">
        <w:rPr>
          <w:spacing w:val="-2"/>
          <w:lang w:val="es-ES_tradnl" w:eastAsia="zh-CN"/>
        </w:rPr>
        <w:t xml:space="preserve"> </w:t>
      </w:r>
      <w:r w:rsidRPr="00AF17F2">
        <w:rPr>
          <w:spacing w:val="-2"/>
          <w:lang w:val="es-ES_tradnl"/>
        </w:rPr>
        <w:t xml:space="preserve">cabe destacar: la labor de la CE2 sobre mejora de la IA, incluido el conjunto de herramientas ML5G para integrar la IA/ML en las redes </w:t>
      </w:r>
      <w:proofErr w:type="spellStart"/>
      <w:r w:rsidRPr="00AF17F2">
        <w:rPr>
          <w:spacing w:val="-2"/>
          <w:lang w:val="es-ES_tradnl"/>
        </w:rPr>
        <w:t>5G</w:t>
      </w:r>
      <w:proofErr w:type="spellEnd"/>
      <w:r w:rsidRPr="00AF17F2">
        <w:rPr>
          <w:spacing w:val="-2"/>
          <w:lang w:val="es-ES_tradnl"/>
        </w:rPr>
        <w:t xml:space="preserve"> y en redes futuras, y el conjunto de herramientas </w:t>
      </w:r>
      <w:proofErr w:type="spellStart"/>
      <w:r w:rsidRPr="00AF17F2">
        <w:rPr>
          <w:spacing w:val="-2"/>
          <w:lang w:val="es-ES_tradnl"/>
        </w:rPr>
        <w:t>AITOM</w:t>
      </w:r>
      <w:proofErr w:type="spellEnd"/>
      <w:r w:rsidRPr="00AF17F2">
        <w:rPr>
          <w:spacing w:val="-2"/>
          <w:lang w:val="es-ES_tradnl"/>
        </w:rPr>
        <w:t xml:space="preserve"> para el funcionamiento y la gestión de redes mejorados por la IA; la </w:t>
      </w:r>
      <w:hyperlink r:id="rId81" w:history="1">
        <w:r w:rsidRPr="00AF17F2">
          <w:rPr>
            <w:rStyle w:val="Hyperlink"/>
            <w:spacing w:val="-2"/>
            <w:lang w:val="es-ES_tradnl"/>
          </w:rPr>
          <w:t>nueva norma</w:t>
        </w:r>
      </w:hyperlink>
      <w:r w:rsidRPr="00AF17F2">
        <w:rPr>
          <w:rFonts w:eastAsiaTheme="minorHAnsi" w:cstheme="minorBidi"/>
          <w:spacing w:val="-2"/>
          <w:szCs w:val="22"/>
          <w:lang w:val="es-ES_tradnl"/>
        </w:rPr>
        <w:t xml:space="preserve"> de</w:t>
      </w:r>
      <w:r w:rsidRPr="00AF17F2">
        <w:rPr>
          <w:spacing w:val="-2"/>
          <w:lang w:val="es-ES_tradnl"/>
        </w:rPr>
        <w:t xml:space="preserve"> la </w:t>
      </w:r>
      <w:proofErr w:type="spellStart"/>
      <w:r w:rsidRPr="00AF17F2">
        <w:rPr>
          <w:spacing w:val="-2"/>
          <w:lang w:val="es-ES_tradnl"/>
        </w:rPr>
        <w:t>CE5</w:t>
      </w:r>
      <w:proofErr w:type="spellEnd"/>
      <w:r w:rsidRPr="00AF17F2">
        <w:rPr>
          <w:spacing w:val="-2"/>
          <w:lang w:val="es-ES_tradnl"/>
        </w:rPr>
        <w:t xml:space="preserve"> para evaluar el impacto medioambiental de los sistemas de IA; la labor de normalización de la </w:t>
      </w:r>
      <w:proofErr w:type="spellStart"/>
      <w:r w:rsidRPr="00AF17F2">
        <w:rPr>
          <w:spacing w:val="-2"/>
          <w:lang w:val="es-ES_tradnl"/>
        </w:rPr>
        <w:t>CE11</w:t>
      </w:r>
      <w:proofErr w:type="spellEnd"/>
      <w:r w:rsidRPr="00AF17F2">
        <w:rPr>
          <w:spacing w:val="-2"/>
          <w:lang w:val="es-ES_tradnl"/>
        </w:rPr>
        <w:t xml:space="preserve"> de herramientas basadas en IA para fines de señalización, realización de pruebas y optimización de red, y una nueva norma sobre métodos y sistemas de medición para supervisar la IA/ML; la labor de la </w:t>
      </w:r>
      <w:proofErr w:type="spellStart"/>
      <w:r w:rsidRPr="00AF17F2">
        <w:rPr>
          <w:spacing w:val="-2"/>
          <w:lang w:val="es-ES_tradnl"/>
        </w:rPr>
        <w:t>CE12</w:t>
      </w:r>
      <w:proofErr w:type="spellEnd"/>
      <w:r w:rsidRPr="00AF17F2">
        <w:rPr>
          <w:spacing w:val="-2"/>
          <w:lang w:val="es-ES_tradnl"/>
        </w:rPr>
        <w:t xml:space="preserve"> sobre evaluación de la calidad basada en ML, incluida la orientación sobre soluciones de ML para la predicción de la calidad de servicio y la calidad percibida y el marco de modelos de calidad vocal basados en ML; responsabilidades de la </w:t>
      </w:r>
      <w:proofErr w:type="spellStart"/>
      <w:r w:rsidRPr="00AF17F2">
        <w:rPr>
          <w:spacing w:val="-2"/>
          <w:lang w:val="es-ES_tradnl"/>
        </w:rPr>
        <w:t>CE13</w:t>
      </w:r>
      <w:proofErr w:type="spellEnd"/>
      <w:r w:rsidRPr="00AF17F2">
        <w:rPr>
          <w:spacing w:val="-2"/>
          <w:lang w:val="es-ES_tradnl"/>
        </w:rPr>
        <w:t xml:space="preserve"> en relación con las normas de IA/ML para las redes futuras, incluida la </w:t>
      </w:r>
      <w:hyperlink r:id="rId82" w:history="1">
        <w:r w:rsidRPr="00AF17F2">
          <w:rPr>
            <w:rStyle w:val="Hyperlink"/>
            <w:spacing w:val="-2"/>
            <w:lang w:val="es-ES_tradnl"/>
          </w:rPr>
          <w:t>hoja de ruta de normalización de la IA</w:t>
        </w:r>
      </w:hyperlink>
      <w:r w:rsidRPr="00AF17F2">
        <w:rPr>
          <w:spacing w:val="-2"/>
          <w:lang w:val="es-ES_tradnl"/>
        </w:rPr>
        <w:t xml:space="preserve"> y los trabajos sobre garantía de la calidad de servicio, equilibrio de carga, colaboración con agentes IA, IA generativa en redes de telecomunicaciones y comunicación entre agentes IA, incluido el establecimiento de un marco de evaluación comparativa para IA generativa en telecomunicaciones, complementado por un </w:t>
      </w:r>
      <w:hyperlink r:id="rId83" w:history="1">
        <w:r w:rsidRPr="00AF17F2">
          <w:rPr>
            <w:rStyle w:val="Hyperlink"/>
            <w:spacing w:val="-2"/>
            <w:lang w:val="es-ES_tradnl"/>
          </w:rPr>
          <w:t>Grupo Temático sobre redes nativas de IA</w:t>
        </w:r>
      </w:hyperlink>
      <w:r w:rsidRPr="00AF17F2">
        <w:rPr>
          <w:spacing w:val="-2"/>
          <w:lang w:val="es-ES_tradnl"/>
        </w:rPr>
        <w:t xml:space="preserve"> y el marco ION-2030 sobre redes ópticas internacionales; l</w:t>
      </w:r>
      <w:r w:rsidRPr="00AF17F2">
        <w:rPr>
          <w:rFonts w:eastAsia="Malgun Gothic"/>
          <w:spacing w:val="-2"/>
          <w:lang w:val="es-ES_tradnl" w:eastAsia="ko-KR"/>
        </w:rPr>
        <w:t xml:space="preserve">a </w:t>
      </w:r>
      <w:proofErr w:type="spellStart"/>
      <w:r w:rsidRPr="00AF17F2">
        <w:rPr>
          <w:rFonts w:eastAsia="Malgun Gothic"/>
          <w:spacing w:val="-2"/>
          <w:lang w:val="es-ES_tradnl" w:eastAsia="ko-KR"/>
        </w:rPr>
        <w:t>CE17</w:t>
      </w:r>
      <w:proofErr w:type="spellEnd"/>
      <w:r w:rsidRPr="00AF17F2">
        <w:rPr>
          <w:rFonts w:eastAsia="Malgun Gothic"/>
          <w:spacing w:val="-2"/>
          <w:lang w:val="es-ES_tradnl" w:eastAsia="ko-KR"/>
        </w:rPr>
        <w:t>, encargada</w:t>
      </w:r>
      <w:r w:rsidRPr="00AF17F2">
        <w:rPr>
          <w:spacing w:val="-2"/>
          <w:lang w:val="es-ES_tradnl"/>
        </w:rPr>
        <w:t xml:space="preserve"> de la nueva labor de normalización de la seguridad de la IA, aborda la IA agéntica, con normas incipientes sobre riesgos de seguridad, marcos de confianza y gestión de identidad para agentes IA</w:t>
      </w:r>
      <w:r w:rsidRPr="00AF17F2">
        <w:rPr>
          <w:rFonts w:eastAsia="Malgun Gothic"/>
          <w:spacing w:val="-2"/>
          <w:lang w:val="es-ES_tradnl" w:eastAsia="ko-KR"/>
        </w:rPr>
        <w:t xml:space="preserve">; la </w:t>
      </w:r>
      <w:proofErr w:type="spellStart"/>
      <w:r w:rsidRPr="00AF17F2">
        <w:rPr>
          <w:spacing w:val="-2"/>
          <w:lang w:val="es-ES_tradnl"/>
        </w:rPr>
        <w:t>CE20</w:t>
      </w:r>
      <w:proofErr w:type="spellEnd"/>
      <w:r w:rsidRPr="00AF17F2">
        <w:rPr>
          <w:spacing w:val="-2"/>
          <w:lang w:val="es-ES_tradnl"/>
        </w:rPr>
        <w:t xml:space="preserve">, que promueve la IA en ciudades y comunidades sostenibles e inteligentes; y la </w:t>
      </w:r>
      <w:proofErr w:type="spellStart"/>
      <w:r w:rsidRPr="00AF17F2">
        <w:rPr>
          <w:spacing w:val="-2"/>
          <w:lang w:val="es-ES_tradnl"/>
        </w:rPr>
        <w:t>CE21</w:t>
      </w:r>
      <w:proofErr w:type="spellEnd"/>
      <w:r w:rsidRPr="00AF17F2">
        <w:rPr>
          <w:spacing w:val="-2"/>
          <w:lang w:val="es-ES_tradnl"/>
        </w:rPr>
        <w:t xml:space="preserve">, que aborda las aplicaciones multimedia de IA, incluido el sistema de codificación de imágenes JPEG basado en aprendizaje mediante IA (en colaboración con la ISO/CEI) y una nueva norma sobre sistemas de IA integrados, con más de 150 Recomendaciones relacionadas con la IA y un nuevo </w:t>
      </w:r>
      <w:hyperlink r:id="rId84" w:history="1">
        <w:r w:rsidRPr="00AF17F2">
          <w:rPr>
            <w:rStyle w:val="Hyperlink"/>
            <w:spacing w:val="-2"/>
            <w:lang w:val="es-ES_tradnl"/>
          </w:rPr>
          <w:t xml:space="preserve">Grupo temático sobre integración de IA </w:t>
        </w:r>
      </w:hyperlink>
      <w:r w:rsidRPr="00AF17F2">
        <w:rPr>
          <w:spacing w:val="-2"/>
          <w:lang w:val="es-ES_tradnl"/>
        </w:rPr>
        <w:t>.</w:t>
      </w:r>
    </w:p>
    <w:p w14:paraId="5577A3B4" w14:textId="102E4FC0" w:rsidR="00207B78" w:rsidRPr="00CB50D8" w:rsidRDefault="00207B78" w:rsidP="00C741C0">
      <w:pPr>
        <w:jc w:val="both"/>
        <w:rPr>
          <w:lang w:val="es-ES_tradnl"/>
        </w:rPr>
      </w:pPr>
      <w:r w:rsidRPr="00CB50D8">
        <w:rPr>
          <w:lang w:val="es-ES_tradnl"/>
        </w:rPr>
        <w:t xml:space="preserve">Las </w:t>
      </w:r>
      <w:r w:rsidRPr="00CB50D8">
        <w:rPr>
          <w:color w:val="000000" w:themeColor="text1"/>
          <w:lang w:val="es-ES_tradnl"/>
        </w:rPr>
        <w:t xml:space="preserve">Comisiones </w:t>
      </w:r>
      <w:r w:rsidRPr="00CB50D8">
        <w:rPr>
          <w:lang w:val="es-ES_tradnl"/>
        </w:rPr>
        <w:t>de Estudio del UIT-R incluyen aspectos de IA en sus estudios, en particular, el informe de la CE</w:t>
      </w:r>
      <w:r w:rsidR="00931F48" w:rsidRPr="00CB50D8">
        <w:rPr>
          <w:lang w:val="es-ES_tradnl"/>
        </w:rPr>
        <w:t> </w:t>
      </w:r>
      <w:r w:rsidRPr="00CB50D8">
        <w:rPr>
          <w:lang w:val="es-ES_tradnl"/>
        </w:rPr>
        <w:t xml:space="preserve">1 sobre </w:t>
      </w:r>
      <w:hyperlink r:id="rId85" w:history="1">
        <w:r w:rsidRPr="00CB50D8">
          <w:rPr>
            <w:rStyle w:val="Hyperlink"/>
            <w:lang w:val="es-ES_tradnl"/>
          </w:rPr>
          <w:t>Comprobación técnica del espectro de próxima generación</w:t>
        </w:r>
      </w:hyperlink>
      <w:r w:rsidRPr="00CB50D8">
        <w:rPr>
          <w:lang w:val="es-ES_tradnl"/>
        </w:rPr>
        <w:t xml:space="preserve"> mediante IA y macrodatos para automatizar la comprobación técnica del espectro; el Grupo por </w:t>
      </w:r>
      <w:r w:rsidRPr="00CB50D8">
        <w:rPr>
          <w:lang w:val="es-ES_tradnl" w:eastAsia="zh-CN"/>
        </w:rPr>
        <w:t>correspondencia</w:t>
      </w:r>
      <w:r w:rsidRPr="00CB50D8">
        <w:rPr>
          <w:lang w:val="es-ES_tradnl"/>
        </w:rPr>
        <w:t xml:space="preserve"> </w:t>
      </w:r>
      <w:hyperlink r:id="rId86" w:history="1">
        <w:r w:rsidRPr="00CB50D8">
          <w:rPr>
            <w:rStyle w:val="Hyperlink"/>
            <w:lang w:val="es-ES_tradnl"/>
          </w:rPr>
          <w:t>Aprendizaje automático para estudios de propagación</w:t>
        </w:r>
      </w:hyperlink>
      <w:r w:rsidRPr="00CB50D8">
        <w:rPr>
          <w:lang w:val="es-ES_tradnl"/>
        </w:rPr>
        <w:t>, con el fin de orientar las aplicaciones de aprendizaje automático en la predicción de la propagación de ondas radioeléctricas; y la labor de la CE</w:t>
      </w:r>
      <w:r w:rsidR="00931F48" w:rsidRPr="00CB50D8">
        <w:rPr>
          <w:lang w:val="es-ES_tradnl"/>
        </w:rPr>
        <w:t> </w:t>
      </w:r>
      <w:r w:rsidRPr="00CB50D8">
        <w:rPr>
          <w:lang w:val="es-ES_tradnl"/>
        </w:rPr>
        <w:t>6 sobre IA para fines de radiodifusión, incluida la IA generativa en los flujos de trabajo de creación de programas.</w:t>
      </w:r>
    </w:p>
    <w:p w14:paraId="69D0201B" w14:textId="052F3587" w:rsidR="00207B78" w:rsidRPr="00CB50D8" w:rsidRDefault="00207B78" w:rsidP="00C741C0">
      <w:pPr>
        <w:jc w:val="both"/>
        <w:rPr>
          <w:lang w:val="es-ES_tradnl" w:eastAsia="zh-CN"/>
        </w:rPr>
      </w:pPr>
      <w:r w:rsidRPr="00CB50D8">
        <w:rPr>
          <w:lang w:val="es-ES_tradnl"/>
        </w:rPr>
        <w:t xml:space="preserve">Entre </w:t>
      </w:r>
      <w:r w:rsidRPr="00CB50D8">
        <w:rPr>
          <w:lang w:val="es-ES_tradnl" w:eastAsia="zh-CN"/>
        </w:rPr>
        <w:t>las</w:t>
      </w:r>
      <w:r w:rsidRPr="00CB50D8">
        <w:rPr>
          <w:lang w:val="es-ES_tradnl"/>
        </w:rPr>
        <w:t xml:space="preserve"> iniciativas previas a la normalización cabe destacar</w:t>
      </w:r>
      <w:hyperlink r:id="rId87" w:history="1">
        <w:r w:rsidRPr="00CB50D8">
          <w:rPr>
            <w:rStyle w:val="Hyperlink"/>
            <w:lang w:val="es-ES_tradnl"/>
          </w:rPr>
          <w:t>: la Iniciativa mundial sobre IA para sistemas alimentarios</w:t>
        </w:r>
      </w:hyperlink>
      <w:r w:rsidRPr="00CB50D8">
        <w:rPr>
          <w:lang w:val="es-ES_tradnl"/>
        </w:rPr>
        <w:t xml:space="preserve">, cuyo objetivo es utilizar la IA para fomentar la productividad, la eficiencia y la seguridad alimentaria mundial; la </w:t>
      </w:r>
      <w:hyperlink r:id="rId88" w:history="1">
        <w:r w:rsidRPr="00CB50D8">
          <w:rPr>
            <w:rStyle w:val="Hyperlink"/>
            <w:lang w:val="es-ES_tradnl"/>
          </w:rPr>
          <w:t>Iniciativa mundial sobre resiliencia frente a riegos naturales mediante soluciones de IA</w:t>
        </w:r>
      </w:hyperlink>
      <w:r w:rsidRPr="00CB50D8">
        <w:rPr>
          <w:lang w:val="es-ES_tradnl"/>
        </w:rPr>
        <w:t xml:space="preserve">, que tiene por objeto proporcionar orientación experta y facilitar apoyo a actividades de investigación, innovación y normalización; la </w:t>
      </w:r>
      <w:hyperlink r:id="rId89" w:anchor="/es" w:history="1">
        <w:r w:rsidRPr="00CB50D8">
          <w:rPr>
            <w:rStyle w:val="Hyperlink"/>
            <w:lang w:val="es-ES_tradnl"/>
          </w:rPr>
          <w:t>Iniciativa mundial sobre IA para la salud</w:t>
        </w:r>
      </w:hyperlink>
      <w:r w:rsidRPr="00CB50D8">
        <w:rPr>
          <w:lang w:val="es-ES_tradnl"/>
        </w:rPr>
        <w:t xml:space="preserve">, cuyo objetivo es promover directrices normalizadas, promover la colaboración intersectorial y alentar una mayor participación de las comunidades de los sectores sanitario y de IA a escala mundial; y la </w:t>
      </w:r>
      <w:hyperlink r:id="rId90" w:history="1">
        <w:r w:rsidRPr="00CB50D8">
          <w:rPr>
            <w:rStyle w:val="Hyperlink"/>
            <w:lang w:val="es-ES_tradnl"/>
          </w:rPr>
          <w:t>Iniciativa mundial sobre mundos virtuales e IA</w:t>
        </w:r>
      </w:hyperlink>
      <w:r w:rsidRPr="00CB50D8">
        <w:rPr>
          <w:lang w:val="es-ES_tradnl"/>
        </w:rPr>
        <w:t>, que tiene por objeto forjar un futuro con mundos virtuales basados en IA inclusivos, fiables e interoperables.</w:t>
      </w:r>
    </w:p>
    <w:p w14:paraId="706CA557" w14:textId="77777777" w:rsidR="00207B78" w:rsidRPr="00CB50D8" w:rsidRDefault="00207B78" w:rsidP="00207B78">
      <w:pPr>
        <w:pStyle w:val="Headingb"/>
        <w:rPr>
          <w:lang w:val="es-ES_tradnl" w:eastAsia="zh-CN"/>
        </w:rPr>
      </w:pPr>
      <w:r w:rsidRPr="00CB50D8">
        <w:rPr>
          <w:lang w:val="es-ES_tradnl" w:eastAsia="zh-CN"/>
        </w:rPr>
        <w:t xml:space="preserve">Colaboración en el marco de la </w:t>
      </w:r>
      <w:proofErr w:type="spellStart"/>
      <w:r w:rsidRPr="00CB50D8">
        <w:rPr>
          <w:lang w:val="es-ES_tradnl" w:eastAsia="zh-CN"/>
        </w:rPr>
        <w:t>WSC</w:t>
      </w:r>
      <w:proofErr w:type="spellEnd"/>
    </w:p>
    <w:p w14:paraId="130FEC46" w14:textId="1C8FDEAC" w:rsidR="00207B78" w:rsidRPr="00CB50D8" w:rsidRDefault="00207B78" w:rsidP="00C741C0">
      <w:pPr>
        <w:jc w:val="both"/>
        <w:rPr>
          <w:rFonts w:eastAsia="Malgun Gothic"/>
          <w:lang w:val="es-ES_tradnl" w:eastAsia="ko-KR"/>
        </w:rPr>
      </w:pPr>
      <w:r w:rsidRPr="00CB50D8">
        <w:rPr>
          <w:lang w:val="es-ES_tradnl"/>
        </w:rPr>
        <w:t xml:space="preserve">La colaboración con otras organizaciones de normalización en el marco de la </w:t>
      </w:r>
      <w:proofErr w:type="spellStart"/>
      <w:r w:rsidRPr="00CB50D8">
        <w:rPr>
          <w:lang w:val="es-ES_tradnl"/>
        </w:rPr>
        <w:t>WSC</w:t>
      </w:r>
      <w:proofErr w:type="spellEnd"/>
      <w:r w:rsidRPr="00CB50D8">
        <w:rPr>
          <w:lang w:val="es-ES_tradnl"/>
        </w:rPr>
        <w:t xml:space="preserve"> promueve </w:t>
      </w:r>
      <w:r w:rsidRPr="00CB50D8">
        <w:rPr>
          <w:lang w:val="es-ES_tradnl" w:eastAsia="zh-CN"/>
        </w:rPr>
        <w:t>normas</w:t>
      </w:r>
      <w:r w:rsidRPr="00CB50D8">
        <w:rPr>
          <w:lang w:val="es-ES_tradnl"/>
        </w:rPr>
        <w:t xml:space="preserve"> internacionales basadas en el consenso. Entre los principales logros cabe citar la creación de la </w:t>
      </w:r>
      <w:hyperlink r:id="rId91">
        <w:r w:rsidRPr="00CB50D8">
          <w:rPr>
            <w:color w:val="0563C1"/>
            <w:u w:val="single"/>
            <w:lang w:val="es-ES_tradnl" w:eastAsia="ko-KR"/>
          </w:rPr>
          <w:t>base de datos para el intercambio de normas sobre IA</w:t>
        </w:r>
      </w:hyperlink>
      <w:r w:rsidRPr="00CB50D8">
        <w:rPr>
          <w:lang w:val="es-ES_tradnl"/>
        </w:rPr>
        <w:t xml:space="preserve">, que contiene más de </w:t>
      </w:r>
      <w:r w:rsidRPr="00CB50D8">
        <w:rPr>
          <w:lang w:val="es-ES_tradnl"/>
        </w:rPr>
        <w:lastRenderedPageBreak/>
        <w:t xml:space="preserve">800 normas y publicaciones técnicas de la UIT, la ISO, la CEI y el IEEE, y la publicación de </w:t>
      </w:r>
      <w:hyperlink r:id="rId92" w:anchor="/es">
        <w:r w:rsidRPr="00CB50D8">
          <w:rPr>
            <w:rStyle w:val="Hyperlink"/>
            <w:lang w:val="es-ES_tradnl"/>
          </w:rPr>
          <w:t>dos documentos técnicos y de políticas emblemáticos</w:t>
        </w:r>
      </w:hyperlink>
      <w:r w:rsidRPr="00CB50D8">
        <w:rPr>
          <w:lang w:val="es-ES_tradnl"/>
        </w:rPr>
        <w:t xml:space="preserve"> sobre normas para la detección de amplias falsificaciones como resultado inicial de la Colaboración sobre normas en materia de autenticidad de IA y multimedios (AMAS). </w:t>
      </w:r>
      <w:r w:rsidRPr="00C27D4E">
        <w:rPr>
          <w:rFonts w:eastAsiaTheme="minorHAnsi" w:cstheme="minorBidi"/>
          <w:szCs w:val="22"/>
          <w:lang w:val="es-ES_tradnl"/>
        </w:rPr>
        <w:t xml:space="preserve">La </w:t>
      </w:r>
      <w:hyperlink r:id="rId93" w:history="1">
        <w:r w:rsidRPr="00C27D4E">
          <w:rPr>
            <w:rStyle w:val="Hyperlink"/>
            <w:lang w:val="es-ES_tradnl"/>
          </w:rPr>
          <w:t>Cumbre internacional</w:t>
        </w:r>
        <w:r w:rsidRPr="00C27D4E">
          <w:rPr>
            <w:rStyle w:val="Hyperlink"/>
            <w:rFonts w:eastAsia="Times New Roman" w:cs="Times New Roman"/>
            <w:szCs w:val="20"/>
            <w:lang w:val="es-ES_tradnl"/>
          </w:rPr>
          <w:t xml:space="preserve"> anual </w:t>
        </w:r>
        <w:r w:rsidRPr="00C27D4E">
          <w:rPr>
            <w:rStyle w:val="Hyperlink"/>
            <w:lang w:val="es-ES_tradnl"/>
          </w:rPr>
          <w:t>sobre normas de IA</w:t>
        </w:r>
      </w:hyperlink>
      <w:r w:rsidRPr="00CB50D8">
        <w:rPr>
          <w:lang w:val="es-ES_tradnl"/>
        </w:rPr>
        <w:t xml:space="preserve"> comenzó con una reunión inaugural celebrada simultáneamente con la </w:t>
      </w:r>
      <w:proofErr w:type="spellStart"/>
      <w:r w:rsidRPr="00CB50D8">
        <w:rPr>
          <w:lang w:val="es-ES_tradnl"/>
        </w:rPr>
        <w:t>AMNT</w:t>
      </w:r>
      <w:proofErr w:type="spellEnd"/>
      <w:r w:rsidRPr="00CB50D8">
        <w:rPr>
          <w:lang w:val="es-ES_tradnl"/>
        </w:rPr>
        <w:t xml:space="preserve"> en Nueva Delhi</w:t>
      </w:r>
      <w:r w:rsidRPr="00CB50D8">
        <w:rPr>
          <w:lang w:val="es-ES_tradnl" w:eastAsia="zh-CN"/>
        </w:rPr>
        <w:t xml:space="preserve">. </w:t>
      </w:r>
      <w:r w:rsidRPr="00CB50D8">
        <w:rPr>
          <w:lang w:val="es-ES_tradnl"/>
        </w:rPr>
        <w:t>La segunda cumbre</w:t>
      </w:r>
      <w:r w:rsidRPr="00CB50D8">
        <w:rPr>
          <w:lang w:val="es-ES_tradnl" w:eastAsia="zh-CN"/>
        </w:rPr>
        <w:t xml:space="preserve">, celebrada en diciembre </w:t>
      </w:r>
      <w:r w:rsidRPr="00CB50D8">
        <w:rPr>
          <w:lang w:val="es-ES_tradnl"/>
        </w:rPr>
        <w:t xml:space="preserve">de 2025, adoptó la </w:t>
      </w:r>
      <w:hyperlink r:id="rId94" w:history="1">
        <w:r w:rsidRPr="00CB50D8">
          <w:rPr>
            <w:rStyle w:val="Hyperlink"/>
            <w:lang w:val="es-ES_tradnl"/>
          </w:rPr>
          <w:t>Declaración de Seúl</w:t>
        </w:r>
      </w:hyperlink>
      <w:r w:rsidRPr="00CB50D8">
        <w:rPr>
          <w:lang w:val="es-ES_tradnl"/>
        </w:rPr>
        <w:t xml:space="preserve"> para facilitar la normalización internacional de la IA.</w:t>
      </w:r>
    </w:p>
    <w:p w14:paraId="64E80209" w14:textId="77777777" w:rsidR="00207B78" w:rsidRPr="00CB50D8" w:rsidRDefault="00207B78" w:rsidP="00207B78">
      <w:pPr>
        <w:pStyle w:val="Headingb"/>
        <w:rPr>
          <w:lang w:val="es-ES_tradnl"/>
        </w:rPr>
      </w:pPr>
      <w:r w:rsidRPr="00CB50D8">
        <w:rPr>
          <w:lang w:val="es-ES_tradnl" w:eastAsia="zh-CN"/>
        </w:rPr>
        <w:t>Otros trabajos relacionados con políticas</w:t>
      </w:r>
    </w:p>
    <w:p w14:paraId="33A2ED7C" w14:textId="5D74275D" w:rsidR="00207B78" w:rsidRPr="00CB50D8" w:rsidRDefault="00207B78" w:rsidP="00C741C0">
      <w:pPr>
        <w:jc w:val="both"/>
        <w:rPr>
          <w:lang w:val="es-ES_tradnl" w:eastAsia="zh-CN"/>
        </w:rPr>
      </w:pPr>
      <w:r w:rsidRPr="00CB50D8">
        <w:rPr>
          <w:lang w:val="es-ES_tradnl" w:eastAsia="zh-CN"/>
        </w:rPr>
        <w:t xml:space="preserve">A raíz de los resultados de la encuesta sobre la situación de la IA en 2023, la UIT lanzó la </w:t>
      </w:r>
      <w:hyperlink r:id="rId95" w:history="1">
        <w:r w:rsidRPr="00CB50D8">
          <w:rPr>
            <w:rStyle w:val="Hyperlink"/>
            <w:lang w:val="es-ES_tradnl" w:eastAsia="zh-CN"/>
          </w:rPr>
          <w:t>edición de 2025</w:t>
        </w:r>
      </w:hyperlink>
      <w:r w:rsidRPr="00CB50D8">
        <w:rPr>
          <w:lang w:val="es-ES_tradnl" w:eastAsia="zh-CN"/>
        </w:rPr>
        <w:t xml:space="preserve"> en noviembre de 2025 para recabar información actualizada sobre las políticas de IA a escala nacional, las capacidades de infraestructura y las necesidades de capacitación. Actualmente se lleva a cabo un análisis de los resultados y se prevé publicar un informe a su debido tiempo. Ese análisis será de gran utilidad para documentar y orientar los esfuerzos de la UIT en materia de capacitación en IA.</w:t>
      </w:r>
    </w:p>
    <w:p w14:paraId="0C7D7C33" w14:textId="2A1A0749" w:rsidR="00207B78" w:rsidRPr="00AF17F2" w:rsidRDefault="00207B78" w:rsidP="00C741C0">
      <w:pPr>
        <w:jc w:val="both"/>
        <w:rPr>
          <w:rFonts w:eastAsia="Malgun Gothic"/>
          <w:spacing w:val="-2"/>
          <w:lang w:val="es-ES_tradnl" w:eastAsia="ko-KR"/>
        </w:rPr>
      </w:pPr>
      <w:r w:rsidRPr="00AF17F2">
        <w:rPr>
          <w:spacing w:val="-2"/>
          <w:lang w:val="es-ES_tradnl"/>
        </w:rPr>
        <w:t xml:space="preserve">En el Simposio Mundial para Organismos Reguladores de 2025, los reguladores adoptaron </w:t>
      </w:r>
      <w:r w:rsidRPr="00AF17F2">
        <w:rPr>
          <w:rFonts w:eastAsiaTheme="minorHAnsi" w:cstheme="minorBidi"/>
          <w:spacing w:val="-2"/>
          <w:szCs w:val="22"/>
          <w:lang w:val="es-ES_tradnl"/>
        </w:rPr>
        <w:t xml:space="preserve">las </w:t>
      </w:r>
      <w:hyperlink r:id="rId96" w:anchor="p=1" w:history="1">
        <w:r w:rsidRPr="00AF17F2">
          <w:rPr>
            <w:rStyle w:val="Hyperlink"/>
            <w:spacing w:val="-2"/>
            <w:lang w:val="es-ES_tradnl"/>
          </w:rPr>
          <w:t>Directrices</w:t>
        </w:r>
        <w:r w:rsidRPr="00AF17F2">
          <w:rPr>
            <w:rStyle w:val="Hyperlink"/>
            <w:rFonts w:eastAsia="Times New Roman" w:cs="Times New Roman"/>
            <w:spacing w:val="-2"/>
            <w:szCs w:val="20"/>
            <w:lang w:val="es-ES_tradnl"/>
          </w:rPr>
          <w:t xml:space="preserve"> sobre </w:t>
        </w:r>
        <w:r w:rsidRPr="00AF17F2">
          <w:rPr>
            <w:rStyle w:val="Hyperlink"/>
            <w:spacing w:val="-2"/>
            <w:lang w:val="es-ES_tradnl"/>
          </w:rPr>
          <w:t>prácticas idóneas</w:t>
        </w:r>
      </w:hyperlink>
      <w:r w:rsidRPr="00AF17F2">
        <w:rPr>
          <w:spacing w:val="-2"/>
          <w:lang w:val="es-ES_tradnl"/>
        </w:rPr>
        <w:t xml:space="preserve"> para empoderar a los organismos de reglamentación en calidad de </w:t>
      </w:r>
      <w:r w:rsidRPr="00AF17F2">
        <w:rPr>
          <w:spacing w:val="-2"/>
          <w:lang w:val="es-ES_tradnl" w:eastAsia="zh-CN"/>
        </w:rPr>
        <w:t>creadores</w:t>
      </w:r>
      <w:r w:rsidRPr="00AF17F2">
        <w:rPr>
          <w:spacing w:val="-2"/>
          <w:lang w:val="es-ES_tradnl"/>
        </w:rPr>
        <w:t xml:space="preserve"> de ecosistemas digitales</w:t>
      </w:r>
      <w:r w:rsidRPr="00AF17F2">
        <w:rPr>
          <w:spacing w:val="-2"/>
          <w:lang w:val="es-ES_tradnl" w:eastAsia="zh-CN"/>
        </w:rPr>
        <w:t xml:space="preserve">. </w:t>
      </w:r>
      <w:r w:rsidRPr="00AF17F2">
        <w:rPr>
          <w:spacing w:val="-2"/>
          <w:lang w:val="es-ES_tradnl"/>
        </w:rPr>
        <w:t xml:space="preserve">A través de </w:t>
      </w:r>
      <w:hyperlink r:id="rId97" w:history="1">
        <w:r w:rsidRPr="00AF17F2">
          <w:rPr>
            <w:rStyle w:val="Hyperlink"/>
            <w:spacing w:val="-2"/>
            <w:lang w:val="es-ES_tradnl"/>
          </w:rPr>
          <w:t>la Plataforma de regulación digital</w:t>
        </w:r>
      </w:hyperlink>
      <w:r w:rsidRPr="00AF17F2">
        <w:rPr>
          <w:spacing w:val="-2"/>
          <w:lang w:val="es-ES_tradnl"/>
        </w:rPr>
        <w:t>, la UIT ofrece recursos como una "</w:t>
      </w:r>
      <w:hyperlink r:id="rId98" w:history="1">
        <w:r w:rsidRPr="00AF17F2">
          <w:rPr>
            <w:rStyle w:val="Hyperlink"/>
            <w:spacing w:val="-2"/>
            <w:lang w:val="es-ES_tradnl"/>
          </w:rPr>
          <w:t>Guía para fomentar marcos colaborativos de IA</w:t>
        </w:r>
      </w:hyperlink>
      <w:r w:rsidRPr="00AF17F2">
        <w:rPr>
          <w:spacing w:val="-2"/>
          <w:lang w:val="es-ES_tradnl"/>
        </w:rPr>
        <w:t xml:space="preserve">" y análisis sobre </w:t>
      </w:r>
      <w:r w:rsidRPr="00AF17F2">
        <w:rPr>
          <w:spacing w:val="-2"/>
          <w:lang w:val="es-ES_tradnl" w:eastAsia="zh-CN"/>
        </w:rPr>
        <w:t>"</w:t>
      </w:r>
      <w:hyperlink r:id="rId99" w:history="1">
        <w:r w:rsidRPr="00AF17F2">
          <w:rPr>
            <w:rStyle w:val="Hyperlink"/>
            <w:spacing w:val="-2"/>
            <w:lang w:val="es-ES_tradnl"/>
          </w:rPr>
          <w:t>Retos de las tecnologías transformativas (IA) y principios de regulación</w:t>
        </w:r>
      </w:hyperlink>
      <w:r w:rsidRPr="00AF17F2">
        <w:rPr>
          <w:spacing w:val="-2"/>
          <w:lang w:val="es-ES_tradnl" w:eastAsia="zh-CN"/>
        </w:rPr>
        <w:t xml:space="preserve">". </w:t>
      </w:r>
      <w:r w:rsidRPr="00AF17F2">
        <w:rPr>
          <w:spacing w:val="-2"/>
          <w:lang w:val="es-ES_tradnl"/>
        </w:rPr>
        <w:t xml:space="preserve">Con objeto de aplicar esos recursos, la UIT publicará en breve la guía práctica "Del análisis de la preparación para la IA a la acción", a fin de facilitar las actividades de análisis e implantación que permitan transformar la labor de evaluación en hojas de ruta prioritarias. </w:t>
      </w:r>
      <w:r w:rsidRPr="00AF17F2">
        <w:rPr>
          <w:rFonts w:eastAsia="Malgun Gothic"/>
          <w:spacing w:val="-2"/>
          <w:lang w:val="es-ES_tradnl" w:eastAsia="ko-KR"/>
        </w:rPr>
        <w:t>La UIT respalda asimismo las estrategias nacionales sobre IA y los marcos de DPI, así como los espacios de pruebas de regulación para ensayar y poner en marcha actividades de innovación en materia de IA a escala nacional.</w:t>
      </w:r>
    </w:p>
    <w:p w14:paraId="45127550" w14:textId="65F48939" w:rsidR="00207B78" w:rsidRPr="00CB50D8" w:rsidRDefault="00207B78" w:rsidP="00C741C0">
      <w:pPr>
        <w:jc w:val="both"/>
        <w:rPr>
          <w:lang w:val="es-ES_tradnl"/>
        </w:rPr>
      </w:pPr>
      <w:r w:rsidRPr="00CB50D8">
        <w:rPr>
          <w:lang w:val="es-ES_tradnl"/>
        </w:rPr>
        <w:t xml:space="preserve">La UIT, en </w:t>
      </w:r>
      <w:r w:rsidRPr="00CB50D8">
        <w:rPr>
          <w:lang w:val="es-ES_tradnl" w:eastAsia="zh-CN"/>
        </w:rPr>
        <w:t>colaboración</w:t>
      </w:r>
      <w:r w:rsidRPr="00CB50D8">
        <w:rPr>
          <w:lang w:val="es-ES_tradnl"/>
        </w:rPr>
        <w:t xml:space="preserve"> con el Comité de los Derechos de la Infancia de las Naciones Unidas y UNICEF, coordinó la redacción de la </w:t>
      </w:r>
      <w:hyperlink r:id="rId100" w:history="1">
        <w:r w:rsidRPr="00CB50D8">
          <w:rPr>
            <w:rStyle w:val="Hyperlink"/>
            <w:lang w:val="es-ES_tradnl"/>
          </w:rPr>
          <w:t>Declaración Conjunta sobre los Derechos de la Infancia con respecto a la IA</w:t>
        </w:r>
      </w:hyperlink>
      <w:r w:rsidRPr="00CB50D8">
        <w:rPr>
          <w:lang w:val="es-ES_tradnl" w:eastAsia="zh-CN"/>
        </w:rPr>
        <w:t xml:space="preserve">. Publicada en enero de 2026 </w:t>
      </w:r>
      <w:r w:rsidRPr="00CB50D8">
        <w:rPr>
          <w:lang w:val="es-ES_tradnl"/>
        </w:rPr>
        <w:t xml:space="preserve">y </w:t>
      </w:r>
      <w:r w:rsidRPr="00CB50D8">
        <w:rPr>
          <w:rFonts w:ascii="Cambria Math" w:hAnsi="Cambria Math" w:cs="Cambria Math"/>
          <w:lang w:val="es-ES_tradnl"/>
        </w:rPr>
        <w:t>suscrita</w:t>
      </w:r>
      <w:r w:rsidRPr="00CB50D8">
        <w:rPr>
          <w:lang w:val="es-ES_tradnl"/>
        </w:rPr>
        <w:t xml:space="preserve"> conjuntamente por más de 60</w:t>
      </w:r>
      <w:r w:rsidR="00AF17F2">
        <w:rPr>
          <w:lang w:val="es-ES_tradnl"/>
        </w:rPr>
        <w:t> </w:t>
      </w:r>
      <w:r w:rsidRPr="00CB50D8">
        <w:rPr>
          <w:lang w:val="es-ES_tradnl"/>
        </w:rPr>
        <w:t>asociados</w:t>
      </w:r>
      <w:r w:rsidRPr="00CB50D8">
        <w:rPr>
          <w:lang w:val="es-ES_tradnl" w:eastAsia="zh-CN"/>
        </w:rPr>
        <w:t xml:space="preserve">, </w:t>
      </w:r>
      <w:r w:rsidRPr="00CB50D8">
        <w:rPr>
          <w:lang w:val="es-ES_tradnl"/>
        </w:rPr>
        <w:t>dicha declaración brinda orientación y recomendaciones para velar por la integración de los derechos de la infancia a lo largo de la vida útil de la IA.</w:t>
      </w:r>
    </w:p>
    <w:p w14:paraId="702B4E29" w14:textId="77777777" w:rsidR="00207B78" w:rsidRPr="00CB50D8" w:rsidRDefault="00207B78" w:rsidP="00207B78">
      <w:pPr>
        <w:pStyle w:val="Headingb"/>
        <w:rPr>
          <w:lang w:val="es-ES_tradnl"/>
        </w:rPr>
      </w:pPr>
      <w:r w:rsidRPr="00CB50D8">
        <w:rPr>
          <w:lang w:val="es-ES_tradnl"/>
        </w:rPr>
        <w:t>Conclusión</w:t>
      </w:r>
    </w:p>
    <w:p w14:paraId="48625B67" w14:textId="77777777" w:rsidR="00207B78" w:rsidRPr="00CB50D8" w:rsidRDefault="00207B78" w:rsidP="00C741C0">
      <w:pPr>
        <w:jc w:val="both"/>
        <w:rPr>
          <w:rFonts w:eastAsia="Malgun Gothic"/>
          <w:lang w:val="es-ES_tradnl" w:eastAsia="ko-KR"/>
        </w:rPr>
      </w:pPr>
      <w:r w:rsidRPr="00CB50D8">
        <w:rPr>
          <w:lang w:val="es-ES_tradnl"/>
        </w:rPr>
        <w:t xml:space="preserve">En el presente informe se refunde el amplio conjunto de actividades de IA de la UIT en </w:t>
      </w:r>
      <w:r w:rsidRPr="00CB50D8">
        <w:rPr>
          <w:lang w:val="es-ES_tradnl" w:eastAsia="zh-CN"/>
        </w:rPr>
        <w:t xml:space="preserve">tres </w:t>
      </w:r>
      <w:r w:rsidRPr="00CB50D8">
        <w:rPr>
          <w:lang w:val="es-ES_tradnl"/>
        </w:rPr>
        <w:t>pilares</w:t>
      </w:r>
      <w:r w:rsidRPr="00CB50D8">
        <w:rPr>
          <w:lang w:val="es-ES_tradnl" w:eastAsia="zh-CN"/>
        </w:rPr>
        <w:t>, y se pone de manifiesto la manera en que</w:t>
      </w:r>
      <w:r w:rsidRPr="00CB50D8">
        <w:rPr>
          <w:lang w:val="es-ES_tradnl"/>
        </w:rPr>
        <w:t xml:space="preserve"> la UIT vincula soluciones prácticas de IA al intercambio de conocimientos, fomenta la capacidad institucional y humana, y promueve una IA eficaz y versátil mediante normas, políticas y actividades de coordinación a escala mundial. Existe un interés cada vez mayor por la labor de la UIT en materia de desarrollo de políticas y capacidades, así como por su iniciativa </w:t>
      </w:r>
      <w:r w:rsidRPr="00AF17F2">
        <w:rPr>
          <w:i/>
          <w:iCs/>
          <w:lang w:val="es-ES_tradnl"/>
        </w:rPr>
        <w:t>AI for Good</w:t>
      </w:r>
      <w:r w:rsidRPr="00CB50D8">
        <w:rPr>
          <w:lang w:val="es-ES_tradnl"/>
        </w:rPr>
        <w:t>, lo que refleja el reconocimiento cada vez mayor del papel y la experiencia de la UIT al respecto.</w:t>
      </w:r>
    </w:p>
    <w:p w14:paraId="41ABC6DD" w14:textId="6F4A4310" w:rsidR="00F92BED" w:rsidRPr="00CB50D8" w:rsidRDefault="00207B78" w:rsidP="00C741C0">
      <w:pPr>
        <w:jc w:val="both"/>
        <w:rPr>
          <w:lang w:val="es-ES_tradnl"/>
        </w:rPr>
      </w:pPr>
      <w:r w:rsidRPr="00CB50D8">
        <w:rPr>
          <w:lang w:val="es-ES_tradnl"/>
        </w:rPr>
        <w:t xml:space="preserve">A medida que aumentan el alcance y la repercusión de esas actividades, incluida la iniciativa </w:t>
      </w:r>
      <w:r w:rsidRPr="00AF17F2">
        <w:rPr>
          <w:i/>
          <w:iCs/>
          <w:lang w:val="es-ES_tradnl"/>
        </w:rPr>
        <w:t>AI for Good</w:t>
      </w:r>
      <w:r w:rsidRPr="00CB50D8">
        <w:rPr>
          <w:lang w:val="es-ES_tradnl"/>
        </w:rPr>
        <w:t xml:space="preserve">, las normas de IA y el Diálogo mundial inaugural de las Naciones Unidas sobre gobernanza de la IA, es necesario garantizar que los recursos disponibles vayan a la par de ese desarrollo. A tal efecto, la </w:t>
      </w:r>
      <w:r w:rsidR="00AF17F2" w:rsidRPr="00CB50D8">
        <w:rPr>
          <w:lang w:val="es-ES_tradnl"/>
        </w:rPr>
        <w:t xml:space="preserve">secretaría </w:t>
      </w:r>
      <w:r w:rsidRPr="00CB50D8">
        <w:rPr>
          <w:lang w:val="es-ES_tradnl"/>
        </w:rPr>
        <w:t xml:space="preserve">de la UIT ha solicitado financiación adicional para mantener y ampliar sus iniciativas de IA, como se señala en el Documento </w:t>
      </w:r>
      <w:hyperlink r:id="rId101" w:history="1">
        <w:proofErr w:type="spellStart"/>
        <w:r w:rsidRPr="00CB50D8">
          <w:rPr>
            <w:rStyle w:val="Hyperlink"/>
            <w:rFonts w:asciiTheme="minorHAnsi" w:eastAsia="Malgun Gothic" w:hAnsiTheme="minorHAnsi" w:cstheme="minorHAnsi"/>
            <w:lang w:val="es-ES_tradnl" w:eastAsia="ko-KR"/>
          </w:rPr>
          <w:t>C26</w:t>
        </w:r>
        <w:bookmarkStart w:id="7" w:name="_Hlt224814768"/>
        <w:bookmarkStart w:id="8" w:name="_Hlt224814769"/>
        <w:bookmarkEnd w:id="7"/>
        <w:bookmarkEnd w:id="8"/>
        <w:proofErr w:type="spellEnd"/>
        <w:r w:rsidR="00931F48" w:rsidRPr="00CB50D8">
          <w:rPr>
            <w:rStyle w:val="Hyperlink"/>
            <w:rFonts w:asciiTheme="minorHAnsi" w:eastAsia="Malgun Gothic" w:hAnsiTheme="minorHAnsi" w:cstheme="minorHAnsi"/>
            <w:lang w:val="es-ES_tradnl" w:eastAsia="ko-KR"/>
          </w:rPr>
          <w:t> </w:t>
        </w:r>
        <w:r w:rsidRPr="00CB50D8">
          <w:rPr>
            <w:rStyle w:val="Hyperlink"/>
            <w:rFonts w:asciiTheme="minorHAnsi" w:eastAsia="Malgun Gothic" w:hAnsiTheme="minorHAnsi" w:cstheme="minorHAnsi"/>
            <w:lang w:val="es-ES_tradnl" w:eastAsia="ko-KR"/>
          </w:rPr>
          <w:t>/42</w:t>
        </w:r>
      </w:hyperlink>
      <w:r w:rsidR="00C741C0" w:rsidRPr="00CB50D8">
        <w:rPr>
          <w:lang w:val="es-ES_tradnl"/>
        </w:rPr>
        <w:t xml:space="preserve"> </w:t>
      </w:r>
      <w:r w:rsidR="00C741C0" w:rsidRPr="00CB50D8">
        <w:rPr>
          <w:lang w:val="es-ES_tradnl"/>
        </w:rPr>
        <w:t>del Consejo</w:t>
      </w:r>
      <w:r w:rsidRPr="00CB50D8">
        <w:rPr>
          <w:lang w:val="es-ES_tradnl"/>
        </w:rPr>
        <w:t>.</w:t>
      </w:r>
    </w:p>
    <w:p w14:paraId="12504395" w14:textId="77777777" w:rsidR="00207B78" w:rsidRPr="00CB50D8" w:rsidRDefault="00207B78">
      <w:pPr>
        <w:jc w:val="center"/>
        <w:rPr>
          <w:lang w:val="es-ES_tradnl"/>
        </w:rPr>
      </w:pPr>
      <w:r w:rsidRPr="00CB50D8">
        <w:rPr>
          <w:lang w:val="es-ES_tradnl"/>
        </w:rPr>
        <w:t>______________</w:t>
      </w:r>
    </w:p>
    <w:sectPr w:rsidR="00207B78" w:rsidRPr="00CB50D8" w:rsidSect="00C538FC">
      <w:footerReference w:type="default" r:id="rId102"/>
      <w:headerReference w:type="first" r:id="rId103"/>
      <w:footerReference w:type="first" r:id="rId10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D1C1" w14:textId="77777777" w:rsidR="00091B1C" w:rsidRDefault="00091B1C">
      <w:r>
        <w:separator/>
      </w:r>
    </w:p>
  </w:endnote>
  <w:endnote w:type="continuationSeparator" w:id="0">
    <w:p w14:paraId="0E4CFCBD" w14:textId="77777777" w:rsidR="00091B1C" w:rsidRDefault="0009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071EFFA" w14:textId="77777777" w:rsidTr="00E31DCE">
      <w:trPr>
        <w:jc w:val="center"/>
      </w:trPr>
      <w:tc>
        <w:tcPr>
          <w:tcW w:w="1803" w:type="dxa"/>
          <w:vAlign w:val="center"/>
        </w:tcPr>
        <w:p w14:paraId="27FE707D" w14:textId="7C258856" w:rsidR="003273A4" w:rsidRDefault="00207B78" w:rsidP="003273A4">
          <w:pPr>
            <w:pStyle w:val="Header"/>
            <w:jc w:val="left"/>
            <w:rPr>
              <w:noProof/>
            </w:rPr>
          </w:pPr>
          <w:r>
            <w:rPr>
              <w:noProof/>
            </w:rPr>
            <w:t>2600738</w:t>
          </w:r>
        </w:p>
      </w:tc>
      <w:tc>
        <w:tcPr>
          <w:tcW w:w="8261" w:type="dxa"/>
        </w:tcPr>
        <w:p w14:paraId="672E25ED" w14:textId="0E520101"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207B78">
            <w:rPr>
              <w:bCs/>
            </w:rPr>
            <w:t>29</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5E1045D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ECFC6FB" w14:textId="77777777" w:rsidTr="00E31DCE">
      <w:trPr>
        <w:jc w:val="center"/>
      </w:trPr>
      <w:tc>
        <w:tcPr>
          <w:tcW w:w="1803" w:type="dxa"/>
          <w:vAlign w:val="center"/>
        </w:tcPr>
        <w:p w14:paraId="5D465B35"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F25F909" w14:textId="6FD5A32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207B78">
            <w:rPr>
              <w:bCs/>
            </w:rPr>
            <w:t>29</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41156A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E3E0" w14:textId="77777777" w:rsidR="00091B1C" w:rsidRDefault="00091B1C">
      <w:r>
        <w:t>____________________</w:t>
      </w:r>
    </w:p>
  </w:footnote>
  <w:footnote w:type="continuationSeparator" w:id="0">
    <w:p w14:paraId="1DC67348" w14:textId="77777777" w:rsidR="00091B1C" w:rsidRDefault="0009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CF93" w14:textId="77777777" w:rsidR="001559F5" w:rsidRPr="00B1560D" w:rsidRDefault="00B1560D" w:rsidP="00B1560D">
    <w:pPr>
      <w:pStyle w:val="Header"/>
    </w:pPr>
    <w:r>
      <w:rPr>
        <w:noProof/>
      </w:rPr>
      <w:drawing>
        <wp:inline distT="0" distB="0" distL="0" distR="0" wp14:anchorId="3426BDCA" wp14:editId="4D4BABC0">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8D7C45"/>
    <w:multiLevelType w:val="hybridMultilevel"/>
    <w:tmpl w:val="F17A8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17FE0"/>
    <w:multiLevelType w:val="hybridMultilevel"/>
    <w:tmpl w:val="34E8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837C7"/>
    <w:multiLevelType w:val="hybridMultilevel"/>
    <w:tmpl w:val="458C8F44"/>
    <w:lvl w:ilvl="0" w:tplc="04090001">
      <w:start w:val="1"/>
      <w:numFmt w:val="bullet"/>
      <w:lvlText w:val=""/>
      <w:lvlJc w:val="left"/>
      <w:pPr>
        <w:ind w:left="720" w:hanging="360"/>
      </w:pPr>
      <w:rPr>
        <w:rFonts w:ascii="Symbol" w:hAnsi="Symbol" w:hint="default"/>
      </w:rPr>
    </w:lvl>
    <w:lvl w:ilvl="1" w:tplc="E8885A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1F4DC8"/>
    <w:multiLevelType w:val="hybridMultilevel"/>
    <w:tmpl w:val="22069570"/>
    <w:lvl w:ilvl="0" w:tplc="02A84284">
      <w:start w:val="5"/>
      <w:numFmt w:val="bullet"/>
      <w:lvlText w:val="•"/>
      <w:lvlJc w:val="left"/>
      <w:pPr>
        <w:ind w:left="927" w:hanging="360"/>
      </w:pPr>
      <w:rPr>
        <w:rFonts w:ascii="Calibri" w:eastAsiaTheme="minorEastAsia"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55F0212"/>
    <w:multiLevelType w:val="hybridMultilevel"/>
    <w:tmpl w:val="2E44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877259">
    <w:abstractNumId w:val="0"/>
  </w:num>
  <w:num w:numId="2" w16cid:durableId="1120953762">
    <w:abstractNumId w:val="5"/>
  </w:num>
  <w:num w:numId="3" w16cid:durableId="1621916237">
    <w:abstractNumId w:val="4"/>
  </w:num>
  <w:num w:numId="4" w16cid:durableId="296373664">
    <w:abstractNumId w:val="2"/>
  </w:num>
  <w:num w:numId="5" w16cid:durableId="1461608133">
    <w:abstractNumId w:val="3"/>
  </w:num>
  <w:num w:numId="6" w16cid:durableId="183056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1C"/>
    <w:rsid w:val="000007D1"/>
    <w:rsid w:val="00004325"/>
    <w:rsid w:val="00055D75"/>
    <w:rsid w:val="0006007D"/>
    <w:rsid w:val="00091B1C"/>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07B78"/>
    <w:rsid w:val="00277DEA"/>
    <w:rsid w:val="002801AA"/>
    <w:rsid w:val="002946E2"/>
    <w:rsid w:val="002C3A85"/>
    <w:rsid w:val="002C3F32"/>
    <w:rsid w:val="002C4676"/>
    <w:rsid w:val="002C70B0"/>
    <w:rsid w:val="002F3CC4"/>
    <w:rsid w:val="003032E2"/>
    <w:rsid w:val="0031300A"/>
    <w:rsid w:val="003273A4"/>
    <w:rsid w:val="0034796E"/>
    <w:rsid w:val="00363DFA"/>
    <w:rsid w:val="003E47B0"/>
    <w:rsid w:val="00442C83"/>
    <w:rsid w:val="004571B0"/>
    <w:rsid w:val="00465C35"/>
    <w:rsid w:val="00473962"/>
    <w:rsid w:val="004B5D49"/>
    <w:rsid w:val="004D3A3C"/>
    <w:rsid w:val="00513630"/>
    <w:rsid w:val="00560125"/>
    <w:rsid w:val="00585553"/>
    <w:rsid w:val="005B26C3"/>
    <w:rsid w:val="005B33CD"/>
    <w:rsid w:val="005B34D9"/>
    <w:rsid w:val="005D0CCF"/>
    <w:rsid w:val="005F0915"/>
    <w:rsid w:val="005F3BCB"/>
    <w:rsid w:val="005F410F"/>
    <w:rsid w:val="005F4966"/>
    <w:rsid w:val="0060149A"/>
    <w:rsid w:val="00601924"/>
    <w:rsid w:val="006447EA"/>
    <w:rsid w:val="0064481D"/>
    <w:rsid w:val="0064731F"/>
    <w:rsid w:val="00664572"/>
    <w:rsid w:val="00666D09"/>
    <w:rsid w:val="00670579"/>
    <w:rsid w:val="006710F6"/>
    <w:rsid w:val="00677A97"/>
    <w:rsid w:val="006C1B56"/>
    <w:rsid w:val="006D4761"/>
    <w:rsid w:val="00716DEC"/>
    <w:rsid w:val="00726872"/>
    <w:rsid w:val="00760F1C"/>
    <w:rsid w:val="007657F0"/>
    <w:rsid w:val="0077110E"/>
    <w:rsid w:val="0077252D"/>
    <w:rsid w:val="007931B3"/>
    <w:rsid w:val="007955DA"/>
    <w:rsid w:val="007E5DD3"/>
    <w:rsid w:val="007F350B"/>
    <w:rsid w:val="00820BE4"/>
    <w:rsid w:val="008451E8"/>
    <w:rsid w:val="0084546D"/>
    <w:rsid w:val="008F6ABC"/>
    <w:rsid w:val="00913B9C"/>
    <w:rsid w:val="00927F93"/>
    <w:rsid w:val="00931F48"/>
    <w:rsid w:val="00956E77"/>
    <w:rsid w:val="009A338E"/>
    <w:rsid w:val="009A76A8"/>
    <w:rsid w:val="009D107E"/>
    <w:rsid w:val="009F4811"/>
    <w:rsid w:val="00A01F4F"/>
    <w:rsid w:val="00A109AF"/>
    <w:rsid w:val="00A823AF"/>
    <w:rsid w:val="00A87D1A"/>
    <w:rsid w:val="00A94438"/>
    <w:rsid w:val="00AA390C"/>
    <w:rsid w:val="00AD5A4D"/>
    <w:rsid w:val="00AF0EAC"/>
    <w:rsid w:val="00AF17F2"/>
    <w:rsid w:val="00B0200A"/>
    <w:rsid w:val="00B060DF"/>
    <w:rsid w:val="00B1560D"/>
    <w:rsid w:val="00B574DB"/>
    <w:rsid w:val="00B826C2"/>
    <w:rsid w:val="00B8298E"/>
    <w:rsid w:val="00BB63EC"/>
    <w:rsid w:val="00BB6FD8"/>
    <w:rsid w:val="00BD0723"/>
    <w:rsid w:val="00BD2518"/>
    <w:rsid w:val="00BF1D1C"/>
    <w:rsid w:val="00C20C59"/>
    <w:rsid w:val="00C2727F"/>
    <w:rsid w:val="00C27D4E"/>
    <w:rsid w:val="00C4421B"/>
    <w:rsid w:val="00C538FC"/>
    <w:rsid w:val="00C55B1F"/>
    <w:rsid w:val="00C741C0"/>
    <w:rsid w:val="00CB50D8"/>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C7087"/>
    <w:rsid w:val="00FD57D3"/>
    <w:rsid w:val="00FD78DF"/>
    <w:rsid w:val="00FE57F6"/>
    <w:rsid w:val="00FF11BD"/>
    <w:rsid w:val="00FF44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28A82D"/>
  <w15:docId w15:val="{1DDC5884-2DA4-422F-81F0-57C1FCCB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qFormat/>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qFormat/>
    <w:rsid w:val="000F5A95"/>
    <w:pPr>
      <w:ind w:left="1134"/>
    </w:pPr>
  </w:style>
  <w:style w:type="paragraph" w:customStyle="1" w:styleId="enumlev3">
    <w:name w:val="enumlev3"/>
    <w:basedOn w:val="enumlev2"/>
    <w:qFormat/>
    <w:rsid w:val="000F5A95"/>
    <w:pPr>
      <w:ind w:left="1701"/>
    </w:pPr>
  </w:style>
  <w:style w:type="paragraph" w:customStyle="1" w:styleId="Artheading">
    <w:name w:val="Art_heading"/>
    <w:basedOn w:val="Normal"/>
    <w:next w:val="Normalaftertitle"/>
    <w:qFormat/>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qFormat/>
    <w:rsid w:val="000F5A95"/>
  </w:style>
  <w:style w:type="paragraph" w:customStyle="1" w:styleId="Chaptitle">
    <w:name w:val="Chap_title"/>
    <w:basedOn w:val="Arttitle"/>
    <w:next w:val="Normalaftertitle"/>
    <w:qFormat/>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qFormat/>
    <w:rsid w:val="000F5A95"/>
    <w:pPr>
      <w:spacing w:after="240"/>
      <w:jc w:val="center"/>
    </w:pPr>
  </w:style>
  <w:style w:type="paragraph" w:customStyle="1" w:styleId="Figuretitle">
    <w:name w:val="Figure_title"/>
    <w:basedOn w:val="Tabletitle"/>
    <w:next w:val="Normalaftertitle"/>
    <w:qFormat/>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qFormat/>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C741C0"/>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qFormat/>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207B78"/>
    <w:rPr>
      <w:rFonts w:ascii="Calibri" w:eastAsiaTheme="minorEastAsia" w:hAnsi="Calibri"/>
      <w:sz w:val="24"/>
      <w:lang w:val="en-GB" w:eastAsia="en-US"/>
    </w:rPr>
  </w:style>
  <w:style w:type="paragraph" w:styleId="ListParagraph">
    <w:name w:val="List Paragraph"/>
    <w:basedOn w:val="Normal"/>
    <w:uiPriority w:val="34"/>
    <w:qFormat/>
    <w:rsid w:val="00207B78"/>
    <w:pPr>
      <w:ind w:left="720"/>
      <w:contextualSpacing/>
    </w:pPr>
    <w:rPr>
      <w:rFonts w:eastAsiaTheme="minorEastAsia"/>
      <w:lang w:val="en-GB"/>
    </w:rPr>
  </w:style>
  <w:style w:type="paragraph" w:styleId="CommentText">
    <w:name w:val="annotation text"/>
    <w:basedOn w:val="Normal"/>
    <w:link w:val="CommentTextChar"/>
    <w:unhideWhenUsed/>
    <w:rsid w:val="00207B78"/>
    <w:rPr>
      <w:rFonts w:eastAsiaTheme="minorEastAsia"/>
      <w:sz w:val="20"/>
      <w:lang w:val="en-GB"/>
    </w:rPr>
  </w:style>
  <w:style w:type="character" w:customStyle="1" w:styleId="CommentTextChar">
    <w:name w:val="Comment Text Char"/>
    <w:basedOn w:val="DefaultParagraphFont"/>
    <w:link w:val="CommentText"/>
    <w:rsid w:val="00207B78"/>
    <w:rPr>
      <w:rFonts w:ascii="Calibri" w:eastAsiaTheme="minorEastAsia" w:hAnsi="Calibri"/>
      <w:lang w:val="en-GB" w:eastAsia="en-US"/>
    </w:rPr>
  </w:style>
  <w:style w:type="character" w:styleId="CommentReference">
    <w:name w:val="annotation reference"/>
    <w:basedOn w:val="DefaultParagraphFont"/>
    <w:semiHidden/>
    <w:unhideWhenUsed/>
    <w:rsid w:val="00207B78"/>
    <w:rPr>
      <w:sz w:val="16"/>
      <w:szCs w:val="16"/>
    </w:rPr>
  </w:style>
  <w:style w:type="paragraph" w:styleId="CommentSubject">
    <w:name w:val="annotation subject"/>
    <w:basedOn w:val="CommentText"/>
    <w:next w:val="CommentText"/>
    <w:link w:val="CommentSubjectChar"/>
    <w:semiHidden/>
    <w:unhideWhenUsed/>
    <w:rsid w:val="00207B78"/>
    <w:rPr>
      <w:b/>
      <w:bCs/>
    </w:rPr>
  </w:style>
  <w:style w:type="character" w:customStyle="1" w:styleId="CommentSubjectChar">
    <w:name w:val="Comment Subject Char"/>
    <w:basedOn w:val="CommentTextChar"/>
    <w:link w:val="CommentSubject"/>
    <w:semiHidden/>
    <w:rsid w:val="00207B78"/>
    <w:rPr>
      <w:rFonts w:ascii="Calibri" w:eastAsiaTheme="minorEastAsia" w:hAnsi="Calibri"/>
      <w:b/>
      <w:bCs/>
      <w:lang w:val="en-GB" w:eastAsia="en-US"/>
    </w:rPr>
  </w:style>
  <w:style w:type="character" w:styleId="Mention">
    <w:name w:val="Mention"/>
    <w:basedOn w:val="DefaultParagraphFont"/>
    <w:uiPriority w:val="99"/>
    <w:unhideWhenUsed/>
    <w:rsid w:val="00207B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dms_pub/itu-t/opb/ai4g/T-AI4G-AI4GOOD-2025-6-PDF-E.pdf" TargetMode="External"/><Relationship Id="rId21" Type="http://schemas.openxmlformats.org/officeDocument/2006/relationships/hyperlink" Target="https://aiforgood.itu.int/impact-initiative/" TargetMode="External"/><Relationship Id="rId42" Type="http://schemas.openxmlformats.org/officeDocument/2006/relationships/hyperlink" Target="https://www.itu.int/initiatives/green-digital-action/" TargetMode="External"/><Relationship Id="rId47" Type="http://schemas.openxmlformats.org/officeDocument/2006/relationships/hyperlink" Target="https://docs.un.org/es/A/RES/79/325" TargetMode="External"/><Relationship Id="rId63" Type="http://schemas.openxmlformats.org/officeDocument/2006/relationships/hyperlink" Target="https://aiforgood.itu.int/impact-initiative/" TargetMode="External"/><Relationship Id="rId68" Type="http://schemas.openxmlformats.org/officeDocument/2006/relationships/hyperlink" Target="https://academy.itu.int/training-courses/full-catalogue/ai-governance-practice-developing-secure-and-innovative-frameworks" TargetMode="External"/><Relationship Id="rId84" Type="http://schemas.openxmlformats.org/officeDocument/2006/relationships/hyperlink" Target="https://www.itu.int/en/ITU-T/focusgroups/eai/Pages/default.aspx" TargetMode="External"/><Relationship Id="rId89" Type="http://schemas.openxmlformats.org/officeDocument/2006/relationships/hyperlink" Target="https://www.itu.int/hub/2023/07/new-un-initiative-aims-to-step-up-ais-contribution-to-health/" TargetMode="External"/><Relationship Id="rId16" Type="http://schemas.openxmlformats.org/officeDocument/2006/relationships/hyperlink" Target="https://aiforgood.itu.int/robotics-for-good-youth-challenge/" TargetMode="External"/><Relationship Id="rId11" Type="http://schemas.openxmlformats.org/officeDocument/2006/relationships/hyperlink" Target="https://aiforgood.itu.int/summit26/" TargetMode="External"/><Relationship Id="rId32" Type="http://schemas.openxmlformats.org/officeDocument/2006/relationships/hyperlink" Target="https://www.itu.int/en/ITU-D/ICT-Applications/Pages/Initiatives/ITU_OSPO/Open-Source_AI_for_Public_Services/GENIE-AI_framework.aspx" TargetMode="External"/><Relationship Id="rId37" Type="http://schemas.openxmlformats.org/officeDocument/2006/relationships/hyperlink" Target="https://earlywarningsforall.org/site/early-warnings-all" TargetMode="External"/><Relationship Id="rId53" Type="http://schemas.openxmlformats.org/officeDocument/2006/relationships/hyperlink" Target="https://www.un.org/independent-international-scientific-panel-ai/en" TargetMode="External"/><Relationship Id="rId58" Type="http://schemas.openxmlformats.org/officeDocument/2006/relationships/hyperlink" Target="https://docs.un.org/es/A/RES/79/325" TargetMode="External"/><Relationship Id="rId74" Type="http://schemas.openxmlformats.org/officeDocument/2006/relationships/hyperlink" Target="https://www.itu.int/women-and-girls/women-in-ict/ai-skills-accelerator-for-girls/" TargetMode="External"/><Relationship Id="rId79" Type="http://schemas.openxmlformats.org/officeDocument/2006/relationships/hyperlink" Target="https://ituint.sharepoint.com/:u:/r/sites/AIHUB/SitePages/Responsible-Use-of-Artificial-Intelligence--ITU-Guidelines-and-Principles%281%29.aspx?csf=1&amp;web=1&amp;e=gja9IQ&amp;xsdata=MDV8MDJ8SVMuU2VjcmV0YXJpYXRAaXR1LmludHw1OGM1YTlkYjVhZGQ0MzZjMTI5YzA4ZGUxYWM1MDU3OXwyM2U0NjRkNzA0ZTY0Yjg3OTEzYzI0YmQ4OTIxOWZkM3wwfDB8NjM4OTc3NjMwNjYwMzU1MDQ5fFVua25vd258VFdGcGJHWnNiM2Q4ZXlKRmJYQjBlVTFoY0draU9uUnlkV1VzSWxZaU9pSXdMakF1TURBd01DSXNJbEFpT2lKWGFXNHpNaUlzSWtGT0lqb2lUV0ZwYkNJc0lsZFVJam95ZlE9PXwwfHx8&amp;sdata=OCtkd1JJMzFoY1Q3bmFQQUx2Nys2NkZFZE1jTHc0RGZ0akRYWnlKOTV6WT0%3d"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ww.itu.int/metaverse/virtual-worlds/" TargetMode="External"/><Relationship Id="rId95" Type="http://schemas.openxmlformats.org/officeDocument/2006/relationships/hyperlink" Target="https://www.itu.int/md/S25-SG-CIR-0052/es" TargetMode="External"/><Relationship Id="rId22" Type="http://schemas.openxmlformats.org/officeDocument/2006/relationships/hyperlink" Target="https://aiforgood.itu.int/about-us/discovery/" TargetMode="External"/><Relationship Id="rId27" Type="http://schemas.openxmlformats.org/officeDocument/2006/relationships/hyperlink" Target="https://www.itu.int/dms_pub/itu-t/opb/ai4g/T-AI4G-AI4GOOD-2025-6-PDF-E.pdf" TargetMode="External"/><Relationship Id="rId43" Type="http://schemas.openxmlformats.org/officeDocument/2006/relationships/hyperlink" Target="https://www.itu.int/dms_pub/itu-s/opb/gen/S-GEN-GDA.001-2025-PDF-E.pdf" TargetMode="External"/><Relationship Id="rId48" Type="http://schemas.openxmlformats.org/officeDocument/2006/relationships/hyperlink" Target="https://www.un.org/global-dialogue-ai-governance/en/roadmap" TargetMode="External"/><Relationship Id="rId64" Type="http://schemas.openxmlformats.org/officeDocument/2006/relationships/hyperlink" Target="https://aiforgood.itu.int/ai-skills-coalition/" TargetMode="External"/><Relationship Id="rId69" Type="http://schemas.openxmlformats.org/officeDocument/2006/relationships/hyperlink" Target="https://academy.itu.int/training-courses/full-catalogue/ai-governance-practice-developing-secure-and-innovative-frameworks-2" TargetMode="External"/><Relationship Id="rId80" Type="http://schemas.openxmlformats.org/officeDocument/2006/relationships/hyperlink" Target="https://www.worldstandardscooperation.org/" TargetMode="External"/><Relationship Id="rId85" Type="http://schemas.openxmlformats.org/officeDocument/2006/relationships/hyperlink" Target="https://www.itu.int/pub/R-REP-SM.2542" TargetMode="External"/><Relationship Id="rId12" Type="http://schemas.openxmlformats.org/officeDocument/2006/relationships/hyperlink" Target="https://aiforgood.itu.int/neural-network/" TargetMode="External"/><Relationship Id="rId17" Type="http://schemas.openxmlformats.org/officeDocument/2006/relationships/hyperlink" Target="https://aiforgood.itu.int/event/ml5g-challenge/" TargetMode="External"/><Relationship Id="rId33" Type="http://schemas.openxmlformats.org/officeDocument/2006/relationships/hyperlink" Target="https://opensource.org/ai/open-source-ai-definition" TargetMode="External"/><Relationship Id="rId38" Type="http://schemas.openxmlformats.org/officeDocument/2006/relationships/hyperlink" Target="https://www.itu.int/en/ITU-D/Emergency-Telecommunications/Pages/AI-Sub-Group-EW4All-.aspx" TargetMode="External"/><Relationship Id="rId59" Type="http://schemas.openxmlformats.org/officeDocument/2006/relationships/hyperlink" Target="https://docs.un.org/es/A/RES/80/173" TargetMode="External"/><Relationship Id="rId103" Type="http://schemas.openxmlformats.org/officeDocument/2006/relationships/header" Target="header1.xml"/><Relationship Id="rId20" Type="http://schemas.openxmlformats.org/officeDocument/2006/relationships/hyperlink" Target="https://aiforgood.itu.int/young-ai-leaders-community/" TargetMode="External"/><Relationship Id="rId41" Type="http://schemas.openxmlformats.org/officeDocument/2006/relationships/hyperlink" Target="https://u4ssc.itu.int/" TargetMode="External"/><Relationship Id="rId54" Type="http://schemas.openxmlformats.org/officeDocument/2006/relationships/hyperlink" Target="https://www.itu.int/en/action/ai/Pages/UN-inter-agency-working-group-on-AI.aspx" TargetMode="External"/><Relationship Id="rId62" Type="http://schemas.openxmlformats.org/officeDocument/2006/relationships/hyperlink" Target="https://www.itu.int/partner2connect/" TargetMode="External"/><Relationship Id="rId70" Type="http://schemas.openxmlformats.org/officeDocument/2006/relationships/hyperlink" Target="https://academy.itu.int/training-courses/full-catalogue/ai-governance-practice-developing-secure-and-innovative-frameworks-0" TargetMode="External"/><Relationship Id="rId75" Type="http://schemas.openxmlformats.org/officeDocument/2006/relationships/hyperlink" Target="https://www.itu.int/en/ITU-D/Regional-Presence/AsiaPacific/Pages/Events/2024/Southeast%20Asia%20AI%20Webinar%20Series/Southeast-Asia-AI-Webinar-Series.aspx" TargetMode="External"/><Relationship Id="rId83" Type="http://schemas.openxmlformats.org/officeDocument/2006/relationships/hyperlink" Target="https://www.itu.int/en/ITU-T/focusgroups/ainn/Pages/default.aspx" TargetMode="External"/><Relationship Id="rId88" Type="http://schemas.openxmlformats.org/officeDocument/2006/relationships/hyperlink" Target="https://www.itu.int/en/ITU-T/extcoop/ai4resilience/Pages/default.aspx" TargetMode="External"/><Relationship Id="rId91" Type="http://schemas.openxmlformats.org/officeDocument/2006/relationships/hyperlink" Target="https://aiforgood.itu.int/ai-standards-exchange/" TargetMode="External"/><Relationship Id="rId96" Type="http://schemas.openxmlformats.org/officeDocument/2006/relationships/hyperlink" Target="https://www.itu.int/net/epub/BDT/2025-GSR-25-Best-Practice-Guidelines/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iforgood.itu.int/about-ai-for-good/innovation-factory/" TargetMode="External"/><Relationship Id="rId23" Type="http://schemas.openxmlformats.org/officeDocument/2006/relationships/hyperlink" Target="https://aiforgood.itu.int/newsroom/publications-and-reports/" TargetMode="External"/><Relationship Id="rId28" Type="http://schemas.openxmlformats.org/officeDocument/2006/relationships/hyperlink" Target="https://www.itu.int/pub/S-GEN-UNACT-2024" TargetMode="External"/><Relationship Id="rId36" Type="http://schemas.openxmlformats.org/officeDocument/2006/relationships/hyperlink" Target="https://www.itu.int/en/ITU-D/ICT-Applications/Pages/Initiatives/ITU_OSPO/Open-Source_AI_for_Public_Services/GenAI-for-Good-Community-Challenge.aspx" TargetMode="External"/><Relationship Id="rId49" Type="http://schemas.openxmlformats.org/officeDocument/2006/relationships/hyperlink" Target="https://www.un.org/global-dialogue-ai-governance/en/roadmap" TargetMode="External"/><Relationship Id="rId57" Type="http://schemas.openxmlformats.org/officeDocument/2006/relationships/hyperlink" Target="https://unaihub.aiforgood.itu.int/" TargetMode="External"/><Relationship Id="rId106" Type="http://schemas.openxmlformats.org/officeDocument/2006/relationships/theme" Target="theme/theme1.xml"/><Relationship Id="rId10" Type="http://schemas.openxmlformats.org/officeDocument/2006/relationships/hyperlink" Target="https://aiforgood.itu.int/" TargetMode="External"/><Relationship Id="rId31" Type="http://schemas.openxmlformats.org/officeDocument/2006/relationships/hyperlink" Target="https://www.itu.int/en/action/ai/Pages/UN-inter-agency-working-group-on-AI.aspx" TargetMode="External"/><Relationship Id="rId44" Type="http://schemas.openxmlformats.org/officeDocument/2006/relationships/hyperlink" Target="https://github.com/sustainable-software-guidelines/Sustainable-Software-Development" TargetMode="External"/><Relationship Id="rId52" Type="http://schemas.openxmlformats.org/officeDocument/2006/relationships/hyperlink" Target="https://www.un.org/global-dialogue-ai-governance/en/roadmap" TargetMode="External"/><Relationship Id="rId60" Type="http://schemas.openxmlformats.org/officeDocument/2006/relationships/hyperlink" Target="https://www.itu.int/net4/wsis/forum/2026/es" TargetMode="External"/><Relationship Id="rId65" Type="http://schemas.openxmlformats.org/officeDocument/2006/relationships/hyperlink" Target="https://aiforgood.itu.int/ai-readiness/" TargetMode="External"/><Relationship Id="rId73" Type="http://schemas.openxmlformats.org/officeDocument/2006/relationships/hyperlink" Target="https://aiforgood.itu.int/young-ai-leaders-community/" TargetMode="External"/><Relationship Id="rId78" Type="http://schemas.openxmlformats.org/officeDocument/2006/relationships/hyperlink" Target="https://ituint.sharepoint.com/sites/AIHUB" TargetMode="External"/><Relationship Id="rId81" Type="http://schemas.openxmlformats.org/officeDocument/2006/relationships/hyperlink" Target="https://www.itu.int/myworkspace/t-rec/item?id=16642&amp;lang=en" TargetMode="External"/><Relationship Id="rId86" Type="http://schemas.openxmlformats.org/officeDocument/2006/relationships/hyperlink" Target="https://extranet.itu.int/rsg-meetings/sg3/wp3j/cg3j3k3l3m27/SitePages/Home.aspx" TargetMode="External"/><Relationship Id="rId94" Type="http://schemas.openxmlformats.org/officeDocument/2006/relationships/hyperlink" Target="https://www.aistandardssummit.org/event/354f4a77-ee25-47e3-8e84-291a55519c0c/seoul-statement" TargetMode="External"/><Relationship Id="rId99" Type="http://schemas.openxmlformats.org/officeDocument/2006/relationships/hyperlink" Target="https://digitalregulation.org/3004297-2/" TargetMode="External"/><Relationship Id="rId101" Type="http://schemas.openxmlformats.org/officeDocument/2006/relationships/hyperlink" Target="https://www.itu.int/md/S26-CL-C-0042/es" TargetMode="External"/><Relationship Id="rId4" Type="http://schemas.openxmlformats.org/officeDocument/2006/relationships/webSettings" Target="webSettings.xml"/><Relationship Id="rId9" Type="http://schemas.openxmlformats.org/officeDocument/2006/relationships/hyperlink" Target="https://www.itu.int/itu-d/meetings/wtdc25/wp-content/uploads/sites/29/2025/11/090-E.pdf" TargetMode="External"/><Relationship Id="rId13" Type="http://schemas.openxmlformats.org/officeDocument/2006/relationships/hyperlink" Target="https://aiforgood.itu.int/about-us/innovation-factory/" TargetMode="External"/><Relationship Id="rId18" Type="http://schemas.openxmlformats.org/officeDocument/2006/relationships/hyperlink" Target="https://aiforgood.itu.int/ai-skills-coalition/" TargetMode="External"/><Relationship Id="rId39" Type="http://schemas.openxmlformats.org/officeDocument/2006/relationships/hyperlink" Target="https://www.itu.int/en/ITU-D/Emergency-Telecommunications/Pages/Events/2025/AI-EW4All-Innovation-Challenge.aspx" TargetMode="External"/><Relationship Id="rId34" Type="http://schemas.openxmlformats.org/officeDocument/2006/relationships/hyperlink" Target="https://govstack.global/" TargetMode="External"/><Relationship Id="rId50" Type="http://schemas.openxmlformats.org/officeDocument/2006/relationships/hyperlink" Target="https://www.un.org/global-dialogue-ai-governance/es" TargetMode="External"/><Relationship Id="rId55" Type="http://schemas.openxmlformats.org/officeDocument/2006/relationships/hyperlink" Target="https://unsceb.org/sites/default/files/2022-09/Principles%20for%20the%20Ethical%20Use%20of%20AI%20in%20the%20UN%20System_1.pdf" TargetMode="External"/><Relationship Id="rId76" Type="http://schemas.openxmlformats.org/officeDocument/2006/relationships/hyperlink" Target="https://www.itu.int/en/ITU-D/Regional-Presence/AsiaPacific/Pages/Projects/AI%20Technology%20and%20Standards%20Capacity%20Building%20in%20Asia%20Pacific/Artificial-Intelligence-Technology-and-Standards-Capacity-Building-in-Asia-Pacific-.aspx" TargetMode="External"/><Relationship Id="rId97" Type="http://schemas.openxmlformats.org/officeDocument/2006/relationships/hyperlink" Target="https://digitalregulation.org/" TargetMode="External"/><Relationship Id="rId104" Type="http://schemas.openxmlformats.org/officeDocument/2006/relationships/footer" Target="footer2.xml"/><Relationship Id="rId7" Type="http://schemas.openxmlformats.org/officeDocument/2006/relationships/hyperlink" Target="https://www.itu.int/en/council/Documents/basic-texts-2023/RES-214-S.pdf" TargetMode="External"/><Relationship Id="rId71" Type="http://schemas.openxmlformats.org/officeDocument/2006/relationships/hyperlink" Target="https://academy.itu.int/training-courses/full-catalogue/ai-governance-practice-developing-secure-and-innovative-frameworks-3" TargetMode="External"/><Relationship Id="rId92" Type="http://schemas.openxmlformats.org/officeDocument/2006/relationships/hyperlink" Target="https://aiforgood.itu.int/multimedia-authenticity/reports/" TargetMode="External"/><Relationship Id="rId2" Type="http://schemas.openxmlformats.org/officeDocument/2006/relationships/styles" Target="styles.xml"/><Relationship Id="rId29" Type="http://schemas.openxmlformats.org/officeDocument/2006/relationships/hyperlink" Target="https://www.itu.int/pub/S-GEN-UNACT-2024" TargetMode="External"/><Relationship Id="rId24" Type="http://schemas.openxmlformats.org/officeDocument/2006/relationships/hyperlink" Target="https://s41721.pcdn.co/wp-content/uploads/2022/04/Unlocking-AIs-Potential-to-Serve-Humanity.pdf" TargetMode="External"/><Relationship Id="rId40" Type="http://schemas.openxmlformats.org/officeDocument/2006/relationships/hyperlink" Target="https://aiforgood.itu.int/early-warning-for-all-leveraging-ai-to-reach-the-unconnected/" TargetMode="External"/><Relationship Id="rId45" Type="http://schemas.openxmlformats.org/officeDocument/2006/relationships/hyperlink" Target="https://www.itu.int/hub/2025/09/new-itu-academic-collaboration-on-technology-trends/" TargetMode="External"/><Relationship Id="rId66" Type="http://schemas.openxmlformats.org/officeDocument/2006/relationships/hyperlink" Target="https://academy.itu.int/research-advocacy-and-convening-platforms/research-publications/digital-skills-toolkit" TargetMode="External"/><Relationship Id="rId87" Type="http://schemas.openxmlformats.org/officeDocument/2006/relationships/hyperlink" Target="https://aiforgood.itu.int/ai-for-food-systems/" TargetMode="External"/><Relationship Id="rId61" Type="http://schemas.openxmlformats.org/officeDocument/2006/relationships/hyperlink" Target="https://www.itu.int/es/ITU-D/Initiatives/GIGA/Pages/default.aspx" TargetMode="External"/><Relationship Id="rId82" Type="http://schemas.openxmlformats.org/officeDocument/2006/relationships/hyperlink" Target="https://www.itu.int/rec/T-REC-Y.Sup72-202211-I/es" TargetMode="External"/><Relationship Id="rId19" Type="http://schemas.openxmlformats.org/officeDocument/2006/relationships/hyperlink" Target="https://aiforgood.itu.int/innovate-for-impact/" TargetMode="External"/><Relationship Id="rId14" Type="http://schemas.openxmlformats.org/officeDocument/2006/relationships/hyperlink" Target="https://aiforgood.itu.int/about-ai-for-good/innovation-factory/" TargetMode="External"/><Relationship Id="rId30" Type="http://schemas.openxmlformats.org/officeDocument/2006/relationships/hyperlink" Target="https://unaihub.aiforgood.itu.int/" TargetMode="External"/><Relationship Id="rId35" Type="http://schemas.openxmlformats.org/officeDocument/2006/relationships/hyperlink" Target="https://aiforgood.itu.int/eventcat/discovery-open-source-ai-for-digital-public-goods/" TargetMode="External"/><Relationship Id="rId56" Type="http://schemas.openxmlformats.org/officeDocument/2006/relationships/hyperlink" Target="https://unsceb.org/sites/default/files/2024-04/United%20Nations%20System%20White%20Paper%20on%20AI%20Governance.pdf" TargetMode="External"/><Relationship Id="rId77" Type="http://schemas.openxmlformats.org/officeDocument/2006/relationships/hyperlink" Target="https://www.itu.int/en/ITU-D/Technology/Pages/Events.aspx" TargetMode="External"/><Relationship Id="rId100" Type="http://schemas.openxmlformats.org/officeDocument/2006/relationships/hyperlink" Target="chrome-extension://efaidnbmnnnibpcajpcglclefindmkaj/https:/www.itu.int/dms_pub/itu-d/opb/str/D-STR-CYB_JOINT-2025-PDF-S.pdf" TargetMode="External"/><Relationship Id="rId105" Type="http://schemas.openxmlformats.org/officeDocument/2006/relationships/fontTable" Target="fontTable.xml"/><Relationship Id="rId8" Type="http://schemas.openxmlformats.org/officeDocument/2006/relationships/hyperlink" Target="https://www.itu.int/dms_pub/itu-t/opb/res/T-RES-T.101-2024-PDF-S.pdf" TargetMode="External"/><Relationship Id="rId51" Type="http://schemas.openxmlformats.org/officeDocument/2006/relationships/hyperlink" Target="https://www.un.org/global-dialogue-ai-governance/en/roadmap" TargetMode="External"/><Relationship Id="rId72" Type="http://schemas.openxmlformats.org/officeDocument/2006/relationships/hyperlink" Target="https://academy.itu.int/digital-skills-communities" TargetMode="External"/><Relationship Id="rId93" Type="http://schemas.openxmlformats.org/officeDocument/2006/relationships/hyperlink" Target="https://www.aistandardssummit.org/" TargetMode="External"/><Relationship Id="rId98" Type="http://schemas.openxmlformats.org/officeDocument/2006/relationships/hyperlink" Target="https://digitalregulation.org/a-guide-towards-collaborative-ai-frameworks/" TargetMode="External"/><Relationship Id="rId3" Type="http://schemas.openxmlformats.org/officeDocument/2006/relationships/settings" Target="settings.xml"/><Relationship Id="rId25" Type="http://schemas.openxmlformats.org/officeDocument/2006/relationships/hyperlink" Target="https://s41721.pcdn.co/wp-content/uploads/2022/04/2600081_AI-for-Good-Impact-Report-2025-E-v6.pdf" TargetMode="External"/><Relationship Id="rId46" Type="http://schemas.openxmlformats.org/officeDocument/2006/relationships/hyperlink" Target="https://www.itu.int/en/action/youth/Pages/itu-secretary-generals-youth-advisory-board.aspx" TargetMode="External"/><Relationship Id="rId67" Type="http://schemas.openxmlformats.org/officeDocument/2006/relationships/hyperlink" Target="https://academy.itu.in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TotalTime>
  <Pages>10</Pages>
  <Words>6887</Words>
  <Characters>35746</Characters>
  <Application>Microsoft Office Word</Application>
  <DocSecurity>0</DocSecurity>
  <Lines>549</Lines>
  <Paragraphs>130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42503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 Resolución 214 (Bucarest, 2022) de la PP – Las tecnologías de inteligencia artificial y las telecomunicaciones/tecnologías de la información y la comunicación</dc:title>
  <dc:subject>Consejo 2026 de la UIT</dc:subject>
  <cp:keywords>C26; C2026; Council 2026; PP26</cp:keywords>
  <dc:description/>
  <cp:lastPrinted>2006-03-24T09:51:00Z</cp:lastPrinted>
  <dcterms:created xsi:type="dcterms:W3CDTF">2026-04-13T09:41:00Z</dcterms:created>
  <dcterms:modified xsi:type="dcterms:W3CDTF">2026-04-13T09:41:00Z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