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22258" w14:paraId="57EDF22E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5896A83" w14:textId="4614960F" w:rsidR="00796BD3" w:rsidRPr="0022225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22258">
              <w:rPr>
                <w:b/>
                <w:lang w:val="ru-RU"/>
              </w:rPr>
              <w:t>Пункт повестки дня:</w:t>
            </w:r>
            <w:r w:rsidR="00222258" w:rsidRPr="00222258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73C7ED77" w14:textId="1BDDBB6C" w:rsidR="00796BD3" w:rsidRPr="0022225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22258">
              <w:rPr>
                <w:b/>
                <w:lang w:val="ru-RU"/>
              </w:rPr>
              <w:t xml:space="preserve">Документ </w:t>
            </w:r>
            <w:r w:rsidR="00796BD3" w:rsidRPr="00222258">
              <w:rPr>
                <w:b/>
                <w:lang w:val="ru-RU"/>
              </w:rPr>
              <w:t>C2</w:t>
            </w:r>
            <w:r w:rsidR="00BE00DD" w:rsidRPr="00222258">
              <w:rPr>
                <w:b/>
                <w:lang w:val="ru-RU"/>
              </w:rPr>
              <w:t>6</w:t>
            </w:r>
            <w:r w:rsidR="00796BD3" w:rsidRPr="00222258">
              <w:rPr>
                <w:b/>
                <w:lang w:val="ru-RU"/>
              </w:rPr>
              <w:t>/</w:t>
            </w:r>
            <w:r w:rsidR="00222258" w:rsidRPr="00222258">
              <w:rPr>
                <w:b/>
                <w:lang w:val="ru-RU"/>
              </w:rPr>
              <w:t>29</w:t>
            </w:r>
            <w:r w:rsidR="00796BD3" w:rsidRPr="00222258">
              <w:rPr>
                <w:b/>
                <w:lang w:val="ru-RU"/>
              </w:rPr>
              <w:t>-R</w:t>
            </w:r>
          </w:p>
        </w:tc>
      </w:tr>
      <w:tr w:rsidR="00796BD3" w:rsidRPr="00222258" w14:paraId="3CC4AFCC" w14:textId="77777777" w:rsidTr="00D17718">
        <w:trPr>
          <w:cantSplit/>
        </w:trPr>
        <w:tc>
          <w:tcPr>
            <w:tcW w:w="3969" w:type="dxa"/>
            <w:vMerge/>
          </w:tcPr>
          <w:p w14:paraId="5E70A39A" w14:textId="77777777" w:rsidR="00796BD3" w:rsidRPr="002222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241436F" w14:textId="59A2C985" w:rsidR="00796BD3" w:rsidRPr="00222258" w:rsidRDefault="00222258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22258">
              <w:rPr>
                <w:b/>
                <w:lang w:val="ru-RU"/>
              </w:rPr>
              <w:t>30 марта 2026 года</w:t>
            </w:r>
          </w:p>
        </w:tc>
      </w:tr>
      <w:tr w:rsidR="00796BD3" w:rsidRPr="00222258" w14:paraId="39E84BB7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609900F8" w14:textId="77777777" w:rsidR="00796BD3" w:rsidRPr="002222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8C71E75" w14:textId="77777777" w:rsidR="00796BD3" w:rsidRPr="0022225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22258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22258" w14:paraId="452D7E72" w14:textId="77777777" w:rsidTr="00D17718">
        <w:trPr>
          <w:cantSplit/>
          <w:trHeight w:val="23"/>
        </w:trPr>
        <w:tc>
          <w:tcPr>
            <w:tcW w:w="3969" w:type="dxa"/>
          </w:tcPr>
          <w:p w14:paraId="1FAD83D3" w14:textId="77777777" w:rsidR="00796BD3" w:rsidRPr="0022225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EA6EF0C" w14:textId="77777777" w:rsidR="00796BD3" w:rsidRPr="0022225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22258" w14:paraId="4C51514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D58A225" w14:textId="77777777" w:rsidR="00796BD3" w:rsidRPr="00222258" w:rsidRDefault="0033025A" w:rsidP="00F537B2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222258">
              <w:t>Отчет Генерального секретаря</w:t>
            </w:r>
          </w:p>
        </w:tc>
      </w:tr>
      <w:tr w:rsidR="00796BD3" w:rsidRPr="00457BF9" w14:paraId="3E158A0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6A75FDD" w14:textId="2DDE9490" w:rsidR="00796BD3" w:rsidRPr="00222258" w:rsidRDefault="00222258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222258">
              <w:rPr>
                <w:color w:val="000000"/>
                <w:sz w:val="32"/>
              </w:rPr>
              <w:t>ОТЧЕТ О ВЫПОЛНЕНИИ РЕЗОЛЮЦИИ 214 (БУХАРЕСТ, 2022 Г.) ПК "ТЕХНОЛОГИИ ИСКУССТВЕННОГО ИНТЕЛЛЕКТА И ЭЛЕКТРОСВЯЗЬ/ИНФОРМАЦИОННО-КОММУНИКАЦИОННЫЕ ТЕХНОЛОГИИ"</w:t>
            </w:r>
          </w:p>
        </w:tc>
      </w:tr>
      <w:tr w:rsidR="00796BD3" w:rsidRPr="00222258" w14:paraId="4C02279C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B5D528F" w14:textId="77777777" w:rsidR="00796BD3" w:rsidRPr="00915ED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15EDC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2635293E" w14:textId="06FC0822" w:rsidR="00796BD3" w:rsidRPr="00915EDC" w:rsidRDefault="00222258" w:rsidP="00F537B2">
            <w:pPr>
              <w:jc w:val="both"/>
              <w:rPr>
                <w:szCs w:val="22"/>
                <w:lang w:val="ru-RU"/>
              </w:rPr>
            </w:pPr>
            <w:r w:rsidRPr="00915EDC">
              <w:rPr>
                <w:color w:val="000000"/>
                <w:szCs w:val="22"/>
                <w:lang w:val="ru-RU"/>
              </w:rPr>
              <w:t xml:space="preserve">Цель настоящего документа состоит в том, чтобы представить всесторонний отчет о </w:t>
            </w:r>
            <w:r w:rsidRPr="00915EDC">
              <w:rPr>
                <w:szCs w:val="22"/>
                <w:lang w:val="ru-RU"/>
              </w:rPr>
              <w:t>деятельности</w:t>
            </w:r>
            <w:r w:rsidRPr="00915EDC">
              <w:rPr>
                <w:color w:val="000000"/>
                <w:szCs w:val="22"/>
                <w:lang w:val="ru-RU"/>
              </w:rPr>
              <w:t xml:space="preserve"> МСЭ в области искусственного интеллекта (ИИ) по трем основным направлениям: решения и знания, навыки и потенциал, стандарты и политика.</w:t>
            </w:r>
          </w:p>
          <w:p w14:paraId="607BFB93" w14:textId="77777777" w:rsidR="00796BD3" w:rsidRPr="00915ED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15EDC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0F6F1E42" w14:textId="3A705D9D" w:rsidR="00796BD3" w:rsidRPr="00915EDC" w:rsidRDefault="00222258" w:rsidP="00D17718">
            <w:pPr>
              <w:rPr>
                <w:szCs w:val="22"/>
                <w:lang w:val="ru-RU"/>
              </w:rPr>
            </w:pPr>
            <w:r w:rsidRPr="00915EDC">
              <w:rPr>
                <w:szCs w:val="22"/>
                <w:lang w:val="ru-RU"/>
              </w:rPr>
              <w:t xml:space="preserve">Совету предлагается </w:t>
            </w:r>
            <w:r w:rsidRPr="00915EDC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915EDC">
              <w:rPr>
                <w:szCs w:val="22"/>
                <w:lang w:val="ru-RU"/>
              </w:rPr>
              <w:t xml:space="preserve"> настоящий документ.</w:t>
            </w:r>
          </w:p>
          <w:p w14:paraId="34E87403" w14:textId="77777777" w:rsidR="00796BD3" w:rsidRPr="00915ED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15EDC">
              <w:rPr>
                <w:b/>
                <w:bCs/>
                <w:szCs w:val="22"/>
                <w:lang w:val="ru-RU"/>
              </w:rPr>
              <w:t>Соответствующая увязка со Стратегическим планом</w:t>
            </w:r>
          </w:p>
          <w:p w14:paraId="54B76D1B" w14:textId="7D1383DD" w:rsidR="00796BD3" w:rsidRPr="00915EDC" w:rsidRDefault="00222258" w:rsidP="00F537B2">
            <w:pPr>
              <w:jc w:val="both"/>
              <w:rPr>
                <w:szCs w:val="22"/>
                <w:lang w:val="ru-RU"/>
              </w:rPr>
            </w:pPr>
            <w:r w:rsidRPr="00915EDC">
              <w:rPr>
                <w:szCs w:val="22"/>
                <w:lang w:val="ru-RU"/>
              </w:rPr>
              <w:t>Разработка международных стандартов, продуктов знаний, развитие потенциала, платформа для созыва мероприятий.</w:t>
            </w:r>
          </w:p>
          <w:p w14:paraId="1BE192BB" w14:textId="77777777" w:rsidR="00796BD3" w:rsidRPr="00915ED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15EDC">
              <w:rPr>
                <w:b/>
                <w:bCs/>
                <w:szCs w:val="22"/>
                <w:lang w:val="ru-RU"/>
              </w:rPr>
              <w:t>Финансовые последствия</w:t>
            </w:r>
          </w:p>
          <w:p w14:paraId="37C6D551" w14:textId="74B8BD44" w:rsidR="00345D2A" w:rsidRPr="00915EDC" w:rsidRDefault="00222258" w:rsidP="00F537B2">
            <w:pPr>
              <w:spacing w:before="160"/>
              <w:jc w:val="both"/>
              <w:rPr>
                <w:szCs w:val="22"/>
                <w:lang w:val="ru-RU"/>
              </w:rPr>
            </w:pPr>
            <w:r w:rsidRPr="00915EDC">
              <w:rPr>
                <w:szCs w:val="22"/>
                <w:lang w:val="ru-RU"/>
              </w:rPr>
              <w:t xml:space="preserve">Запрошено дополнительное финансирование для поддержки деятельности МСЭ, связанной с ИИ (см. Документ </w:t>
            </w:r>
            <w:hyperlink r:id="rId7" w:history="1">
              <w:r w:rsidRPr="00915EDC">
                <w:rPr>
                  <w:rStyle w:val="Hyperlink"/>
                  <w:szCs w:val="22"/>
                  <w:lang w:val="ru-RU"/>
                </w:rPr>
                <w:t>C26/42</w:t>
              </w:r>
            </w:hyperlink>
            <w:r w:rsidRPr="00915EDC">
              <w:rPr>
                <w:szCs w:val="22"/>
                <w:lang w:val="ru-RU"/>
              </w:rPr>
              <w:t xml:space="preserve"> Совета).</w:t>
            </w:r>
          </w:p>
          <w:p w14:paraId="61F265E8" w14:textId="77777777" w:rsidR="00796BD3" w:rsidRPr="00915EDC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915EDC">
              <w:rPr>
                <w:szCs w:val="22"/>
                <w:lang w:val="ru-RU"/>
              </w:rPr>
              <w:t>__________________</w:t>
            </w:r>
          </w:p>
          <w:p w14:paraId="2B3C5B2F" w14:textId="77777777" w:rsidR="00796BD3" w:rsidRPr="00915EDC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915EDC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4582F51D" w14:textId="0F8BE61B" w:rsidR="00796BD3" w:rsidRPr="00222258" w:rsidRDefault="00222258" w:rsidP="00F537B2">
            <w:pPr>
              <w:spacing w:after="160"/>
              <w:rPr>
                <w:i/>
                <w:iCs/>
                <w:lang w:val="ru-RU"/>
              </w:rPr>
            </w:pPr>
            <w:r w:rsidRPr="00915EDC">
              <w:rPr>
                <w:i/>
                <w:iCs/>
                <w:szCs w:val="22"/>
                <w:lang w:val="ru-RU"/>
              </w:rPr>
              <w:t xml:space="preserve">Резолюция </w:t>
            </w:r>
            <w:hyperlink r:id="rId8" w:history="1">
              <w:r w:rsidRPr="00915EDC">
                <w:rPr>
                  <w:rStyle w:val="Hyperlink"/>
                  <w:i/>
                  <w:iCs/>
                  <w:szCs w:val="22"/>
                  <w:lang w:val="ru-RU"/>
                </w:rPr>
                <w:t>214 (Бухарест, 2022 г.)</w:t>
              </w:r>
            </w:hyperlink>
            <w:r w:rsidRPr="00915EDC">
              <w:rPr>
                <w:i/>
                <w:iCs/>
                <w:szCs w:val="22"/>
                <w:lang w:val="ru-RU"/>
              </w:rPr>
              <w:t xml:space="preserve"> Полномочной конференции; Резолюция </w:t>
            </w:r>
            <w:hyperlink r:id="rId9" w:history="1">
              <w:r w:rsidRPr="00915EDC">
                <w:rPr>
                  <w:rStyle w:val="Hyperlink"/>
                  <w:i/>
                  <w:iCs/>
                  <w:szCs w:val="22"/>
                  <w:lang w:val="ru-RU"/>
                </w:rPr>
                <w:t>101 (Нью-Дели, 2024 г.</w:t>
              </w:r>
            </w:hyperlink>
            <w:r w:rsidRPr="00915EDC">
              <w:rPr>
                <w:i/>
                <w:iCs/>
                <w:szCs w:val="22"/>
                <w:lang w:val="ru-RU"/>
              </w:rPr>
              <w:t xml:space="preserve">) ВАСЭ; Резолюция </w:t>
            </w:r>
            <w:hyperlink r:id="rId10" w:history="1">
              <w:r w:rsidRPr="00915EDC">
                <w:rPr>
                  <w:rStyle w:val="Hyperlink"/>
                  <w:i/>
                  <w:iCs/>
                  <w:szCs w:val="22"/>
                  <w:lang w:val="ru-RU"/>
                </w:rPr>
                <w:t>91 (Баку, 2025 г.)</w:t>
              </w:r>
            </w:hyperlink>
            <w:r w:rsidRPr="00915EDC">
              <w:rPr>
                <w:i/>
                <w:iCs/>
                <w:szCs w:val="22"/>
                <w:lang w:val="ru-RU"/>
              </w:rPr>
              <w:t xml:space="preserve"> ВКРЭ</w:t>
            </w:r>
          </w:p>
        </w:tc>
      </w:tr>
      <w:bookmarkEnd w:id="2"/>
      <w:bookmarkEnd w:id="6"/>
    </w:tbl>
    <w:p w14:paraId="09B66FDB" w14:textId="77777777" w:rsidR="00796BD3" w:rsidRPr="00222258" w:rsidRDefault="00796BD3" w:rsidP="00796BD3">
      <w:pPr>
        <w:rPr>
          <w:lang w:val="ru-RU"/>
        </w:rPr>
      </w:pPr>
    </w:p>
    <w:p w14:paraId="36EDD26A" w14:textId="77777777" w:rsidR="00D17718" w:rsidRPr="0022225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CAE0CA4" w14:textId="77777777" w:rsidR="00165D06" w:rsidRPr="0022225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22258">
        <w:rPr>
          <w:lang w:val="ru-RU"/>
        </w:rPr>
        <w:br w:type="page"/>
      </w:r>
    </w:p>
    <w:p w14:paraId="68E44FE7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lastRenderedPageBreak/>
        <w:t>В 2025 году Генеральный секретарь МСЭ инициировал всесторонний стратегический обзор в сфере ИИ, направленный на разработку комплексного предложения "Единый МСЭ" в области ИИ с использованием всего спектра связанных с ИИ ресурсов и видов деятельности организации. К концу года по результатам этого процесса был составлен подробный перечень с сопоставлением более 100 направлений деятельности в области искусственного интеллекта, которые были оценены с применением таких критериев как стратегическая приоритетность, потенциал масштабирования, уровень риска, состояние финансирования и потребности в ресурсах. В ходе обзора также оценивалось, следует ли расширить, поддержать или завершить деятельность по тому или иному направлению.</w:t>
      </w:r>
    </w:p>
    <w:p w14:paraId="19DA3C71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>Эта работа велась в тесном сотрудничестве с координаторами из БСЭ, БРЭ, БР и Генерального секретариата и включала в себя согласование направлений деятельности с соответствующими резолюциями МСЭ и ООН в области ИИ, а также сопоставление региональных инициатив в области ИИ. Уже само по себе составление перечня также помогло повысить качество и согласованность данных, предоставляемых недавно открытым Центром информационных ресурсов ООН по ИИ. Одновременно в целях повышения оперативной эффективности был проведен внутренний обзор инструментов ИИ, используемых в МСЭ.</w:t>
      </w:r>
    </w:p>
    <w:p w14:paraId="644D87A0" w14:textId="4FFA1996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ходе этой работы более 40 сотрудников МСЭ показали себя активными наставниками в сфере ИИ, что свидетельствует о значительной вовлеченности различных подразделений организации в реализацию программ "ИИ во благо". Результатом этих усилий, как отражено в настоящем документе Совета, стало объединение предложений МСЭ в области искусственного интеллекта в группы по трем основным направлениям: 1) </w:t>
      </w:r>
      <w:hyperlink w:anchor="_1._Solutions_&amp;" w:history="1">
        <w:r w:rsidRPr="00222258">
          <w:rPr>
            <w:rStyle w:val="Hyperlink"/>
            <w:lang w:val="ru-RU"/>
          </w:rPr>
          <w:t>решения и знания</w:t>
        </w:r>
      </w:hyperlink>
      <w:r w:rsidRPr="00222258">
        <w:rPr>
          <w:lang w:val="ru-RU"/>
        </w:rPr>
        <w:t xml:space="preserve">; 2) </w:t>
      </w:r>
      <w:hyperlink w:anchor="_2._Skills_&amp;" w:history="1">
        <w:r w:rsidRPr="00222258">
          <w:rPr>
            <w:rStyle w:val="Hyperlink"/>
            <w:lang w:val="ru-RU"/>
          </w:rPr>
          <w:t>навыки и потенциал</w:t>
        </w:r>
      </w:hyperlink>
      <w:r w:rsidRPr="00222258">
        <w:rPr>
          <w:lang w:val="ru-RU"/>
        </w:rPr>
        <w:t xml:space="preserve">; </w:t>
      </w:r>
      <w:r w:rsidR="004A11AC">
        <w:rPr>
          <w:lang w:val="ru-RU"/>
        </w:rPr>
        <w:t xml:space="preserve">и </w:t>
      </w:r>
      <w:r w:rsidRPr="00222258">
        <w:rPr>
          <w:lang w:val="ru-RU"/>
        </w:rPr>
        <w:t xml:space="preserve">3) </w:t>
      </w:r>
      <w:hyperlink w:anchor="_3._Standards_&amp;" w:history="1">
        <w:r w:rsidRPr="00222258">
          <w:rPr>
            <w:rStyle w:val="Hyperlink"/>
            <w:lang w:val="ru-RU"/>
          </w:rPr>
          <w:t>стандарты и политика</w:t>
        </w:r>
      </w:hyperlink>
      <w:r w:rsidRPr="00222258">
        <w:rPr>
          <w:lang w:val="ru-RU"/>
        </w:rPr>
        <w:t>. Такой структурированный подход позволяет МСЭ эффективнее мобилизовывать свои ресурсы в сфере ИИ в рамках всех бюро и направлять своих членов на всех этапах цепочки создания ценности ИИ, от сценариев применения и разработки стратегии до безопасного внедрения и масштабирования, в рамках целостной общеорганизационной структуры, которая опирается на мандаты, принятые государствами-членами в ряде резолюций МСЭ и Организации Объединенных Наций (ООН).</w:t>
      </w:r>
      <w:hyperlink w:anchor="_1._Solutions_&amp;" w:history="1"/>
      <w:hyperlink w:anchor="_2._Skills_&amp;" w:history="1"/>
      <w:hyperlink w:anchor="_3._Standards_&amp;" w:history="1"/>
    </w:p>
    <w:p w14:paraId="0D58F765" w14:textId="77777777" w:rsidR="00222258" w:rsidRPr="00222258" w:rsidRDefault="00222258" w:rsidP="00F537B2">
      <w:pPr>
        <w:pStyle w:val="Heading1"/>
      </w:pPr>
      <w:bookmarkStart w:id="7" w:name="_1._Solutions_&amp;"/>
      <w:bookmarkEnd w:id="7"/>
      <w:r w:rsidRPr="00222258">
        <w:t>1</w:t>
      </w:r>
      <w:r w:rsidRPr="00222258">
        <w:tab/>
        <w:t xml:space="preserve">Решения и </w:t>
      </w:r>
      <w:r w:rsidRPr="00F537B2">
        <w:t>знания</w:t>
      </w:r>
    </w:p>
    <w:p w14:paraId="2917913E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>С 2017 года МСЭ находится на переднем крае развития технологий ИИ и стремится изыскивать способы практического применения ИИ для решения глобальных проблем и содействия обеспечению универсальной возможности установления соединений и устойчивой цифровой трансформации.</w:t>
      </w:r>
    </w:p>
    <w:p w14:paraId="082BD02B" w14:textId="77777777" w:rsidR="00222258" w:rsidRPr="00222258" w:rsidRDefault="00222258" w:rsidP="00F537B2">
      <w:pPr>
        <w:pStyle w:val="Headingb"/>
      </w:pPr>
      <w:r w:rsidRPr="00222258">
        <w:t>ИИ во благо</w:t>
      </w:r>
    </w:p>
    <w:p w14:paraId="13DDB087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Опорной точкой в усилиях МСЭ является возглавляемая Союзом платформа </w:t>
      </w:r>
      <w:hyperlink r:id="rId11" w:history="1">
        <w:r w:rsidRPr="00222258">
          <w:rPr>
            <w:rStyle w:val="Hyperlink"/>
            <w:lang w:val="ru-RU"/>
          </w:rPr>
          <w:t>"ИИ во благо"</w:t>
        </w:r>
      </w:hyperlink>
      <w:r w:rsidRPr="00222258">
        <w:rPr>
          <w:lang w:val="ru-RU"/>
        </w:rPr>
        <w:t>, поддерживаемая более чем 50 партнерами из системы ООН, в рамках которой государства-члены получают доступ к:</w:t>
      </w:r>
      <w:hyperlink r:id="rId12"/>
    </w:p>
    <w:p w14:paraId="3AC9F9A5" w14:textId="7777777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  <w:t>проверенным решениям на основе ИИ, отраслевым сценариям использования, передовому опыту и экспертным знаниям;</w:t>
      </w:r>
    </w:p>
    <w:p w14:paraId="717AF72B" w14:textId="7777777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  <w:t>глобальным сетям, объединяющим представителей отрасли, партнеров из системы ООН, НПО, правительства, начинающие компании и исследователей;</w:t>
      </w:r>
    </w:p>
    <w:p w14:paraId="156930B9" w14:textId="7777777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  <w:t>навыкам, техническим ресурсам и руководящим указаниям по внедрению ИИ;</w:t>
      </w:r>
    </w:p>
    <w:p w14:paraId="7F7EE5AC" w14:textId="7777777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  <w:t>многостороннему сотрудничеству в области инноваций ИИ для решения глобальных проблем.</w:t>
      </w:r>
    </w:p>
    <w:p w14:paraId="423DE7BA" w14:textId="00BAC7E9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На фоне растущих темпов и масштабов инноваций в области ИИ </w:t>
      </w:r>
      <w:hyperlink r:id="rId13" w:history="1">
        <w:r w:rsidRPr="00222258">
          <w:rPr>
            <w:rStyle w:val="Hyperlink"/>
            <w:lang w:val="ru-RU"/>
          </w:rPr>
          <w:t>Глобальный саммит "ИИ во благо"</w:t>
        </w:r>
      </w:hyperlink>
      <w:r w:rsidRPr="00222258">
        <w:rPr>
          <w:lang w:val="ru-RU"/>
        </w:rPr>
        <w:t xml:space="preserve"> и региональные мероприятия по обеспечению воздействия способствуют укреплению готовности на глобальном уровне развивать навыки, а также разрабатывать стандарты и </w:t>
      </w:r>
      <w:r w:rsidRPr="00222258">
        <w:rPr>
          <w:lang w:val="ru-RU"/>
        </w:rPr>
        <w:lastRenderedPageBreak/>
        <w:t>политические рамки в области ИИ. В Саммите и мероприятии высокого уровня ВВУИО+20 2025</w:t>
      </w:r>
      <w:r>
        <w:rPr>
          <w:lang w:val="ru-RU"/>
        </w:rPr>
        <w:t> </w:t>
      </w:r>
      <w:r w:rsidRPr="00222258">
        <w:rPr>
          <w:lang w:val="ru-RU"/>
        </w:rPr>
        <w:t>года приняли участие более 11 тыс</w:t>
      </w:r>
      <w:r w:rsidR="004A11AC">
        <w:rPr>
          <w:lang w:val="ru-RU"/>
        </w:rPr>
        <w:t>.</w:t>
      </w:r>
      <w:r w:rsidRPr="00222258">
        <w:rPr>
          <w:lang w:val="ru-RU"/>
        </w:rPr>
        <w:t xml:space="preserve"> делегатов из 169 стран. К числу инициатив "ИИ во благо" относятся платформа "умного" подбора при помощи </w:t>
      </w:r>
      <w:hyperlink r:id="rId14" w:history="1">
        <w:r w:rsidRPr="00222258">
          <w:rPr>
            <w:rStyle w:val="Hyperlink"/>
            <w:lang w:val="ru-RU"/>
          </w:rPr>
          <w:t>нейронной сети</w:t>
        </w:r>
      </w:hyperlink>
      <w:r w:rsidRPr="00222258">
        <w:rPr>
          <w:lang w:val="ru-RU"/>
        </w:rPr>
        <w:t>, насчитывающая более 55</w:t>
      </w:r>
      <w:r>
        <w:rPr>
          <w:lang w:val="ru-RU"/>
        </w:rPr>
        <w:t> </w:t>
      </w:r>
      <w:r w:rsidRPr="00222258">
        <w:rPr>
          <w:lang w:val="ru-RU"/>
        </w:rPr>
        <w:t xml:space="preserve">тыс. участников из более чем 180 стран, </w:t>
      </w:r>
      <w:hyperlink r:id="rId15" w:history="1">
        <w:r w:rsidRPr="00222258">
          <w:rPr>
            <w:rStyle w:val="Hyperlink"/>
            <w:lang w:val="ru-RU"/>
          </w:rPr>
          <w:t>"Фабрика инноваций"</w:t>
        </w:r>
      </w:hyperlink>
      <w:r w:rsidRPr="00222258">
        <w:rPr>
          <w:lang w:val="ru-RU"/>
        </w:rPr>
        <w:t xml:space="preserve"> – проводящийся на круглогодичной основе </w:t>
      </w:r>
      <w:hyperlink r:id="rId16" w:history="1">
        <w:r w:rsidRPr="00222258">
          <w:rPr>
            <w:rStyle w:val="Hyperlink"/>
            <w:lang w:val="ru-RU"/>
          </w:rPr>
          <w:t>конкурс стартапов в области ИИ</w:t>
        </w:r>
      </w:hyperlink>
      <w:r w:rsidRPr="00222258">
        <w:rPr>
          <w:lang w:val="ru-RU"/>
        </w:rPr>
        <w:t xml:space="preserve">, </w:t>
      </w:r>
      <w:hyperlink r:id="rId17" w:history="1">
        <w:r w:rsidRPr="00222258">
          <w:rPr>
            <w:rStyle w:val="Hyperlink"/>
            <w:lang w:val="ru-RU"/>
          </w:rPr>
          <w:t>глобальный молодежный конкурс "Робототехника во благо",</w:t>
        </w:r>
      </w:hyperlink>
      <w:r w:rsidRPr="00222258">
        <w:rPr>
          <w:lang w:val="ru-RU"/>
        </w:rPr>
        <w:t xml:space="preserve"> </w:t>
      </w:r>
      <w:hyperlink r:id="rId18" w:history="1">
        <w:r w:rsidRPr="00222258">
          <w:rPr>
            <w:rStyle w:val="Hyperlink"/>
            <w:lang w:val="ru-RU"/>
          </w:rPr>
          <w:t>конкурсы в сфере машинного обучения (МО)</w:t>
        </w:r>
      </w:hyperlink>
      <w:r w:rsidRPr="00222258">
        <w:rPr>
          <w:lang w:val="ru-RU"/>
        </w:rPr>
        <w:t xml:space="preserve">, </w:t>
      </w:r>
      <w:hyperlink r:id="rId19" w:history="1">
        <w:r w:rsidRPr="00222258">
          <w:rPr>
            <w:rStyle w:val="Hyperlink"/>
            <w:lang w:val="ru-RU"/>
          </w:rPr>
          <w:t>Коалиция по навыкам в области ИИ</w:t>
        </w:r>
      </w:hyperlink>
      <w:r w:rsidRPr="00222258">
        <w:rPr>
          <w:lang w:val="ru-RU"/>
        </w:rPr>
        <w:t xml:space="preserve">, </w:t>
      </w:r>
      <w:hyperlink r:id="rId20" w:history="1">
        <w:r w:rsidRPr="00222258">
          <w:rPr>
            <w:rStyle w:val="Hyperlink"/>
            <w:lang w:val="ru-RU"/>
          </w:rPr>
          <w:t>"Инновации для воздействия"</w:t>
        </w:r>
      </w:hyperlink>
      <w:r w:rsidRPr="00222258">
        <w:rPr>
          <w:lang w:val="ru-RU"/>
        </w:rPr>
        <w:t xml:space="preserve">, </w:t>
      </w:r>
      <w:hyperlink r:id="rId21" w:history="1">
        <w:r w:rsidRPr="00222258">
          <w:rPr>
            <w:rStyle w:val="Hyperlink"/>
            <w:lang w:val="ru-RU"/>
          </w:rPr>
          <w:t>сообщество молодых лидеров в области ИИ</w:t>
        </w:r>
      </w:hyperlink>
      <w:r w:rsidRPr="00222258">
        <w:rPr>
          <w:lang w:val="ru-RU"/>
        </w:rPr>
        <w:t xml:space="preserve"> и </w:t>
      </w:r>
      <w:hyperlink r:id="rId22" w:history="1">
        <w:r w:rsidRPr="00222258">
          <w:rPr>
            <w:rStyle w:val="Hyperlink"/>
            <w:lang w:val="ru-RU"/>
          </w:rPr>
          <w:t>инициатива "Воздействие ИИ во благо"</w:t>
        </w:r>
      </w:hyperlink>
      <w:r w:rsidR="004A11AC">
        <w:rPr>
          <w:lang w:val="ru-RU"/>
        </w:rPr>
        <w:t xml:space="preserve">, </w:t>
      </w:r>
      <w:r w:rsidRPr="00222258">
        <w:rPr>
          <w:lang w:val="ru-RU"/>
        </w:rPr>
        <w:t>позволяющая мобилизовать ресурсы для масштабирования применений и проектов "ИИ во благо" по всему миру.</w:t>
      </w:r>
      <w:hyperlink r:id="rId23" w:history="1"/>
      <w:hyperlink r:id="rId24"/>
      <w:hyperlink r:id="rId25" w:history="1"/>
      <w:hyperlink r:id="rId26" w:history="1"/>
      <w:hyperlink r:id="rId27" w:history="1"/>
      <w:hyperlink r:id="rId28" w:history="1"/>
      <w:hyperlink r:id="rId29" w:history="1"/>
      <w:hyperlink r:id="rId30" w:history="1"/>
      <w:hyperlink r:id="rId31" w:history="1"/>
      <w:hyperlink r:id="rId32" w:history="1"/>
    </w:p>
    <w:p w14:paraId="5BEFA84E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дополнение к этим инициативам в рамках </w:t>
      </w:r>
      <w:hyperlink r:id="rId33" w:history="1">
        <w:r w:rsidRPr="00222258">
          <w:rPr>
            <w:rStyle w:val="Hyperlink"/>
            <w:lang w:val="ru-RU"/>
          </w:rPr>
          <w:t>серии вебинаров "Открытие"</w:t>
        </w:r>
      </w:hyperlink>
      <w:r w:rsidRPr="00222258">
        <w:rPr>
          <w:lang w:val="ru-RU"/>
        </w:rPr>
        <w:t xml:space="preserve"> почти ежедневно проводятся тематические сессии с участием многих ведущих мировых экспертов в области ИИ, организованные в сотрудничестве с целым рядом учреждений ООН и охватывающие широкий круг приоритетных тем, включая здравоохранение, реагирование на бедствия, продовольственную безопасность, образование, будущее сферы труда, производство и использование квантовых вычислений в благих целях.</w:t>
      </w:r>
      <w:hyperlink r:id="rId34" w:history="1"/>
    </w:p>
    <w:p w14:paraId="14189B18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"ИИ во благо" также является передовой платформой для получения знаний, поскольку на ней публикуется широкий спектр </w:t>
      </w:r>
      <w:hyperlink r:id="rId35" w:history="1">
        <w:r w:rsidRPr="00222258">
          <w:rPr>
            <w:rStyle w:val="Hyperlink"/>
            <w:lang w:val="ru-RU"/>
          </w:rPr>
          <w:t>отчетов, исследований конкретных ситуаций и результатов научных исследований</w:t>
        </w:r>
      </w:hyperlink>
      <w:r w:rsidRPr="00222258">
        <w:rPr>
          <w:lang w:val="ru-RU"/>
        </w:rPr>
        <w:t xml:space="preserve">, в которых отражены практические способы применения ИИ, формирующиеся тенденции и аналитические выводы, поступающие от глобальной сети партнеров из системы ООН и отраслевых экспертов. Так, например, получили широкое освещение в международных СМИ, еще больше укрепив роль "ИИ во благо" в </w:t>
      </w:r>
      <w:r w:rsidRPr="00785BDF">
        <w:rPr>
          <w:lang w:val="ru-RU"/>
        </w:rPr>
        <w:t>формировании</w:t>
      </w:r>
      <w:r w:rsidRPr="00222258">
        <w:rPr>
          <w:lang w:val="ru-RU"/>
        </w:rPr>
        <w:t xml:space="preserve"> глобальной повестки дня в области ИИ, следующие три флагманских отчета:</w:t>
      </w:r>
      <w:hyperlink r:id="rId36" w:history="1"/>
    </w:p>
    <w:p w14:paraId="0F02AAA2" w14:textId="7777777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</w:r>
      <w:hyperlink r:id="rId37" w:history="1">
        <w:r w:rsidRPr="00222258">
          <w:rPr>
            <w:rStyle w:val="Hyperlink"/>
            <w:lang w:val="ru-RU"/>
          </w:rPr>
          <w:t>Раскрытие потенциала ИИ в интересах человечества</w:t>
        </w:r>
      </w:hyperlink>
      <w:r w:rsidRPr="00222258">
        <w:rPr>
          <w:lang w:val="ru-RU"/>
        </w:rPr>
        <w:t>. В этом флагманском отчете, подготовленном в партнерстве с Университетом Организации Объединенных Наций (УООН), представлен комплексный обзор платформы "ИИ во благо" за уже почти десятилетний период, а также ее роли в объединении лидеров и экспертов в области ИИ в целях раскрытия его потенциала для решения глобальных проблем, включая геополитическую нестабильность, изменение климата и восстановление после пандемии.</w:t>
      </w:r>
      <w:hyperlink r:id="rId38" w:history="1"/>
    </w:p>
    <w:p w14:paraId="7458C431" w14:textId="7777777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</w:r>
      <w:hyperlink r:id="rId39" w:history="1">
        <w:r w:rsidRPr="00222258">
          <w:rPr>
            <w:rStyle w:val="Hyperlink"/>
            <w:lang w:val="ru-RU"/>
          </w:rPr>
          <w:t>Отчет о воздействии инициативы "ИИ во благо", второе издание</w:t>
        </w:r>
      </w:hyperlink>
      <w:r w:rsidRPr="00222258">
        <w:rPr>
          <w:lang w:val="ru-RU"/>
        </w:rPr>
        <w:t>. В этом отчете, подготовленном в сотрудничестве с компанией Deloitte, представлен комплексный обзор того, как ИИ меняет подходы общества к обучению, работе, оказанию медицинской помощи и решению экологических проблем; в нем рассматриваются текущее положение в области ИИ, его возможные перспективы, регуляторная среда, а также возможности применения в ключевых секторах.</w:t>
      </w:r>
      <w:hyperlink r:id="rId40" w:history="1"/>
    </w:p>
    <w:p w14:paraId="0C6B869D" w14:textId="06C38BA7" w:rsidR="00222258" w:rsidRPr="00222258" w:rsidRDefault="00222258" w:rsidP="00F537B2">
      <w:pPr>
        <w:pStyle w:val="enumlev1"/>
        <w:jc w:val="both"/>
        <w:rPr>
          <w:lang w:val="ru-RU"/>
        </w:rPr>
      </w:pPr>
      <w:r w:rsidRPr="00222258">
        <w:rPr>
          <w:lang w:val="ru-RU"/>
        </w:rPr>
        <w:t>–</w:t>
      </w:r>
      <w:r w:rsidRPr="00222258">
        <w:rPr>
          <w:lang w:val="ru-RU"/>
        </w:rPr>
        <w:tab/>
      </w:r>
      <w:hyperlink r:id="rId41" w:history="1">
        <w:r w:rsidRPr="00222258">
          <w:rPr>
            <w:rStyle w:val="Hyperlink"/>
            <w:lang w:val="ru-RU"/>
          </w:rPr>
          <w:t>Готовность к ИИ – Анализ в направлении стандартизированной структуры готовности</w:t>
        </w:r>
      </w:hyperlink>
      <w:r w:rsidRPr="00222258">
        <w:rPr>
          <w:lang w:val="ru-RU"/>
        </w:rPr>
        <w:t>. В</w:t>
      </w:r>
      <w:r>
        <w:rPr>
          <w:lang w:val="ru-RU"/>
        </w:rPr>
        <w:t> </w:t>
      </w:r>
      <w:r w:rsidRPr="00222258">
        <w:rPr>
          <w:lang w:val="ru-RU"/>
        </w:rPr>
        <w:t>процессе составления Отчета МСЭ о готовности к внедрению ИИ ведется взаимодействие со многими заинтересованными сторонами во всем мире в целях оценки и повышения уровня интеграции ИИ в различных областях, исследования сценариев использования для определения весомости ключевых факторов в этих областях, усовершенствования глобального процесса создания потенциала в сфере ИИ и содействия созданию возможностей для международного сотрудничества.</w:t>
      </w:r>
      <w:hyperlink r:id="rId42" w:history="1"/>
    </w:p>
    <w:p w14:paraId="1417DD6D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>Тема использования ИИ во благо неизменно широко освещается в мировых СМИ и оказывает значительное влияние на цифровые технологии, порождая "вирусные" моменты, которые стремительно распространяются, значительно повышая наглядность деятельности и авторитет МСЭ в глобальной экосистеме ИИ и в системе Организации Объединенных Наций.</w:t>
      </w:r>
    </w:p>
    <w:p w14:paraId="72964E66" w14:textId="77777777" w:rsidR="00222258" w:rsidRPr="00222258" w:rsidRDefault="00222258" w:rsidP="00F537B2">
      <w:pPr>
        <w:pStyle w:val="Headingb"/>
      </w:pPr>
      <w:r w:rsidRPr="00222258">
        <w:lastRenderedPageBreak/>
        <w:t>Центр информационных ресурсов ООН по ИИ</w:t>
      </w:r>
    </w:p>
    <w:p w14:paraId="0B4A9AEA" w14:textId="6C116988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МСЭ координирует вклады и готовит ежегодный </w:t>
      </w:r>
      <w:hyperlink r:id="rId43" w:history="1">
        <w:r w:rsidRPr="00222258">
          <w:rPr>
            <w:rStyle w:val="Hyperlink"/>
            <w:lang w:val="ru-RU"/>
          </w:rPr>
          <w:t>отчет о деятельности ООН в области ИИ</w:t>
        </w:r>
      </w:hyperlink>
      <w:r w:rsidRPr="00222258">
        <w:rPr>
          <w:lang w:val="ru-RU"/>
        </w:rPr>
        <w:t>, в котором в 2025 году была представлена информация о 729 проектах (по сравнению с 406 в 2024 г</w:t>
      </w:r>
      <w:r w:rsidR="00F66EDD">
        <w:rPr>
          <w:lang w:val="ru-RU"/>
        </w:rPr>
        <w:t>.</w:t>
      </w:r>
      <w:r w:rsidRPr="00222258">
        <w:rPr>
          <w:lang w:val="ru-RU"/>
        </w:rPr>
        <w:t xml:space="preserve">); отчет служит единственным всеобъемлющим справочником такого рода в системе ООН. На основе данных этого отчета ПРООН, МСЭ и ЮНЕСКО совместно создали </w:t>
      </w:r>
      <w:hyperlink r:id="rId44" w:history="1">
        <w:r w:rsidRPr="00222258">
          <w:rPr>
            <w:rStyle w:val="Hyperlink"/>
            <w:lang w:val="ru-RU"/>
          </w:rPr>
          <w:t>Центр информационных ресурсов ООН по ИИ</w:t>
        </w:r>
      </w:hyperlink>
      <w:r w:rsidRPr="00222258">
        <w:rPr>
          <w:lang w:val="ru-RU"/>
        </w:rPr>
        <w:t xml:space="preserve"> – динамичную общедоступную платформу с возможностью поиска по направлениям деятельности в области ИИ в рамках системы ООН на основе стандартизированной таксономии. Центр размещен на платформе "ИИ во благо" и поддерживается благодаря общесистемному взаимодействию при помощи </w:t>
      </w:r>
      <w:hyperlink r:id="rId45" w:history="1">
        <w:r w:rsidRPr="00222258">
          <w:rPr>
            <w:rStyle w:val="Hyperlink"/>
            <w:lang w:val="ru-RU"/>
          </w:rPr>
          <w:t>Межучрежденческой рабочей группы по ИИ</w:t>
        </w:r>
      </w:hyperlink>
      <w:r w:rsidRPr="00222258">
        <w:rPr>
          <w:lang w:val="ru-RU"/>
        </w:rPr>
        <w:t xml:space="preserve"> (IAWG-AI); в настоящее время он охватывает более 800 проектов с подробной информацией и метаданными.</w:t>
      </w:r>
      <w:hyperlink r:id="rId46" w:history="1"/>
      <w:hyperlink r:id="rId47" w:history="1"/>
      <w:hyperlink r:id="rId48" w:history="1"/>
    </w:p>
    <w:p w14:paraId="4825C039" w14:textId="77777777" w:rsidR="00222258" w:rsidRPr="00222258" w:rsidRDefault="00222258" w:rsidP="00F537B2">
      <w:pPr>
        <w:pStyle w:val="Headingb"/>
      </w:pPr>
      <w:r w:rsidRPr="00222258">
        <w:t>Инициативы в области генеративного ИИ с открытым исходным кодом</w:t>
      </w:r>
    </w:p>
    <w:p w14:paraId="6B4C33E7" w14:textId="77777777" w:rsidR="00222258" w:rsidRPr="00222258" w:rsidRDefault="00222258" w:rsidP="00F537B2">
      <w:pPr>
        <w:jc w:val="both"/>
        <w:rPr>
          <w:lang w:val="ru-RU"/>
        </w:rPr>
      </w:pPr>
      <w:hyperlink r:id="rId49" w:history="1">
        <w:r w:rsidRPr="00222258">
          <w:rPr>
            <w:rStyle w:val="Hyperlink"/>
            <w:lang w:val="ru-RU"/>
          </w:rPr>
          <w:t>Глобальное расширение прав и возможностей, интеллект и справедливость (GENIE.AI)</w:t>
        </w:r>
      </w:hyperlink>
      <w:r w:rsidRPr="00222258">
        <w:rPr>
          <w:lang w:val="ru-RU"/>
        </w:rPr>
        <w:t xml:space="preserve"> – это открытая коллективная эталонная реализация системы генеративного искусственного интеллекта, созданная при координирующей роли МСЭ и при поддержке международного сообщества разработчиков программного обеспечения с открытым исходным кодом. Она служит практической испытательной площадкой для содействия разработке стандартов, технических требований и руководящих принципов по эксплуатации для открытых, функционально совместимых и надежных систем генеративного ИИ в рамках экосистем цифровой инфраструктуры общего пользования (DPI) и цифровых общественных благ (DPG). GENIE соответствует </w:t>
      </w:r>
      <w:hyperlink r:id="rId50" w:history="1">
        <w:r w:rsidRPr="00222258">
          <w:rPr>
            <w:rStyle w:val="Hyperlink"/>
            <w:lang w:val="ru-RU"/>
          </w:rPr>
          <w:t>определению ИИ с открытым исходным кодом</w:t>
        </w:r>
      </w:hyperlink>
      <w:r w:rsidRPr="00222258">
        <w:rPr>
          <w:lang w:val="ru-RU"/>
        </w:rPr>
        <w:t xml:space="preserve"> и согласуется со стандартом DPG, способствует разработке спецификаций открытого ИИ в рамках GovStack и интегрирована в тестовую среду GovStack, что обеспечивает прямой доступ к проведению экспериментов, адаптации и внедрению.</w:t>
      </w:r>
      <w:hyperlink r:id="rId51"/>
      <w:hyperlink r:id="rId52" w:history="1"/>
      <w:hyperlink r:id="rId53" w:history="1"/>
    </w:p>
    <w:p w14:paraId="65702604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Основываясь на направлении </w:t>
      </w:r>
      <w:hyperlink r:id="rId54" w:history="1">
        <w:r w:rsidRPr="00222258">
          <w:rPr>
            <w:rStyle w:val="Hyperlink"/>
            <w:lang w:val="ru-RU"/>
          </w:rPr>
          <w:t>"Генеративный ИИ с открытым исходным кодом для цифровых общественных благ"</w:t>
        </w:r>
      </w:hyperlink>
      <w:r w:rsidRPr="00222258">
        <w:rPr>
          <w:lang w:val="ru-RU"/>
        </w:rPr>
        <w:t xml:space="preserve">, МСЭ и Комитет IEEE по гуманитарным технологиям объявили </w:t>
      </w:r>
      <w:hyperlink r:id="rId55" w:history="1">
        <w:r w:rsidRPr="00222258">
          <w:rPr>
            <w:rStyle w:val="Hyperlink"/>
            <w:lang w:val="ru-RU"/>
          </w:rPr>
          <w:t>конкурс "Генеративный ИИ во благо",</w:t>
        </w:r>
      </w:hyperlink>
      <w:r w:rsidRPr="00222258">
        <w:rPr>
          <w:lang w:val="ru-RU"/>
        </w:rPr>
        <w:t xml:space="preserve"> призванный стать многосторонним механизмом претворения генеративного ИИ с открытым исходным кодом в конкретные примеры использования в государственном секторе. Конкурс отвечает потребностям Гамбии, Лесото и Бангладеш, поскольку обеспечивает содействие правительствам и местным инновационным экосистемам в развертывании технических решений на основе генеративного ИИ для здравоохранения, сельского хозяйства и устойчивости к изменению климата, а также дополняет GENIE.AI путем преобразования соответствующей стандартам архитектуры в конкретные пути развертывания на уровне страны.</w:t>
      </w:r>
      <w:hyperlink r:id="rId56" w:history="1"/>
      <w:hyperlink r:id="rId57" w:history="1"/>
    </w:p>
    <w:p w14:paraId="1A6F6676" w14:textId="77777777" w:rsidR="00222258" w:rsidRPr="00222258" w:rsidRDefault="00222258" w:rsidP="00F537B2">
      <w:pPr>
        <w:pStyle w:val="Headingb"/>
      </w:pPr>
      <w:r w:rsidRPr="00222258">
        <w:t>Инициативы в области раннего предупреждения</w:t>
      </w:r>
    </w:p>
    <w:p w14:paraId="3EBA6BC6" w14:textId="17DD4200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рамках инициативы ООН </w:t>
      </w:r>
      <w:hyperlink r:id="rId58" w:history="1">
        <w:r w:rsidRPr="00222258">
          <w:rPr>
            <w:rStyle w:val="Hyperlink"/>
            <w:lang w:val="ru-RU"/>
          </w:rPr>
          <w:t>"Раннее предупреждение для всех" (EW4All)</w:t>
        </w:r>
      </w:hyperlink>
      <w:r w:rsidRPr="00222258">
        <w:rPr>
          <w:lang w:val="ru-RU"/>
        </w:rPr>
        <w:t xml:space="preserve"> МСЭ координирует работу </w:t>
      </w:r>
      <w:hyperlink r:id="rId59" w:history="1">
        <w:r w:rsidRPr="00222258">
          <w:rPr>
            <w:rStyle w:val="Hyperlink"/>
            <w:lang w:val="ru-RU"/>
          </w:rPr>
          <w:t>подгруппы по ИИ</w:t>
        </w:r>
      </w:hyperlink>
      <w:r w:rsidRPr="00222258">
        <w:rPr>
          <w:lang w:val="ru-RU"/>
        </w:rPr>
        <w:t xml:space="preserve"> и объявил </w:t>
      </w:r>
      <w:hyperlink r:id="rId60" w:history="1">
        <w:r w:rsidRPr="00222258">
          <w:rPr>
            <w:rStyle w:val="Hyperlink"/>
            <w:lang w:val="ru-RU"/>
          </w:rPr>
          <w:t>конкурс инноваций "ИИ для EW4All"</w:t>
        </w:r>
      </w:hyperlink>
      <w:r w:rsidRPr="00222258">
        <w:rPr>
          <w:lang w:val="ru-RU"/>
        </w:rPr>
        <w:t xml:space="preserve"> (2025 г</w:t>
      </w:r>
      <w:r w:rsidR="00F66EDD">
        <w:rPr>
          <w:lang w:val="ru-RU"/>
        </w:rPr>
        <w:t>.</w:t>
      </w:r>
      <w:r w:rsidRPr="00222258">
        <w:rPr>
          <w:lang w:val="ru-RU"/>
        </w:rPr>
        <w:t xml:space="preserve">), в рамках которого в настоящее время оказывается поддержка финалистам в реализации избранных экспериментальных проектов в отдельных странах. Во время Глобального саммита "ИИ во благо" 2026 года ВМО, УСРБ ООН, МСЭ и МФКК опубликуют каталог решений на основе ИИ с возможностью поиска, а также отчет по "ИИ для EW4All". </w:t>
      </w:r>
      <w:hyperlink r:id="rId61" w:history="1">
        <w:r w:rsidRPr="00222258">
          <w:rPr>
            <w:rStyle w:val="Hyperlink"/>
            <w:lang w:val="ru-RU"/>
          </w:rPr>
          <w:t>Карта сети раннего предупреждения</w:t>
        </w:r>
      </w:hyperlink>
      <w:r w:rsidRPr="00222258">
        <w:rPr>
          <w:lang w:val="ru-RU"/>
        </w:rPr>
        <w:t xml:space="preserve"> (EWCM) представляет собой инструмент на базе ИИ, который позволяет наглядно представить, где обеспечивается покрытие и сколько людей находится в зоне покрытия, а сколько</w:t>
      </w:r>
      <w:r w:rsidR="00F66EDD">
        <w:rPr>
          <w:lang w:val="ru-RU"/>
        </w:rPr>
        <w:t> </w:t>
      </w:r>
      <w:r w:rsidRPr="00222258">
        <w:rPr>
          <w:lang w:val="ru-RU"/>
        </w:rPr>
        <w:t>– в зонах, недоступных для оповещения по сети подвижной связи. Имеются результаты по 33 странам</w:t>
      </w:r>
      <w:r w:rsidR="00F66EDD">
        <w:rPr>
          <w:lang w:val="ru-RU"/>
        </w:rPr>
        <w:t xml:space="preserve"> − </w:t>
      </w:r>
      <w:r w:rsidRPr="00222258">
        <w:rPr>
          <w:lang w:val="ru-RU"/>
        </w:rPr>
        <w:t>участницам EW4All, в которых ведется передача потенциала (например, осуществляется профессиональная подготовка представителей регуляторных органов в Сомали и на Мадагаскаре).</w:t>
      </w:r>
      <w:hyperlink r:id="rId62" w:history="1"/>
      <w:hyperlink r:id="rId63"/>
      <w:hyperlink r:id="rId64"/>
      <w:hyperlink r:id="rId65"/>
    </w:p>
    <w:p w14:paraId="10C55988" w14:textId="77777777" w:rsidR="00222258" w:rsidRPr="00222258" w:rsidRDefault="00222258" w:rsidP="00F537B2">
      <w:pPr>
        <w:pStyle w:val="Headingb"/>
      </w:pPr>
      <w:r w:rsidRPr="00222258">
        <w:lastRenderedPageBreak/>
        <w:t>Другая деятельность, связанная со знаниями</w:t>
      </w:r>
    </w:p>
    <w:p w14:paraId="7E087EA2" w14:textId="77777777" w:rsidR="00222258" w:rsidRPr="00F537B2" w:rsidRDefault="00222258" w:rsidP="00F537B2">
      <w:pPr>
        <w:jc w:val="both"/>
        <w:rPr>
          <w:spacing w:val="-2"/>
          <w:lang w:val="ru-RU"/>
        </w:rPr>
      </w:pPr>
      <w:r w:rsidRPr="00F537B2">
        <w:rPr>
          <w:spacing w:val="-2"/>
          <w:lang w:val="ru-RU"/>
        </w:rPr>
        <w:t xml:space="preserve">В рамках инициативы </w:t>
      </w:r>
      <w:hyperlink r:id="rId66" w:history="1">
        <w:r w:rsidRPr="00F537B2">
          <w:rPr>
            <w:rStyle w:val="Hyperlink"/>
            <w:spacing w:val="-2"/>
            <w:lang w:val="ru-RU"/>
          </w:rPr>
          <w:t>"Объединение усилий в целях построения "умных" устойчивых городов" (U4SSC)</w:t>
        </w:r>
      </w:hyperlink>
      <w:r w:rsidRPr="00F537B2">
        <w:rPr>
          <w:spacing w:val="-2"/>
          <w:lang w:val="ru-RU"/>
        </w:rPr>
        <w:t xml:space="preserve"> Тематическая группа по ИИ в городах и соответствующие рабочие группы изучают инновационные подходы на основе ИИ, технические возможности агентного ИИ и новые источники данных для повышения качества измерения, точности и своевременности показателей функционирования городов. В рамках инициативы </w:t>
      </w:r>
      <w:hyperlink r:id="rId67" w:history="1">
        <w:r w:rsidRPr="00F537B2">
          <w:rPr>
            <w:rStyle w:val="Hyperlink"/>
            <w:spacing w:val="-2"/>
            <w:lang w:val="ru-RU"/>
          </w:rPr>
          <w:t>"Зеленая цифровая кампания"</w:t>
        </w:r>
      </w:hyperlink>
      <w:r w:rsidRPr="00F537B2">
        <w:rPr>
          <w:spacing w:val="-2"/>
          <w:lang w:val="ru-RU"/>
        </w:rPr>
        <w:t xml:space="preserve"> была создана рабочая подгруппа по устойчивому ИИ для выявления пробелов в измерении и тестировании различных рабочих нагрузок ИИ для лучшего понимания воздействия на окружающую среду. Подгруппа опубликовала отчет </w:t>
      </w:r>
      <w:hyperlink r:id="rId68" w:history="1">
        <w:r w:rsidRPr="00F537B2">
          <w:rPr>
            <w:rStyle w:val="Hyperlink"/>
            <w:spacing w:val="-2"/>
            <w:lang w:val="ru-RU"/>
          </w:rPr>
          <w:t>"Измерение значимого: как оценить воздействие ИИ на окружающую среду"</w:t>
        </w:r>
      </w:hyperlink>
      <w:r w:rsidRPr="00F537B2">
        <w:rPr>
          <w:spacing w:val="-2"/>
          <w:lang w:val="ru-RU"/>
        </w:rPr>
        <w:t xml:space="preserve"> и создала </w:t>
      </w:r>
      <w:hyperlink r:id="rId69" w:history="1">
        <w:r w:rsidRPr="00F537B2">
          <w:rPr>
            <w:rStyle w:val="Hyperlink"/>
            <w:spacing w:val="-2"/>
            <w:lang w:val="ru-RU"/>
          </w:rPr>
          <w:t>открытый репозитарий</w:t>
        </w:r>
      </w:hyperlink>
      <w:r w:rsidRPr="00F537B2">
        <w:rPr>
          <w:spacing w:val="-2"/>
          <w:lang w:val="ru-RU"/>
        </w:rPr>
        <w:t xml:space="preserve"> экологичных методов в области программного обеспечения. </w:t>
      </w:r>
      <w:hyperlink r:id="rId70" w:history="1">
        <w:r w:rsidRPr="00F537B2">
          <w:rPr>
            <w:rStyle w:val="Hyperlink"/>
            <w:spacing w:val="-2"/>
            <w:lang w:val="ru-RU"/>
          </w:rPr>
          <w:t>Академический консультативный орган по появляющимся технологиям</w:t>
        </w:r>
      </w:hyperlink>
      <w:r w:rsidRPr="00F537B2">
        <w:rPr>
          <w:spacing w:val="-2"/>
          <w:lang w:val="ru-RU"/>
        </w:rPr>
        <w:t xml:space="preserve"> создал тематическую группу, посвященную ИИ, которая в настоящее время готовит отчет по основным областям, включая новые вычислительные модели, искусственный общий интеллект и устойчивость. </w:t>
      </w:r>
      <w:hyperlink r:id="rId71" w:history="1">
        <w:r w:rsidRPr="00F537B2">
          <w:rPr>
            <w:rStyle w:val="Hyperlink"/>
            <w:spacing w:val="-2"/>
            <w:lang w:val="ru-RU"/>
          </w:rPr>
          <w:t>Молодежный консультативный комитет</w:t>
        </w:r>
      </w:hyperlink>
      <w:r w:rsidRPr="00F537B2">
        <w:rPr>
          <w:spacing w:val="-2"/>
          <w:lang w:val="ru-RU"/>
        </w:rPr>
        <w:t xml:space="preserve"> также поделился с Генеральным секретарем рекомендациями по вопросам и тенденциям в области ИИ.</w:t>
      </w:r>
      <w:hyperlink r:id="rId72" w:history="1"/>
      <w:hyperlink r:id="rId73" w:history="1"/>
      <w:hyperlink r:id="rId74" w:history="1"/>
      <w:hyperlink r:id="rId75" w:history="1"/>
      <w:hyperlink r:id="rId76" w:history="1"/>
      <w:hyperlink r:id="rId77" w:history="1"/>
    </w:p>
    <w:p w14:paraId="26EF10F4" w14:textId="77777777" w:rsidR="00222258" w:rsidRPr="00222258" w:rsidRDefault="00222258" w:rsidP="00F537B2">
      <w:pPr>
        <w:pStyle w:val="Headingb"/>
      </w:pPr>
      <w:r w:rsidRPr="00222258">
        <w:t>Научная группа по ИИ и Диалог по вопросам управления ИИ</w:t>
      </w:r>
    </w:p>
    <w:p w14:paraId="3C6A1D1C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МСЭ входит в совместный секретариат двух глобальных процессов, учрежденных Генеральной Ассамблеей ООН (ГА ООН) в резолюции </w:t>
      </w:r>
      <w:hyperlink r:id="rId78" w:history="1">
        <w:r w:rsidRPr="00222258">
          <w:rPr>
            <w:rStyle w:val="Hyperlink"/>
            <w:lang w:val="ru-RU"/>
          </w:rPr>
          <w:t>A/RES/79/325</w:t>
        </w:r>
      </w:hyperlink>
      <w:r w:rsidRPr="00222258">
        <w:rPr>
          <w:lang w:val="ru-RU"/>
        </w:rPr>
        <w:t xml:space="preserve"> ГА ООН – Глобального диалога по вопросам управления искусственным интеллектом и Международной научной группы по искусственному интеллекту. В состав совместного секретариата также входят ЮНЕСКО и Канцелярия посланника Генерального секретаря ООН по вопросам технологий (ODET) при поддержке Канцелярии Генерального секретаря ООН (КГС).</w:t>
      </w:r>
      <w:hyperlink r:id="rId79"/>
    </w:p>
    <w:p w14:paraId="4DEB850D" w14:textId="643E8A1B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Первое мероприятие </w:t>
      </w:r>
      <w:hyperlink r:id="rId80" w:history="1">
        <w:r w:rsidRPr="00222258">
          <w:rPr>
            <w:rStyle w:val="Hyperlink"/>
            <w:lang w:val="ru-RU"/>
          </w:rPr>
          <w:t>Глобального диалога ООН по вопросам управления использованием ИИ</w:t>
        </w:r>
      </w:hyperlink>
      <w:r w:rsidRPr="00222258">
        <w:rPr>
          <w:lang w:val="ru-RU"/>
        </w:rPr>
        <w:t xml:space="preserve"> пройдет в Международном центре выставок и конференций Palexpo в Женеве, Швейцария, 6</w:t>
      </w:r>
      <w:r w:rsidR="00F66EDD">
        <w:rPr>
          <w:lang w:val="ru-RU"/>
        </w:rPr>
        <w:t>−</w:t>
      </w:r>
      <w:r w:rsidRPr="00222258">
        <w:rPr>
          <w:lang w:val="ru-RU"/>
        </w:rPr>
        <w:t>7</w:t>
      </w:r>
      <w:r w:rsidR="00F66EDD">
        <w:rPr>
          <w:lang w:val="ru-RU"/>
        </w:rPr>
        <w:t> </w:t>
      </w:r>
      <w:r w:rsidRPr="00222258">
        <w:rPr>
          <w:lang w:val="ru-RU"/>
        </w:rPr>
        <w:t>июля 2026 года и будет приурочено к Глобальному саммиту "ИИ во благо". Диалог ведется при содействии Генерального секретаря ООН, при этом МСЭ координирует работу Глобального диалога вместе с ЮНЕСКО и работает в тесном сотрудничестве с сопредседателями</w:t>
      </w:r>
      <w:r w:rsidR="00F66EDD">
        <w:rPr>
          <w:lang w:val="ru-RU"/>
        </w:rPr>
        <w:t> </w:t>
      </w:r>
      <w:r w:rsidRPr="00222258">
        <w:rPr>
          <w:lang w:val="ru-RU"/>
        </w:rPr>
        <w:t>– постоянными представителями Сальвадора и Эстонии при Организации Объединенных Наций в Нью-Йорке</w:t>
      </w:r>
      <w:r w:rsidR="00F66EDD">
        <w:rPr>
          <w:lang w:val="ru-RU"/>
        </w:rPr>
        <w:t> </w:t>
      </w:r>
      <w:r w:rsidRPr="00222258">
        <w:rPr>
          <w:lang w:val="ru-RU"/>
        </w:rPr>
        <w:t xml:space="preserve">– и при поддержке КГС и ODET. Генеральный секретарь ООН направил пригласительные письма государствам-членам; приглашения другим заинтересованным сторонам будут размещены на </w:t>
      </w:r>
      <w:hyperlink r:id="rId81" w:history="1">
        <w:r w:rsidRPr="00222258">
          <w:rPr>
            <w:rStyle w:val="Hyperlink"/>
            <w:lang w:val="ru-RU"/>
          </w:rPr>
          <w:t>веб-сайте Глобального диалога</w:t>
        </w:r>
      </w:hyperlink>
      <w:r w:rsidRPr="00222258">
        <w:rPr>
          <w:lang w:val="ru-RU"/>
        </w:rPr>
        <w:t>.</w:t>
      </w:r>
      <w:hyperlink r:id="rId82"/>
      <w:hyperlink r:id="rId83"/>
    </w:p>
    <w:p w14:paraId="5F5C214E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Опубликована </w:t>
      </w:r>
      <w:hyperlink r:id="rId84" w:history="1">
        <w:r w:rsidRPr="00222258">
          <w:rPr>
            <w:rStyle w:val="Hyperlink"/>
            <w:lang w:val="ru-RU"/>
          </w:rPr>
          <w:t>дорожная карта</w:t>
        </w:r>
      </w:hyperlink>
      <w:r w:rsidRPr="00222258">
        <w:rPr>
          <w:lang w:val="ru-RU"/>
        </w:rPr>
        <w:t xml:space="preserve">, в которой изложен порядок консультаций с государствами-членами и всеми соответствующими заинтересованными сторонами для уточнения тематики, структуры и программы Диалога. Консультации уже проводятся, включая встречи (как очные, так и виртуальные) с государствами-членами, Консультации заинтересованных сторон с широким кругом разнообразных участников, которые организуются как в рамках Индийского саммита по воздействию ИИ, так и в виртуальном формате, а также консультации в рамках всей ООН с привлечением IAWG-AI. В ближайшие месяцы планируется провести несколько дополнительных консультаций. В рамках этих мероприятий сопредседатели посетят Женеву в апреле для продолжения взаимодействия с ключевыми заинтересованными сторонами, включая постоянные представительства, международные организации и более широкое сообщество заинтересованных сторон, базирующихся в Женеве. Создан </w:t>
      </w:r>
      <w:hyperlink r:id="rId85" w:history="1">
        <w:r w:rsidRPr="00222258">
          <w:rPr>
            <w:rStyle w:val="Hyperlink"/>
            <w:lang w:val="ru-RU"/>
          </w:rPr>
          <w:t>специальный онлайновый портал</w:t>
        </w:r>
      </w:hyperlink>
      <w:r w:rsidRPr="00222258">
        <w:rPr>
          <w:lang w:val="ru-RU"/>
        </w:rPr>
        <w:t xml:space="preserve"> для сбора письменных материалов, которые будут использованы в ходе Глобального диалога.</w:t>
      </w:r>
      <w:hyperlink r:id="rId86" w:history="1"/>
      <w:hyperlink r:id="rId87" w:history="1"/>
    </w:p>
    <w:p w14:paraId="6C76A884" w14:textId="587943A6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МСЭ, входящий в состав совместного секретариата </w:t>
      </w:r>
      <w:hyperlink r:id="rId88" w:history="1">
        <w:r w:rsidRPr="00222258">
          <w:rPr>
            <w:rStyle w:val="Hyperlink"/>
            <w:lang w:val="ru-RU"/>
          </w:rPr>
          <w:t>Международной научной группы по ИИ</w:t>
        </w:r>
      </w:hyperlink>
      <w:r w:rsidRPr="00222258">
        <w:rPr>
          <w:lang w:val="ru-RU"/>
        </w:rPr>
        <w:t xml:space="preserve">, деятельно участвовал в ее создании, в том числе играл активную роль в процессе отбора и использовал возможности IAWG-AI для общесистемной координации. МСЭ тесно сотрудничает с ODET и ЮНЕСКО в целях налаживания работы Группы. В первом собрании Группы, состоявшемся 3 марта в виртуальном формате, приняли участие Генеральный секретарь ООН и руководители структур, входящих в совместный секретариат. В настоящее время идет </w:t>
      </w:r>
      <w:r w:rsidRPr="00222258">
        <w:rPr>
          <w:lang w:val="ru-RU"/>
        </w:rPr>
        <w:lastRenderedPageBreak/>
        <w:t>подготовка к первому очному собранию, которое планируется провести в Мадриде 22</w:t>
      </w:r>
      <w:r w:rsidR="00F66EDD">
        <w:rPr>
          <w:lang w:val="ru-RU"/>
        </w:rPr>
        <w:t>−</w:t>
      </w:r>
      <w:r w:rsidRPr="00222258">
        <w:rPr>
          <w:lang w:val="ru-RU"/>
        </w:rPr>
        <w:t>24</w:t>
      </w:r>
      <w:r w:rsidR="00F66EDD">
        <w:rPr>
          <w:lang w:val="ru-RU"/>
        </w:rPr>
        <w:t> </w:t>
      </w:r>
      <w:r w:rsidRPr="00222258">
        <w:rPr>
          <w:lang w:val="ru-RU"/>
        </w:rPr>
        <w:t>апреля. Объединенный секретариат в тесном сотрудничестве с сопредседателями Группы работает над учреждением тематических рабочих групп и другими важными составляющими. Как ожидается, первый ежегодный отчет Группы будет представлен в ходе Глобального диалога по вопросам управления ИИ.</w:t>
      </w:r>
      <w:hyperlink r:id="rId89" w:history="1"/>
    </w:p>
    <w:p w14:paraId="1F2BC179" w14:textId="77777777" w:rsidR="00222258" w:rsidRPr="00222258" w:rsidRDefault="00222258" w:rsidP="00F537B2">
      <w:pPr>
        <w:pStyle w:val="Headingb"/>
      </w:pPr>
      <w:r w:rsidRPr="00222258">
        <w:t>Межучрежденческая рабочая группа по ИИ</w:t>
      </w:r>
    </w:p>
    <w:p w14:paraId="6CA9F9A0" w14:textId="65568250" w:rsidR="00222258" w:rsidRPr="00222258" w:rsidRDefault="00222258" w:rsidP="00F537B2">
      <w:pPr>
        <w:jc w:val="both"/>
        <w:rPr>
          <w:lang w:val="ru-RU"/>
        </w:rPr>
      </w:pPr>
      <w:hyperlink r:id="rId90" w:history="1">
        <w:r w:rsidRPr="00222258">
          <w:rPr>
            <w:rStyle w:val="Hyperlink"/>
            <w:lang w:val="ru-RU"/>
          </w:rPr>
          <w:t>Межучрежденческая рабочая группа по ИИ</w:t>
        </w:r>
      </w:hyperlink>
      <w:r w:rsidRPr="00222258">
        <w:rPr>
          <w:lang w:val="ru-RU"/>
        </w:rPr>
        <w:t xml:space="preserve"> (IAWG-AI), изначально созданная Комитетом высокого уровня по программам, сопредседателями которой являются МСЭ и ЮНЕСКО, координирует деятельность более чем 60 учреждений ООН. За эти годы IAWG-AI разработала ряд ресурсов, в том числе </w:t>
      </w:r>
      <w:hyperlink r:id="rId91" w:tgtFrame="_blank" w:history="1">
        <w:r w:rsidRPr="00222258">
          <w:rPr>
            <w:rStyle w:val="Hyperlink"/>
            <w:lang w:val="ru-RU"/>
          </w:rPr>
          <w:t>Общесистемные этические принципы ООН в отношении ИИ</w:t>
        </w:r>
      </w:hyperlink>
      <w:r w:rsidRPr="00222258">
        <w:rPr>
          <w:lang w:val="ru-RU"/>
        </w:rPr>
        <w:t xml:space="preserve">, </w:t>
      </w:r>
      <w:hyperlink r:id="rId92" w:history="1">
        <w:r w:rsidRPr="00222258">
          <w:rPr>
            <w:rStyle w:val="Hyperlink"/>
            <w:lang w:val="ru-RU"/>
          </w:rPr>
          <w:t>Аналитический доклад системы ООН по управлению ИИ</w:t>
        </w:r>
      </w:hyperlink>
      <w:r w:rsidRPr="00222258">
        <w:rPr>
          <w:lang w:val="ru-RU"/>
        </w:rPr>
        <w:t xml:space="preserve"> и </w:t>
      </w:r>
      <w:hyperlink r:id="rId93" w:history="1">
        <w:r w:rsidRPr="00222258">
          <w:rPr>
            <w:rStyle w:val="Hyperlink"/>
            <w:lang w:val="ru-RU"/>
          </w:rPr>
          <w:t>Центр информационных ресурсов ООН по ИИ</w:t>
        </w:r>
      </w:hyperlink>
      <w:r w:rsidRPr="00222258">
        <w:rPr>
          <w:lang w:val="ru-RU"/>
        </w:rPr>
        <w:t>. Работа IAWG-AI отмечается государствами-членами в резолюциях (например, в Резолюции</w:t>
      </w:r>
      <w:r w:rsidR="004D1219">
        <w:rPr>
          <w:lang w:val="ru-RU"/>
        </w:rPr>
        <w:t> </w:t>
      </w:r>
      <w:r w:rsidRPr="00222258">
        <w:rPr>
          <w:lang w:val="ru-RU"/>
        </w:rPr>
        <w:t>101 (Нью-Дели, 2024 г.) ВАСЭ МСЭ, резолюции 220 ЮНЕСКО (ранее</w:t>
      </w:r>
      <w:r w:rsidR="00F66EDD">
        <w:rPr>
          <w:lang w:val="ru-RU"/>
        </w:rPr>
        <w:t> −</w:t>
      </w:r>
      <w:r w:rsidRPr="00222258">
        <w:rPr>
          <w:lang w:val="ru-RU"/>
        </w:rPr>
        <w:t xml:space="preserve"> Решение</w:t>
      </w:r>
      <w:r w:rsidR="00F66EDD">
        <w:rPr>
          <w:lang w:val="ru-RU"/>
        </w:rPr>
        <w:t> </w:t>
      </w:r>
      <w:r w:rsidRPr="00222258">
        <w:rPr>
          <w:lang w:val="ru-RU"/>
        </w:rPr>
        <w:t>41), Резолюции</w:t>
      </w:r>
      <w:r w:rsidR="004D1219">
        <w:rPr>
          <w:lang w:val="ru-RU"/>
        </w:rPr>
        <w:t> </w:t>
      </w:r>
      <w:r w:rsidRPr="00222258">
        <w:rPr>
          <w:lang w:val="ru-RU"/>
        </w:rPr>
        <w:t xml:space="preserve">91 (Баку, 2025 г.) ВКРЭ МСЭ). В </w:t>
      </w:r>
      <w:hyperlink r:id="rId94" w:history="1">
        <w:r w:rsidRPr="00222258">
          <w:rPr>
            <w:rStyle w:val="Hyperlink"/>
            <w:lang w:val="ru-RU"/>
          </w:rPr>
          <w:t>резолюции ГА ООН об условиях, касающихся ИИ</w:t>
        </w:r>
      </w:hyperlink>
      <w:r w:rsidRPr="00222258">
        <w:rPr>
          <w:lang w:val="ru-RU"/>
        </w:rPr>
        <w:t>, содержится просьба к Генеральному секретарю ООН использовать общесистемный потенциал Организации Объединенных Наций, в том числе потенциал Межучрежденческой рабочей группы по искусственному интеллекту IAWG-AI, для поддержки деятельности Международной научной группы экспертов по ИИ и Глобального диалога по вопросам управления ИИ. В</w:t>
      </w:r>
      <w:r w:rsidR="004D1219">
        <w:rPr>
          <w:lang w:val="ru-RU"/>
        </w:rPr>
        <w:t> </w:t>
      </w:r>
      <w:r w:rsidRPr="00222258">
        <w:rPr>
          <w:lang w:val="ru-RU"/>
        </w:rPr>
        <w:t>резолюции</w:t>
      </w:r>
      <w:r w:rsidR="004D1219">
        <w:rPr>
          <w:lang w:val="ru-RU"/>
        </w:rPr>
        <w:t> </w:t>
      </w:r>
      <w:hyperlink r:id="rId95" w:history="1">
        <w:r w:rsidRPr="00222258">
          <w:rPr>
            <w:rStyle w:val="Hyperlink"/>
            <w:lang w:val="ru-RU"/>
          </w:rPr>
          <w:t>A/RES/80/173</w:t>
        </w:r>
      </w:hyperlink>
      <w:r w:rsidRPr="00222258">
        <w:rPr>
          <w:lang w:val="ru-RU"/>
        </w:rPr>
        <w:t xml:space="preserve"> ГА ООН по обзору ВВУИО+20 IAWG-AI поручено провести сопоставление инициатив ООН по созданию потенциала, а также учредить стипендии и исследовательские программы в области ИИ. IAWG-AI утвердилась как устойчивый институциональный координационный механизм, функции вспомогательного секретариата для которого обеспечиваются МСЭ совместно с ЮНЕСКО. Такое положение позволяет системе ООН далее накапливать специальные знания, фактические данные и наращивать поддержку государств-членов.</w:t>
      </w:r>
      <w:hyperlink r:id="rId96" w:history="1"/>
      <w:hyperlink r:id="rId97" w:tgtFrame="_blank" w:history="1"/>
      <w:hyperlink r:id="rId98" w:history="1"/>
      <w:hyperlink r:id="rId99" w:history="1"/>
      <w:hyperlink r:id="rId100" w:history="1"/>
      <w:hyperlink r:id="rId101" w:history="1"/>
    </w:p>
    <w:p w14:paraId="4FDA5195" w14:textId="77777777" w:rsidR="00222258" w:rsidRPr="00222258" w:rsidRDefault="00222258" w:rsidP="00F537B2">
      <w:pPr>
        <w:pStyle w:val="Headingb"/>
      </w:pPr>
      <w:r w:rsidRPr="00222258">
        <w:t>Другие платформы для созыва мероприятий</w:t>
      </w:r>
    </w:p>
    <w:p w14:paraId="05788EAF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Ежегодный </w:t>
      </w:r>
      <w:hyperlink r:id="rId102" w:history="1">
        <w:r w:rsidRPr="00222258">
          <w:rPr>
            <w:rStyle w:val="Hyperlink"/>
            <w:lang w:val="ru-RU"/>
          </w:rPr>
          <w:t>Форум ВВУИО</w:t>
        </w:r>
      </w:hyperlink>
      <w:r w:rsidRPr="00222258">
        <w:rPr>
          <w:lang w:val="ru-RU"/>
        </w:rPr>
        <w:t xml:space="preserve"> является многосторонней площадкой для рассмотрения вопросов ИИ в контексте развития, а совместное его проведение с Саммитом "ИИ во благо" позволяет сообществам воспользоваться возможностями обеих платформ.</w:t>
      </w:r>
      <w:hyperlink r:id="rId103" w:history="1"/>
    </w:p>
    <w:p w14:paraId="7D0682F9" w14:textId="77777777" w:rsidR="00222258" w:rsidRPr="00F537B2" w:rsidRDefault="00222258" w:rsidP="00F537B2">
      <w:pPr>
        <w:jc w:val="both"/>
        <w:rPr>
          <w:spacing w:val="-2"/>
          <w:lang w:val="ru-RU"/>
        </w:rPr>
      </w:pPr>
      <w:r w:rsidRPr="00F537B2">
        <w:rPr>
          <w:spacing w:val="-2"/>
          <w:lang w:val="ru-RU"/>
        </w:rPr>
        <w:t xml:space="preserve">Совместный </w:t>
      </w:r>
      <w:hyperlink r:id="rId104" w:history="1">
        <w:r w:rsidRPr="00F537B2">
          <w:rPr>
            <w:rStyle w:val="Hyperlink"/>
            <w:spacing w:val="-2"/>
            <w:lang w:val="ru-RU"/>
          </w:rPr>
          <w:t>проект Giga</w:t>
        </w:r>
      </w:hyperlink>
      <w:r w:rsidRPr="00F537B2">
        <w:rPr>
          <w:spacing w:val="-2"/>
          <w:lang w:val="ru-RU"/>
        </w:rPr>
        <w:t xml:space="preserve"> ЮНИСЕФ и МСЭ направлен на стратегическое применение ИИ для расширения возможностей установления соединений в целях подключения к интернету школ по всему миру. В партнерстве с Цифровой </w:t>
      </w:r>
      <w:hyperlink r:id="rId105" w:history="1">
        <w:r w:rsidRPr="00F537B2">
          <w:rPr>
            <w:rStyle w:val="Hyperlink"/>
            <w:spacing w:val="-2"/>
            <w:lang w:val="ru-RU"/>
          </w:rPr>
          <w:t>коалицией "Партнерства для подключения"</w:t>
        </w:r>
      </w:hyperlink>
      <w:r w:rsidRPr="00F537B2">
        <w:rPr>
          <w:spacing w:val="-2"/>
          <w:lang w:val="ru-RU"/>
        </w:rPr>
        <w:t xml:space="preserve"> МСЭ предлагает вносить вклады по вопросам обеспечения доступа и охвата цифровыми технологиями при помощи ИИ. Используя Катализатор инвестиций в цифровую инфраструктуру, МСЭ разрабатывает Руководство по инвестициям в цифровую инфраструктуру и инфраструктуру ИИ.</w:t>
      </w:r>
      <w:hyperlink r:id="rId106" w:history="1"/>
      <w:hyperlink r:id="rId107" w:history="1"/>
    </w:p>
    <w:p w14:paraId="7DDB7B85" w14:textId="77777777" w:rsidR="00222258" w:rsidRPr="00222258" w:rsidRDefault="00222258" w:rsidP="00F537B2">
      <w:pPr>
        <w:pStyle w:val="Heading1"/>
      </w:pPr>
      <w:bookmarkStart w:id="8" w:name="_2._Skills_&amp;"/>
      <w:bookmarkEnd w:id="8"/>
      <w:r w:rsidRPr="00222258">
        <w:t>2</w:t>
      </w:r>
      <w:r w:rsidRPr="00222258">
        <w:tab/>
        <w:t>Навыки и потенциал</w:t>
      </w:r>
    </w:p>
    <w:p w14:paraId="681EA143" w14:textId="77777777" w:rsidR="00222258" w:rsidRPr="00222258" w:rsidRDefault="00222258" w:rsidP="00F537B2">
      <w:pPr>
        <w:pStyle w:val="Headingb"/>
      </w:pPr>
      <w:r w:rsidRPr="00222258">
        <w:t>Коалиция по навыкам в области ИИ</w:t>
      </w:r>
    </w:p>
    <w:p w14:paraId="7A1D8298" w14:textId="5D6B047F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рамках инициативы </w:t>
      </w:r>
      <w:hyperlink r:id="rId108" w:history="1">
        <w:r w:rsidRPr="00222258">
          <w:rPr>
            <w:rStyle w:val="Hyperlink"/>
            <w:lang w:val="ru-RU"/>
          </w:rPr>
          <w:t>"Воздействие ИИ во благо"</w:t>
        </w:r>
      </w:hyperlink>
      <w:r w:rsidRPr="00222258">
        <w:rPr>
          <w:lang w:val="ru-RU"/>
        </w:rPr>
        <w:t xml:space="preserve"> МСЭ способствует распространению эффективных решений в области ИИ и наращивает работу по созданию потенциала, особенно в развивающихся странах. </w:t>
      </w:r>
      <w:hyperlink r:id="rId109" w:history="1">
        <w:r w:rsidRPr="00222258">
          <w:rPr>
            <w:rStyle w:val="Hyperlink"/>
            <w:lang w:val="ru-RU"/>
          </w:rPr>
          <w:t>Коалиция по навыкам "ИИ во благо"</w:t>
        </w:r>
      </w:hyperlink>
      <w:r w:rsidRPr="00222258">
        <w:rPr>
          <w:lang w:val="ru-RU"/>
        </w:rPr>
        <w:t xml:space="preserve"> была создана как преобразующее движение, призванное содействовать расширению прав и возможностей отдельных лиц и сообществ, снабжая их ключевыми специальными знаниями и опытом в области ИИ. В</w:t>
      </w:r>
      <w:r w:rsidR="004D1219">
        <w:rPr>
          <w:lang w:val="ru-RU"/>
        </w:rPr>
        <w:t> </w:t>
      </w:r>
      <w:r w:rsidRPr="00222258">
        <w:rPr>
          <w:lang w:val="ru-RU"/>
        </w:rPr>
        <w:t>партнерстве с Google.org и фондом i.am Angel Foundation, а также в рамках Коалиции по навыкам в области ИИ и Giga МСЭ организует программы профессиональной подготовки для учителей средних школ и учредит школьные клубы по изучению ИИ в Гане, Нигерии, Южно-Африканской Республике, Кении и Кот-д'Ивуаре, чтобы снабдить учащихся в возрасте 10</w:t>
      </w:r>
      <w:r w:rsidR="004D1219">
        <w:rPr>
          <w:lang w:val="ru-RU"/>
        </w:rPr>
        <w:t>−</w:t>
      </w:r>
      <w:r w:rsidRPr="00222258">
        <w:rPr>
          <w:lang w:val="ru-RU"/>
        </w:rPr>
        <w:t>18</w:t>
      </w:r>
      <w:r w:rsidR="004D1219">
        <w:rPr>
          <w:lang w:val="ru-RU"/>
        </w:rPr>
        <w:t> </w:t>
      </w:r>
      <w:r w:rsidRPr="00222258">
        <w:rPr>
          <w:lang w:val="ru-RU"/>
        </w:rPr>
        <w:t xml:space="preserve">лет, особенно девушек и представителей недостаточно обслуживаемых/сельских сообществ, </w:t>
      </w:r>
      <w:r w:rsidRPr="00222258">
        <w:rPr>
          <w:lang w:val="ru-RU"/>
        </w:rPr>
        <w:lastRenderedPageBreak/>
        <w:t>практическими навыками в сфере ИИ и робототехники в соответствии с национальными приоритетами.</w:t>
      </w:r>
      <w:hyperlink r:id="rId110" w:history="1"/>
      <w:hyperlink r:id="rId111" w:history="1"/>
    </w:p>
    <w:p w14:paraId="5927F9B4" w14:textId="77777777" w:rsidR="00222258" w:rsidRPr="00222258" w:rsidRDefault="00222258" w:rsidP="00F537B2">
      <w:pPr>
        <w:pStyle w:val="Headingb"/>
      </w:pPr>
      <w:r w:rsidRPr="00222258">
        <w:t>Тестовая среда МСЭ для "ИИ во благо"</w:t>
      </w:r>
    </w:p>
    <w:p w14:paraId="6DA34B39" w14:textId="65490DCB" w:rsidR="00222258" w:rsidRPr="00F537B2" w:rsidRDefault="00222258" w:rsidP="00F537B2">
      <w:pPr>
        <w:jc w:val="both"/>
        <w:rPr>
          <w:spacing w:val="-2"/>
          <w:lang w:val="ru-RU"/>
        </w:rPr>
      </w:pPr>
      <w:r w:rsidRPr="00F537B2">
        <w:rPr>
          <w:spacing w:val="-2"/>
          <w:lang w:val="ru-RU"/>
        </w:rPr>
        <w:t>Экспериментальная среда МСЭ для "ИИ во благо" представляет собой распределенную платформу, основанную на стандартах, с общим набором ресурсов, таких как вычислительные ресурсы, открытые наборы данных, модели, программное обеспечение с открытым исходным кодом и учебные курсы. Эта платформа облегчает доступ к исследованиям, проведению экспериментов и инновационной деятельности в области ИИ для академических организаций, исследователей, представителей отрасли и новаторов, а также директивных органов. Его цель</w:t>
      </w:r>
      <w:r w:rsidR="004D1219" w:rsidRPr="00F537B2">
        <w:rPr>
          <w:spacing w:val="-2"/>
          <w:lang w:val="ru-RU"/>
        </w:rPr>
        <w:t> −</w:t>
      </w:r>
      <w:r w:rsidRPr="00F537B2">
        <w:rPr>
          <w:spacing w:val="-2"/>
          <w:lang w:val="ru-RU"/>
        </w:rPr>
        <w:t xml:space="preserve"> предоставить пользователям возможность разрабатывать, проверять и распространять передовой опыт, полученные знания и решения в области ИИ, соответствующие стандартам МСЭ-Т.</w:t>
      </w:r>
    </w:p>
    <w:p w14:paraId="2C89CBEF" w14:textId="77777777" w:rsidR="00222258" w:rsidRPr="00222258" w:rsidRDefault="00222258" w:rsidP="00F537B2">
      <w:pPr>
        <w:pStyle w:val="Headingb"/>
      </w:pPr>
      <w:r w:rsidRPr="00222258">
        <w:t>Готовность МСЭ к внедрению ИИ</w:t>
      </w:r>
    </w:p>
    <w:p w14:paraId="3D615DFA" w14:textId="13829351" w:rsidR="00222258" w:rsidRPr="00222258" w:rsidRDefault="00222258" w:rsidP="00F537B2">
      <w:pPr>
        <w:jc w:val="both"/>
        <w:rPr>
          <w:lang w:val="ru-RU"/>
        </w:rPr>
      </w:pPr>
      <w:hyperlink r:id="rId112" w:history="1">
        <w:r w:rsidRPr="00222258">
          <w:rPr>
            <w:rStyle w:val="Hyperlink"/>
            <w:lang w:val="ru-RU"/>
          </w:rPr>
          <w:t>"Готовность МСЭ к внедрению ИИ"</w:t>
        </w:r>
      </w:hyperlink>
      <w:r w:rsidRPr="00222258">
        <w:rPr>
          <w:lang w:val="ru-RU"/>
        </w:rPr>
        <w:t xml:space="preserve"> </w:t>
      </w:r>
      <w:r w:rsidRPr="004D1219">
        <w:rPr>
          <w:lang w:val="ru-RU"/>
        </w:rPr>
        <w:t>представляет собой комплект материалов для создания потенциала, призванный укрепить предпосылки для успешного развертывания во всех вертикальных отраслях ИИ и направлять его практическое внедрение. Созданная МСЭ Структура готовности к внедрению ИИ является одним из важнейших инструментов для оценки интеграции ИИ в различные отрасли; в ней предлагаются практические руководящие указания по ключевым факторам повышения готовности к внедрению ИИ.</w:t>
      </w:r>
    </w:p>
    <w:p w14:paraId="5B5F049A" w14:textId="77777777" w:rsidR="00222258" w:rsidRPr="00222258" w:rsidRDefault="00222258" w:rsidP="00F537B2">
      <w:pPr>
        <w:pStyle w:val="Headingb"/>
      </w:pPr>
      <w:r w:rsidRPr="00222258">
        <w:t>Конкурсы в области ИИ/МО</w:t>
      </w:r>
    </w:p>
    <w:p w14:paraId="67407E68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>Флагманская платформа для взаимодействия, на которой тысячи студентов и специалистов проектируют и тестируют модели ИИ для реальных сценариев использования, включая сети связи и геопространственный ИИ. Конкурсы призваны служить укреплению технического потенциала и способствовать разработке стандартов МСЭ.</w:t>
      </w:r>
    </w:p>
    <w:p w14:paraId="303E3C4A" w14:textId="77777777" w:rsidR="00222258" w:rsidRPr="00222258" w:rsidRDefault="00222258" w:rsidP="00F537B2">
      <w:pPr>
        <w:pStyle w:val="Headingb"/>
      </w:pPr>
      <w:r w:rsidRPr="00222258">
        <w:t>Курсы Академии МСЭ по ИИ</w:t>
      </w:r>
    </w:p>
    <w:p w14:paraId="5E9BBAEC" w14:textId="1F4ED268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разработке национальных стратегий по устранению пробелов в области ИИ и цифровых навыков помогает </w:t>
      </w:r>
      <w:hyperlink r:id="rId113" w:history="1">
        <w:r w:rsidRPr="00222258">
          <w:rPr>
            <w:rStyle w:val="Hyperlink"/>
            <w:lang w:val="ru-RU"/>
          </w:rPr>
          <w:t>Комплект материалов МСЭ по цифровым навыкам</w:t>
        </w:r>
      </w:hyperlink>
      <w:r w:rsidRPr="00222258">
        <w:rPr>
          <w:lang w:val="ru-RU"/>
        </w:rPr>
        <w:t xml:space="preserve">. За последний год на базе </w:t>
      </w:r>
      <w:hyperlink r:id="rId114" w:history="1">
        <w:r w:rsidRPr="00222258">
          <w:rPr>
            <w:rStyle w:val="Hyperlink"/>
            <w:lang w:val="ru-RU"/>
          </w:rPr>
          <w:t>Академии МСЭ</w:t>
        </w:r>
      </w:hyperlink>
      <w:r w:rsidRPr="00222258">
        <w:rPr>
          <w:lang w:val="ru-RU"/>
        </w:rPr>
        <w:t xml:space="preserve"> было организовано множество курсов, посвященных ИИ. В рамках проекта "Развитие потенциала для цифровой трансформации" в октябре 2025 года в Женеве стартовал учебный курс по </w:t>
      </w:r>
      <w:hyperlink r:id="rId115" w:history="1">
        <w:r w:rsidRPr="00222258">
          <w:rPr>
            <w:rStyle w:val="Hyperlink"/>
            <w:lang w:val="ru-RU"/>
          </w:rPr>
          <w:t>практическим методам управления использованием ИИ</w:t>
        </w:r>
      </w:hyperlink>
      <w:r w:rsidRPr="00222258">
        <w:rPr>
          <w:lang w:val="ru-RU"/>
        </w:rPr>
        <w:t xml:space="preserve"> (для участников из 33</w:t>
      </w:r>
      <w:r w:rsidR="004D1219">
        <w:rPr>
          <w:lang w:val="ru-RU"/>
        </w:rPr>
        <w:t> </w:t>
      </w:r>
      <w:r w:rsidRPr="00222258">
        <w:rPr>
          <w:lang w:val="ru-RU"/>
        </w:rPr>
        <w:t xml:space="preserve">стран); курс был проведен в </w:t>
      </w:r>
      <w:hyperlink r:id="rId116">
        <w:r w:rsidRPr="00222258">
          <w:rPr>
            <w:rStyle w:val="Hyperlink"/>
            <w:lang w:val="ru-RU"/>
          </w:rPr>
          <w:t>Азиатско-Тихоокеанском регионе</w:t>
        </w:r>
      </w:hyperlink>
      <w:r w:rsidRPr="00222258">
        <w:rPr>
          <w:lang w:val="ru-RU"/>
        </w:rPr>
        <w:t xml:space="preserve">, </w:t>
      </w:r>
      <w:hyperlink r:id="rId117" w:history="1">
        <w:r w:rsidRPr="00222258">
          <w:rPr>
            <w:rStyle w:val="Hyperlink"/>
            <w:lang w:val="ru-RU"/>
          </w:rPr>
          <w:t>Африке</w:t>
        </w:r>
      </w:hyperlink>
      <w:r w:rsidRPr="00222258">
        <w:rPr>
          <w:lang w:val="ru-RU"/>
        </w:rPr>
        <w:t xml:space="preserve"> и </w:t>
      </w:r>
      <w:hyperlink r:id="rId118" w:history="1">
        <w:r w:rsidRPr="00222258">
          <w:rPr>
            <w:rStyle w:val="Hyperlink"/>
            <w:lang w:val="ru-RU"/>
          </w:rPr>
          <w:t>Северной и Южной Америке</w:t>
        </w:r>
      </w:hyperlink>
      <w:r w:rsidRPr="00222258">
        <w:rPr>
          <w:lang w:val="ru-RU"/>
        </w:rPr>
        <w:t xml:space="preserve">; в 2026 году планируется проведение следующих серий курса в Европе и Азиатско-Тихоокеанском регионе. Курс охватывает ключевые понятия, вопросы этики, кибербезопасности и правовые рамки в сфере ИИ, а также позволяет слушателям </w:t>
      </w:r>
      <w:r w:rsidR="004D1219" w:rsidRPr="00222258">
        <w:rPr>
          <w:lang w:val="ru-RU"/>
        </w:rPr>
        <w:t>поучаствовать</w:t>
      </w:r>
      <w:r w:rsidRPr="00222258">
        <w:rPr>
          <w:lang w:val="ru-RU"/>
        </w:rPr>
        <w:t xml:space="preserve"> в совместной разработке пятилетних планов в области управления использованием ИИ. В настоящее время ведется подготовка версии для электронного обучения. Дополнительные курсы охватывают такие темы как "Цифровая интеллектуальная конвергенция и безопасность", "ИИ на практике", "IoT, большие данные и ИИ", "Составление запросов для управления электросвязью" и "Будущее фиксированного и подвижного широкополосного интернета, облачных вычислений и IoT/ИИ". В рамках инициативы </w:t>
      </w:r>
      <w:hyperlink r:id="rId119" w:history="1">
        <w:r w:rsidRPr="00222258">
          <w:rPr>
            <w:rStyle w:val="Hyperlink"/>
            <w:lang w:val="ru-RU"/>
          </w:rPr>
          <w:t>"Центры цифровой трансформации"</w:t>
        </w:r>
      </w:hyperlink>
      <w:r w:rsidRPr="00222258">
        <w:rPr>
          <w:lang w:val="ru-RU"/>
        </w:rPr>
        <w:t xml:space="preserve"> при поддержке партнеров представители сельских и недостаточно обслуживаемых сообществ получают возможность пройти базовую подготовку в области ИИ.</w:t>
      </w:r>
      <w:hyperlink r:id="rId120" w:history="1"/>
      <w:hyperlink r:id="rId121"/>
      <w:hyperlink r:id="rId122"/>
      <w:hyperlink r:id="rId123"/>
      <w:hyperlink r:id="rId124"/>
      <w:hyperlink r:id="rId125"/>
      <w:hyperlink r:id="rId126" w:history="1"/>
    </w:p>
    <w:p w14:paraId="175ED9FC" w14:textId="77777777" w:rsidR="00222258" w:rsidRPr="00222258" w:rsidRDefault="00222258" w:rsidP="00F537B2">
      <w:pPr>
        <w:pStyle w:val="Headingb"/>
      </w:pPr>
      <w:r w:rsidRPr="00222258">
        <w:t>Инициативы по созданию потенциала в области ИИ</w:t>
      </w:r>
    </w:p>
    <w:p w14:paraId="2CDD61C1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2025 году МСЭ создал </w:t>
      </w:r>
      <w:hyperlink r:id="rId127" w:history="1">
        <w:r w:rsidRPr="00222258">
          <w:rPr>
            <w:rStyle w:val="Hyperlink"/>
            <w:lang w:val="ru-RU"/>
          </w:rPr>
          <w:t>Сообщество молодых лидеров в области ИИ</w:t>
        </w:r>
      </w:hyperlink>
      <w:r w:rsidRPr="00222258">
        <w:rPr>
          <w:lang w:val="ru-RU"/>
        </w:rPr>
        <w:t xml:space="preserve">, призванное объединить специалистов в возрасте от 18 до 30 лет. Сообщество учредило более 100 центров в 50 странах и насчитывает более 650 членов; оно способствует развитию навыков, создает платформы и оказывает поддержку разработке эффективных проектов в области ИИ на местном и глобальном </w:t>
      </w:r>
      <w:r w:rsidRPr="00222258">
        <w:rPr>
          <w:lang w:val="ru-RU"/>
        </w:rPr>
        <w:lastRenderedPageBreak/>
        <w:t xml:space="preserve">уровнях. Девушки и женщины в рамках проекта </w:t>
      </w:r>
      <w:hyperlink r:id="rId128" w:history="1">
        <w:r w:rsidRPr="00222258">
          <w:rPr>
            <w:rStyle w:val="Hyperlink"/>
            <w:lang w:val="ru-RU"/>
          </w:rPr>
          <w:t>"Ускорение развития навыков в области ИИ для девушек"</w:t>
        </w:r>
      </w:hyperlink>
      <w:r w:rsidRPr="00222258">
        <w:rPr>
          <w:lang w:val="ru-RU"/>
        </w:rPr>
        <w:t xml:space="preserve"> приобретают цифровые, этические и управленческие навыки, которые позволят им стать создателями контента и стимулируют творческую деятельность и инновации. Региональное отделение МСЭ для Азиатско-Тихоокеанского региона организовало </w:t>
      </w:r>
      <w:hyperlink r:id="rId129" w:history="1">
        <w:r w:rsidRPr="00222258">
          <w:rPr>
            <w:rStyle w:val="Hyperlink"/>
            <w:lang w:val="ru-RU"/>
          </w:rPr>
          <w:t>серию вебинаров по ИИ для стран Юго-Восточной Азии</w:t>
        </w:r>
      </w:hyperlink>
      <w:r w:rsidRPr="00222258">
        <w:rPr>
          <w:lang w:val="ru-RU"/>
        </w:rPr>
        <w:t xml:space="preserve">, что позволило обменяться информацией и укрепить потенциал в сфере стандартов, политики, базовых принципов и инициатив в области ИИ, учитывающих гендерные аспекты и обеспечивающих социальную инклюзивность. В рамках проекта </w:t>
      </w:r>
      <w:hyperlink r:id="rId130">
        <w:r w:rsidRPr="00222258">
          <w:rPr>
            <w:rStyle w:val="Hyperlink"/>
            <w:lang w:val="ru-RU"/>
          </w:rPr>
          <w:t>"Создание потенциала в области технологий и стандартов ИИ в Азиатско-Тихоокеанском регионе"</w:t>
        </w:r>
      </w:hyperlink>
      <w:r w:rsidRPr="00222258">
        <w:rPr>
          <w:lang w:val="ru-RU"/>
        </w:rPr>
        <w:t xml:space="preserve"> (осуществляется при финансировании Японии в сотрудничестве между МСЭ-D и МСЭ-T) в 2025 году в Индии, Малайзии, Бутане и Камбодже были проведены субрегиональные и национальные семинары-практикумы, в ходе которых обучение прошли 253 участника из 16 Государств-Членов; кроме того, была проведена оценка текущих и будущих потребностей для создания потенциала.</w:t>
      </w:r>
      <w:hyperlink r:id="rId131"/>
      <w:hyperlink r:id="rId132" w:history="1"/>
      <w:hyperlink r:id="rId133" w:history="1"/>
      <w:hyperlink r:id="rId134"/>
    </w:p>
    <w:p w14:paraId="43FBEE59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>В рамках совместного с Южной Кореей проекта "Помощь в поощрении использования инновационных технологий для построения общества, обеспечивающего всеобщее цифровое процветание" МСЭ содействует эффективному использованию ИИ и появляющихся технологий для развития цифровой инфраструктуры путем создания потенциала и обмена знаниями на региональном уровне. Одновременно совместно с ФАО реализуется проект на основе ИИ с открытым исходным кодом "Сельскохозяйственная консультативная служба для малых фермерских хозяйств в Лесото", в рамках которого мелким фермерам в Лесото предоставляется консультативная помощь по вопросам сельского хозяйства с применением ИИ с открытым исходным кодом, что демонстрирует возможности оказания цифровых услуг с поддержкой ИИ с потенциалом тиражирования.</w:t>
      </w:r>
    </w:p>
    <w:p w14:paraId="32F39FE1" w14:textId="0AF3413A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целях содействия выполнению Резолюции 91 ВКРЭ основное внимание в программах уделяется использованию ИИ для совершенствования основанного на фактических данных планирования, развертывания и обеспечения приемлемости в ценовом отношении цифровой инфраструктуры (например, анализ возможности установления соединений на основе данных, инструменты МО и открытые, функционально совместимые цифровые решения для государственных услуг), а также </w:t>
      </w:r>
      <w:hyperlink r:id="rId135" w:history="1">
        <w:r w:rsidRPr="00222258">
          <w:rPr>
            <w:rStyle w:val="Hyperlink"/>
            <w:lang w:val="ru-RU"/>
          </w:rPr>
          <w:t>созданию потенциала</w:t>
        </w:r>
      </w:hyperlink>
      <w:r w:rsidRPr="00222258">
        <w:rPr>
          <w:lang w:val="ru-RU"/>
        </w:rPr>
        <w:t xml:space="preserve"> в рамках Академии МСЭ. Это предполагает создание чат-бота с генерацией, дополненной результатами поиска (RAG), который обеспечивает интерактивный доступ к тщательно отобранным материалам по ИКТ</w:t>
      </w:r>
      <w:r w:rsidR="00DD6515">
        <w:rPr>
          <w:lang w:val="ru-RU"/>
        </w:rPr>
        <w:noBreakHyphen/>
      </w:r>
      <w:r w:rsidRPr="00222258">
        <w:rPr>
          <w:lang w:val="ru-RU"/>
        </w:rPr>
        <w:t>инфраструктуре МСЭ для содействия принятию решений на основе данных.</w:t>
      </w:r>
      <w:hyperlink r:id="rId136" w:history="1"/>
    </w:p>
    <w:p w14:paraId="47494285" w14:textId="77777777" w:rsidR="00222258" w:rsidRPr="00222258" w:rsidRDefault="00222258" w:rsidP="00F537B2">
      <w:pPr>
        <w:pStyle w:val="Headingb"/>
      </w:pPr>
      <w:r w:rsidRPr="00222258">
        <w:t>Создание в МСЭ внутреннего потенциала в области ИИ</w:t>
      </w:r>
    </w:p>
    <w:p w14:paraId="6089C29A" w14:textId="4DEDE734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Внедрение ИИ является одним из ключевых элементов повестки дня МСЭ в области цифровой трансформации. МСЭ создал внутренний </w:t>
      </w:r>
      <w:hyperlink r:id="rId137" w:history="1">
        <w:r w:rsidRPr="00222258">
          <w:rPr>
            <w:rStyle w:val="Hyperlink"/>
            <w:lang w:val="ru-RU"/>
          </w:rPr>
          <w:t>центр ресурсов по ИИ</w:t>
        </w:r>
      </w:hyperlink>
      <w:r w:rsidRPr="00222258">
        <w:rPr>
          <w:lang w:val="ru-RU"/>
        </w:rPr>
        <w:t xml:space="preserve"> для сотрудников и издал внутренние </w:t>
      </w:r>
      <w:hyperlink r:id="rId138" w:history="1">
        <w:r w:rsidRPr="00222258">
          <w:rPr>
            <w:rStyle w:val="Hyperlink"/>
            <w:lang w:val="ru-RU"/>
          </w:rPr>
          <w:t>руководящие указания по ответственному использованию генеративного ИИ</w:t>
        </w:r>
      </w:hyperlink>
      <w:r w:rsidRPr="00222258">
        <w:rPr>
          <w:lang w:val="ru-RU"/>
        </w:rPr>
        <w:t>. В</w:t>
      </w:r>
      <w:r w:rsidR="00DD6515">
        <w:rPr>
          <w:lang w:val="ru-RU"/>
        </w:rPr>
        <w:t> </w:t>
      </w:r>
      <w:r w:rsidRPr="00222258">
        <w:rPr>
          <w:lang w:val="ru-RU"/>
        </w:rPr>
        <w:t>рамках инициатив "Учебные лаборатории" и "Раскрытие тайн цифровых технологий" проводятся регулярные учебные сессии для сотрудников и представителей дипломатических миссий.</w:t>
      </w:r>
      <w:hyperlink r:id="rId139" w:history="1"/>
      <w:hyperlink r:id="rId140" w:history="1"/>
    </w:p>
    <w:p w14:paraId="1FFB896E" w14:textId="77777777" w:rsidR="00222258" w:rsidRPr="00222258" w:rsidRDefault="00222258" w:rsidP="00F537B2">
      <w:pPr>
        <w:pStyle w:val="Heading1"/>
      </w:pPr>
      <w:bookmarkStart w:id="9" w:name="_3._Standards_&amp;"/>
      <w:bookmarkEnd w:id="9"/>
      <w:r w:rsidRPr="00222258">
        <w:t>3</w:t>
      </w:r>
      <w:r w:rsidRPr="00222258">
        <w:tab/>
        <w:t>Стандарты и политика</w:t>
      </w:r>
    </w:p>
    <w:p w14:paraId="0FD401A1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МСЭ находятся в стадии подготовки либо уже опубликованы более 470 стандартов в области ИИ и связанных с ним изданий; данная работа ведется при активном участии широкого круга членов и подкрепляется сотрудничеством с ИСО и МЭК в рамках </w:t>
      </w:r>
      <w:hyperlink r:id="rId141" w:history="1">
        <w:r w:rsidRPr="00222258">
          <w:rPr>
            <w:rStyle w:val="Hyperlink"/>
            <w:lang w:val="ru-RU"/>
          </w:rPr>
          <w:t>Всемирного сотрудничества по стандартам</w:t>
        </w:r>
      </w:hyperlink>
      <w:r w:rsidRPr="00222258">
        <w:rPr>
          <w:lang w:val="ru-RU"/>
        </w:rPr>
        <w:t xml:space="preserve"> (ВСС).</w:t>
      </w:r>
      <w:hyperlink r:id="rId142" w:history="1"/>
    </w:p>
    <w:p w14:paraId="534F2799" w14:textId="77777777" w:rsidR="00222258" w:rsidRPr="00222258" w:rsidRDefault="00222258" w:rsidP="00F537B2">
      <w:pPr>
        <w:pStyle w:val="Headingb"/>
      </w:pPr>
      <w:r w:rsidRPr="00222258">
        <w:t>Деятельность исследовательских комиссий в области ИИ</w:t>
      </w:r>
    </w:p>
    <w:p w14:paraId="1EAEF592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Деятельность исследовательских комиссий (ИК) МСЭ-Т в области ИИ включает: работу ИК2 по усовершенствованию использования ИИ, в том числе разработка комплекта материалов ML5G </w:t>
      </w:r>
      <w:r w:rsidRPr="00222258">
        <w:rPr>
          <w:lang w:val="ru-RU"/>
        </w:rPr>
        <w:lastRenderedPageBreak/>
        <w:t xml:space="preserve">по интеграции ИИ/МО в технологии 5G и будущие сети и комплекта материалов AITOM по эксплуатации сетей и управлению сетями с использованием ИИ; </w:t>
      </w:r>
      <w:hyperlink r:id="rId143" w:history="1">
        <w:r w:rsidRPr="00222258">
          <w:rPr>
            <w:rStyle w:val="Hyperlink"/>
            <w:lang w:val="ru-RU"/>
          </w:rPr>
          <w:t>нового стандарта</w:t>
        </w:r>
      </w:hyperlink>
      <w:r w:rsidRPr="00222258">
        <w:rPr>
          <w:lang w:val="ru-RU"/>
        </w:rPr>
        <w:t xml:space="preserve"> ИК5 для оценки воздействия систем на основе ИИ на окружающую среду; осуществляемая ИК11 стандартизация инструментов на основе ИИ для сигнализации, тестирования и оптимизации сетей, а также нового стандарта по методам и показателям контроля МО/ИИ; работа ИК12 по оценке качества на основе МО, включая руководство по решениям в области МО для прогнозирования QoS/QoE и структуру моделей качества речи на основе МО; обязательства ИК13 по созданию стандартов ИИ/МО для будущих сетей, </w:t>
      </w:r>
      <w:hyperlink r:id="rId144" w:history="1">
        <w:r w:rsidRPr="00222258">
          <w:rPr>
            <w:rStyle w:val="Hyperlink"/>
            <w:lang w:val="ru-RU"/>
          </w:rPr>
          <w:t>включая дорожную карту стандартизации в сфере ИИ</w:t>
        </w:r>
      </w:hyperlink>
      <w:r w:rsidRPr="00222258">
        <w:rPr>
          <w:lang w:val="ru-RU"/>
        </w:rPr>
        <w:t xml:space="preserve"> и работу по обеспечению QoS, распределению нагрузки, взаимодействию между ИИ-агентами, использованию генеративного ИИ в сетях электросвязи и коммуникации между ИИ-агентами, с применением действующей системы опорных показателей для генеративного ИИ в электросвязи, дополненной деятельностью </w:t>
      </w:r>
      <w:hyperlink r:id="rId145" w:history="1">
        <w:r w:rsidRPr="00222258">
          <w:rPr>
            <w:rStyle w:val="Hyperlink"/>
            <w:lang w:val="ru-RU"/>
          </w:rPr>
          <w:t>Оперативной группы по нативному ИИ для сетей электросвязи</w:t>
        </w:r>
      </w:hyperlink>
      <w:r w:rsidRPr="00222258">
        <w:rPr>
          <w:lang w:val="ru-RU"/>
        </w:rPr>
        <w:t xml:space="preserve"> и концепцией "ION-2030" для международных оптических сетей; новая работа ИК17 по стандартизации в области обеспечения безопасности использования ИИ, затрагивающая агентный ИИ, при формирующихся стандартах в отношении угроз безопасности, структур доверия и управления идентификационными данными агентов ИИ; содействие ИК20 построению "умных" устойчивых городов и сообществ с использованием ИИ; и работа ИК21 над мультимедийными приложениями ИИ, включая систему кодирования изображений JPEG на основе обучения ИИ (совместно с ИСО/МЭК), и над новым стандартом по системам воплощенного ИИ, а также над более чем 150 Рекомендациями, связанными с ИИ, и по линии новой </w:t>
      </w:r>
      <w:hyperlink r:id="rId146" w:history="1">
        <w:r w:rsidRPr="00222258">
          <w:rPr>
            <w:rStyle w:val="Hyperlink"/>
            <w:lang w:val="ru-RU"/>
          </w:rPr>
          <w:t>Оперативной группы по воплощенному ИИ</w:t>
        </w:r>
      </w:hyperlink>
      <w:r w:rsidRPr="00222258">
        <w:rPr>
          <w:lang w:val="ru-RU"/>
        </w:rPr>
        <w:t>.</w:t>
      </w:r>
      <w:hyperlink r:id="rId147" w:history="1"/>
      <w:hyperlink r:id="rId148" w:history="1"/>
      <w:hyperlink r:id="rId149" w:history="1"/>
      <w:hyperlink r:id="rId150" w:history="1"/>
    </w:p>
    <w:p w14:paraId="390FA57A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Исследовательские комиссии МСЭ-R включают аспекты ИИ в свои исследования: ИК1 опубликовала отчет по </w:t>
      </w:r>
      <w:hyperlink r:id="rId151" w:history="1">
        <w:r w:rsidRPr="00222258">
          <w:rPr>
            <w:rStyle w:val="Hyperlink"/>
            <w:lang w:val="ru-RU"/>
          </w:rPr>
          <w:t>контролю использования спектра следующего поколения</w:t>
        </w:r>
      </w:hyperlink>
      <w:r w:rsidRPr="00222258">
        <w:rPr>
          <w:lang w:val="ru-RU"/>
        </w:rPr>
        <w:t xml:space="preserve"> с применением ИИ и больших данных для автоматизации контроля за использованием спектра; наработки работающей по переписке группа по </w:t>
      </w:r>
      <w:hyperlink r:id="rId152" w:history="1">
        <w:r w:rsidRPr="00222258">
          <w:rPr>
            <w:rStyle w:val="Hyperlink"/>
            <w:lang w:val="ru-RU"/>
          </w:rPr>
          <w:t>машинному обучению для исследований распространения радиоволн</w:t>
        </w:r>
      </w:hyperlink>
      <w:r w:rsidRPr="00222258">
        <w:rPr>
          <w:lang w:val="ru-RU"/>
        </w:rPr>
        <w:t xml:space="preserve"> призваны направлять разработку приложений для МО для прогнозирования распространения радиоволн; ИК6 работает над вопросами применения ИИ для радиовещания, включая использование генеративного ИИ в рабочих процессах производства программ.</w:t>
      </w:r>
      <w:hyperlink r:id="rId153" w:history="1"/>
      <w:hyperlink r:id="rId154" w:history="1"/>
    </w:p>
    <w:p w14:paraId="284BFF15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Среди инициатив по предварительной стандартизации можно отметить </w:t>
      </w:r>
      <w:hyperlink r:id="rId155" w:history="1">
        <w:r w:rsidRPr="00222258">
          <w:rPr>
            <w:rStyle w:val="Hyperlink"/>
            <w:lang w:val="ru-RU"/>
          </w:rPr>
          <w:t>Глобальную инициативу по ИИ для продовольственных систем</w:t>
        </w:r>
      </w:hyperlink>
      <w:r w:rsidRPr="00222258">
        <w:rPr>
          <w:lang w:val="ru-RU"/>
        </w:rPr>
        <w:t xml:space="preserve">, направленную на повышение производительности, эффективности и глобальной продовольственной безопасности с помощью ИИ; </w:t>
      </w:r>
      <w:hyperlink r:id="rId156" w:history="1">
        <w:r w:rsidRPr="00222258">
          <w:rPr>
            <w:rStyle w:val="Hyperlink"/>
            <w:lang w:val="ru-RU"/>
          </w:rPr>
          <w:t>Глобальную инициативу по обеспечению устойчивости к стихийным бедствиям с помощью решений на основе ИИ</w:t>
        </w:r>
      </w:hyperlink>
      <w:r w:rsidRPr="00222258">
        <w:rPr>
          <w:lang w:val="ru-RU"/>
        </w:rPr>
        <w:t xml:space="preserve">, призванную предоставлять экспертные рекомендации, оказывать поддержку исследованиям и инновациям, а также содействовать разработке стандартов; </w:t>
      </w:r>
      <w:hyperlink r:id="rId157" w:history="1">
        <w:r w:rsidRPr="00222258">
          <w:rPr>
            <w:rStyle w:val="Hyperlink"/>
            <w:lang w:val="ru-RU"/>
          </w:rPr>
          <w:t>Глобальную инициативу по ИИ для здравоохранения</w:t>
        </w:r>
      </w:hyperlink>
      <w:r w:rsidRPr="00222258">
        <w:rPr>
          <w:lang w:val="ru-RU"/>
        </w:rPr>
        <w:t xml:space="preserve">, направленную на продвижение стандартизованных руководящих указаний, активизацию межсекторального сотрудничества и поощрение более широкого участия глобальных сообществ, принадлежащих к сферам здравоохранения и ИИ; и </w:t>
      </w:r>
      <w:hyperlink r:id="rId158" w:history="1">
        <w:r w:rsidRPr="00222258">
          <w:rPr>
            <w:rStyle w:val="Hyperlink"/>
            <w:lang w:val="ru-RU"/>
          </w:rPr>
          <w:t>Глобальную инициативу по виртуальным мирам</w:t>
        </w:r>
      </w:hyperlink>
      <w:r w:rsidRPr="00222258">
        <w:rPr>
          <w:lang w:val="ru-RU"/>
        </w:rPr>
        <w:t xml:space="preserve"> и ИИ в целях формирования будущего, в котором виртуальные миры на основе ИИ будут открытыми для всех, надежными и функционально совместимыми.</w:t>
      </w:r>
      <w:hyperlink r:id="rId159" w:history="1"/>
      <w:hyperlink r:id="rId160" w:history="1"/>
      <w:hyperlink r:id="rId161" w:history="1"/>
      <w:hyperlink r:id="rId162" w:history="1"/>
    </w:p>
    <w:p w14:paraId="0685803B" w14:textId="77777777" w:rsidR="00222258" w:rsidRPr="00222258" w:rsidRDefault="00222258" w:rsidP="00F537B2">
      <w:pPr>
        <w:pStyle w:val="Headingb"/>
      </w:pPr>
      <w:r w:rsidRPr="00222258">
        <w:t>Взаимодействие в рамках ВСС</w:t>
      </w:r>
    </w:p>
    <w:p w14:paraId="4A95025E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Взаимодействие с другими организациями по разработке стандартов в рамках ВСС способствует установлению международных стандартов на основе консенсуса. К числу основных достижений относятся создание </w:t>
      </w:r>
      <w:hyperlink r:id="rId163" w:history="1">
        <w:r w:rsidRPr="00222258">
          <w:rPr>
            <w:rStyle w:val="Hyperlink"/>
            <w:lang w:val="ru-RU"/>
          </w:rPr>
          <w:t>базы данных по обмену стандартами</w:t>
        </w:r>
      </w:hyperlink>
      <w:r w:rsidRPr="00222258">
        <w:rPr>
          <w:lang w:val="ru-RU"/>
        </w:rPr>
        <w:t xml:space="preserve"> в области ИИ, в которой содержится более 800 стандартов и технических публикаций МСЭ, ИСО, МЭК и IEEE, а также выпуск </w:t>
      </w:r>
      <w:hyperlink r:id="rId164" w:history="1">
        <w:r w:rsidRPr="00222258">
          <w:rPr>
            <w:rStyle w:val="Hyperlink"/>
            <w:lang w:val="ru-RU"/>
          </w:rPr>
          <w:t>двух флагманских политических и технических документов</w:t>
        </w:r>
      </w:hyperlink>
      <w:r w:rsidRPr="00222258">
        <w:rPr>
          <w:lang w:val="ru-RU"/>
        </w:rPr>
        <w:t xml:space="preserve"> по стандартам обнаружения дипфейков, которые являются первыми итогами Сотрудничества в области стандартов ИИ и установления аутентичности мультимедиа (AMAS). На полях ВАСЭ в Нью-Дели инаугурационным собранием открылся первый ежегодный </w:t>
      </w:r>
      <w:hyperlink r:id="rId165" w:history="1">
        <w:r w:rsidRPr="00222258">
          <w:rPr>
            <w:rStyle w:val="Hyperlink"/>
            <w:lang w:val="ru-RU"/>
          </w:rPr>
          <w:t>Международный саммит по стандартам ИИ</w:t>
        </w:r>
      </w:hyperlink>
      <w:r w:rsidRPr="00222258">
        <w:rPr>
          <w:lang w:val="ru-RU"/>
        </w:rPr>
        <w:t xml:space="preserve">. На втором саммите в </w:t>
      </w:r>
      <w:r w:rsidRPr="00222258">
        <w:rPr>
          <w:lang w:val="ru-RU"/>
        </w:rPr>
        <w:lastRenderedPageBreak/>
        <w:t xml:space="preserve">декабре 2025 года было принято </w:t>
      </w:r>
      <w:hyperlink r:id="rId166" w:history="1">
        <w:r w:rsidRPr="00222258">
          <w:rPr>
            <w:rStyle w:val="Hyperlink"/>
            <w:lang w:val="ru-RU"/>
          </w:rPr>
          <w:t>Сеульское заявление</w:t>
        </w:r>
      </w:hyperlink>
      <w:r w:rsidRPr="00222258">
        <w:rPr>
          <w:lang w:val="ru-RU"/>
        </w:rPr>
        <w:t xml:space="preserve"> по разработке международных стандартов в области ИИ.</w:t>
      </w:r>
      <w:hyperlink r:id="rId167"/>
      <w:hyperlink r:id="rId168"/>
      <w:hyperlink r:id="rId169" w:history="1"/>
      <w:hyperlink r:id="rId170" w:history="1"/>
    </w:p>
    <w:p w14:paraId="5188AD0F" w14:textId="77777777" w:rsidR="00222258" w:rsidRPr="00222258" w:rsidRDefault="00222258" w:rsidP="00F537B2">
      <w:pPr>
        <w:pStyle w:val="Headingb"/>
      </w:pPr>
      <w:r w:rsidRPr="00222258">
        <w:t>Другая деятельность, касающаяся политики</w:t>
      </w:r>
    </w:p>
    <w:p w14:paraId="0363FB49" w14:textId="2254660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В продолжение работы по итогам Обследования ситуации в области ИИ 2023 года МСЭ в ноябре 2025 года инициировал его </w:t>
      </w:r>
      <w:hyperlink r:id="rId171" w:history="1">
        <w:r w:rsidRPr="00DD6515">
          <w:rPr>
            <w:rStyle w:val="Hyperlink"/>
            <w:lang w:val="ru-RU"/>
          </w:rPr>
          <w:t xml:space="preserve">новую версию </w:t>
        </w:r>
        <w:r w:rsidR="00DD6515" w:rsidRPr="00DD6515">
          <w:rPr>
            <w:rStyle w:val="Hyperlink"/>
            <w:lang w:val="ru-RU"/>
          </w:rPr>
          <w:t>2025 года</w:t>
        </w:r>
      </w:hyperlink>
      <w:r w:rsidR="00DD6515">
        <w:rPr>
          <w:lang w:val="ru-RU"/>
        </w:rPr>
        <w:t xml:space="preserve"> с</w:t>
      </w:r>
      <w:r w:rsidRPr="00222258">
        <w:rPr>
          <w:lang w:val="ru-RU"/>
        </w:rPr>
        <w:t xml:space="preserve"> целью собрать актуальную информацию о национальной политике в области ИИ, возможностях инфраструктуры и потребностях в наращивании потенциала. В настоящее время результаты обследования анализируются; соответствующий отчет будет опубликован в установленном порядке. Этот анализ послужит ценным информационным ресурсом, который поможет направлять деятельность МСЭ по созданию потенциала в области ИИ.</w:t>
      </w:r>
      <w:hyperlink r:id="rId172" w:history="1"/>
    </w:p>
    <w:p w14:paraId="2DABC309" w14:textId="18F5C1D9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На Глобальном симпозиуме для регуляторных органов </w:t>
      </w:r>
      <w:r w:rsidRPr="00DD6515">
        <w:rPr>
          <w:lang w:val="ru-RU"/>
        </w:rPr>
        <w:t>2025 года</w:t>
      </w:r>
      <w:r w:rsidRPr="00222258">
        <w:rPr>
          <w:lang w:val="ru-RU"/>
        </w:rPr>
        <w:t xml:space="preserve"> участники приняли </w:t>
      </w:r>
      <w:hyperlink r:id="rId173" w:anchor="p=1" w:history="1">
        <w:r w:rsidRPr="00222258">
          <w:rPr>
            <w:rStyle w:val="Hyperlink"/>
            <w:lang w:val="ru-RU"/>
          </w:rPr>
          <w:t>Руководящие указания на основе примеров передового опыта</w:t>
        </w:r>
      </w:hyperlink>
      <w:r w:rsidRPr="00222258">
        <w:rPr>
          <w:lang w:val="ru-RU"/>
        </w:rPr>
        <w:t xml:space="preserve"> "Расширение возможностей регуляторных органов как создателей цифровой экосистемы". На </w:t>
      </w:r>
      <w:hyperlink r:id="rId174" w:history="1">
        <w:r w:rsidRPr="00222258">
          <w:rPr>
            <w:rStyle w:val="Hyperlink"/>
            <w:lang w:val="ru-RU"/>
          </w:rPr>
          <w:t>платформе цифрового регулирования</w:t>
        </w:r>
      </w:hyperlink>
      <w:r w:rsidRPr="00222258">
        <w:rPr>
          <w:lang w:val="ru-RU"/>
        </w:rPr>
        <w:t xml:space="preserve"> МСЭ разместил такие ресурсы как </w:t>
      </w:r>
      <w:hyperlink r:id="rId175" w:history="1">
        <w:r w:rsidRPr="00DD6515">
          <w:rPr>
            <w:rStyle w:val="Hyperlink"/>
            <w:lang w:val="ru-RU"/>
          </w:rPr>
          <w:t>"Руководство по ИИ-платформам для сотрудничества"</w:t>
        </w:r>
      </w:hyperlink>
      <w:r w:rsidRPr="00222258">
        <w:rPr>
          <w:lang w:val="ru-RU"/>
        </w:rPr>
        <w:t xml:space="preserve"> и аналитические материалы по </w:t>
      </w:r>
      <w:hyperlink r:id="rId176" w:history="1">
        <w:r w:rsidRPr="00222258">
          <w:rPr>
            <w:rStyle w:val="Hyperlink"/>
            <w:lang w:val="ru-RU"/>
          </w:rPr>
          <w:t>проблемам преобразующих технологий (ИИ) и принципам регулирования этой сферы</w:t>
        </w:r>
      </w:hyperlink>
      <w:r w:rsidRPr="00222258">
        <w:rPr>
          <w:lang w:val="ru-RU"/>
        </w:rPr>
        <w:t>. Для эффективного применения этих ресурсов МСЭ в ближайшее время выпустит практическое руководство по диагностике и внедрению "От анализа готовности к ИИ к реальным действиям", призванное преобразовать данные оценок в планы с конкретными приоритетами. Кроме того, МСЭ поддерживает национальные стратегии в области ИИ и структуры DPI, а также экспериментальные регуляторные площадки для тестирования и пробного запуска инноваций в области ИИ в национальном контексте.</w:t>
      </w:r>
      <w:hyperlink r:id="rId177" w:anchor="p=1" w:history="1"/>
      <w:hyperlink r:id="rId178" w:history="1"/>
      <w:hyperlink r:id="rId179" w:history="1"/>
      <w:hyperlink r:id="rId180" w:history="1"/>
    </w:p>
    <w:p w14:paraId="31660DDB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МСЭ, а также Комитет ООН по правам ребенка и ЮНИСЕФ возглавили работу над </w:t>
      </w:r>
      <w:hyperlink r:id="rId181" w:history="1">
        <w:r w:rsidRPr="00222258">
          <w:rPr>
            <w:rStyle w:val="Hyperlink"/>
            <w:lang w:val="ru-RU"/>
          </w:rPr>
          <w:t>Совместным заявлением по правам ребенка в контексте ИИ</w:t>
        </w:r>
      </w:hyperlink>
      <w:r w:rsidRPr="00222258">
        <w:rPr>
          <w:lang w:val="ru-RU"/>
        </w:rPr>
        <w:t>. В этом заявлении, опубликованном в январе 2026 года при поддержке более чем 60 партнеров, содержатся руководящие указания и рекомендации по обеспечению учета прав детей в течение жизненного цикла ИИ.</w:t>
      </w:r>
      <w:hyperlink r:id="rId182" w:history="1"/>
    </w:p>
    <w:p w14:paraId="332E5F61" w14:textId="77777777" w:rsidR="00222258" w:rsidRPr="00222258" w:rsidRDefault="00222258" w:rsidP="00F537B2">
      <w:pPr>
        <w:pStyle w:val="Headingb"/>
      </w:pPr>
      <w:r w:rsidRPr="00222258">
        <w:t>Заключение</w:t>
      </w:r>
    </w:p>
    <w:p w14:paraId="150DD765" w14:textId="77777777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>В настоящем отчете обширная деятельность МСЭ в области ИИ сгруппирована по трем основным направлениям, наглядно демонстрируя, как МСЭ сопрягает решения на основе ИИ и обмен знаниями, наращивает институциональный и человеческой потенциал и поощряет внедрение надежного, функционально совместимого ИИ при помощи стандартов, мер политики и координации на глобальном уровне. Отмечается растущий интерес к деятельности МСЭ в области политики и создания потенциала, а также к его инициативе "ИИ во благо", что отражает рост признания роли и опыта МСЭ в этой области.</w:t>
      </w:r>
    </w:p>
    <w:p w14:paraId="4F0CF849" w14:textId="495C9C98" w:rsidR="00222258" w:rsidRPr="00222258" w:rsidRDefault="00222258" w:rsidP="00F537B2">
      <w:pPr>
        <w:jc w:val="both"/>
        <w:rPr>
          <w:lang w:val="ru-RU"/>
        </w:rPr>
      </w:pPr>
      <w:r w:rsidRPr="00222258">
        <w:rPr>
          <w:lang w:val="ru-RU"/>
        </w:rPr>
        <w:t xml:space="preserve">По мере того как продолжает расти охват и масштаб этой деятельности, включая инициативу "ИИ во благо", стандарты в области ИИ и первый Глобальный диалог ООН по вопросам управления ИИ, необходимо обеспечивать достаточный уровень ресурсов. В связи с этим Секретариат МСЭ обратился с просьбой о дополнительном финансировании для поддержания и расширения своих инициатив в области ИИ, как указано в Документе </w:t>
      </w:r>
      <w:hyperlink r:id="rId183" w:history="1">
        <w:r w:rsidRPr="00222258">
          <w:rPr>
            <w:rStyle w:val="Hyperlink"/>
            <w:lang w:val="ru-RU"/>
          </w:rPr>
          <w:t>C26/42</w:t>
        </w:r>
      </w:hyperlink>
      <w:r w:rsidRPr="00222258">
        <w:rPr>
          <w:lang w:val="ru-RU"/>
        </w:rPr>
        <w:t xml:space="preserve"> Совета.</w:t>
      </w:r>
      <w:hyperlink r:id="rId184" w:history="1">
        <w:bookmarkStart w:id="10" w:name="_Hlt224814768"/>
        <w:bookmarkStart w:id="11" w:name="_Hlt224814769"/>
        <w:bookmarkEnd w:id="10"/>
        <w:bookmarkEnd w:id="11"/>
      </w:hyperlink>
    </w:p>
    <w:p w14:paraId="16EE3460" w14:textId="77777777" w:rsidR="00796BD3" w:rsidRPr="00222258" w:rsidRDefault="00C462C5" w:rsidP="00222258">
      <w:pPr>
        <w:spacing w:before="720"/>
        <w:jc w:val="center"/>
        <w:rPr>
          <w:lang w:val="ru-RU"/>
        </w:rPr>
      </w:pPr>
      <w:r w:rsidRPr="00222258">
        <w:rPr>
          <w:lang w:val="ru-RU"/>
        </w:rPr>
        <w:t>______________</w:t>
      </w:r>
    </w:p>
    <w:sectPr w:rsidR="00796BD3" w:rsidRPr="00222258" w:rsidSect="00796BD3">
      <w:footerReference w:type="default" r:id="rId185"/>
      <w:headerReference w:type="first" r:id="rId186"/>
      <w:footerReference w:type="first" r:id="rId18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416B" w14:textId="77777777" w:rsidR="00222258" w:rsidRDefault="00222258">
      <w:r>
        <w:separator/>
      </w:r>
    </w:p>
  </w:endnote>
  <w:endnote w:type="continuationSeparator" w:id="0">
    <w:p w14:paraId="50BB94DB" w14:textId="77777777" w:rsidR="00222258" w:rsidRDefault="002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F828B35" w14:textId="77777777" w:rsidTr="00E31DCE">
      <w:trPr>
        <w:jc w:val="center"/>
      </w:trPr>
      <w:tc>
        <w:tcPr>
          <w:tcW w:w="1803" w:type="dxa"/>
          <w:vAlign w:val="center"/>
        </w:tcPr>
        <w:p w14:paraId="56571F15" w14:textId="7CB2D879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</w:t>
          </w:r>
          <w:r w:rsidR="00915EDC">
            <w:rPr>
              <w:noProof/>
            </w:rPr>
            <w:t xml:space="preserve"> </w:t>
          </w:r>
          <w:r w:rsidR="00915EDC" w:rsidRPr="00915EDC">
            <w:rPr>
              <w:noProof/>
            </w:rPr>
            <w:t>2600738</w:t>
          </w:r>
        </w:p>
      </w:tc>
      <w:tc>
        <w:tcPr>
          <w:tcW w:w="8261" w:type="dxa"/>
        </w:tcPr>
        <w:p w14:paraId="675052BA" w14:textId="5010B67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22258">
            <w:rPr>
              <w:bCs/>
              <w:lang w:val="ru-RU"/>
            </w:rPr>
            <w:t>29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E23175E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A165BD6" w14:textId="77777777" w:rsidTr="00E31DCE">
      <w:trPr>
        <w:jc w:val="center"/>
      </w:trPr>
      <w:tc>
        <w:tcPr>
          <w:tcW w:w="1803" w:type="dxa"/>
          <w:vAlign w:val="center"/>
        </w:tcPr>
        <w:p w14:paraId="7599E77B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C523DB7" w14:textId="50D0670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22258">
            <w:rPr>
              <w:bCs/>
              <w:lang w:val="ru-RU"/>
            </w:rPr>
            <w:t>29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6CE101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F75A" w14:textId="77777777" w:rsidR="00222258" w:rsidRDefault="00222258">
      <w:r>
        <w:t>____________________</w:t>
      </w:r>
    </w:p>
  </w:footnote>
  <w:footnote w:type="continuationSeparator" w:id="0">
    <w:p w14:paraId="390603EA" w14:textId="77777777" w:rsidR="00222258" w:rsidRDefault="002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69BD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B575293" wp14:editId="7007B222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58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20E3B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2258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57BF9"/>
    <w:rsid w:val="00465C35"/>
    <w:rsid w:val="004918C4"/>
    <w:rsid w:val="00497703"/>
    <w:rsid w:val="004A0374"/>
    <w:rsid w:val="004A11AC"/>
    <w:rsid w:val="004A45B5"/>
    <w:rsid w:val="004C4C94"/>
    <w:rsid w:val="004D0129"/>
    <w:rsid w:val="004D1219"/>
    <w:rsid w:val="00515795"/>
    <w:rsid w:val="005A64D5"/>
    <w:rsid w:val="005B3DEC"/>
    <w:rsid w:val="00601994"/>
    <w:rsid w:val="00660449"/>
    <w:rsid w:val="00672F8A"/>
    <w:rsid w:val="0067774B"/>
    <w:rsid w:val="006E2D42"/>
    <w:rsid w:val="00703676"/>
    <w:rsid w:val="00707304"/>
    <w:rsid w:val="00732269"/>
    <w:rsid w:val="00762555"/>
    <w:rsid w:val="0077110E"/>
    <w:rsid w:val="00784980"/>
    <w:rsid w:val="00785ABD"/>
    <w:rsid w:val="00785BDF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15ED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DD6515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537B2"/>
    <w:rsid w:val="00F66ED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6D4A6"/>
  <w15:docId w15:val="{73D46A82-7744-4E67-B5E6-38AAAC27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537B2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ademy.itu.int/training-courses/full-catalogue/ai-governance-practice-developing-secure-and-innovative-frameworks-0" TargetMode="External"/><Relationship Id="rId21" Type="http://schemas.openxmlformats.org/officeDocument/2006/relationships/hyperlink" Target="https://aiforgood.itu.int/young-ai-leaders-community/" TargetMode="External"/><Relationship Id="rId42" Type="http://schemas.openxmlformats.org/officeDocument/2006/relationships/hyperlink" Target="https://www.itu.int/dms_pub/itu-t/opb/ai4g/T-AI4G-AI4GOOD-2025-6-PDF-E.pdf" TargetMode="External"/><Relationship Id="rId63" Type="http://schemas.openxmlformats.org/officeDocument/2006/relationships/hyperlink" Target="https://www.itu.int/en/ITU-D/Emergency-Telecommunications/Pages/AI-Sub-Group-EW4All-.aspx" TargetMode="External"/><Relationship Id="rId84" Type="http://schemas.openxmlformats.org/officeDocument/2006/relationships/hyperlink" Target="https://www.un.org/global-dialogue-ai-governance/en/roadmap" TargetMode="External"/><Relationship Id="rId138" Type="http://schemas.openxmlformats.org/officeDocument/2006/relationships/hyperlink" Target="https://ituint.sharepoint.com/:u:/r/sites/AIHUB/SitePages/Responsible-Use-of-Artificial-Intelligence--ITU-Guidelines-and-Principles%281%29.aspx?csf=1&amp;web=1&amp;e=gja9IQ&amp;xsdata=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&amp;sdata=OCtkd1JJMzFoY1Q3bmFQQUx2Nys2NkZFZE1jTHc0RGZ0akRYWnlKOTV6WT0%3d" TargetMode="External"/><Relationship Id="rId159" Type="http://schemas.openxmlformats.org/officeDocument/2006/relationships/hyperlink" Target="https://aiforgood.itu.int/ai-for-food-systems/" TargetMode="External"/><Relationship Id="rId170" Type="http://schemas.openxmlformats.org/officeDocument/2006/relationships/hyperlink" Target="https://www.aistandardssummit.org/event/354f4a77-ee25-47e3-8e84-291a55519c0c/seoul-statement" TargetMode="External"/><Relationship Id="rId107" Type="http://schemas.openxmlformats.org/officeDocument/2006/relationships/hyperlink" Target="https://www.itu.int/itu-d/sites/partner2connect/" TargetMode="External"/><Relationship Id="rId11" Type="http://schemas.openxmlformats.org/officeDocument/2006/relationships/hyperlink" Target="https://aiforgood.itu.int/" TargetMode="External"/><Relationship Id="rId32" Type="http://schemas.openxmlformats.org/officeDocument/2006/relationships/hyperlink" Target="https://aiforgood.itu.int/impact-initiative/" TargetMode="External"/><Relationship Id="rId53" Type="http://schemas.openxmlformats.org/officeDocument/2006/relationships/hyperlink" Target="https://govstack.global/" TargetMode="External"/><Relationship Id="rId74" Type="http://schemas.openxmlformats.org/officeDocument/2006/relationships/hyperlink" Target="https://www.itu.int/dms_pub/itu-s/opb/gen/S-GEN-GDA.001-2025-PDF-E.pdf" TargetMode="External"/><Relationship Id="rId128" Type="http://schemas.openxmlformats.org/officeDocument/2006/relationships/hyperlink" Target="https://www.itu.int/women-and-girls/women-in-ict/ai-skills-accelerator-for-girls/" TargetMode="External"/><Relationship Id="rId149" Type="http://schemas.openxmlformats.org/officeDocument/2006/relationships/hyperlink" Target="https://www.itu.int/en/ITU-T/focusgroups/ainn/Pages/default.aspx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cs.un.org/ru/A/RES/80/173" TargetMode="External"/><Relationship Id="rId160" Type="http://schemas.openxmlformats.org/officeDocument/2006/relationships/hyperlink" Target="https://www.itu.int/en/ITU-T/extcoop/ai4resilience/Pages/default.aspx" TargetMode="External"/><Relationship Id="rId181" Type="http://schemas.openxmlformats.org/officeDocument/2006/relationships/hyperlink" Target="https://www.itu.int/dms_pub/itu-d/opb/str/D-STR-CYB_JOINT-2025-PDF-E.pdf" TargetMode="External"/><Relationship Id="rId22" Type="http://schemas.openxmlformats.org/officeDocument/2006/relationships/hyperlink" Target="https://aiforgood.itu.int/impact-initiative/" TargetMode="External"/><Relationship Id="rId43" Type="http://schemas.openxmlformats.org/officeDocument/2006/relationships/hyperlink" Target="https://www.itu.int/pub/S-GEN-UNACT-2024" TargetMode="External"/><Relationship Id="rId64" Type="http://schemas.openxmlformats.org/officeDocument/2006/relationships/hyperlink" Target="https://www.itu.int/en/ITU-D/Emergency-Telecommunications/Pages/Events/2025/AI-EW4All-Innovation-Challenge.aspx" TargetMode="External"/><Relationship Id="rId118" Type="http://schemas.openxmlformats.org/officeDocument/2006/relationships/hyperlink" Target="https://academy.itu.int/training-courses/full-catalogue/ai-governance-practice-developing-secure-and-innovative-frameworks-3" TargetMode="External"/><Relationship Id="rId139" Type="http://schemas.openxmlformats.org/officeDocument/2006/relationships/hyperlink" Target="https://ituint.sharepoint.com/sites/AIHUB" TargetMode="External"/><Relationship Id="rId85" Type="http://schemas.openxmlformats.org/officeDocument/2006/relationships/hyperlink" Target="https://www.un.org/global-dialogue-ai-governance/en/roadmap" TargetMode="External"/><Relationship Id="rId150" Type="http://schemas.openxmlformats.org/officeDocument/2006/relationships/hyperlink" Target="https://www.itu.int/en/ITU-T/focusgroups/eai/Pages/default.aspx" TargetMode="External"/><Relationship Id="rId171" Type="http://schemas.openxmlformats.org/officeDocument/2006/relationships/hyperlink" Target="https://www.itu.int/md/S25-SG-CIR-0052/en" TargetMode="External"/><Relationship Id="rId12" Type="http://schemas.openxmlformats.org/officeDocument/2006/relationships/hyperlink" Target="https://aiforgood.itu.int/" TargetMode="External"/><Relationship Id="rId33" Type="http://schemas.openxmlformats.org/officeDocument/2006/relationships/hyperlink" Target="https://aiforgood.itu.int/about-us/discovery/" TargetMode="External"/><Relationship Id="rId108" Type="http://schemas.openxmlformats.org/officeDocument/2006/relationships/hyperlink" Target="https://aiforgood.itu.int/impact-initiative/" TargetMode="External"/><Relationship Id="rId129" Type="http://schemas.openxmlformats.org/officeDocument/2006/relationships/hyperlink" Target="https://www.itu.int/en/ITU-D/Regional-Presence/AsiaPacific/Pages/Events/2024/Southeast%20Asia%20AI%20Webinar%20Series/Southeast-Asia-AI-Webinar-Series.aspx" TargetMode="External"/><Relationship Id="rId54" Type="http://schemas.openxmlformats.org/officeDocument/2006/relationships/hyperlink" Target="https://aiforgood.itu.int/eventcat/discovery-open-source-ai-for-digital-public-goods/" TargetMode="External"/><Relationship Id="rId75" Type="http://schemas.openxmlformats.org/officeDocument/2006/relationships/hyperlink" Target="https://github.com/sustainable-software-guidelines/Sustainable-Software-Development" TargetMode="External"/><Relationship Id="rId96" Type="http://schemas.openxmlformats.org/officeDocument/2006/relationships/hyperlink" Target="https://www.itu.int/en/action/ai/Pages/UN-inter-agency-working-group-on-AI.aspx" TargetMode="External"/><Relationship Id="rId140" Type="http://schemas.openxmlformats.org/officeDocument/2006/relationships/hyperlink" Target="https://ituint.sharepoint.com/:u:/r/sites/AIHUB/SitePages/Responsible-Use-of-Artificial-Intelligence--ITU-Guidelines-and-Principles%281%29.aspx?csf=1&amp;web=1&amp;e=gja9IQ&amp;xsdata=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&amp;sdata=OCtkd1JJMzFoY1Q3bmFQQUx2Nys2NkZFZE1jTHc0RGZ0akRYWnlKOTV6WT0%3d" TargetMode="External"/><Relationship Id="rId161" Type="http://schemas.openxmlformats.org/officeDocument/2006/relationships/hyperlink" Target="https://www.itu.int/hub/2023/07/new-un-initiative-aims-to-step-up-ais-contribution-to-health/" TargetMode="External"/><Relationship Id="rId182" Type="http://schemas.openxmlformats.org/officeDocument/2006/relationships/hyperlink" Target="https://www.itu.int/dms_pub/itu-d/opb/str/D-STR-CYB_JOINT-2025-PDF-E.pdf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aiforgood.itu.int/summit26/" TargetMode="External"/><Relationship Id="rId119" Type="http://schemas.openxmlformats.org/officeDocument/2006/relationships/hyperlink" Target="https://academy.itu.int/digital-skills-communities" TargetMode="External"/><Relationship Id="rId44" Type="http://schemas.openxmlformats.org/officeDocument/2006/relationships/hyperlink" Target="https://unaihub.aiforgood.itu.int/" TargetMode="External"/><Relationship Id="rId65" Type="http://schemas.openxmlformats.org/officeDocument/2006/relationships/hyperlink" Target="https://aiforgood.itu.int/early-warning-for-all-leveraging-ai-to-reach-the-unconnected/" TargetMode="External"/><Relationship Id="rId86" Type="http://schemas.openxmlformats.org/officeDocument/2006/relationships/hyperlink" Target="https://www.un.org/global-dialogue-ai-governance/en/roadmap" TargetMode="External"/><Relationship Id="rId130" Type="http://schemas.openxmlformats.org/officeDocument/2006/relationships/hyperlink" Target="https://www.itu.int/en/ITU-D/Regional-Presence/AsiaPacific/Pages/Projects/AI%20Technology%20and%20Standards%20Capacity%20Building%20in%20Asia%20Pacific/Artificial-Intelligence-Technology-and-Standards-Capacity-Building-in-Asia-Pacific-.aspx" TargetMode="External"/><Relationship Id="rId151" Type="http://schemas.openxmlformats.org/officeDocument/2006/relationships/hyperlink" Target="https://www.itu.int/pub/R-REP-SM.2542" TargetMode="External"/><Relationship Id="rId172" Type="http://schemas.openxmlformats.org/officeDocument/2006/relationships/hyperlink" Target="https://www.itu.int/md/S25-SG-CIR-0052/en" TargetMode="External"/><Relationship Id="rId13" Type="http://schemas.openxmlformats.org/officeDocument/2006/relationships/hyperlink" Target="https://aiforgood.itu.int/summit26/" TargetMode="External"/><Relationship Id="rId18" Type="http://schemas.openxmlformats.org/officeDocument/2006/relationships/hyperlink" Target="https://aiforgood.itu.int/event/ml5g-challenge/" TargetMode="External"/><Relationship Id="rId39" Type="http://schemas.openxmlformats.org/officeDocument/2006/relationships/hyperlink" Target="https://s41721.pcdn.co/wp-content/uploads/2022/04/2600081_AI-for-Good-Impact-Report-2025-E-v6.pdf" TargetMode="External"/><Relationship Id="rId109" Type="http://schemas.openxmlformats.org/officeDocument/2006/relationships/hyperlink" Target="https://aiforgood.itu.int/ai-skills-coalition/" TargetMode="External"/><Relationship Id="rId34" Type="http://schemas.openxmlformats.org/officeDocument/2006/relationships/hyperlink" Target="https://aiforgood.itu.int/about-us/discovery/" TargetMode="External"/><Relationship Id="rId50" Type="http://schemas.openxmlformats.org/officeDocument/2006/relationships/hyperlink" Target="https://opensource.org/ai/open-source-ai-definition" TargetMode="External"/><Relationship Id="rId55" Type="http://schemas.openxmlformats.org/officeDocument/2006/relationships/hyperlink" Target="https://www.itu.int/en/ITU-D/ICT-Applications/Pages/Initiatives/ITU_OSPO/Open-Source_AI_for_Public_Services/GenAI-for-Good-Community-Challenge.aspx" TargetMode="External"/><Relationship Id="rId76" Type="http://schemas.openxmlformats.org/officeDocument/2006/relationships/hyperlink" Target="https://www.itu.int/hub/2025/09/new-itu-academic-collaboration-on-technology-trends/" TargetMode="External"/><Relationship Id="rId97" Type="http://schemas.openxmlformats.org/officeDocument/2006/relationships/hyperlink" Target="https://unsceb.org/sites/default/files/2022-09/Principles%20for%20the%20Ethical%20Use%20of%20AI%20in%20the%20UN%20System_1.pdf" TargetMode="External"/><Relationship Id="rId104" Type="http://schemas.openxmlformats.org/officeDocument/2006/relationships/hyperlink" Target="https://www.itu.int/en/ITU-D/Initiatives/GIGA/Pages/default.aspx" TargetMode="External"/><Relationship Id="rId120" Type="http://schemas.openxmlformats.org/officeDocument/2006/relationships/hyperlink" Target="https://academy.itu.int/itu-d/projects-activities/research-publications/digital-skills-toolkit" TargetMode="External"/><Relationship Id="rId125" Type="http://schemas.openxmlformats.org/officeDocument/2006/relationships/hyperlink" Target="https://academy.itu.int/training-courses/full-catalogue/ai-governance-practice-developing-secure-and-innovative-frameworks-3" TargetMode="External"/><Relationship Id="rId141" Type="http://schemas.openxmlformats.org/officeDocument/2006/relationships/hyperlink" Target="https://www.worldstandardscooperation.org/" TargetMode="External"/><Relationship Id="rId146" Type="http://schemas.openxmlformats.org/officeDocument/2006/relationships/hyperlink" Target="https://www.itu.int/en/ITU-T/focusgroups/eai/Pages/default.aspx" TargetMode="External"/><Relationship Id="rId167" Type="http://schemas.openxmlformats.org/officeDocument/2006/relationships/hyperlink" Target="https://aiforgood.itu.int/ai-standards-exchange/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www.itu.int/md/S26-CL-C-0042/en" TargetMode="External"/><Relationship Id="rId71" Type="http://schemas.openxmlformats.org/officeDocument/2006/relationships/hyperlink" Target="https://www.itu.int/en/action/youth/Pages/itu-secretary-generals-youth-advisory-board.aspx" TargetMode="External"/><Relationship Id="rId92" Type="http://schemas.openxmlformats.org/officeDocument/2006/relationships/hyperlink" Target="https://unsceb.org/sites/default/files/2024-04/United%20Nations%20System%20White%20Paper%20on%20AI%20Governance.pdf" TargetMode="External"/><Relationship Id="rId162" Type="http://schemas.openxmlformats.org/officeDocument/2006/relationships/hyperlink" Target="https://www.itu.int/metaverse/virtual-worlds/" TargetMode="External"/><Relationship Id="rId183" Type="http://schemas.openxmlformats.org/officeDocument/2006/relationships/hyperlink" Target="https://www.itu.int/md/S26-CL-C-0042/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aiforgood.itu.int/ai-skills-coalition/" TargetMode="External"/><Relationship Id="rId24" Type="http://schemas.openxmlformats.org/officeDocument/2006/relationships/hyperlink" Target="https://aiforgood.itu.int/neural-network/" TargetMode="External"/><Relationship Id="rId40" Type="http://schemas.openxmlformats.org/officeDocument/2006/relationships/hyperlink" Target="https://s41721.pcdn.co/wp-content/uploads/2022/04/2600081_AI-for-Good-Impact-Report-2025-E-v6.pdf" TargetMode="External"/><Relationship Id="rId45" Type="http://schemas.openxmlformats.org/officeDocument/2006/relationships/hyperlink" Target="https://www.itu.int/en/action/ai/Pages/UN-inter-agency-working-group-on-AI.aspx" TargetMode="External"/><Relationship Id="rId66" Type="http://schemas.openxmlformats.org/officeDocument/2006/relationships/hyperlink" Target="https://u4ssc.itu.int/" TargetMode="External"/><Relationship Id="rId87" Type="http://schemas.openxmlformats.org/officeDocument/2006/relationships/hyperlink" Target="https://www.un.org/global-dialogue-ai-governance/en/roadmap" TargetMode="External"/><Relationship Id="rId110" Type="http://schemas.openxmlformats.org/officeDocument/2006/relationships/hyperlink" Target="https://aiforgood.itu.int/impact-initiative/" TargetMode="External"/><Relationship Id="rId115" Type="http://schemas.openxmlformats.org/officeDocument/2006/relationships/hyperlink" Target="https://academy.itu.int/training-courses/full-catalogue/ai-governance-practice-developing-secure-and-innovative-frameworks" TargetMode="External"/><Relationship Id="rId131" Type="http://schemas.openxmlformats.org/officeDocument/2006/relationships/hyperlink" Target="https://aiforgood.itu.int/young-ai-leaders-community/" TargetMode="External"/><Relationship Id="rId136" Type="http://schemas.openxmlformats.org/officeDocument/2006/relationships/hyperlink" Target="https://www.itu.int/en/ITU-D/Technology/Pages/Events.aspx" TargetMode="External"/><Relationship Id="rId157" Type="http://schemas.openxmlformats.org/officeDocument/2006/relationships/hyperlink" Target="https://www.itu.int/hub/2023/07/new-un-initiative-aims-to-step-up-ais-contribution-to-health/" TargetMode="External"/><Relationship Id="rId178" Type="http://schemas.openxmlformats.org/officeDocument/2006/relationships/hyperlink" Target="https://digitalregulation.org/" TargetMode="External"/><Relationship Id="rId61" Type="http://schemas.openxmlformats.org/officeDocument/2006/relationships/hyperlink" Target="https://aiforgood.itu.int/early-warning-for-all-leveraging-ai-to-reach-the-unconnected/" TargetMode="External"/><Relationship Id="rId82" Type="http://schemas.openxmlformats.org/officeDocument/2006/relationships/hyperlink" Target="https://www.un.org/global-dialogue-ai-governance/en/roadmap" TargetMode="External"/><Relationship Id="rId152" Type="http://schemas.openxmlformats.org/officeDocument/2006/relationships/hyperlink" Target="https://extranet.itu.int/rsg-meetings/sg3/wp3j/cg3j3k3l3m27/SitePages/Home.aspx" TargetMode="External"/><Relationship Id="rId173" Type="http://schemas.openxmlformats.org/officeDocument/2006/relationships/hyperlink" Target="https://www.itu.int/net/epub/BDT/2025-GSR-25-Best-Practice-Guidelines/index.html" TargetMode="External"/><Relationship Id="rId19" Type="http://schemas.openxmlformats.org/officeDocument/2006/relationships/hyperlink" Target="https://aiforgood.itu.int/ai-skills-coalition/" TargetMode="External"/><Relationship Id="rId14" Type="http://schemas.openxmlformats.org/officeDocument/2006/relationships/hyperlink" Target="https://aiforgood.itu.int/neural-network/" TargetMode="External"/><Relationship Id="rId30" Type="http://schemas.openxmlformats.org/officeDocument/2006/relationships/hyperlink" Target="https://aiforgood.itu.int/innovate-for-impact/" TargetMode="External"/><Relationship Id="rId35" Type="http://schemas.openxmlformats.org/officeDocument/2006/relationships/hyperlink" Target="https://aiforgood.itu.int/newsroom/publications-and-reports/" TargetMode="External"/><Relationship Id="rId56" Type="http://schemas.openxmlformats.org/officeDocument/2006/relationships/hyperlink" Target="https://aiforgood.itu.int/eventcat/discovery-open-source-ai-for-digital-public-goods/" TargetMode="External"/><Relationship Id="rId77" Type="http://schemas.openxmlformats.org/officeDocument/2006/relationships/hyperlink" Target="https://www.itu.int/en/action/youth/Pages/itu-secretary-generals-youth-advisory-board.aspx" TargetMode="External"/><Relationship Id="rId100" Type="http://schemas.openxmlformats.org/officeDocument/2006/relationships/hyperlink" Target="https://docs.un.org/en/A/RES/79/325" TargetMode="External"/><Relationship Id="rId105" Type="http://schemas.openxmlformats.org/officeDocument/2006/relationships/hyperlink" Target="https://www.itu.int/itu-d/sites/partner2connect/" TargetMode="External"/><Relationship Id="rId126" Type="http://schemas.openxmlformats.org/officeDocument/2006/relationships/hyperlink" Target="https://academy.itu.int/digital-skills-communities" TargetMode="External"/><Relationship Id="rId147" Type="http://schemas.openxmlformats.org/officeDocument/2006/relationships/hyperlink" Target="https://www.itu.int/myworkspace/t-rec/item?id=16642&amp;lang=en" TargetMode="External"/><Relationship Id="rId168" Type="http://schemas.openxmlformats.org/officeDocument/2006/relationships/hyperlink" Target="https://aiforgood.itu.int/multimedia-authenticity/reports/" TargetMode="External"/><Relationship Id="rId8" Type="http://schemas.openxmlformats.org/officeDocument/2006/relationships/hyperlink" Target="https://www.itu.int/en/council/Documents/basic-texts-2023/RES-214-R.pdf" TargetMode="External"/><Relationship Id="rId51" Type="http://schemas.openxmlformats.org/officeDocument/2006/relationships/hyperlink" Target="https://www.itu.int/en/ITU-D/ICT-Applications/Pages/Initiatives/ITU_OSPO/Open-Source_AI_for_Public_Services/GENIE-AI_framework.aspx" TargetMode="External"/><Relationship Id="rId72" Type="http://schemas.openxmlformats.org/officeDocument/2006/relationships/hyperlink" Target="https://u4ssc.itu.int/" TargetMode="External"/><Relationship Id="rId93" Type="http://schemas.openxmlformats.org/officeDocument/2006/relationships/hyperlink" Target="https://unaihub.aiforgood.itu.int/" TargetMode="External"/><Relationship Id="rId98" Type="http://schemas.openxmlformats.org/officeDocument/2006/relationships/hyperlink" Target="https://unsceb.org/sites/default/files/2024-04/United%20Nations%20System%20White%20Paper%20on%20AI%20Governance.pdf" TargetMode="External"/><Relationship Id="rId121" Type="http://schemas.openxmlformats.org/officeDocument/2006/relationships/hyperlink" Target="https://academy.itu.int/" TargetMode="External"/><Relationship Id="rId142" Type="http://schemas.openxmlformats.org/officeDocument/2006/relationships/hyperlink" Target="https://www.worldstandardscooperation.org/" TargetMode="External"/><Relationship Id="rId163" Type="http://schemas.openxmlformats.org/officeDocument/2006/relationships/hyperlink" Target="https://aiforgood.itu.int/ai-standards-exchange/" TargetMode="External"/><Relationship Id="rId184" Type="http://schemas.openxmlformats.org/officeDocument/2006/relationships/hyperlink" Target="https://www.itu.int/md/S26-CL-C-0042/en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aiforgood.itu.int/about-us/innovation-factory/" TargetMode="External"/><Relationship Id="rId46" Type="http://schemas.openxmlformats.org/officeDocument/2006/relationships/hyperlink" Target="https://www.itu.int/pub/S-GEN-UNACT-2024" TargetMode="External"/><Relationship Id="rId67" Type="http://schemas.openxmlformats.org/officeDocument/2006/relationships/hyperlink" Target="https://www.itu.int/initiatives/green-digital-action/" TargetMode="External"/><Relationship Id="rId116" Type="http://schemas.openxmlformats.org/officeDocument/2006/relationships/hyperlink" Target="https://academy.itu.int/training-courses/full-catalogue/ai-governance-practice-developing-secure-and-innovative-frameworks-2" TargetMode="External"/><Relationship Id="rId137" Type="http://schemas.openxmlformats.org/officeDocument/2006/relationships/hyperlink" Target="https://ituint.sharepoint.com/sites/AIHUB" TargetMode="External"/><Relationship Id="rId158" Type="http://schemas.openxmlformats.org/officeDocument/2006/relationships/hyperlink" Target="https://www.itu.int/metaverse/virtual-worlds/" TargetMode="External"/><Relationship Id="rId20" Type="http://schemas.openxmlformats.org/officeDocument/2006/relationships/hyperlink" Target="https://aiforgood.itu.int/innovate-for-impact/" TargetMode="External"/><Relationship Id="rId41" Type="http://schemas.openxmlformats.org/officeDocument/2006/relationships/hyperlink" Target="https://www.itu.int/dms_pub/itu-t/opb/ai4g/T-AI4G-AI4GOOD-2025-6-PDF-E.pdf" TargetMode="External"/><Relationship Id="rId62" Type="http://schemas.openxmlformats.org/officeDocument/2006/relationships/hyperlink" Target="https://earlywarningsforall.org/site/early-warnings-all" TargetMode="External"/><Relationship Id="rId83" Type="http://schemas.openxmlformats.org/officeDocument/2006/relationships/hyperlink" Target="https://www.un.org/global-dialogue-ai-governance/en" TargetMode="External"/><Relationship Id="rId88" Type="http://schemas.openxmlformats.org/officeDocument/2006/relationships/hyperlink" Target="https://www.un.org/independent-international-scientific-panel-ai/en" TargetMode="External"/><Relationship Id="rId111" Type="http://schemas.openxmlformats.org/officeDocument/2006/relationships/hyperlink" Target="https://aiforgood.itu.int/ai-skills-coalition/" TargetMode="External"/><Relationship Id="rId132" Type="http://schemas.openxmlformats.org/officeDocument/2006/relationships/hyperlink" Target="https://www.itu.int/women-and-girls/women-in-ict/ai-skills-accelerator-for-girls/" TargetMode="External"/><Relationship Id="rId153" Type="http://schemas.openxmlformats.org/officeDocument/2006/relationships/hyperlink" Target="https://www.itu.int/pub/R-REP-SM.2542" TargetMode="External"/><Relationship Id="rId174" Type="http://schemas.openxmlformats.org/officeDocument/2006/relationships/hyperlink" Target="https://digitalregulation.org/" TargetMode="External"/><Relationship Id="rId179" Type="http://schemas.openxmlformats.org/officeDocument/2006/relationships/hyperlink" Target="https://digitalregulation.org/a-guide-towards-collaborative-ai-frameworks/" TargetMode="External"/><Relationship Id="rId15" Type="http://schemas.openxmlformats.org/officeDocument/2006/relationships/hyperlink" Target="https://aiforgood.itu.int/about-us/innovation-factory/" TargetMode="External"/><Relationship Id="rId36" Type="http://schemas.openxmlformats.org/officeDocument/2006/relationships/hyperlink" Target="https://aiforgood.itu.int/newsroom/publications-and-reports/" TargetMode="External"/><Relationship Id="rId57" Type="http://schemas.openxmlformats.org/officeDocument/2006/relationships/hyperlink" Target="https://www.itu.int/en/ITU-D/ICT-Applications/Pages/Initiatives/ITU_OSPO/Open-Source_AI_for_Public_Services/GenAI-for-Good-Community-Challenge.aspx" TargetMode="External"/><Relationship Id="rId106" Type="http://schemas.openxmlformats.org/officeDocument/2006/relationships/hyperlink" Target="https://www.itu.int/en/ITU-D/Initiatives/GIGA/Pages/default.aspx" TargetMode="External"/><Relationship Id="rId127" Type="http://schemas.openxmlformats.org/officeDocument/2006/relationships/hyperlink" Target="https://aiforgood.itu.int/young-ai-leaders-community/" TargetMode="External"/><Relationship Id="rId10" Type="http://schemas.openxmlformats.org/officeDocument/2006/relationships/hyperlink" Target="https://www.itu.int/itu-d/meetings/wtdc25/wp-content/uploads/sites/29/2025/11/090-E.pdf" TargetMode="External"/><Relationship Id="rId31" Type="http://schemas.openxmlformats.org/officeDocument/2006/relationships/hyperlink" Target="https://aiforgood.itu.int/young-ai-leaders-community/" TargetMode="External"/><Relationship Id="rId52" Type="http://schemas.openxmlformats.org/officeDocument/2006/relationships/hyperlink" Target="https://opensource.org/ai/open-source-ai-definition" TargetMode="External"/><Relationship Id="rId73" Type="http://schemas.openxmlformats.org/officeDocument/2006/relationships/hyperlink" Target="https://www.itu.int/initiatives/green-digital-action/" TargetMode="External"/><Relationship Id="rId78" Type="http://schemas.openxmlformats.org/officeDocument/2006/relationships/hyperlink" Target="https://docs.un.org/ru/A/RES/79/325" TargetMode="External"/><Relationship Id="rId94" Type="http://schemas.openxmlformats.org/officeDocument/2006/relationships/hyperlink" Target="https://docs.un.org/ru/A/RES/79/325" TargetMode="External"/><Relationship Id="rId99" Type="http://schemas.openxmlformats.org/officeDocument/2006/relationships/hyperlink" Target="https://unaihub.aiforgood.itu.int/" TargetMode="External"/><Relationship Id="rId101" Type="http://schemas.openxmlformats.org/officeDocument/2006/relationships/hyperlink" Target="https://docs.un.org/en/A/RES/80/173" TargetMode="External"/><Relationship Id="rId122" Type="http://schemas.openxmlformats.org/officeDocument/2006/relationships/hyperlink" Target="https://academy.itu.int/training-courses/full-catalogue/ai-governance-practice-developing-secure-and-innovative-frameworks" TargetMode="External"/><Relationship Id="rId143" Type="http://schemas.openxmlformats.org/officeDocument/2006/relationships/hyperlink" Target="https://www.itu.int/myworkspace/t-rec/item?id=16642&amp;lang=en" TargetMode="External"/><Relationship Id="rId148" Type="http://schemas.openxmlformats.org/officeDocument/2006/relationships/hyperlink" Target="https://www.itu.int/rec/T-REC-Y.Sup72-202211-I/en" TargetMode="External"/><Relationship Id="rId164" Type="http://schemas.openxmlformats.org/officeDocument/2006/relationships/hyperlink" Target="https://aiforgood.itu.int/multimedia-authenticity/reports/" TargetMode="External"/><Relationship Id="rId169" Type="http://schemas.openxmlformats.org/officeDocument/2006/relationships/hyperlink" Target="https://www.aistandardssummit.org/" TargetMode="External"/><Relationship Id="rId18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t/opb/res/T-RES-T.101-2024-PDF-R.pdf" TargetMode="External"/><Relationship Id="rId180" Type="http://schemas.openxmlformats.org/officeDocument/2006/relationships/hyperlink" Target="https://digitalregulation.org/3004297-2/" TargetMode="External"/><Relationship Id="rId26" Type="http://schemas.openxmlformats.org/officeDocument/2006/relationships/hyperlink" Target="https://aiforgood.itu.int/about-ai-for-good/innovation-factory/" TargetMode="External"/><Relationship Id="rId47" Type="http://schemas.openxmlformats.org/officeDocument/2006/relationships/hyperlink" Target="https://unaihub.aiforgood.itu.int/" TargetMode="External"/><Relationship Id="rId68" Type="http://schemas.openxmlformats.org/officeDocument/2006/relationships/hyperlink" Target="https://www.itu.int/dms_pub/itu-s/opb/gen/S-GEN-GDA.001-2025-PDF-E.pdf" TargetMode="External"/><Relationship Id="rId89" Type="http://schemas.openxmlformats.org/officeDocument/2006/relationships/hyperlink" Target="https://www.un.org/independent-international-scientific-panel-ai/en" TargetMode="External"/><Relationship Id="rId112" Type="http://schemas.openxmlformats.org/officeDocument/2006/relationships/hyperlink" Target="https://aiforgood.itu.int/ai-readiness/" TargetMode="External"/><Relationship Id="rId133" Type="http://schemas.openxmlformats.org/officeDocument/2006/relationships/hyperlink" Target="https://www.itu.int/en/ITU-D/Regional-Presence/AsiaPacific/Pages/Events/2024/Southeast%20Asia%20AI%20Webinar%20Series/Southeast-Asia-AI-Webinar-Series.aspx" TargetMode="External"/><Relationship Id="rId154" Type="http://schemas.openxmlformats.org/officeDocument/2006/relationships/hyperlink" Target="https://extranet.itu.int/rsg-meetings/sg3/wp3j/cg3j3k3l3m27/SitePages/Home.aspx" TargetMode="External"/><Relationship Id="rId175" Type="http://schemas.openxmlformats.org/officeDocument/2006/relationships/hyperlink" Target="https://digitalregulation.org/a-guide-towards-collaborative-ai-frameworks/" TargetMode="External"/><Relationship Id="rId16" Type="http://schemas.openxmlformats.org/officeDocument/2006/relationships/hyperlink" Target="https://aiforgood.itu.int/about-ai-for-good/innovation-factory/" TargetMode="External"/><Relationship Id="rId37" Type="http://schemas.openxmlformats.org/officeDocument/2006/relationships/hyperlink" Target="https://s41721.pcdn.co/wp-content/uploads/2022/04/Unlocking-AIs-Potential-to-Serve-Humanity.pdf" TargetMode="External"/><Relationship Id="rId58" Type="http://schemas.openxmlformats.org/officeDocument/2006/relationships/hyperlink" Target="https://earlywarningsforall.org/site/early-warnings-all" TargetMode="External"/><Relationship Id="rId79" Type="http://schemas.openxmlformats.org/officeDocument/2006/relationships/hyperlink" Target="https://docs.un.org/en/A/RES/79/325" TargetMode="External"/><Relationship Id="rId102" Type="http://schemas.openxmlformats.org/officeDocument/2006/relationships/hyperlink" Target="https://www.itu.int/net4/wsis/forum/2026/en" TargetMode="External"/><Relationship Id="rId123" Type="http://schemas.openxmlformats.org/officeDocument/2006/relationships/hyperlink" Target="https://academy.itu.int/training-courses/full-catalogue/ai-governance-practice-developing-secure-and-innovative-frameworks-2" TargetMode="External"/><Relationship Id="rId144" Type="http://schemas.openxmlformats.org/officeDocument/2006/relationships/hyperlink" Target="https://www.itu.int/rec/T-REC-Y.Sup72-202211-I/en" TargetMode="External"/><Relationship Id="rId90" Type="http://schemas.openxmlformats.org/officeDocument/2006/relationships/hyperlink" Target="https://www.itu.int/en/action/ai/Pages/UN-inter-agency-working-group-on-AI.aspx" TargetMode="External"/><Relationship Id="rId165" Type="http://schemas.openxmlformats.org/officeDocument/2006/relationships/hyperlink" Target="https://www.aistandardssummit.org/" TargetMode="External"/><Relationship Id="rId186" Type="http://schemas.openxmlformats.org/officeDocument/2006/relationships/header" Target="header1.xml"/><Relationship Id="rId27" Type="http://schemas.openxmlformats.org/officeDocument/2006/relationships/hyperlink" Target="https://aiforgood.itu.int/robotics-for-good-youth-challenge/" TargetMode="External"/><Relationship Id="rId48" Type="http://schemas.openxmlformats.org/officeDocument/2006/relationships/hyperlink" Target="https://www.itu.int/en/action/ai/Pages/UN-inter-agency-working-group-on-AI.aspx" TargetMode="External"/><Relationship Id="rId69" Type="http://schemas.openxmlformats.org/officeDocument/2006/relationships/hyperlink" Target="https://github.com/sustainable-software-guidelines/Sustainable-Software-Development" TargetMode="External"/><Relationship Id="rId113" Type="http://schemas.openxmlformats.org/officeDocument/2006/relationships/hyperlink" Target="https://academy.itu.int/itu-d/projects-activities/research-publications/digital-skills-toolkit" TargetMode="External"/><Relationship Id="rId134" Type="http://schemas.openxmlformats.org/officeDocument/2006/relationships/hyperlink" Target="https://www.itu.int/en/ITU-D/Regional-Presence/AsiaPacific/Pages/Projects/AI%20Technology%20and%20Standards%20Capacity%20Building%20in%20Asia%20Pacific/Artificial-Intelligence-Technology-and-Standards-Capacity-Building-in-Asia-Pacific-.aspx" TargetMode="External"/><Relationship Id="rId80" Type="http://schemas.openxmlformats.org/officeDocument/2006/relationships/hyperlink" Target="https://www.un.org/global-dialogue-ai-governance/en/roadmap" TargetMode="External"/><Relationship Id="rId155" Type="http://schemas.openxmlformats.org/officeDocument/2006/relationships/hyperlink" Target="https://aiforgood.itu.int/ai-for-food-systems/" TargetMode="External"/><Relationship Id="rId176" Type="http://schemas.openxmlformats.org/officeDocument/2006/relationships/hyperlink" Target="https://digitalregulation.org/3004297-2/" TargetMode="External"/><Relationship Id="rId17" Type="http://schemas.openxmlformats.org/officeDocument/2006/relationships/hyperlink" Target="https://aiforgood.itu.int/robotics-for-good-youth-challenge/" TargetMode="External"/><Relationship Id="rId38" Type="http://schemas.openxmlformats.org/officeDocument/2006/relationships/hyperlink" Target="https://s41721.pcdn.co/wp-content/uploads/2022/04/Unlocking-AIs-Potential-to-Serve-Humanity.pdf" TargetMode="External"/><Relationship Id="rId59" Type="http://schemas.openxmlformats.org/officeDocument/2006/relationships/hyperlink" Target="https://www.itu.int/en/ITU-D/Emergency-Telecommunications/Pages/AI-Sub-Group-EW4All-.aspx" TargetMode="External"/><Relationship Id="rId103" Type="http://schemas.openxmlformats.org/officeDocument/2006/relationships/hyperlink" Target="https://www.itu.int/net4/wsis/forum/2026/en" TargetMode="External"/><Relationship Id="rId124" Type="http://schemas.openxmlformats.org/officeDocument/2006/relationships/hyperlink" Target="https://academy.itu.int/training-courses/full-catalogue/ai-governance-practice-developing-secure-and-innovative-frameworks-0" TargetMode="External"/><Relationship Id="rId70" Type="http://schemas.openxmlformats.org/officeDocument/2006/relationships/hyperlink" Target="https://www.itu.int/hub/2025/09/new-itu-academic-collaboration-on-technology-trends/" TargetMode="External"/><Relationship Id="rId91" Type="http://schemas.openxmlformats.org/officeDocument/2006/relationships/hyperlink" Target="https://unsceb.org/sites/default/files/2022-09/Principles%20for%20the%20Ethical%20Use%20of%20AI%20in%20the%20UN%20System_1.pdf" TargetMode="External"/><Relationship Id="rId145" Type="http://schemas.openxmlformats.org/officeDocument/2006/relationships/hyperlink" Target="https://www.itu.int/en/ITU-T/focusgroups/ainn/Pages/default.aspx" TargetMode="External"/><Relationship Id="rId166" Type="http://schemas.openxmlformats.org/officeDocument/2006/relationships/hyperlink" Target="https://www.aistandardssummit.org/event/354f4a77-ee25-47e3-8e84-291a55519c0c/seoul-statement" TargetMode="External"/><Relationship Id="rId187" Type="http://schemas.openxmlformats.org/officeDocument/2006/relationships/footer" Target="footer2.xml"/><Relationship Id="rId1" Type="http://schemas.openxmlformats.org/officeDocument/2006/relationships/numbering" Target="numbering.xml"/><Relationship Id="rId28" Type="http://schemas.openxmlformats.org/officeDocument/2006/relationships/hyperlink" Target="https://aiforgood.itu.int/event/ml5g-challenge/" TargetMode="External"/><Relationship Id="rId49" Type="http://schemas.openxmlformats.org/officeDocument/2006/relationships/hyperlink" Target="https://www.itu.int/en/ITU-D/ICT-Applications/Pages/Initiatives/ITU_OSPO/Open-Source_AI_for_Public_Services/GENIE-AI_framework.aspx" TargetMode="External"/><Relationship Id="rId114" Type="http://schemas.openxmlformats.org/officeDocument/2006/relationships/hyperlink" Target="https://academy.itu.int/" TargetMode="External"/><Relationship Id="rId60" Type="http://schemas.openxmlformats.org/officeDocument/2006/relationships/hyperlink" Target="https://www.itu.int/en/ITU-D/Emergency-Telecommunications/Pages/Events/2025/AI-EW4All-Innovation-Challenge.aspx" TargetMode="External"/><Relationship Id="rId81" Type="http://schemas.openxmlformats.org/officeDocument/2006/relationships/hyperlink" Target="https://www.un.org/global-dialogue-ai-governance/en" TargetMode="External"/><Relationship Id="rId135" Type="http://schemas.openxmlformats.org/officeDocument/2006/relationships/hyperlink" Target="https://www.itu.int/en/ITU-D/Technology/Pages/Events.aspx" TargetMode="External"/><Relationship Id="rId156" Type="http://schemas.openxmlformats.org/officeDocument/2006/relationships/hyperlink" Target="https://www.itu.int/en/ITU-T/extcoop/ai4resilience/Pages/default.aspx" TargetMode="External"/><Relationship Id="rId177" Type="http://schemas.openxmlformats.org/officeDocument/2006/relationships/hyperlink" Target="https://www.itu.int/net/epub/BDT/2025-GSR-25-Best-Practice-Guidelines/index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10</Pages>
  <Words>4264</Words>
  <Characters>44924</Characters>
  <Application>Microsoft Office Word</Application>
  <DocSecurity>0</DocSecurity>
  <Lines>713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49040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PP Resolution 214 (Bucharest, 2022) - Artificial intelligence technologies and telecommunications/information and communication technologies</dc:title>
  <dc:subject>ITU Council 2026</dc:subject>
  <cp:keywords>C26; C2026; Council 2026; PP26</cp:keywords>
  <dc:description/>
  <cp:lastPrinted>2006-03-28T16:12:00Z</cp:lastPrinted>
  <dcterms:created xsi:type="dcterms:W3CDTF">2026-04-24T16:05:00Z</dcterms:created>
  <dcterms:modified xsi:type="dcterms:W3CDTF">2026-04-24T16:07:00Z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