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145E13" w14:paraId="11D9C724" w14:textId="77777777" w:rsidTr="00796BDB">
        <w:trPr>
          <w:cantSplit/>
          <w:trHeight w:val="23"/>
        </w:trPr>
        <w:tc>
          <w:tcPr>
            <w:tcW w:w="3969" w:type="dxa"/>
            <w:vMerge w:val="restart"/>
            <w:tcMar>
              <w:left w:w="0" w:type="dxa"/>
            </w:tcMar>
          </w:tcPr>
          <w:p w14:paraId="39B3D5BD" w14:textId="5C399846" w:rsidR="00D72F49" w:rsidRPr="00145E13" w:rsidRDefault="00D72F49" w:rsidP="00796BDB">
            <w:pPr>
              <w:tabs>
                <w:tab w:val="left" w:pos="851"/>
              </w:tabs>
              <w:spacing w:before="0" w:line="240" w:lineRule="atLeast"/>
              <w:rPr>
                <w:b/>
              </w:rPr>
            </w:pPr>
            <w:r w:rsidRPr="00145E13">
              <w:rPr>
                <w:b/>
              </w:rPr>
              <w:t>Point de l'ordre du jour:</w:t>
            </w:r>
            <w:r w:rsidR="009659BE" w:rsidRPr="00145E13">
              <w:rPr>
                <w:b/>
              </w:rPr>
              <w:t xml:space="preserve"> PL</w:t>
            </w:r>
            <w:r w:rsidR="00805CF7" w:rsidRPr="00145E13">
              <w:rPr>
                <w:b/>
              </w:rPr>
              <w:t xml:space="preserve"> </w:t>
            </w:r>
            <w:r w:rsidR="009659BE" w:rsidRPr="00145E13">
              <w:rPr>
                <w:b/>
              </w:rPr>
              <w:t>2</w:t>
            </w:r>
          </w:p>
        </w:tc>
        <w:tc>
          <w:tcPr>
            <w:tcW w:w="5245" w:type="dxa"/>
          </w:tcPr>
          <w:p w14:paraId="431B8568" w14:textId="26B0BB72" w:rsidR="00D72F49" w:rsidRPr="00145E13" w:rsidRDefault="00D72F49" w:rsidP="00796BDB">
            <w:pPr>
              <w:tabs>
                <w:tab w:val="left" w:pos="851"/>
              </w:tabs>
              <w:spacing w:before="0" w:line="240" w:lineRule="atLeast"/>
              <w:jc w:val="right"/>
              <w:rPr>
                <w:b/>
              </w:rPr>
            </w:pPr>
            <w:r w:rsidRPr="00145E13">
              <w:rPr>
                <w:b/>
              </w:rPr>
              <w:t>Document C2</w:t>
            </w:r>
            <w:r w:rsidR="00E4448E" w:rsidRPr="00145E13">
              <w:rPr>
                <w:b/>
              </w:rPr>
              <w:t>6</w:t>
            </w:r>
            <w:r w:rsidRPr="00145E13">
              <w:rPr>
                <w:b/>
              </w:rPr>
              <w:t>/</w:t>
            </w:r>
            <w:r w:rsidR="009659BE" w:rsidRPr="00145E13">
              <w:rPr>
                <w:b/>
              </w:rPr>
              <w:t>29</w:t>
            </w:r>
            <w:r w:rsidRPr="00145E13">
              <w:rPr>
                <w:b/>
              </w:rPr>
              <w:t>-F</w:t>
            </w:r>
          </w:p>
        </w:tc>
      </w:tr>
      <w:tr w:rsidR="00D72F49" w:rsidRPr="00145E13" w14:paraId="23E67859" w14:textId="77777777" w:rsidTr="00796BDB">
        <w:trPr>
          <w:cantSplit/>
        </w:trPr>
        <w:tc>
          <w:tcPr>
            <w:tcW w:w="3969" w:type="dxa"/>
            <w:vMerge/>
          </w:tcPr>
          <w:p w14:paraId="6AB97A2E" w14:textId="77777777" w:rsidR="00D72F49" w:rsidRPr="00145E13" w:rsidRDefault="00D72F49" w:rsidP="00796BDB">
            <w:pPr>
              <w:tabs>
                <w:tab w:val="left" w:pos="851"/>
              </w:tabs>
              <w:spacing w:line="240" w:lineRule="atLeast"/>
              <w:rPr>
                <w:b/>
              </w:rPr>
            </w:pPr>
          </w:p>
        </w:tc>
        <w:tc>
          <w:tcPr>
            <w:tcW w:w="5245" w:type="dxa"/>
          </w:tcPr>
          <w:p w14:paraId="68912933" w14:textId="43EF6E93" w:rsidR="00D72F49" w:rsidRPr="00145E13" w:rsidRDefault="009659BE" w:rsidP="00796BDB">
            <w:pPr>
              <w:tabs>
                <w:tab w:val="left" w:pos="851"/>
              </w:tabs>
              <w:spacing w:before="0"/>
              <w:jc w:val="right"/>
              <w:rPr>
                <w:b/>
              </w:rPr>
            </w:pPr>
            <w:r w:rsidRPr="00145E13">
              <w:rPr>
                <w:b/>
              </w:rPr>
              <w:t>30 mars 2026</w:t>
            </w:r>
          </w:p>
        </w:tc>
      </w:tr>
      <w:tr w:rsidR="00D72F49" w:rsidRPr="00145E13" w14:paraId="71405535" w14:textId="77777777" w:rsidTr="00796BDB">
        <w:trPr>
          <w:cantSplit/>
          <w:trHeight w:val="23"/>
        </w:trPr>
        <w:tc>
          <w:tcPr>
            <w:tcW w:w="3969" w:type="dxa"/>
            <w:vMerge/>
          </w:tcPr>
          <w:p w14:paraId="5BA3BA9C" w14:textId="77777777" w:rsidR="00D72F49" w:rsidRPr="00145E13" w:rsidRDefault="00D72F49" w:rsidP="00796BDB">
            <w:pPr>
              <w:tabs>
                <w:tab w:val="left" w:pos="851"/>
              </w:tabs>
              <w:spacing w:line="240" w:lineRule="atLeast"/>
              <w:rPr>
                <w:b/>
              </w:rPr>
            </w:pPr>
          </w:p>
        </w:tc>
        <w:tc>
          <w:tcPr>
            <w:tcW w:w="5245" w:type="dxa"/>
          </w:tcPr>
          <w:p w14:paraId="333AC911" w14:textId="77777777" w:rsidR="00D72F49" w:rsidRPr="00145E13" w:rsidRDefault="00D72F49" w:rsidP="00796BDB">
            <w:pPr>
              <w:tabs>
                <w:tab w:val="left" w:pos="851"/>
              </w:tabs>
              <w:spacing w:before="0" w:line="240" w:lineRule="atLeast"/>
              <w:jc w:val="right"/>
              <w:rPr>
                <w:b/>
              </w:rPr>
            </w:pPr>
            <w:r w:rsidRPr="00145E13">
              <w:rPr>
                <w:b/>
              </w:rPr>
              <w:t>Original: anglais</w:t>
            </w:r>
          </w:p>
        </w:tc>
      </w:tr>
      <w:tr w:rsidR="00D72F49" w:rsidRPr="00145E13" w14:paraId="049A278C" w14:textId="77777777" w:rsidTr="00796BDB">
        <w:trPr>
          <w:cantSplit/>
          <w:trHeight w:val="23"/>
        </w:trPr>
        <w:tc>
          <w:tcPr>
            <w:tcW w:w="3969" w:type="dxa"/>
          </w:tcPr>
          <w:p w14:paraId="4C11CFC2" w14:textId="77777777" w:rsidR="00D72F49" w:rsidRPr="00145E13" w:rsidRDefault="00D72F49" w:rsidP="00796BDB">
            <w:pPr>
              <w:tabs>
                <w:tab w:val="left" w:pos="851"/>
              </w:tabs>
              <w:spacing w:line="240" w:lineRule="atLeast"/>
              <w:rPr>
                <w:b/>
              </w:rPr>
            </w:pPr>
          </w:p>
        </w:tc>
        <w:tc>
          <w:tcPr>
            <w:tcW w:w="5245" w:type="dxa"/>
          </w:tcPr>
          <w:p w14:paraId="625C28E8" w14:textId="77777777" w:rsidR="00D72F49" w:rsidRPr="00145E13" w:rsidRDefault="00D72F49" w:rsidP="00796BDB">
            <w:pPr>
              <w:tabs>
                <w:tab w:val="left" w:pos="851"/>
              </w:tabs>
              <w:spacing w:before="0" w:line="240" w:lineRule="atLeast"/>
              <w:jc w:val="right"/>
              <w:rPr>
                <w:b/>
              </w:rPr>
            </w:pPr>
          </w:p>
        </w:tc>
      </w:tr>
      <w:tr w:rsidR="00D72F49" w:rsidRPr="00145E13" w14:paraId="7C5C3A22" w14:textId="77777777" w:rsidTr="00796BDB">
        <w:trPr>
          <w:cantSplit/>
        </w:trPr>
        <w:tc>
          <w:tcPr>
            <w:tcW w:w="9214" w:type="dxa"/>
            <w:gridSpan w:val="2"/>
            <w:tcMar>
              <w:left w:w="0" w:type="dxa"/>
            </w:tcMar>
          </w:tcPr>
          <w:p w14:paraId="28EBE27A" w14:textId="77777777" w:rsidR="00D72F49" w:rsidRPr="00DB0EFF" w:rsidRDefault="00D72F49" w:rsidP="00DB0EFF">
            <w:pPr>
              <w:pStyle w:val="Source"/>
              <w:framePr w:hSpace="0" w:wrap="auto" w:vAnchor="margin" w:hAnchor="text" w:xAlign="left" w:yAlign="inline"/>
            </w:pPr>
            <w:r w:rsidRPr="00DB0EFF">
              <w:t xml:space="preserve">Rapport </w:t>
            </w:r>
            <w:r w:rsidR="00E95647" w:rsidRPr="00DB0EFF">
              <w:t xml:space="preserve">de la </w:t>
            </w:r>
            <w:r w:rsidRPr="00DB0EFF">
              <w:t>Secrétaire général</w:t>
            </w:r>
            <w:r w:rsidR="00E95647" w:rsidRPr="00DB0EFF">
              <w:t>e</w:t>
            </w:r>
          </w:p>
        </w:tc>
      </w:tr>
      <w:tr w:rsidR="00D72F49" w:rsidRPr="00145E13" w14:paraId="20D3E318" w14:textId="77777777" w:rsidTr="00796BDB">
        <w:trPr>
          <w:cantSplit/>
        </w:trPr>
        <w:tc>
          <w:tcPr>
            <w:tcW w:w="9214" w:type="dxa"/>
            <w:gridSpan w:val="2"/>
            <w:tcMar>
              <w:left w:w="0" w:type="dxa"/>
            </w:tcMar>
          </w:tcPr>
          <w:p w14:paraId="792F260E" w14:textId="1442FC2B" w:rsidR="00D72F49" w:rsidRPr="00145E13" w:rsidRDefault="00B07B89" w:rsidP="00796BDB">
            <w:pPr>
              <w:pStyle w:val="Subtitle"/>
              <w:framePr w:hSpace="0" w:wrap="auto" w:hAnchor="text" w:xAlign="left" w:yAlign="inline"/>
              <w:rPr>
                <w:sz w:val="32"/>
                <w:szCs w:val="32"/>
                <w:lang w:val="fr-FR"/>
              </w:rPr>
            </w:pPr>
            <w:r w:rsidRPr="00145E13">
              <w:rPr>
                <w:rFonts w:cstheme="minorHAnsi"/>
                <w:sz w:val="32"/>
                <w:szCs w:val="32"/>
                <w:lang w:val="fr-FR"/>
              </w:rPr>
              <w:t>RAPPORT SUR LA RÉSOLUTION 214 (BUCAREST, 2022) DE LA CONFÉRENCE DE PLÉNIPOTENTIAIRES – TECHNOLOGIES D'INTELLIGENCE ARTIFICIELLE ET TÉLÉCOMMUNICATIONS/</w:t>
            </w:r>
            <w:r>
              <w:rPr>
                <w:rFonts w:cstheme="minorHAnsi"/>
                <w:sz w:val="32"/>
                <w:szCs w:val="32"/>
                <w:lang w:val="fr-FR"/>
              </w:rPr>
              <w:br/>
            </w:r>
            <w:r w:rsidRPr="00145E13">
              <w:rPr>
                <w:rFonts w:cstheme="minorHAnsi"/>
                <w:sz w:val="32"/>
                <w:szCs w:val="32"/>
                <w:lang w:val="fr-FR"/>
              </w:rPr>
              <w:t>TECHNOLOGIES DE L'INFORMATION ET DE LA COMMUNICATION</w:t>
            </w:r>
          </w:p>
        </w:tc>
      </w:tr>
      <w:tr w:rsidR="00D72F49" w:rsidRPr="00145E13" w14:paraId="3B3F7E95" w14:textId="77777777" w:rsidTr="00796BDB">
        <w:trPr>
          <w:cantSplit/>
        </w:trPr>
        <w:tc>
          <w:tcPr>
            <w:tcW w:w="9214" w:type="dxa"/>
            <w:gridSpan w:val="2"/>
            <w:tcBorders>
              <w:top w:val="single" w:sz="4" w:space="0" w:color="auto"/>
              <w:bottom w:val="single" w:sz="4" w:space="0" w:color="auto"/>
            </w:tcBorders>
            <w:tcMar>
              <w:left w:w="0" w:type="dxa"/>
            </w:tcMar>
          </w:tcPr>
          <w:p w14:paraId="7BBBDADE" w14:textId="77777777" w:rsidR="00D72F49" w:rsidRPr="00145E13" w:rsidRDefault="00F37FE5" w:rsidP="00796BDB">
            <w:pPr>
              <w:spacing w:before="160"/>
              <w:rPr>
                <w:b/>
                <w:bCs/>
                <w:sz w:val="26"/>
                <w:szCs w:val="26"/>
              </w:rPr>
            </w:pPr>
            <w:r w:rsidRPr="00145E13">
              <w:rPr>
                <w:b/>
                <w:bCs/>
                <w:sz w:val="26"/>
                <w:szCs w:val="26"/>
              </w:rPr>
              <w:t>Objet</w:t>
            </w:r>
          </w:p>
          <w:p w14:paraId="70C87DF7" w14:textId="52963F3B" w:rsidR="00D72F49" w:rsidRPr="00145E13" w:rsidRDefault="009659BE" w:rsidP="00B07B89">
            <w:pPr>
              <w:jc w:val="both"/>
            </w:pPr>
            <w:r w:rsidRPr="00145E13">
              <w:t>Le présent document a pour objet de fournir un rapport exhaustif sur les activités de l</w:t>
            </w:r>
            <w:r w:rsidR="00060B5F" w:rsidRPr="00145E13">
              <w:t>'</w:t>
            </w:r>
            <w:r w:rsidRPr="00145E13">
              <w:t>UIT dans le domaine de l</w:t>
            </w:r>
            <w:r w:rsidR="00060B5F" w:rsidRPr="00145E13">
              <w:t>'</w:t>
            </w:r>
            <w:r w:rsidRPr="00145E13">
              <w:t>intelligence artificielle, qu'il structure en trois piliers: Solutions et connaissances, Compétences et capacités et Normes et politiques.</w:t>
            </w:r>
          </w:p>
          <w:p w14:paraId="56956EBB" w14:textId="77777777" w:rsidR="00D72F49" w:rsidRPr="00145E13" w:rsidRDefault="00D72F49" w:rsidP="00796BDB">
            <w:pPr>
              <w:spacing w:before="160"/>
              <w:rPr>
                <w:b/>
                <w:bCs/>
                <w:sz w:val="26"/>
                <w:szCs w:val="26"/>
              </w:rPr>
            </w:pPr>
            <w:r w:rsidRPr="00145E13">
              <w:rPr>
                <w:b/>
                <w:bCs/>
                <w:sz w:val="26"/>
                <w:szCs w:val="26"/>
              </w:rPr>
              <w:t>Suite à donner par le Conseil</w:t>
            </w:r>
          </w:p>
          <w:p w14:paraId="3DC5DB78" w14:textId="350D65A0" w:rsidR="00D72F49" w:rsidRPr="00145E13" w:rsidRDefault="009659BE" w:rsidP="00796BDB">
            <w:r w:rsidRPr="00145E13">
              <w:t>Le Conseil est invité à</w:t>
            </w:r>
            <w:r w:rsidRPr="00145E13">
              <w:rPr>
                <w:b/>
                <w:bCs/>
              </w:rPr>
              <w:t xml:space="preserve"> prendre note</w:t>
            </w:r>
            <w:r w:rsidRPr="00145E13">
              <w:t xml:space="preserve"> du présent document.</w:t>
            </w:r>
          </w:p>
          <w:p w14:paraId="6A8154C5" w14:textId="793320DF" w:rsidR="00D72F49" w:rsidRPr="00145E13" w:rsidRDefault="00D72F49" w:rsidP="00796BDB">
            <w:pPr>
              <w:spacing w:before="160"/>
              <w:rPr>
                <w:b/>
                <w:bCs/>
                <w:sz w:val="26"/>
                <w:szCs w:val="26"/>
              </w:rPr>
            </w:pPr>
            <w:r w:rsidRPr="00145E13">
              <w:rPr>
                <w:b/>
                <w:bCs/>
                <w:sz w:val="26"/>
                <w:szCs w:val="26"/>
              </w:rPr>
              <w:t xml:space="preserve">Lien(s) pertinent(s) avec le </w:t>
            </w:r>
            <w:r w:rsidR="00805CF7" w:rsidRPr="00145E13">
              <w:rPr>
                <w:b/>
                <w:bCs/>
                <w:sz w:val="26"/>
                <w:szCs w:val="26"/>
              </w:rPr>
              <w:t>P</w:t>
            </w:r>
            <w:r w:rsidRPr="00145E13">
              <w:rPr>
                <w:b/>
                <w:bCs/>
                <w:sz w:val="26"/>
                <w:szCs w:val="26"/>
              </w:rPr>
              <w:t>lan stratégique</w:t>
            </w:r>
          </w:p>
          <w:p w14:paraId="7E9E0306" w14:textId="602AE75C" w:rsidR="00D72F49" w:rsidRPr="00145E13" w:rsidRDefault="009659BE" w:rsidP="00B07B89">
            <w:pPr>
              <w:jc w:val="both"/>
            </w:pPr>
            <w:r w:rsidRPr="00145E13">
              <w:t>Élaboration de normes internationales; élaboration de supports d'information; renforcement des capacités; plate-forme fédératrice.</w:t>
            </w:r>
          </w:p>
          <w:p w14:paraId="0EE6E7E2" w14:textId="77777777" w:rsidR="00E95647" w:rsidRPr="00145E13" w:rsidRDefault="00D72F49" w:rsidP="00796BDB">
            <w:pPr>
              <w:spacing w:before="160"/>
              <w:rPr>
                <w:b/>
                <w:bCs/>
                <w:sz w:val="26"/>
                <w:szCs w:val="26"/>
              </w:rPr>
            </w:pPr>
            <w:r w:rsidRPr="00145E13">
              <w:rPr>
                <w:b/>
                <w:bCs/>
                <w:sz w:val="26"/>
                <w:szCs w:val="26"/>
              </w:rPr>
              <w:t>Incidences financières</w:t>
            </w:r>
          </w:p>
          <w:p w14:paraId="4B5A6F64" w14:textId="34CEC40B" w:rsidR="00D72F49" w:rsidRPr="00145E13" w:rsidRDefault="009659BE" w:rsidP="00B07B89">
            <w:pPr>
              <w:jc w:val="both"/>
              <w:rPr>
                <w:szCs w:val="24"/>
              </w:rPr>
            </w:pPr>
            <w:r w:rsidRPr="00145E13">
              <w:rPr>
                <w:szCs w:val="24"/>
              </w:rPr>
              <w:t xml:space="preserve">Des ressources financières supplémentaires ont été demandées pour soutenir les activités de l'UIT relatives à l'IA (voir le </w:t>
            </w:r>
            <w:hyperlink r:id="rId8" w:history="1">
              <w:r w:rsidRPr="00145E13">
                <w:rPr>
                  <w:rStyle w:val="Hyperlink"/>
                  <w:rFonts w:eastAsia="Times New Roman" w:cs="Times New Roman"/>
                  <w:szCs w:val="24"/>
                </w:rPr>
                <w:t>Document C26/42</w:t>
              </w:r>
            </w:hyperlink>
            <w:r w:rsidRPr="00145E13">
              <w:rPr>
                <w:szCs w:val="24"/>
              </w:rPr>
              <w:t xml:space="preserve"> du Conseil).</w:t>
            </w:r>
          </w:p>
          <w:p w14:paraId="67702232" w14:textId="77777777" w:rsidR="00D72F49" w:rsidRPr="00145E13" w:rsidRDefault="00D72F49" w:rsidP="00796BDB">
            <w:pPr>
              <w:spacing w:before="160"/>
              <w:rPr>
                <w:caps/>
                <w:sz w:val="22"/>
              </w:rPr>
            </w:pPr>
            <w:r w:rsidRPr="00145E13">
              <w:rPr>
                <w:sz w:val="22"/>
              </w:rPr>
              <w:t>__________________</w:t>
            </w:r>
          </w:p>
          <w:p w14:paraId="53DCD452" w14:textId="77777777" w:rsidR="00D72F49" w:rsidRPr="00145E13" w:rsidRDefault="00D72F49" w:rsidP="00796BDB">
            <w:pPr>
              <w:spacing w:before="160"/>
              <w:rPr>
                <w:b/>
                <w:bCs/>
                <w:sz w:val="26"/>
                <w:szCs w:val="26"/>
              </w:rPr>
            </w:pPr>
            <w:r w:rsidRPr="00145E13">
              <w:rPr>
                <w:b/>
                <w:bCs/>
                <w:sz w:val="26"/>
                <w:szCs w:val="26"/>
              </w:rPr>
              <w:t>Références</w:t>
            </w:r>
          </w:p>
          <w:p w14:paraId="59CA26CD" w14:textId="2893A6DF" w:rsidR="00D72F49" w:rsidRPr="00B07B89" w:rsidRDefault="009659BE" w:rsidP="00CE5172">
            <w:pPr>
              <w:pStyle w:val="Referencetext"/>
              <w:framePr w:hSpace="0" w:wrap="auto" w:vAnchor="margin" w:hAnchor="text" w:xAlign="left" w:yAlign="inline"/>
            </w:pPr>
            <w:hyperlink r:id="rId9" w:history="1">
              <w:r w:rsidRPr="00B07B89">
                <w:rPr>
                  <w:rStyle w:val="Hyperlink"/>
                  <w:rFonts w:eastAsia="Times New Roman" w:cs="Times New Roman"/>
                </w:rPr>
                <w:t>Résolution 214</w:t>
              </w:r>
            </w:hyperlink>
            <w:r w:rsidRPr="00B07B89">
              <w:t xml:space="preserve"> (Bucarest, 2022) de la Conférence de </w:t>
            </w:r>
            <w:proofErr w:type="gramStart"/>
            <w:r w:rsidRPr="00B07B89">
              <w:t>plénipotentiaires;</w:t>
            </w:r>
            <w:proofErr w:type="gramEnd"/>
            <w:r w:rsidRPr="00B07B89">
              <w:t xml:space="preserve"> </w:t>
            </w:r>
            <w:hyperlink r:id="rId10" w:history="1">
              <w:r w:rsidRPr="00B07B89">
                <w:rPr>
                  <w:rStyle w:val="Hyperlink"/>
                  <w:rFonts w:eastAsia="Times New Roman" w:cs="Times New Roman"/>
                </w:rPr>
                <w:t>Résolution 101</w:t>
              </w:r>
            </w:hyperlink>
            <w:r w:rsidRPr="00B07B89">
              <w:t xml:space="preserve"> (New</w:t>
            </w:r>
            <w:r w:rsidR="000D2A66" w:rsidRPr="00B07B89">
              <w:t> </w:t>
            </w:r>
            <w:r w:rsidRPr="00B07B89">
              <w:t>Delhi,</w:t>
            </w:r>
            <w:r w:rsidR="000D2A66" w:rsidRPr="00B07B89">
              <w:t> </w:t>
            </w:r>
            <w:r w:rsidRPr="00B07B89">
              <w:t xml:space="preserve">2024) de </w:t>
            </w:r>
            <w:proofErr w:type="gramStart"/>
            <w:r w:rsidRPr="00B07B89">
              <w:t>l'AMNT;</w:t>
            </w:r>
            <w:proofErr w:type="gramEnd"/>
            <w:r w:rsidRPr="00B07B89">
              <w:t xml:space="preserve"> </w:t>
            </w:r>
            <w:hyperlink r:id="rId11" w:history="1">
              <w:r w:rsidRPr="00B07B89">
                <w:rPr>
                  <w:rStyle w:val="Hyperlink"/>
                  <w:rFonts w:eastAsia="Times New Roman" w:cs="Times New Roman"/>
                </w:rPr>
                <w:t>Résolution 91</w:t>
              </w:r>
            </w:hyperlink>
            <w:r w:rsidRPr="00B07B89">
              <w:t xml:space="preserve"> (Bakou, 2025) de la CMDT</w:t>
            </w:r>
          </w:p>
        </w:tc>
      </w:tr>
    </w:tbl>
    <w:p w14:paraId="17815784" w14:textId="77777777" w:rsidR="00A51849" w:rsidRPr="00145E13" w:rsidRDefault="00A51849">
      <w:pPr>
        <w:tabs>
          <w:tab w:val="clear" w:pos="567"/>
          <w:tab w:val="clear" w:pos="1134"/>
          <w:tab w:val="clear" w:pos="1701"/>
          <w:tab w:val="clear" w:pos="2268"/>
          <w:tab w:val="clear" w:pos="2835"/>
        </w:tabs>
        <w:overflowPunct/>
        <w:autoSpaceDE/>
        <w:autoSpaceDN/>
        <w:adjustRightInd/>
        <w:spacing w:before="0"/>
        <w:textAlignment w:val="auto"/>
      </w:pPr>
      <w:r w:rsidRPr="00145E13">
        <w:br w:type="page"/>
      </w:r>
    </w:p>
    <w:p w14:paraId="48955743" w14:textId="1FD2DF26" w:rsidR="009659BE" w:rsidRPr="00145E13" w:rsidRDefault="009659BE" w:rsidP="00B07B89">
      <w:pPr>
        <w:jc w:val="both"/>
      </w:pPr>
      <w:r w:rsidRPr="00145E13">
        <w:lastRenderedPageBreak/>
        <w:t>En 2025, la Secrétaire générale de l</w:t>
      </w:r>
      <w:r w:rsidR="00060B5F" w:rsidRPr="00145E13">
        <w:t>'</w:t>
      </w:r>
      <w:r w:rsidRPr="00145E13">
        <w:t>UIT a engagé un examen stratégique approfondi des questions relatives à l</w:t>
      </w:r>
      <w:r w:rsidR="00060B5F" w:rsidRPr="00145E13">
        <w:t>'</w:t>
      </w:r>
      <w:r w:rsidRPr="00145E13">
        <w:t>intelligence artificielle (IA) en vue de mettre au point une offre unifiée pour ces questions selon l'approche "Une UIT unie dans l'action", mobilisant l</w:t>
      </w:r>
      <w:r w:rsidR="00060B5F" w:rsidRPr="00145E13">
        <w:t>'</w:t>
      </w:r>
      <w:r w:rsidRPr="00145E13">
        <w:t>ensemble des ressources et activités de l</w:t>
      </w:r>
      <w:r w:rsidR="00060B5F" w:rsidRPr="00145E13">
        <w:t>'</w:t>
      </w:r>
      <w:r w:rsidRPr="00145E13">
        <w:t>Union en matière d</w:t>
      </w:r>
      <w:r w:rsidR="00060B5F" w:rsidRPr="00145E13">
        <w:t>'</w:t>
      </w:r>
      <w:r w:rsidRPr="00145E13">
        <w:t>IA. Fin 2025, ce processus avait débouché sur un inventaire détaillé de plus de 100 activités concernant l</w:t>
      </w:r>
      <w:r w:rsidR="00060B5F" w:rsidRPr="00145E13">
        <w:t>'</w:t>
      </w:r>
      <w:r w:rsidRPr="00145E13">
        <w:t>IA, évaluées selon des critères comme la priorité stratégique, le potentiel de mise à l'échelle, le niveau de risque, la situation financière et les ressources nécessaires. Les activités ont aussi été évaluées pour déterminer s'il convenait d'en augmenter l'échelle, de les maintenir en l'état ou de d'y</w:t>
      </w:r>
      <w:r w:rsidR="0018599D" w:rsidRPr="00145E13">
        <w:t> </w:t>
      </w:r>
      <w:r w:rsidRPr="00145E13">
        <w:t>mettre fin.</w:t>
      </w:r>
    </w:p>
    <w:p w14:paraId="244193A3" w14:textId="63B4F5F9" w:rsidR="009659BE" w:rsidRPr="00145E13" w:rsidRDefault="009659BE" w:rsidP="00B07B89">
      <w:pPr>
        <w:jc w:val="both"/>
      </w:pPr>
      <w:r w:rsidRPr="00145E13">
        <w:t>Mené en étroite collaboration avec des coordonnateurs du Bureau de la normalisation des télécommunications (TSB), du Bureau de développement des télécommunications (BDT), du Bureau des radiocommunications (BR) et du Secrétariat général, l'examen a consisté notamment à vérifier l</w:t>
      </w:r>
      <w:r w:rsidR="00060B5F" w:rsidRPr="00145E13">
        <w:t>'</w:t>
      </w:r>
      <w:r w:rsidRPr="00145E13">
        <w:t>alignement des activités sur les résolutions pertinentes adoptées sur l</w:t>
      </w:r>
      <w:r w:rsidR="00060B5F" w:rsidRPr="00145E13">
        <w:t>'</w:t>
      </w:r>
      <w:r w:rsidRPr="00145E13">
        <w:t>IA par l</w:t>
      </w:r>
      <w:r w:rsidR="00060B5F" w:rsidRPr="00145E13">
        <w:t>'</w:t>
      </w:r>
      <w:r w:rsidRPr="00145E13">
        <w:t>UIT et de l'Organisation des Nations Unies (ONU), et à faire le point des initiatives régionales dans le domaine de l</w:t>
      </w:r>
      <w:r w:rsidR="00060B5F" w:rsidRPr="00145E13">
        <w:t>'</w:t>
      </w:r>
      <w:r w:rsidRPr="00145E13">
        <w:t>IA. L</w:t>
      </w:r>
      <w:r w:rsidR="00060B5F" w:rsidRPr="00145E13">
        <w:t>'</w:t>
      </w:r>
      <w:r w:rsidRPr="00145E13">
        <w:t>inventaire en tant que tel a aussi contribué à améliorer la qualité et la cohérence du Pôle de ressources en intelligence artificielle du système des Nations Unies, récemment mis en ligne. Parallèlement, un examen interne des outils d</w:t>
      </w:r>
      <w:r w:rsidR="00060B5F" w:rsidRPr="00145E13">
        <w:t>'</w:t>
      </w:r>
      <w:r w:rsidRPr="00145E13">
        <w:t>IA utilisés au sein de l</w:t>
      </w:r>
      <w:r w:rsidR="00060B5F" w:rsidRPr="00145E13">
        <w:t>'</w:t>
      </w:r>
      <w:r w:rsidRPr="00145E13">
        <w:t>UIT a été mené pour renforcer l</w:t>
      </w:r>
      <w:r w:rsidR="00060B5F" w:rsidRPr="00145E13">
        <w:t>'</w:t>
      </w:r>
      <w:r w:rsidRPr="00145E13">
        <w:t>efficacité opérationnelle.</w:t>
      </w:r>
    </w:p>
    <w:p w14:paraId="02C99615" w14:textId="203D302B" w:rsidR="009659BE" w:rsidRPr="00145E13" w:rsidRDefault="009659BE" w:rsidP="00B07B89">
      <w:pPr>
        <w:pStyle w:val="Index1"/>
        <w:jc w:val="both"/>
      </w:pPr>
      <w:r w:rsidRPr="00145E13">
        <w:t>Le processus a répertorié plus de 40 fonctionnaires de l</w:t>
      </w:r>
      <w:r w:rsidR="00060B5F" w:rsidRPr="00145E13">
        <w:t>'</w:t>
      </w:r>
      <w:r w:rsidRPr="00145E13">
        <w:t>UIT gérant activement des ressources d'IA, ce qui témoigne d'une forte participation au sein de l'Union aux programmes de l'</w:t>
      </w:r>
      <w:r w:rsidR="00DC00E7" w:rsidRPr="00145E13">
        <w:t>I</w:t>
      </w:r>
      <w:r w:rsidRPr="00145E13">
        <w:t>nitiative sur l</w:t>
      </w:r>
      <w:r w:rsidR="00060B5F" w:rsidRPr="00145E13">
        <w:t>'</w:t>
      </w:r>
      <w:r w:rsidRPr="00145E13">
        <w:t>IA au service du bien social. Par suite de l'examen, comme il apparaît dans le présent document du Conseil, l</w:t>
      </w:r>
      <w:r w:rsidR="00060B5F" w:rsidRPr="00145E13">
        <w:t>'</w:t>
      </w:r>
      <w:r w:rsidRPr="00145E13">
        <w:t>offre de l</w:t>
      </w:r>
      <w:r w:rsidR="00060B5F" w:rsidRPr="00145E13">
        <w:t>'</w:t>
      </w:r>
      <w:r w:rsidRPr="00145E13">
        <w:t xml:space="preserve">UIT dans le domaine de l'IA a été regroupée en trois piliers </w:t>
      </w:r>
      <w:proofErr w:type="gramStart"/>
      <w:r w:rsidRPr="00145E13">
        <w:t>stratégiques:</w:t>
      </w:r>
      <w:proofErr w:type="gramEnd"/>
      <w:r w:rsidRPr="00145E13">
        <w:t xml:space="preserve"> 1) </w:t>
      </w:r>
      <w:r w:rsidR="0018599D" w:rsidRPr="00145E13">
        <w:rPr>
          <w:rStyle w:val="IntenseQuoteChar"/>
          <w:rFonts w:eastAsiaTheme="minorHAnsi"/>
          <w:i w:val="0"/>
          <w:iCs w:val="0"/>
        </w:rPr>
        <w:fldChar w:fldCharType="begin"/>
      </w:r>
      <w:r w:rsidR="0018599D" w:rsidRPr="00145E13">
        <w:rPr>
          <w:rStyle w:val="IntenseQuoteChar"/>
          <w:rFonts w:eastAsiaTheme="minorHAnsi"/>
          <w:i w:val="0"/>
          <w:iCs w:val="0"/>
        </w:rPr>
        <w:instrText xml:space="preserve"> REF Solutionsetconnaissances \h  \* MERGEFORMAT </w:instrText>
      </w:r>
      <w:r w:rsidR="0018599D" w:rsidRPr="00145E13">
        <w:rPr>
          <w:rStyle w:val="IntenseQuoteChar"/>
          <w:rFonts w:eastAsiaTheme="minorHAnsi"/>
          <w:i w:val="0"/>
          <w:iCs w:val="0"/>
        </w:rPr>
      </w:r>
      <w:r w:rsidR="0018599D" w:rsidRPr="00145E13">
        <w:rPr>
          <w:rStyle w:val="IntenseQuoteChar"/>
          <w:rFonts w:eastAsiaTheme="minorHAnsi"/>
          <w:i w:val="0"/>
          <w:iCs w:val="0"/>
        </w:rPr>
        <w:fldChar w:fldCharType="separate"/>
      </w:r>
      <w:r w:rsidR="0018599D" w:rsidRPr="00145E13">
        <w:rPr>
          <w:rStyle w:val="IntenseQuoteChar"/>
          <w:rFonts w:eastAsiaTheme="minorHAnsi"/>
          <w:i w:val="0"/>
          <w:iCs w:val="0"/>
        </w:rPr>
        <w:t>Solutions et connaissances</w:t>
      </w:r>
      <w:r w:rsidR="0018599D" w:rsidRPr="00145E13">
        <w:rPr>
          <w:rStyle w:val="IntenseQuoteChar"/>
          <w:rFonts w:eastAsiaTheme="minorHAnsi"/>
          <w:i w:val="0"/>
          <w:iCs w:val="0"/>
        </w:rPr>
        <w:fldChar w:fldCharType="end"/>
      </w:r>
      <w:r w:rsidRPr="00145E13">
        <w:t xml:space="preserve">; 2) </w:t>
      </w:r>
      <w:r w:rsidR="00384BB3" w:rsidRPr="00145E13">
        <w:rPr>
          <w:rStyle w:val="IntenseQuoteChar"/>
          <w:rFonts w:eastAsiaTheme="minorHAnsi"/>
          <w:i w:val="0"/>
          <w:iCs w:val="0"/>
        </w:rPr>
        <w:fldChar w:fldCharType="begin"/>
      </w:r>
      <w:r w:rsidR="00384BB3" w:rsidRPr="00145E13">
        <w:rPr>
          <w:rStyle w:val="IntenseQuoteChar"/>
          <w:i w:val="0"/>
          <w:iCs w:val="0"/>
        </w:rPr>
        <w:instrText xml:space="preserve"> REF _Ref227575475 \h </w:instrText>
      </w:r>
      <w:r w:rsidR="00384BB3" w:rsidRPr="00145E13">
        <w:rPr>
          <w:rStyle w:val="IntenseQuoteChar"/>
          <w:rFonts w:eastAsiaTheme="minorHAnsi"/>
          <w:i w:val="0"/>
          <w:iCs w:val="0"/>
        </w:rPr>
        <w:instrText xml:space="preserve"> \* MERGEFORMAT </w:instrText>
      </w:r>
      <w:r w:rsidR="00384BB3" w:rsidRPr="00145E13">
        <w:rPr>
          <w:rStyle w:val="IntenseQuoteChar"/>
          <w:rFonts w:eastAsiaTheme="minorHAnsi"/>
          <w:i w:val="0"/>
          <w:iCs w:val="0"/>
        </w:rPr>
      </w:r>
      <w:r w:rsidR="00384BB3" w:rsidRPr="00145E13">
        <w:rPr>
          <w:rStyle w:val="IntenseQuoteChar"/>
          <w:rFonts w:eastAsiaTheme="minorHAnsi"/>
          <w:i w:val="0"/>
          <w:iCs w:val="0"/>
        </w:rPr>
        <w:fldChar w:fldCharType="separate"/>
      </w:r>
      <w:r w:rsidR="00384BB3" w:rsidRPr="00145E13">
        <w:rPr>
          <w:rStyle w:val="IntenseQuoteChar"/>
          <w:i w:val="0"/>
          <w:iCs w:val="0"/>
        </w:rPr>
        <w:t>Compétences et capacités</w:t>
      </w:r>
      <w:r w:rsidR="00384BB3" w:rsidRPr="00145E13">
        <w:rPr>
          <w:rStyle w:val="IntenseQuoteChar"/>
          <w:rFonts w:eastAsiaTheme="minorHAnsi"/>
          <w:i w:val="0"/>
          <w:iCs w:val="0"/>
        </w:rPr>
        <w:fldChar w:fldCharType="end"/>
      </w:r>
      <w:r w:rsidRPr="00145E13">
        <w:t xml:space="preserve">; et 3) </w:t>
      </w:r>
      <w:r w:rsidR="00AF6AF3" w:rsidRPr="00145E13">
        <w:rPr>
          <w:rStyle w:val="IntenseQuoteChar"/>
          <w:i w:val="0"/>
          <w:iCs w:val="0"/>
        </w:rPr>
        <w:fldChar w:fldCharType="begin"/>
      </w:r>
      <w:r w:rsidR="00AF6AF3" w:rsidRPr="00145E13">
        <w:rPr>
          <w:rStyle w:val="IntenseQuoteChar"/>
          <w:i w:val="0"/>
          <w:iCs w:val="0"/>
        </w:rPr>
        <w:instrText xml:space="preserve"> REF Normesetpolitiques \h  \* MERGEFORMAT </w:instrText>
      </w:r>
      <w:r w:rsidR="00AF6AF3" w:rsidRPr="00145E13">
        <w:rPr>
          <w:rStyle w:val="IntenseQuoteChar"/>
          <w:i w:val="0"/>
          <w:iCs w:val="0"/>
        </w:rPr>
      </w:r>
      <w:r w:rsidR="00AF6AF3" w:rsidRPr="00145E13">
        <w:rPr>
          <w:rStyle w:val="IntenseQuoteChar"/>
          <w:i w:val="0"/>
          <w:iCs w:val="0"/>
        </w:rPr>
        <w:fldChar w:fldCharType="separate"/>
      </w:r>
      <w:r w:rsidR="00AF6AF3" w:rsidRPr="00145E13">
        <w:rPr>
          <w:rStyle w:val="IntenseQuoteChar"/>
          <w:i w:val="0"/>
          <w:iCs w:val="0"/>
        </w:rPr>
        <w:t>Normes et politiques</w:t>
      </w:r>
      <w:r w:rsidR="00AF6AF3" w:rsidRPr="00145E13">
        <w:rPr>
          <w:rStyle w:val="IntenseQuoteChar"/>
          <w:i w:val="0"/>
          <w:iCs w:val="0"/>
        </w:rPr>
        <w:fldChar w:fldCharType="end"/>
      </w:r>
      <w:r w:rsidRPr="00145E13">
        <w:t>. Cette approche structurée permet à l</w:t>
      </w:r>
      <w:r w:rsidR="00060B5F" w:rsidRPr="00145E13">
        <w:t>'</w:t>
      </w:r>
      <w:r w:rsidRPr="00145E13">
        <w:t>UIT de mieux mobiliser ses ressources d</w:t>
      </w:r>
      <w:r w:rsidR="00060B5F" w:rsidRPr="00145E13">
        <w:t>'</w:t>
      </w:r>
      <w:r w:rsidRPr="00145E13">
        <w:t>IA pour l'ensemble des bureaux et de guider les membres à toutes les étapes de la chaîne de valeur de l</w:t>
      </w:r>
      <w:r w:rsidR="00060B5F" w:rsidRPr="00145E13">
        <w:t>'</w:t>
      </w:r>
      <w:r w:rsidRPr="00145E13">
        <w:t>IA – des cas d</w:t>
      </w:r>
      <w:r w:rsidR="00060B5F" w:rsidRPr="00145E13">
        <w:t>'</w:t>
      </w:r>
      <w:r w:rsidRPr="00145E13">
        <w:t>utilisation à la stratégie et du déploiement sécurisé au passage à l'échelle – selon un cadre cohérent pour toute l'Union, fondé sur les mandats adoptés par les États Membres dans les diverses résolutions de l</w:t>
      </w:r>
      <w:r w:rsidR="00060B5F" w:rsidRPr="00145E13">
        <w:t>'</w:t>
      </w:r>
      <w:r w:rsidRPr="00145E13">
        <w:t>UIT et de l'ONU.</w:t>
      </w:r>
    </w:p>
    <w:p w14:paraId="0A8F4A25" w14:textId="77777777" w:rsidR="009659BE" w:rsidRPr="00145E13" w:rsidRDefault="009659BE" w:rsidP="00AA63F8">
      <w:pPr>
        <w:pStyle w:val="Heading1"/>
      </w:pPr>
      <w:bookmarkStart w:id="0" w:name="Solutionsetconnaissances"/>
      <w:r w:rsidRPr="00145E13">
        <w:t>1</w:t>
      </w:r>
      <w:r w:rsidRPr="00145E13">
        <w:tab/>
        <w:t>Solutions et connaissances</w:t>
      </w:r>
      <w:bookmarkEnd w:id="0"/>
    </w:p>
    <w:p w14:paraId="361C2EDB" w14:textId="77777777" w:rsidR="009659BE" w:rsidRPr="00145E13" w:rsidRDefault="009659BE" w:rsidP="00B07B89">
      <w:pPr>
        <w:jc w:val="both"/>
      </w:pPr>
      <w:r w:rsidRPr="00145E13">
        <w:t>Depuis 2017, l'UIT se situe à l'avant-garde dans le domaine de l'IA, en cherchant à recenser des applications pratiques de l'IA pour remédier aux grands problèmes mondiaux et contribuer à la connectivité universelle et à la transformation numérique durable.</w:t>
      </w:r>
    </w:p>
    <w:p w14:paraId="723E67FB" w14:textId="77777777" w:rsidR="009659BE" w:rsidRPr="00145E13" w:rsidRDefault="009659BE" w:rsidP="00457597">
      <w:pPr>
        <w:pStyle w:val="Headingb"/>
      </w:pPr>
      <w:r w:rsidRPr="00145E13">
        <w:t>L'intelligence artificielle au service du bien social</w:t>
      </w:r>
    </w:p>
    <w:p w14:paraId="5F27F055" w14:textId="2006F303" w:rsidR="009659BE" w:rsidRPr="00145E13" w:rsidRDefault="009659BE" w:rsidP="00B07B89">
      <w:pPr>
        <w:jc w:val="both"/>
      </w:pPr>
      <w:r w:rsidRPr="00145E13">
        <w:t>L'une des activités phares de l</w:t>
      </w:r>
      <w:r w:rsidR="00060B5F" w:rsidRPr="00145E13">
        <w:t>'</w:t>
      </w:r>
      <w:r w:rsidRPr="00145E13">
        <w:t>UIT dans ce domaine est l'Initiative sur l'</w:t>
      </w:r>
      <w:hyperlink r:id="rId12" w:anchor="/fr" w:history="1">
        <w:r w:rsidRPr="00145E13">
          <w:rPr>
            <w:rStyle w:val="Hyperlink"/>
            <w:rFonts w:eastAsia="Times New Roman" w:cs="Times New Roman"/>
            <w:szCs w:val="20"/>
          </w:rPr>
          <w:t>IA au service du bien</w:t>
        </w:r>
        <w:r w:rsidR="00805CF7" w:rsidRPr="00145E13">
          <w:rPr>
            <w:rStyle w:val="Hyperlink"/>
            <w:rFonts w:eastAsia="Times New Roman" w:cs="Times New Roman"/>
            <w:szCs w:val="20"/>
          </w:rPr>
          <w:t> </w:t>
        </w:r>
        <w:r w:rsidRPr="00145E13">
          <w:rPr>
            <w:rStyle w:val="Hyperlink"/>
            <w:rFonts w:eastAsia="Times New Roman" w:cs="Times New Roman"/>
            <w:szCs w:val="20"/>
          </w:rPr>
          <w:t>social</w:t>
        </w:r>
      </w:hyperlink>
      <w:r w:rsidRPr="00145E13">
        <w:t>, dont elle est l'institution chef de file, qui bénéficie de l'appui de plus de 50</w:t>
      </w:r>
      <w:r w:rsidR="00457597" w:rsidRPr="00145E13">
        <w:t> </w:t>
      </w:r>
      <w:r w:rsidRPr="00145E13">
        <w:t>partenaires du système des Nations Unies et par laquelle les États Membres ont accès:</w:t>
      </w:r>
    </w:p>
    <w:p w14:paraId="1A3BD94E" w14:textId="6327C3D8" w:rsidR="009659BE" w:rsidRPr="00145E13" w:rsidRDefault="009659BE" w:rsidP="00B07B89">
      <w:pPr>
        <w:pStyle w:val="enumlev1"/>
        <w:jc w:val="both"/>
      </w:pPr>
      <w:r w:rsidRPr="00145E13">
        <w:t>–</w:t>
      </w:r>
      <w:r w:rsidRPr="00145E13">
        <w:tab/>
        <w:t>à des solutions d</w:t>
      </w:r>
      <w:r w:rsidR="00060B5F" w:rsidRPr="00145E13">
        <w:t>'</w:t>
      </w:r>
      <w:r w:rsidRPr="00145E13">
        <w:t>IA éprouvées, à des cas d</w:t>
      </w:r>
      <w:r w:rsidR="00060B5F" w:rsidRPr="00145E13">
        <w:t>'</w:t>
      </w:r>
      <w:r w:rsidRPr="00145E13">
        <w:t>utilisation par secteur, à des bonnes pratiques et à des connaissances techniques;</w:t>
      </w:r>
    </w:p>
    <w:p w14:paraId="050C3272" w14:textId="77777777" w:rsidR="009659BE" w:rsidRPr="00145E13" w:rsidRDefault="009659BE" w:rsidP="00B07B89">
      <w:pPr>
        <w:pStyle w:val="enumlev1"/>
        <w:jc w:val="both"/>
      </w:pPr>
      <w:r w:rsidRPr="00145E13">
        <w:t>–</w:t>
      </w:r>
      <w:r w:rsidRPr="00145E13">
        <w:tab/>
        <w:t>à des réseaux mondiaux qui relient le secteur privé, des partenaires du système des Nations Unies, des ONG, des administrations publiques, des jeunes pousses et des chercheurs;</w:t>
      </w:r>
    </w:p>
    <w:p w14:paraId="3FF8003A" w14:textId="64750AD1" w:rsidR="009659BE" w:rsidRPr="00145E13" w:rsidRDefault="009659BE" w:rsidP="00B07B89">
      <w:pPr>
        <w:pStyle w:val="enumlev1"/>
        <w:jc w:val="both"/>
      </w:pPr>
      <w:r w:rsidRPr="00145E13">
        <w:t>–</w:t>
      </w:r>
      <w:r w:rsidRPr="00145E13">
        <w:tab/>
        <w:t>à des compétences en matière d</w:t>
      </w:r>
      <w:r w:rsidR="00060B5F" w:rsidRPr="00145E13">
        <w:t>'</w:t>
      </w:r>
      <w:r w:rsidRPr="00145E13">
        <w:t>IA, à des ressources techniques et à des conseils de mise en œuvre;</w:t>
      </w:r>
    </w:p>
    <w:p w14:paraId="282D8F7B" w14:textId="0FB8992B" w:rsidR="009659BE" w:rsidRPr="00145E13" w:rsidRDefault="009659BE" w:rsidP="00B07B89">
      <w:pPr>
        <w:pStyle w:val="enumlev1"/>
        <w:jc w:val="both"/>
      </w:pPr>
      <w:r w:rsidRPr="00145E13">
        <w:lastRenderedPageBreak/>
        <w:t>–</w:t>
      </w:r>
      <w:r w:rsidRPr="00145E13">
        <w:tab/>
        <w:t>à une collaboration multipartite sur l</w:t>
      </w:r>
      <w:r w:rsidR="00060B5F" w:rsidRPr="00145E13">
        <w:t>'</w:t>
      </w:r>
      <w:r w:rsidRPr="00145E13">
        <w:t>innovation en matière d</w:t>
      </w:r>
      <w:r w:rsidR="00060B5F" w:rsidRPr="00145E13">
        <w:t>'</w:t>
      </w:r>
      <w:r w:rsidRPr="00145E13">
        <w:t>IA pour relever des défis mondiaux.</w:t>
      </w:r>
    </w:p>
    <w:p w14:paraId="76E6366D" w14:textId="19226209" w:rsidR="009659BE" w:rsidRPr="00145E13" w:rsidRDefault="00805CF7" w:rsidP="00B07B89">
      <w:pPr>
        <w:jc w:val="both"/>
      </w:pPr>
      <w:r w:rsidRPr="00145E13">
        <w:t>À</w:t>
      </w:r>
      <w:r w:rsidR="009659BE" w:rsidRPr="00145E13">
        <w:t xml:space="preserve"> un moment où l</w:t>
      </w:r>
      <w:r w:rsidR="00060B5F" w:rsidRPr="00145E13">
        <w:t>'</w:t>
      </w:r>
      <w:r w:rsidR="009659BE" w:rsidRPr="00145E13">
        <w:t>innovation dans le domaine de l</w:t>
      </w:r>
      <w:r w:rsidR="00060B5F" w:rsidRPr="00145E13">
        <w:t>'</w:t>
      </w:r>
      <w:r w:rsidR="009659BE" w:rsidRPr="00145E13">
        <w:t>IA s</w:t>
      </w:r>
      <w:r w:rsidR="00060B5F" w:rsidRPr="00145E13">
        <w:t>'</w:t>
      </w:r>
      <w:r w:rsidR="009659BE" w:rsidRPr="00145E13">
        <w:t>accélère et prend de l</w:t>
      </w:r>
      <w:r w:rsidR="00060B5F" w:rsidRPr="00145E13">
        <w:t>'</w:t>
      </w:r>
      <w:r w:rsidR="009659BE" w:rsidRPr="00145E13">
        <w:t xml:space="preserve">ampleur, le </w:t>
      </w:r>
      <w:hyperlink r:id="rId13" w:anchor="/fr" w:history="1">
        <w:r w:rsidR="009659BE" w:rsidRPr="00145E13">
          <w:rPr>
            <w:rStyle w:val="Hyperlink"/>
            <w:rFonts w:eastAsia="Times New Roman" w:cs="Times New Roman"/>
            <w:szCs w:val="20"/>
          </w:rPr>
          <w:t>Sommet mondial sur l</w:t>
        </w:r>
        <w:r w:rsidR="00060B5F" w:rsidRPr="00145E13">
          <w:rPr>
            <w:rStyle w:val="Hyperlink"/>
            <w:rFonts w:eastAsia="Times New Roman" w:cs="Times New Roman"/>
            <w:szCs w:val="20"/>
          </w:rPr>
          <w:t>'</w:t>
        </w:r>
        <w:r w:rsidR="009659BE" w:rsidRPr="00145E13">
          <w:rPr>
            <w:rStyle w:val="Hyperlink"/>
            <w:rFonts w:eastAsia="Times New Roman" w:cs="Times New Roman"/>
            <w:szCs w:val="20"/>
          </w:rPr>
          <w:t>IA au service du bien social</w:t>
        </w:r>
      </w:hyperlink>
      <w:r w:rsidR="009659BE" w:rsidRPr="00145E13">
        <w:t xml:space="preserve"> et les manifestations régionales "AI</w:t>
      </w:r>
      <w:r w:rsidRPr="00145E13">
        <w:t> </w:t>
      </w:r>
      <w:r w:rsidR="009659BE" w:rsidRPr="00145E13">
        <w:t>for</w:t>
      </w:r>
      <w:r w:rsidRPr="00145E13">
        <w:t> </w:t>
      </w:r>
      <w:r w:rsidR="009659BE" w:rsidRPr="00145E13">
        <w:t>Good Impact" confortent la communauté internationale dans sa volonté d'agir pour</w:t>
      </w:r>
      <w:r w:rsidRPr="00145E13">
        <w:t> </w:t>
      </w:r>
      <w:r w:rsidR="009659BE" w:rsidRPr="00145E13">
        <w:t>les compétences, les normes et les politiques dans le domaine de l'IA. Plus</w:t>
      </w:r>
      <w:r w:rsidRPr="00145E13">
        <w:t> </w:t>
      </w:r>
      <w:r w:rsidR="009659BE" w:rsidRPr="00145E13">
        <w:t>de</w:t>
      </w:r>
      <w:r w:rsidRPr="00145E13">
        <w:t> </w:t>
      </w:r>
      <w:r w:rsidR="009659BE" w:rsidRPr="00145E13">
        <w:t>11</w:t>
      </w:r>
      <w:r w:rsidR="00231A41" w:rsidRPr="00145E13">
        <w:t> </w:t>
      </w:r>
      <w:r w:rsidR="009659BE" w:rsidRPr="00145E13">
        <w:t>000</w:t>
      </w:r>
      <w:r w:rsidR="00231A41" w:rsidRPr="00145E13">
        <w:t> </w:t>
      </w:r>
      <w:r w:rsidR="009659BE" w:rsidRPr="00145E13">
        <w:t>participants originaires de 169 pays ont participé à ce sommet et à la manifestation de haut niveau organisée à l'occasion du vingtième anniversaire du Sommet</w:t>
      </w:r>
      <w:r w:rsidRPr="00145E13">
        <w:t> </w:t>
      </w:r>
      <w:r w:rsidR="009659BE" w:rsidRPr="00145E13">
        <w:t>mondial sur la société de l'information (SMSI+20) en 2025. Parmi les initiatives sur l</w:t>
      </w:r>
      <w:r w:rsidR="00060B5F" w:rsidRPr="00145E13">
        <w:t>'</w:t>
      </w:r>
      <w:r w:rsidR="009659BE" w:rsidRPr="00145E13">
        <w:t xml:space="preserve">IA au service du bien social, on mentionnera la Plate-forme de </w:t>
      </w:r>
      <w:hyperlink r:id="rId14" w:anchor="/fr" w:history="1">
        <w:r w:rsidR="009659BE" w:rsidRPr="00145E13">
          <w:rPr>
            <w:rStyle w:val="Hyperlink"/>
            <w:rFonts w:eastAsia="Times New Roman" w:cs="Times New Roman"/>
            <w:szCs w:val="20"/>
          </w:rPr>
          <w:t>réseau neuronal</w:t>
        </w:r>
      </w:hyperlink>
      <w:r w:rsidR="009659BE" w:rsidRPr="00145E13">
        <w:t xml:space="preserve"> pour la mise en correspondance intelligente, qui compte plus de 55 000 membres originaires de plus</w:t>
      </w:r>
      <w:r w:rsidRPr="00145E13">
        <w:t> </w:t>
      </w:r>
      <w:r w:rsidR="009659BE" w:rsidRPr="00145E13">
        <w:t>de</w:t>
      </w:r>
      <w:r w:rsidRPr="00145E13">
        <w:t> </w:t>
      </w:r>
      <w:r w:rsidR="009659BE" w:rsidRPr="00145E13">
        <w:t>180 pays, l'</w:t>
      </w:r>
      <w:hyperlink r:id="rId15" w:anchor="/fr" w:history="1">
        <w:r w:rsidR="009659BE" w:rsidRPr="00145E13">
          <w:rPr>
            <w:rStyle w:val="Hyperlink"/>
            <w:rFonts w:eastAsia="Times New Roman" w:cs="Times New Roman"/>
            <w:szCs w:val="20"/>
          </w:rPr>
          <w:t>Usine de l'innovation</w:t>
        </w:r>
      </w:hyperlink>
      <w:r w:rsidR="009659BE" w:rsidRPr="00145E13">
        <w:t>, qui permet tout au long de l'année à des petites sociétés spécialisées dans l'</w:t>
      </w:r>
      <w:hyperlink r:id="rId16" w:anchor="/fr" w:history="1">
        <w:r w:rsidR="009659BE" w:rsidRPr="00145E13">
          <w:rPr>
            <w:rStyle w:val="Hyperlink"/>
            <w:rFonts w:eastAsia="Times New Roman" w:cs="Times New Roman"/>
            <w:szCs w:val="20"/>
          </w:rPr>
          <w:t>IA de présenter leur projet</w:t>
        </w:r>
      </w:hyperlink>
      <w:r w:rsidR="009659BE" w:rsidRPr="00145E13">
        <w:t xml:space="preserve">, le </w:t>
      </w:r>
      <w:hyperlink r:id="rId17" w:anchor="/fr" w:history="1">
        <w:r w:rsidR="009659BE" w:rsidRPr="00145E13">
          <w:rPr>
            <w:rStyle w:val="Hyperlink"/>
            <w:rFonts w:eastAsia="Times New Roman" w:cs="Times New Roman"/>
            <w:szCs w:val="20"/>
          </w:rPr>
          <w:t>Défi mondial de la jeunesse sur la robotique au service du bien social</w:t>
        </w:r>
      </w:hyperlink>
      <w:r w:rsidR="009659BE" w:rsidRPr="00145E13">
        <w:t xml:space="preserve">, les </w:t>
      </w:r>
      <w:hyperlink r:id="rId18" w:anchor="/fr" w:history="1">
        <w:r w:rsidR="009659BE" w:rsidRPr="00145E13">
          <w:rPr>
            <w:rStyle w:val="Hyperlink"/>
            <w:rFonts w:eastAsia="Times New Roman" w:cs="Times New Roman"/>
            <w:szCs w:val="20"/>
          </w:rPr>
          <w:t>défis sur l</w:t>
        </w:r>
        <w:r w:rsidR="00060B5F" w:rsidRPr="00145E13">
          <w:rPr>
            <w:rStyle w:val="Hyperlink"/>
            <w:rFonts w:eastAsia="Times New Roman" w:cs="Times New Roman"/>
            <w:szCs w:val="20"/>
          </w:rPr>
          <w:t>'</w:t>
        </w:r>
        <w:r w:rsidR="009659BE" w:rsidRPr="00145E13">
          <w:rPr>
            <w:rStyle w:val="Hyperlink"/>
            <w:rFonts w:eastAsia="Times New Roman" w:cs="Times New Roman"/>
            <w:szCs w:val="20"/>
          </w:rPr>
          <w:t>apprentissage automatique</w:t>
        </w:r>
      </w:hyperlink>
      <w:r w:rsidR="009659BE" w:rsidRPr="00145E13">
        <w:t xml:space="preserve">, la </w:t>
      </w:r>
      <w:hyperlink r:id="rId19" w:anchor="/fr" w:history="1">
        <w:r w:rsidR="009659BE" w:rsidRPr="00145E13">
          <w:rPr>
            <w:rStyle w:val="Hyperlink"/>
            <w:rFonts w:eastAsia="Times New Roman" w:cs="Times New Roman"/>
            <w:szCs w:val="20"/>
          </w:rPr>
          <w:t>Coalition pour les compétences en matière d'IA</w:t>
        </w:r>
      </w:hyperlink>
      <w:r w:rsidR="009659BE" w:rsidRPr="00145E13">
        <w:t>, l'</w:t>
      </w:r>
      <w:hyperlink r:id="rId20" w:anchor="/fr" w:history="1">
        <w:r w:rsidRPr="00145E13">
          <w:rPr>
            <w:rStyle w:val="Hyperlink"/>
            <w:rFonts w:eastAsia="Times New Roman" w:cs="Times New Roman"/>
            <w:szCs w:val="20"/>
          </w:rPr>
          <w:t>Initiative Innovate for Impact</w:t>
        </w:r>
      </w:hyperlink>
      <w:r w:rsidR="009659BE" w:rsidRPr="00145E13">
        <w:t xml:space="preserve"> et la </w:t>
      </w:r>
      <w:hyperlink r:id="rId21" w:anchor="/fr" w:history="1">
        <w:r w:rsidR="009659BE" w:rsidRPr="00145E13">
          <w:rPr>
            <w:rStyle w:val="Hyperlink"/>
            <w:rFonts w:eastAsia="Times New Roman" w:cs="Times New Roman"/>
            <w:szCs w:val="20"/>
          </w:rPr>
          <w:t>Communauté des jeunes chefs de file de l'IA</w:t>
        </w:r>
      </w:hyperlink>
      <w:r w:rsidR="009659BE" w:rsidRPr="00145E13">
        <w:t>, ainsi que l</w:t>
      </w:r>
      <w:r w:rsidR="00060B5F" w:rsidRPr="00145E13">
        <w:t>'</w:t>
      </w:r>
      <w:r w:rsidR="00DC00E7" w:rsidRPr="00145E13">
        <w:t>I</w:t>
      </w:r>
      <w:r w:rsidR="009659BE" w:rsidRPr="00145E13">
        <w:t>nitiative AI for Good Impact, qui vise à mobiliser des ressources en vue de déployer à l</w:t>
      </w:r>
      <w:r w:rsidR="00060B5F" w:rsidRPr="00145E13">
        <w:t>'</w:t>
      </w:r>
      <w:r w:rsidR="009659BE" w:rsidRPr="00145E13">
        <w:t>échelle mondiale des applications et des projets d'IA au service du bien social.</w:t>
      </w:r>
    </w:p>
    <w:p w14:paraId="78C2DE24" w14:textId="4C0D8FA3" w:rsidR="009659BE" w:rsidRPr="00145E13" w:rsidRDefault="009659BE" w:rsidP="00B07B89">
      <w:pPr>
        <w:jc w:val="both"/>
      </w:pPr>
      <w:r w:rsidRPr="00145E13">
        <w:t xml:space="preserve">En complément de ces initiatives, la </w:t>
      </w:r>
      <w:hyperlink r:id="rId22" w:anchor="/fr" w:history="1">
        <w:r w:rsidRPr="00145E13">
          <w:rPr>
            <w:rStyle w:val="Hyperlink"/>
            <w:rFonts w:eastAsia="Times New Roman" w:cs="Times New Roman"/>
            <w:szCs w:val="20"/>
          </w:rPr>
          <w:t>série de webinaires Discovery</w:t>
        </w:r>
      </w:hyperlink>
      <w:r w:rsidRPr="00145E13">
        <w:t xml:space="preserve"> offre un programme presque quotidien d'émissions techniques avec la participation de certains de meilleurs spécialistes mondiaux de l</w:t>
      </w:r>
      <w:r w:rsidR="00060B5F" w:rsidRPr="00145E13">
        <w:t>'</w:t>
      </w:r>
      <w:r w:rsidRPr="00145E13">
        <w:t>IA, en collaboration avec de nombreux organismes des Nations</w:t>
      </w:r>
      <w:r w:rsidR="00165CE3" w:rsidRPr="00145E13">
        <w:t> </w:t>
      </w:r>
      <w:r w:rsidRPr="00145E13">
        <w:t>Unies, où sont abordés un grand nombre de sujets prioritaires, dont la santé, les interventions en cas de catastrophe, la sécurité alimentaire, l</w:t>
      </w:r>
      <w:r w:rsidR="00060B5F" w:rsidRPr="00145E13">
        <w:t>'</w:t>
      </w:r>
      <w:r w:rsidRPr="00145E13">
        <w:t>éducation, l</w:t>
      </w:r>
      <w:r w:rsidR="00060B5F" w:rsidRPr="00145E13">
        <w:t>'</w:t>
      </w:r>
      <w:r w:rsidRPr="00145E13">
        <w:t>avenir du travail, l</w:t>
      </w:r>
      <w:r w:rsidR="00060B5F" w:rsidRPr="00145E13">
        <w:t>'</w:t>
      </w:r>
      <w:r w:rsidRPr="00145E13">
        <w:t>industrie de transformation et l'informatique quantique au service du bien social.</w:t>
      </w:r>
    </w:p>
    <w:p w14:paraId="66D116AB" w14:textId="1997CEF2" w:rsidR="009659BE" w:rsidRPr="00145E13" w:rsidRDefault="009659BE" w:rsidP="00B07B89">
      <w:pPr>
        <w:jc w:val="both"/>
      </w:pPr>
      <w:r w:rsidRPr="00145E13">
        <w:t>L</w:t>
      </w:r>
      <w:r w:rsidR="00060B5F" w:rsidRPr="00145E13">
        <w:t>'</w:t>
      </w:r>
      <w:r w:rsidR="002B48A2" w:rsidRPr="00145E13">
        <w:t>I</w:t>
      </w:r>
      <w:r w:rsidRPr="00145E13">
        <w:t xml:space="preserve">nitiative sur l'IA au service du bien social constitue aussi une importante plate-forme de connaissances, qui produit un grand nombre de </w:t>
      </w:r>
      <w:hyperlink r:id="rId23" w:anchor="/fr" w:history="1">
        <w:r w:rsidRPr="00145E13">
          <w:rPr>
            <w:rStyle w:val="Hyperlink"/>
            <w:rFonts w:eastAsia="Times New Roman" w:cs="Times New Roman"/>
            <w:szCs w:val="20"/>
          </w:rPr>
          <w:t>rapports, d</w:t>
        </w:r>
        <w:r w:rsidR="00060B5F" w:rsidRPr="00145E13">
          <w:rPr>
            <w:rStyle w:val="Hyperlink"/>
            <w:rFonts w:eastAsia="Times New Roman" w:cs="Times New Roman"/>
            <w:szCs w:val="20"/>
          </w:rPr>
          <w:t>'</w:t>
        </w:r>
        <w:r w:rsidRPr="00145E13">
          <w:rPr>
            <w:rStyle w:val="Hyperlink"/>
            <w:rFonts w:eastAsia="Times New Roman" w:cs="Times New Roman"/>
            <w:szCs w:val="20"/>
          </w:rPr>
          <w:t>études de cas et de produits de recherche</w:t>
        </w:r>
      </w:hyperlink>
      <w:r w:rsidRPr="00145E13">
        <w:t xml:space="preserve"> où il est question des applications pratiques de l</w:t>
      </w:r>
      <w:r w:rsidR="00060B5F" w:rsidRPr="00145E13">
        <w:t>'</w:t>
      </w:r>
      <w:r w:rsidRPr="00145E13">
        <w:t>IA, des nouvelles tendances et des contributions de son réseau mondial de partenaires du système des Nations Unies et de spécialistes du domaine. Par exemple, ces trois publications phares ont reçu une importante couverture médiatique internationale, ce qui a encore renforcé le rôle de la plate-forme sur l'IA au service du bien social dans la définition des priorités mondiales pour l</w:t>
      </w:r>
      <w:r w:rsidR="00060B5F" w:rsidRPr="00145E13">
        <w:t>'</w:t>
      </w:r>
      <w:r w:rsidRPr="00145E13">
        <w:t>IA:</w:t>
      </w:r>
    </w:p>
    <w:p w14:paraId="7E5F873E" w14:textId="3D35AACC" w:rsidR="009659BE" w:rsidRPr="00145E13" w:rsidRDefault="009659BE" w:rsidP="00B07B89">
      <w:pPr>
        <w:pStyle w:val="enumlev1"/>
        <w:ind w:right="-98"/>
        <w:jc w:val="both"/>
      </w:pPr>
      <w:r w:rsidRPr="00145E13">
        <w:t>–</w:t>
      </w:r>
      <w:r w:rsidRPr="00145E13">
        <w:tab/>
      </w:r>
      <w:hyperlink r:id="rId24" w:history="1">
        <w:r w:rsidRPr="00145E13">
          <w:rPr>
            <w:rStyle w:val="Hyperlink"/>
            <w:rFonts w:eastAsia="Times New Roman" w:cs="Times New Roman"/>
            <w:szCs w:val="20"/>
          </w:rPr>
          <w:t>Exploiter les promesses de l'IA au service de l'humanité</w:t>
        </w:r>
      </w:hyperlink>
      <w:r w:rsidR="00A5017D" w:rsidRPr="00145E13">
        <w:t>: p</w:t>
      </w:r>
      <w:r w:rsidRPr="00145E13">
        <w:t>roduit en partenariat avec l</w:t>
      </w:r>
      <w:r w:rsidR="00060B5F" w:rsidRPr="00145E13">
        <w:t>'</w:t>
      </w:r>
      <w:r w:rsidRPr="00145E13">
        <w:t>Université des Nations Unies (UNU), cette publication phare donne un panorama complet de la plate-forme sur l</w:t>
      </w:r>
      <w:r w:rsidR="00060B5F" w:rsidRPr="00145E13">
        <w:t>'</w:t>
      </w:r>
      <w:r w:rsidRPr="00145E13">
        <w:t>IA au service du bien social et du rôle qu</w:t>
      </w:r>
      <w:r w:rsidR="00060B5F" w:rsidRPr="00145E13">
        <w:t>'</w:t>
      </w:r>
      <w:r w:rsidRPr="00145E13">
        <w:t>elle joue depuis près de dix ans en rassemblant des chefs de file et des experts de l</w:t>
      </w:r>
      <w:r w:rsidR="00060B5F" w:rsidRPr="00145E13">
        <w:t>'</w:t>
      </w:r>
      <w:r w:rsidRPr="00145E13">
        <w:t>IA pour libérer le potentiel de l</w:t>
      </w:r>
      <w:r w:rsidR="00060B5F" w:rsidRPr="00145E13">
        <w:t>'</w:t>
      </w:r>
      <w:r w:rsidRPr="00145E13">
        <w:t>IA dans la solution de grands problèmes mondiaux comme l</w:t>
      </w:r>
      <w:r w:rsidR="00060B5F" w:rsidRPr="00145E13">
        <w:t>'</w:t>
      </w:r>
      <w:r w:rsidRPr="00145E13">
        <w:t>instabilité géopolitique, les changements climatiques et la reprise après les pandémies.</w:t>
      </w:r>
    </w:p>
    <w:p w14:paraId="31D44FA8" w14:textId="11A329AD" w:rsidR="009659BE" w:rsidRPr="00145E13" w:rsidRDefault="009659BE" w:rsidP="00B07B89">
      <w:pPr>
        <w:pStyle w:val="enumlev1"/>
        <w:widowControl w:val="0"/>
        <w:jc w:val="both"/>
      </w:pPr>
      <w:r w:rsidRPr="00145E13">
        <w:t>–</w:t>
      </w:r>
      <w:r w:rsidRPr="00145E13">
        <w:tab/>
      </w:r>
      <w:hyperlink r:id="rId25" w:history="1">
        <w:r w:rsidRPr="00145E13">
          <w:rPr>
            <w:rStyle w:val="Hyperlink"/>
            <w:rFonts w:eastAsia="Times New Roman" w:cs="Times New Roman"/>
            <w:szCs w:val="20"/>
          </w:rPr>
          <w:t>Rapport de l'</w:t>
        </w:r>
        <w:r w:rsidR="00A5017D" w:rsidRPr="00145E13">
          <w:rPr>
            <w:rStyle w:val="Hyperlink"/>
            <w:rFonts w:eastAsia="Times New Roman" w:cs="Times New Roman"/>
            <w:szCs w:val="20"/>
          </w:rPr>
          <w:t>I</w:t>
        </w:r>
        <w:r w:rsidRPr="00145E13">
          <w:rPr>
            <w:rStyle w:val="Hyperlink"/>
            <w:rFonts w:eastAsia="Times New Roman" w:cs="Times New Roman"/>
            <w:szCs w:val="20"/>
          </w:rPr>
          <w:t>nitiative "AI for Good Impact</w:t>
        </w:r>
      </w:hyperlink>
      <w:r w:rsidRPr="00145E13">
        <w:rPr>
          <w:rStyle w:val="Hyperlink"/>
          <w:rFonts w:eastAsia="Times New Roman" w:cs="Times New Roman"/>
          <w:szCs w:val="20"/>
        </w:rPr>
        <w:t>" (2ème édition)</w:t>
      </w:r>
      <w:r w:rsidR="00A5017D" w:rsidRPr="00145E13">
        <w:t>: r</w:t>
      </w:r>
      <w:r w:rsidRPr="00145E13">
        <w:t>éalisé en collaboration avec Deloitte, ce rapport montre en détail comment l'IA transforme les sociétés dans plusieurs domaines – apprentissage, travail, soins de santé et traitement des problèmes environnementaux; il décrit la situation actuelle, la trajectoire future possible, le cadre réglementaire et les applications dans les principaux secteurs s'agissant de l'IA.</w:t>
      </w:r>
    </w:p>
    <w:p w14:paraId="3900BCDE" w14:textId="6E9628AB" w:rsidR="009659BE" w:rsidRPr="00145E13" w:rsidRDefault="009659BE" w:rsidP="00B07B89">
      <w:pPr>
        <w:pStyle w:val="enumlev1"/>
        <w:jc w:val="both"/>
      </w:pPr>
      <w:r w:rsidRPr="00145E13">
        <w:t>–</w:t>
      </w:r>
      <w:r w:rsidRPr="00145E13">
        <w:tab/>
      </w:r>
      <w:hyperlink r:id="rId26" w:history="1">
        <w:r w:rsidRPr="00145E13">
          <w:rPr>
            <w:rStyle w:val="Hyperlink"/>
            <w:rFonts w:eastAsia="Times New Roman" w:cs="Times New Roman"/>
            <w:szCs w:val="20"/>
          </w:rPr>
          <w:t>Préparation à l'IA – Analyse visant à établir un cadre normalisé pour la préparation à l'IA</w:t>
        </w:r>
      </w:hyperlink>
      <w:r w:rsidR="002B48A2" w:rsidRPr="00145E13">
        <w:t>: l</w:t>
      </w:r>
      <w:r w:rsidRPr="00145E13">
        <w:t>e rapport de l</w:t>
      </w:r>
      <w:r w:rsidR="00060B5F" w:rsidRPr="00145E13">
        <w:t>'</w:t>
      </w:r>
      <w:r w:rsidRPr="00145E13">
        <w:t>UIT sur l</w:t>
      </w:r>
      <w:r w:rsidR="00060B5F" w:rsidRPr="00145E13">
        <w:t>'</w:t>
      </w:r>
      <w:r w:rsidRPr="00145E13">
        <w:t>état de préparation à l</w:t>
      </w:r>
      <w:r w:rsidR="00060B5F" w:rsidRPr="00145E13">
        <w:t>'</w:t>
      </w:r>
      <w:r w:rsidRPr="00145E13">
        <w:t>IA, à l'élaboration duquel plusieurs parties prenantes du monde entier ont été associées, a pour objet d</w:t>
      </w:r>
      <w:r w:rsidR="00060B5F" w:rsidRPr="00145E13">
        <w:t>'</w:t>
      </w:r>
      <w:r w:rsidRPr="00145E13">
        <w:t>évaluer et d</w:t>
      </w:r>
      <w:r w:rsidR="00060B5F" w:rsidRPr="00145E13">
        <w:t>'</w:t>
      </w:r>
      <w:r w:rsidRPr="00145E13">
        <w:t>améliorer le niveau d</w:t>
      </w:r>
      <w:r w:rsidR="00060B5F" w:rsidRPr="00145E13">
        <w:t>'</w:t>
      </w:r>
      <w:r w:rsidRPr="00145E13">
        <w:t>intégration de l</w:t>
      </w:r>
      <w:r w:rsidR="00060B5F" w:rsidRPr="00145E13">
        <w:t>'</w:t>
      </w:r>
      <w:r w:rsidRPr="00145E13">
        <w:t>IA dans divers domaines, d</w:t>
      </w:r>
      <w:r w:rsidR="00060B5F" w:rsidRPr="00145E13">
        <w:t>'</w:t>
      </w:r>
      <w:r w:rsidRPr="00145E13">
        <w:t>étudier des cas d</w:t>
      </w:r>
      <w:r w:rsidR="00060B5F" w:rsidRPr="00145E13">
        <w:t>'</w:t>
      </w:r>
      <w:r w:rsidRPr="00145E13">
        <w:t xml:space="preserve">utilisation pour </w:t>
      </w:r>
      <w:r w:rsidRPr="00145E13">
        <w:lastRenderedPageBreak/>
        <w:t>valider la pondération des principaux facteurs dans ces domaines, d</w:t>
      </w:r>
      <w:r w:rsidR="00060B5F" w:rsidRPr="00145E13">
        <w:t>'</w:t>
      </w:r>
      <w:r w:rsidRPr="00145E13">
        <w:t>améliorer le renforcement des capacités en matière d</w:t>
      </w:r>
      <w:r w:rsidR="00060B5F" w:rsidRPr="00145E13">
        <w:t>'</w:t>
      </w:r>
      <w:r w:rsidRPr="00145E13">
        <w:t>IA dans le monde et de promouvoir des possibilités de collaboration internationale.</w:t>
      </w:r>
    </w:p>
    <w:p w14:paraId="6C5A6C82" w14:textId="7DD1D3E1" w:rsidR="009659BE" w:rsidRPr="00145E13" w:rsidRDefault="009659BE" w:rsidP="00B07B89">
      <w:pPr>
        <w:jc w:val="both"/>
      </w:pPr>
      <w:r w:rsidRPr="00145E13">
        <w:t>L'Initiative sur l</w:t>
      </w:r>
      <w:r w:rsidR="00060B5F" w:rsidRPr="00145E13">
        <w:t>'</w:t>
      </w:r>
      <w:r w:rsidRPr="00145E13">
        <w:t>IA au service du bien social reçoit régulièrement une couverture médiatique internationale importante et suscite une forte participation en ligne. Cet engouement contribue à améliorer la visibilité et la crédibilité de l</w:t>
      </w:r>
      <w:r w:rsidR="00060B5F" w:rsidRPr="00145E13">
        <w:t>'</w:t>
      </w:r>
      <w:r w:rsidRPr="00145E13">
        <w:t>UIT dans l</w:t>
      </w:r>
      <w:r w:rsidR="00060B5F" w:rsidRPr="00145E13">
        <w:t>'</w:t>
      </w:r>
      <w:r w:rsidRPr="00145E13">
        <w:t>écosystème mondial de l</w:t>
      </w:r>
      <w:r w:rsidR="00060B5F" w:rsidRPr="00145E13">
        <w:t>'</w:t>
      </w:r>
      <w:r w:rsidRPr="00145E13">
        <w:t>IA et au sein du système des Nations Unies.</w:t>
      </w:r>
    </w:p>
    <w:p w14:paraId="6401AB97" w14:textId="77777777" w:rsidR="009659BE" w:rsidRPr="00145E13" w:rsidRDefault="009659BE" w:rsidP="002F1693">
      <w:pPr>
        <w:pStyle w:val="Headingb"/>
      </w:pPr>
      <w:r w:rsidRPr="00145E13">
        <w:t xml:space="preserve">Pôle de ressources en intelligence artificielle du système des Nations Unies </w:t>
      </w:r>
    </w:p>
    <w:p w14:paraId="2F209D24" w14:textId="4E7D085A" w:rsidR="009659BE" w:rsidRPr="00145E13" w:rsidRDefault="009659BE" w:rsidP="00B07B89">
      <w:pPr>
        <w:jc w:val="both"/>
      </w:pPr>
      <w:r w:rsidRPr="00145E13">
        <w:t>L</w:t>
      </w:r>
      <w:r w:rsidR="00060B5F" w:rsidRPr="00145E13">
        <w:t>'</w:t>
      </w:r>
      <w:r w:rsidRPr="00145E13">
        <w:t xml:space="preserve">UIT coordonne les contributions destinées au rapport annuel sur les </w:t>
      </w:r>
      <w:hyperlink r:id="rId27" w:history="1">
        <w:r w:rsidRPr="00145E13">
          <w:rPr>
            <w:rStyle w:val="Hyperlink"/>
            <w:rFonts w:eastAsia="Times New Roman" w:cs="Times New Roman"/>
            <w:szCs w:val="20"/>
          </w:rPr>
          <w:t>activités du système des Nations Unies dans le domaine de l</w:t>
        </w:r>
        <w:r w:rsidR="00060B5F" w:rsidRPr="00145E13">
          <w:rPr>
            <w:rStyle w:val="Hyperlink"/>
            <w:rFonts w:eastAsia="Times New Roman" w:cs="Times New Roman"/>
            <w:szCs w:val="20"/>
          </w:rPr>
          <w:t>'</w:t>
        </w:r>
        <w:r w:rsidRPr="00145E13">
          <w:rPr>
            <w:rStyle w:val="Hyperlink"/>
            <w:rFonts w:eastAsia="Times New Roman" w:cs="Times New Roman"/>
            <w:szCs w:val="20"/>
          </w:rPr>
          <w:t>IA</w:t>
        </w:r>
      </w:hyperlink>
      <w:r w:rsidRPr="00145E13">
        <w:t xml:space="preserve"> et établit ce rapport, où étaient catalogués, en</w:t>
      </w:r>
      <w:r w:rsidR="002B48A2" w:rsidRPr="00145E13">
        <w:t> </w:t>
      </w:r>
      <w:r w:rsidRPr="00145E13">
        <w:t>2025, 729 projets (406 en 2024) et qui constitue le seul répertoire exhaustif de ce type sur l</w:t>
      </w:r>
      <w:r w:rsidR="00060B5F" w:rsidRPr="00145E13">
        <w:t>'</w:t>
      </w:r>
      <w:r w:rsidRPr="00145E13">
        <w:t>IA dans le système des Nations Unies. Sur la base de ce rapport, le Programme des Nations</w:t>
      </w:r>
      <w:r w:rsidR="00A7649E" w:rsidRPr="00145E13">
        <w:t> </w:t>
      </w:r>
      <w:r w:rsidRPr="00145E13">
        <w:t>Unies pour le développement (PNUD), l</w:t>
      </w:r>
      <w:r w:rsidR="00060B5F" w:rsidRPr="00145E13">
        <w:t>'</w:t>
      </w:r>
      <w:r w:rsidRPr="00145E13">
        <w:t>UIT et l</w:t>
      </w:r>
      <w:r w:rsidR="00060B5F" w:rsidRPr="00145E13">
        <w:t>'</w:t>
      </w:r>
      <w:r w:rsidRPr="00145E13">
        <w:t xml:space="preserve">Organisation des Nations Unies pour l'éducation, la science et la culture (UNESCO) ont créé conjointement le </w:t>
      </w:r>
      <w:hyperlink r:id="rId28" w:history="1">
        <w:r w:rsidRPr="00145E13">
          <w:rPr>
            <w:rStyle w:val="Hyperlink"/>
            <w:rFonts w:eastAsia="Times New Roman" w:cs="Times New Roman"/>
            <w:szCs w:val="20"/>
          </w:rPr>
          <w:t>Pôle de ressources en IA du système des Nations Unies</w:t>
        </w:r>
      </w:hyperlink>
      <w:r w:rsidRPr="00145E13">
        <w:t>, plate-forme publique dynamique avec fonction de recherche qui organise les activités et les compétences spécialisées d'IA du système des Nations Unies, en les structurant selon une taxonomie normalisée. Hébergé sur la plate</w:t>
      </w:r>
      <w:r w:rsidR="00DC00E7" w:rsidRPr="00145E13">
        <w:noBreakHyphen/>
      </w:r>
      <w:r w:rsidRPr="00145E13">
        <w:t xml:space="preserve">forme de l'Initiative sur l'IA au service du bien social, ce pôle de connaissances est géré avec la participation de l'ensemble du système des Nations Unies, notamment l'apport des contributions du </w:t>
      </w:r>
      <w:hyperlink r:id="rId29" w:history="1">
        <w:r w:rsidRPr="00145E13">
          <w:rPr>
            <w:rStyle w:val="Hyperlink"/>
            <w:rFonts w:eastAsia="Times New Roman" w:cs="Times New Roman"/>
            <w:szCs w:val="20"/>
          </w:rPr>
          <w:t>Groupe de travail interinstitutions sur l</w:t>
        </w:r>
        <w:r w:rsidR="00060B5F" w:rsidRPr="00145E13">
          <w:rPr>
            <w:rStyle w:val="Hyperlink"/>
            <w:rFonts w:eastAsia="Times New Roman" w:cs="Times New Roman"/>
            <w:szCs w:val="20"/>
          </w:rPr>
          <w:t>'</w:t>
        </w:r>
        <w:r w:rsidRPr="00145E13">
          <w:rPr>
            <w:rStyle w:val="Hyperlink"/>
            <w:rFonts w:eastAsia="Times New Roman" w:cs="Times New Roman"/>
            <w:szCs w:val="20"/>
          </w:rPr>
          <w:t>intelligence artificielle</w:t>
        </w:r>
      </w:hyperlink>
      <w:r w:rsidRPr="00145E13">
        <w:t xml:space="preserve"> (GTI-IA), et s'étend actuellement à plus de 800 projets accompagnés d'une description détaillée et de métadonnées.</w:t>
      </w:r>
    </w:p>
    <w:p w14:paraId="11394D64" w14:textId="7E8F92DF" w:rsidR="009659BE" w:rsidRPr="00145E13" w:rsidRDefault="009659BE" w:rsidP="009659BE">
      <w:pPr>
        <w:pStyle w:val="Headingb"/>
      </w:pPr>
      <w:r w:rsidRPr="00145E13">
        <w:t>Initiatives ouvertes sur l</w:t>
      </w:r>
      <w:r w:rsidR="00060B5F" w:rsidRPr="00145E13">
        <w:t>'</w:t>
      </w:r>
      <w:r w:rsidRPr="00145E13">
        <w:t>IA générative</w:t>
      </w:r>
    </w:p>
    <w:p w14:paraId="5E5AAA9A" w14:textId="436747E9" w:rsidR="009659BE" w:rsidRPr="00145E13" w:rsidRDefault="009659BE" w:rsidP="00B07B89">
      <w:pPr>
        <w:jc w:val="both"/>
      </w:pPr>
      <w:r w:rsidRPr="00145E13">
        <w:t>L</w:t>
      </w:r>
      <w:r w:rsidR="00060B5F" w:rsidRPr="00145E13">
        <w:t>'</w:t>
      </w:r>
      <w:hyperlink r:id="rId30" w:history="1">
        <w:r w:rsidRPr="00145E13">
          <w:rPr>
            <w:rStyle w:val="Hyperlink"/>
            <w:rFonts w:eastAsia="Times New Roman" w:cs="Times New Roman"/>
            <w:szCs w:val="20"/>
          </w:rPr>
          <w:t>outil GENIE.AI d</w:t>
        </w:r>
        <w:r w:rsidR="00060B5F" w:rsidRPr="00145E13">
          <w:rPr>
            <w:rStyle w:val="Hyperlink"/>
            <w:rFonts w:eastAsia="Times New Roman" w:cs="Times New Roman"/>
            <w:szCs w:val="20"/>
          </w:rPr>
          <w:t>'</w:t>
        </w:r>
        <w:r w:rsidRPr="00145E13">
          <w:rPr>
            <w:rStyle w:val="Hyperlink"/>
            <w:rFonts w:eastAsia="Times New Roman" w:cs="Times New Roman"/>
            <w:szCs w:val="20"/>
          </w:rPr>
          <w:t>autonomisation globale à travers l'intelligence artificielle et l'équité</w:t>
        </w:r>
      </w:hyperlink>
      <w:r w:rsidRPr="00145E13">
        <w:t xml:space="preserve"> est une IA générative de référence ouverte et collaborative élaborée sous la coordination de l</w:t>
      </w:r>
      <w:r w:rsidR="00060B5F" w:rsidRPr="00145E13">
        <w:t>'</w:t>
      </w:r>
      <w:r w:rsidRPr="00145E13">
        <w:t>UIT, avec l'appui d</w:t>
      </w:r>
      <w:r w:rsidR="00060B5F" w:rsidRPr="00145E13">
        <w:t>'</w:t>
      </w:r>
      <w:r w:rsidRPr="00145E13">
        <w:t>une communauté internationale de contributeurs de code source ouvert. Il sert de banc d</w:t>
      </w:r>
      <w:r w:rsidR="00060B5F" w:rsidRPr="00145E13">
        <w:t>'</w:t>
      </w:r>
      <w:r w:rsidRPr="00145E13">
        <w:t>essai pratique pour aider à l</w:t>
      </w:r>
      <w:r w:rsidR="00060B5F" w:rsidRPr="00145E13">
        <w:t>'</w:t>
      </w:r>
      <w:r w:rsidRPr="00145E13">
        <w:t>élaboration de normes, de spécifications et de lignes directrices opérationnelles pour des systèmes d</w:t>
      </w:r>
      <w:r w:rsidR="00060B5F" w:rsidRPr="00145E13">
        <w:t>'</w:t>
      </w:r>
      <w:r w:rsidRPr="00145E13">
        <w:t xml:space="preserve">IA générative à code source ouvert interopérables et dignes de confiance dans les écosystèmes d'infrastructure publique numérique et de biens publics numériques. L'outil GENIE.AI répond à la </w:t>
      </w:r>
      <w:hyperlink r:id="rId31" w:history="1">
        <w:r w:rsidRPr="00145E13">
          <w:rPr>
            <w:rStyle w:val="Hyperlink"/>
            <w:rFonts w:eastAsia="Times New Roman" w:cs="Times New Roman"/>
            <w:szCs w:val="20"/>
          </w:rPr>
          <w:t>définition de l'IA</w:t>
        </w:r>
      </w:hyperlink>
      <w:r w:rsidRPr="00145E13">
        <w:t xml:space="preserve"> suivie par l'Initiative Open Source, est conforme à la norme relative aux biens publics numériques, contribue à l</w:t>
      </w:r>
      <w:r w:rsidR="00060B5F" w:rsidRPr="00145E13">
        <w:t>'</w:t>
      </w:r>
      <w:r w:rsidRPr="00145E13">
        <w:t>évolution des spécifications d</w:t>
      </w:r>
      <w:r w:rsidR="00060B5F" w:rsidRPr="00145E13">
        <w:t>'</w:t>
      </w:r>
      <w:r w:rsidRPr="00145E13">
        <w:t>IA ouverte de l</w:t>
      </w:r>
      <w:r w:rsidR="00DC00E7" w:rsidRPr="00145E13">
        <w:t>'I</w:t>
      </w:r>
      <w:r w:rsidRPr="00145E13">
        <w:t xml:space="preserve">nitiative </w:t>
      </w:r>
      <w:hyperlink r:id="rId32" w:history="1">
        <w:r w:rsidRPr="00145E13">
          <w:rPr>
            <w:rStyle w:val="Hyperlink"/>
            <w:rFonts w:eastAsia="Times New Roman" w:cs="Times New Roman"/>
            <w:szCs w:val="20"/>
          </w:rPr>
          <w:t>GovStack</w:t>
        </w:r>
      </w:hyperlink>
      <w:r w:rsidRPr="00145E13">
        <w:t xml:space="preserve"> et est intégré dans l'espace de travail GovStack, ce qui le rend directement accessible aux fins d</w:t>
      </w:r>
      <w:r w:rsidR="00060B5F" w:rsidRPr="00145E13">
        <w:t>'</w:t>
      </w:r>
      <w:r w:rsidRPr="00145E13">
        <w:t>expérimentation, d</w:t>
      </w:r>
      <w:r w:rsidR="00060B5F" w:rsidRPr="00145E13">
        <w:t>'</w:t>
      </w:r>
      <w:r w:rsidRPr="00145E13">
        <w:t>adaptation et d</w:t>
      </w:r>
      <w:r w:rsidR="00060B5F" w:rsidRPr="00145E13">
        <w:t>'</w:t>
      </w:r>
      <w:r w:rsidRPr="00145E13">
        <w:t>adoption.</w:t>
      </w:r>
    </w:p>
    <w:p w14:paraId="574FB567" w14:textId="2D472BF7" w:rsidR="009659BE" w:rsidRPr="00145E13" w:rsidRDefault="009659BE" w:rsidP="00B07B89">
      <w:pPr>
        <w:jc w:val="both"/>
      </w:pPr>
      <w:r w:rsidRPr="00145E13">
        <w:t>Au titre de l'</w:t>
      </w:r>
      <w:hyperlink r:id="rId33" w:anchor="/fr" w:history="1">
        <w:r w:rsidRPr="00145E13">
          <w:rPr>
            <w:rStyle w:val="Hyperlink"/>
            <w:rFonts w:eastAsia="Times New Roman" w:cs="Times New Roman"/>
            <w:szCs w:val="20"/>
          </w:rPr>
          <w:t>axe de travail sur l</w:t>
        </w:r>
        <w:r w:rsidR="00060B5F" w:rsidRPr="00145E13">
          <w:rPr>
            <w:rStyle w:val="Hyperlink"/>
            <w:rFonts w:eastAsia="Times New Roman" w:cs="Times New Roman"/>
            <w:szCs w:val="20"/>
          </w:rPr>
          <w:t>'</w:t>
        </w:r>
        <w:r w:rsidRPr="00145E13">
          <w:rPr>
            <w:rStyle w:val="Hyperlink"/>
            <w:rFonts w:eastAsia="Times New Roman" w:cs="Times New Roman"/>
            <w:szCs w:val="20"/>
          </w:rPr>
          <w:t>IA générative à code source ouvert pour les biens publics</w:t>
        </w:r>
      </w:hyperlink>
      <w:r w:rsidRPr="00145E13">
        <w:t xml:space="preserve"> numériques, l</w:t>
      </w:r>
      <w:r w:rsidR="00060B5F" w:rsidRPr="00145E13">
        <w:t>'</w:t>
      </w:r>
      <w:r w:rsidRPr="00145E13">
        <w:t>UIT et la mission Humanitarian Technologies de l</w:t>
      </w:r>
      <w:r w:rsidR="00060B5F" w:rsidRPr="00145E13">
        <w:t>'</w:t>
      </w:r>
      <w:r w:rsidRPr="00145E13">
        <w:t xml:space="preserve">Institute of Electrical and Electronics Engineers (IEEE) ont lancé le </w:t>
      </w:r>
      <w:hyperlink r:id="rId34" w:history="1">
        <w:r w:rsidRPr="00145E13">
          <w:rPr>
            <w:rStyle w:val="Hyperlink"/>
            <w:rFonts w:eastAsia="Times New Roman" w:cs="Times New Roman"/>
            <w:szCs w:val="20"/>
          </w:rPr>
          <w:t>concours sur l'IA générative au service du bien social</w:t>
        </w:r>
      </w:hyperlink>
      <w:r w:rsidRPr="00145E13">
        <w:t>, mécanisme multipartite visant à appliquer l</w:t>
      </w:r>
      <w:r w:rsidR="00060B5F" w:rsidRPr="00145E13">
        <w:t>'</w:t>
      </w:r>
      <w:r w:rsidRPr="00145E13">
        <w:t>IA générative à code source ouvert à des cas d</w:t>
      </w:r>
      <w:r w:rsidR="00060B5F" w:rsidRPr="00145E13">
        <w:t>'</w:t>
      </w:r>
      <w:r w:rsidRPr="00145E13">
        <w:t>utilisation concrets dans le secteur public. Ce concours vise à répondre aux besoins de la Gambie, du Lesotho et du Bangladesh, en aidant les gouvernements et les écosystèmes d</w:t>
      </w:r>
      <w:r w:rsidR="00060B5F" w:rsidRPr="00145E13">
        <w:t>'</w:t>
      </w:r>
      <w:r w:rsidRPr="00145E13">
        <w:t>innovation de ces pays à déployer des solutions d</w:t>
      </w:r>
      <w:r w:rsidR="00060B5F" w:rsidRPr="00145E13">
        <w:t>'</w:t>
      </w:r>
      <w:r w:rsidRPr="00145E13">
        <w:t>IA générative pour la santé, l</w:t>
      </w:r>
      <w:r w:rsidR="00060B5F" w:rsidRPr="00145E13">
        <w:t>'</w:t>
      </w:r>
      <w:r w:rsidRPr="00145E13">
        <w:t>agriculture et la résilience climatique, et complète l'outil GENIE.IA en traduisant les architectures normalisées en scénarios concrets pour le déploiement à l'échelle national.</w:t>
      </w:r>
    </w:p>
    <w:p w14:paraId="27EF19FE" w14:textId="78BFEC31" w:rsidR="009659BE" w:rsidRPr="00145E13" w:rsidRDefault="009659BE" w:rsidP="009659BE">
      <w:pPr>
        <w:pStyle w:val="Headingb"/>
      </w:pPr>
      <w:r w:rsidRPr="00145E13">
        <w:lastRenderedPageBreak/>
        <w:t>Initiatives d</w:t>
      </w:r>
      <w:r w:rsidR="00060B5F" w:rsidRPr="00145E13">
        <w:t>'</w:t>
      </w:r>
      <w:r w:rsidRPr="00145E13">
        <w:t>alertes précoces</w:t>
      </w:r>
    </w:p>
    <w:p w14:paraId="1AC4FC7E" w14:textId="4A5C9AF6" w:rsidR="009659BE" w:rsidRPr="00145E13" w:rsidRDefault="009659BE" w:rsidP="00B07B89">
      <w:pPr>
        <w:jc w:val="both"/>
      </w:pPr>
      <w:r w:rsidRPr="00145E13">
        <w:t>Dans le cadre de l</w:t>
      </w:r>
      <w:r w:rsidR="00060B5F" w:rsidRPr="00145E13">
        <w:t>'</w:t>
      </w:r>
      <w:r w:rsidR="002B48A2" w:rsidRPr="00145E13">
        <w:t>I</w:t>
      </w:r>
      <w:r w:rsidRPr="00145E13">
        <w:t>nitiative "</w:t>
      </w:r>
      <w:hyperlink r:id="rId35" w:history="1">
        <w:r w:rsidRPr="00145E13">
          <w:rPr>
            <w:rStyle w:val="Hyperlink"/>
            <w:rFonts w:eastAsia="Times New Roman" w:cs="Times New Roman"/>
            <w:szCs w:val="20"/>
          </w:rPr>
          <w:t>Alertes précoces pour tous</w:t>
        </w:r>
      </w:hyperlink>
      <w:r w:rsidRPr="00145E13">
        <w:t xml:space="preserve">" (EW4All) de l'ONU, dont elle coordonne le </w:t>
      </w:r>
      <w:hyperlink r:id="rId36" w:history="1">
        <w:r w:rsidRPr="00145E13">
          <w:rPr>
            <w:rStyle w:val="Hyperlink"/>
            <w:rFonts w:eastAsia="Times New Roman" w:cs="Times New Roman"/>
            <w:szCs w:val="20"/>
          </w:rPr>
          <w:t>sous-groupe chargé de l'intelligence artificielle</w:t>
        </w:r>
      </w:hyperlink>
      <w:r w:rsidRPr="00145E13">
        <w:t>, l</w:t>
      </w:r>
      <w:r w:rsidR="00060B5F" w:rsidRPr="00145E13">
        <w:t>'</w:t>
      </w:r>
      <w:r w:rsidRPr="00145E13">
        <w:t xml:space="preserve">UIT a lancé un </w:t>
      </w:r>
      <w:hyperlink r:id="rId37" w:history="1">
        <w:r w:rsidRPr="00145E13">
          <w:rPr>
            <w:rStyle w:val="Hyperlink"/>
            <w:rFonts w:eastAsia="Times New Roman" w:cs="Times New Roman"/>
            <w:szCs w:val="20"/>
          </w:rPr>
          <w:t>concours de l'innovation sur l'IA dans les alertes précoces pour tous</w:t>
        </w:r>
      </w:hyperlink>
      <w:r w:rsidRPr="00145E13">
        <w:t xml:space="preserve"> (2025), dont elle soutient actuellement les finalistes dans certains pays pilotes. Un catalogue de solutions d</w:t>
      </w:r>
      <w:r w:rsidR="00060B5F" w:rsidRPr="00145E13">
        <w:t>'</w:t>
      </w:r>
      <w:r w:rsidRPr="00145E13">
        <w:t>IA avec fonction de recherche et un rapport sur l'IA au service des alertes précoces pour tous seront publiés par l</w:t>
      </w:r>
      <w:r w:rsidR="00060B5F" w:rsidRPr="00145E13">
        <w:t>'</w:t>
      </w:r>
      <w:r w:rsidRPr="00145E13">
        <w:t>Organisation météorologique mondiale (OMM), le Bureau des Nations Unies pour la réduction des risques de catastrophe (UNDRR), l</w:t>
      </w:r>
      <w:r w:rsidR="00060B5F" w:rsidRPr="00145E13">
        <w:t>'</w:t>
      </w:r>
      <w:r w:rsidRPr="00145E13">
        <w:t>UIT et la Fédération internationale des sociétés de la Croix-Rouge et du Croissant-Rouge (FICR) lors du Sommet mondial de 2026 sur l</w:t>
      </w:r>
      <w:r w:rsidR="00060B5F" w:rsidRPr="00145E13">
        <w:t>'</w:t>
      </w:r>
      <w:r w:rsidRPr="00145E13">
        <w:t xml:space="preserve">intelligence artificielle au service du bien social. La </w:t>
      </w:r>
      <w:hyperlink r:id="rId38" w:history="1">
        <w:r w:rsidRPr="00145E13">
          <w:rPr>
            <w:rStyle w:val="Hyperlink"/>
            <w:rFonts w:eastAsia="Times New Roman" w:cs="Times New Roman"/>
            <w:szCs w:val="20"/>
          </w:rPr>
          <w:t>carte de connectivité pour l</w:t>
        </w:r>
        <w:r w:rsidR="00060B5F" w:rsidRPr="00145E13">
          <w:rPr>
            <w:rStyle w:val="Hyperlink"/>
            <w:rFonts w:eastAsia="Times New Roman" w:cs="Times New Roman"/>
            <w:szCs w:val="20"/>
          </w:rPr>
          <w:t>'</w:t>
        </w:r>
        <w:r w:rsidRPr="00145E13">
          <w:rPr>
            <w:rStyle w:val="Hyperlink"/>
            <w:rFonts w:eastAsia="Times New Roman" w:cs="Times New Roman"/>
            <w:szCs w:val="20"/>
          </w:rPr>
          <w:t>alerte avancée</w:t>
        </w:r>
      </w:hyperlink>
      <w:r w:rsidRPr="00145E13">
        <w:t xml:space="preserve"> (EWCM) est un outil fondé sur l</w:t>
      </w:r>
      <w:r w:rsidR="00060B5F" w:rsidRPr="00145E13">
        <w:t>'</w:t>
      </w:r>
      <w:r w:rsidRPr="00145E13">
        <w:t>IA permettant de visualiser où les personnes se trouvent dans la zone de couverture et de déterminer les "zones blanches" de connectivité qui empêchent de joindre les populations par alerte mobile. Des résultats sont disponibles pour 33 pays de l'</w:t>
      </w:r>
      <w:r w:rsidR="002B48A2" w:rsidRPr="00145E13">
        <w:t>I</w:t>
      </w:r>
      <w:r w:rsidRPr="00145E13">
        <w:t>nitiative EW4ALL et un transfert de capacités est en cours (une formation étant ainsi dispensée aux autorités de réglementation de la Somalie et de Madagascar).</w:t>
      </w:r>
    </w:p>
    <w:p w14:paraId="121731BD" w14:textId="77777777" w:rsidR="009659BE" w:rsidRPr="00145E13" w:rsidRDefault="009659BE" w:rsidP="009659BE">
      <w:pPr>
        <w:pStyle w:val="Headingb"/>
      </w:pPr>
      <w:r w:rsidRPr="00145E13">
        <w:t>Autres activités dans le domaine des connaissances</w:t>
      </w:r>
    </w:p>
    <w:p w14:paraId="1EDBC979" w14:textId="7F7F621F" w:rsidR="009659BE" w:rsidRPr="00145E13" w:rsidRDefault="009659BE" w:rsidP="00B07B89">
      <w:pPr>
        <w:jc w:val="both"/>
      </w:pPr>
      <w:r w:rsidRPr="00145E13">
        <w:t>Dans le cadre de l</w:t>
      </w:r>
      <w:r w:rsidR="00060B5F" w:rsidRPr="00145E13">
        <w:t>'</w:t>
      </w:r>
      <w:r w:rsidR="002B48A2" w:rsidRPr="00145E13">
        <w:t>I</w:t>
      </w:r>
      <w:r w:rsidRPr="00145E13">
        <w:t xml:space="preserve">nitiative </w:t>
      </w:r>
      <w:hyperlink r:id="rId39" w:anchor="/fr" w:history="1">
        <w:r w:rsidRPr="00145E13">
          <w:rPr>
            <w:rStyle w:val="Hyperlink"/>
            <w:rFonts w:eastAsia="Times New Roman" w:cs="Times New Roman"/>
            <w:szCs w:val="20"/>
          </w:rPr>
          <w:t>Tous unis pour des villes intelligentes et durables (U4SSC)</w:t>
        </w:r>
      </w:hyperlink>
      <w:r w:rsidRPr="00145E13">
        <w:t>, un groupe thématique sur l'utilisation de l</w:t>
      </w:r>
      <w:r w:rsidR="00060B5F" w:rsidRPr="00145E13">
        <w:t>'</w:t>
      </w:r>
      <w:r w:rsidRPr="00145E13">
        <w:t>IA dans les villes et des groupes de travail connexes étudient des méthodes innovantes fondées sur l</w:t>
      </w:r>
      <w:r w:rsidR="00060B5F" w:rsidRPr="00145E13">
        <w:t>'</w:t>
      </w:r>
      <w:r w:rsidRPr="00145E13">
        <w:t>IA, des capacités d</w:t>
      </w:r>
      <w:r w:rsidR="00060B5F" w:rsidRPr="00145E13">
        <w:t>'</w:t>
      </w:r>
      <w:r w:rsidRPr="00145E13">
        <w:t>IA agentique et de nouvelles sources de données, afin d</w:t>
      </w:r>
      <w:r w:rsidR="00060B5F" w:rsidRPr="00145E13">
        <w:t>'</w:t>
      </w:r>
      <w:r w:rsidRPr="00145E13">
        <w:t>améliorer la mesure, la précision et l</w:t>
      </w:r>
      <w:r w:rsidR="00060B5F" w:rsidRPr="00145E13">
        <w:t>'</w:t>
      </w:r>
      <w:r w:rsidRPr="00145E13">
        <w:t>actualité des indicateurs de performance des villes. Dans le cadre de l</w:t>
      </w:r>
      <w:r w:rsidR="00060B5F" w:rsidRPr="00145E13">
        <w:t>'</w:t>
      </w:r>
      <w:r w:rsidR="00C978B8" w:rsidRPr="00145E13">
        <w:t>I</w:t>
      </w:r>
      <w:r w:rsidRPr="00145E13">
        <w:t>nitiative Action du secteur du numérique pour l'environnement, un sous-groupe de travail sur l</w:t>
      </w:r>
      <w:r w:rsidR="00060B5F" w:rsidRPr="00145E13">
        <w:t>'</w:t>
      </w:r>
      <w:r w:rsidRPr="00145E13">
        <w:t xml:space="preserve">IA durable a été créé pour faire le point des lacunes en mesurant et en expérimentant différentes charges de travail pour mieux comprendre </w:t>
      </w:r>
      <w:hyperlink r:id="rId40" w:history="1">
        <w:r w:rsidRPr="00145E13">
          <w:t>l'</w:t>
        </w:r>
        <w:r w:rsidRPr="00145E13">
          <w:rPr>
            <w:rStyle w:val="Hyperlink"/>
            <w:rFonts w:eastAsia="Times New Roman" w:cs="Times New Roman"/>
            <w:szCs w:val="20"/>
          </w:rPr>
          <w:t>empreinte environnementale de l</w:t>
        </w:r>
        <w:r w:rsidR="00060B5F" w:rsidRPr="00145E13">
          <w:rPr>
            <w:rStyle w:val="Hyperlink"/>
            <w:rFonts w:eastAsia="Times New Roman" w:cs="Times New Roman"/>
            <w:szCs w:val="20"/>
          </w:rPr>
          <w:t>'</w:t>
        </w:r>
        <w:r w:rsidRPr="00145E13">
          <w:rPr>
            <w:rStyle w:val="Hyperlink"/>
            <w:rFonts w:eastAsia="Times New Roman" w:cs="Times New Roman"/>
            <w:szCs w:val="20"/>
          </w:rPr>
          <w:t>IA</w:t>
        </w:r>
      </w:hyperlink>
      <w:r w:rsidRPr="00145E13">
        <w:t>. Le groupe a publié un rapport intitulé "</w:t>
      </w:r>
      <w:hyperlink r:id="rId41" w:history="1">
        <w:r w:rsidRPr="00145E13">
          <w:rPr>
            <w:rStyle w:val="Hyperlink"/>
            <w:rFonts w:eastAsia="Times New Roman" w:cs="Times New Roman"/>
            <w:szCs w:val="20"/>
          </w:rPr>
          <w:t>Mesurer ce qui compte: comment évaluer les effets environnementaux de l'IA</w:t>
        </w:r>
      </w:hyperlink>
      <w:r w:rsidRPr="00145E13">
        <w:t xml:space="preserve">" et a créé un </w:t>
      </w:r>
      <w:hyperlink r:id="rId42" w:history="1">
        <w:r w:rsidRPr="00145E13">
          <w:rPr>
            <w:rStyle w:val="Hyperlink"/>
            <w:rFonts w:eastAsia="Times New Roman" w:cs="Times New Roman"/>
            <w:szCs w:val="20"/>
          </w:rPr>
          <w:t>référentiel en libre accès</w:t>
        </w:r>
      </w:hyperlink>
      <w:r w:rsidRPr="00145E13">
        <w:t xml:space="preserve"> répertoriant des pratiques logicielles durables. L</w:t>
      </w:r>
      <w:r w:rsidR="00060B5F" w:rsidRPr="00145E13">
        <w:t>'</w:t>
      </w:r>
      <w:hyperlink r:id="rId43" w:anchor="/fr" w:history="1">
        <w:r w:rsidRPr="00145E13">
          <w:rPr>
            <w:rStyle w:val="Hyperlink"/>
            <w:rFonts w:eastAsia="Times New Roman" w:cs="Times New Roman"/>
            <w:szCs w:val="20"/>
          </w:rPr>
          <w:t>Organe consultatif universitaire sur les technologies émergentes</w:t>
        </w:r>
      </w:hyperlink>
      <w:r w:rsidRPr="00145E13">
        <w:t xml:space="preserve"> a créé un groupe thématique consacré à l</w:t>
      </w:r>
      <w:r w:rsidR="00060B5F" w:rsidRPr="00145E13">
        <w:t>'</w:t>
      </w:r>
      <w:r w:rsidRPr="00145E13">
        <w:t>IA, qui élabore actuellement un rapport abordant des domaines clés comme les nouveaux modèles informatiques, l</w:t>
      </w:r>
      <w:r w:rsidR="00060B5F" w:rsidRPr="00145E13">
        <w:t>'</w:t>
      </w:r>
      <w:r w:rsidRPr="00145E13">
        <w:t xml:space="preserve">IA générale et les enjeux de durabilité. Le </w:t>
      </w:r>
      <w:hyperlink r:id="rId44" w:anchor="/fr" w:history="1">
        <w:r w:rsidRPr="00145E13">
          <w:rPr>
            <w:rStyle w:val="Hyperlink"/>
            <w:rFonts w:eastAsia="Times New Roman" w:cs="Times New Roman"/>
            <w:szCs w:val="20"/>
          </w:rPr>
          <w:t>Comité consultatif des jeunes</w:t>
        </w:r>
      </w:hyperlink>
      <w:r w:rsidRPr="00145E13">
        <w:t xml:space="preserve"> a également communiqué à la Secrétaire générale des recommandations sur les enjeux et les tendances de l'IA.</w:t>
      </w:r>
    </w:p>
    <w:p w14:paraId="70CCE811" w14:textId="22A3F685" w:rsidR="009659BE" w:rsidRPr="00145E13" w:rsidRDefault="009659BE" w:rsidP="009659BE">
      <w:pPr>
        <w:pStyle w:val="Headingb"/>
      </w:pPr>
      <w:r w:rsidRPr="00145E13">
        <w:t>Groupe scientifique sur l</w:t>
      </w:r>
      <w:r w:rsidR="00060B5F" w:rsidRPr="00145E13">
        <w:t>'</w:t>
      </w:r>
      <w:r w:rsidRPr="00145E13">
        <w:t>IA et dialogue sur la gouvernance de l'IA</w:t>
      </w:r>
    </w:p>
    <w:p w14:paraId="7FEFCE75" w14:textId="52A567F1" w:rsidR="009659BE" w:rsidRPr="00145E13" w:rsidRDefault="009659BE" w:rsidP="00B07B89">
      <w:pPr>
        <w:jc w:val="both"/>
      </w:pPr>
      <w:r w:rsidRPr="00145E13">
        <w:t>L</w:t>
      </w:r>
      <w:r w:rsidR="00060B5F" w:rsidRPr="00145E13">
        <w:t>'</w:t>
      </w:r>
      <w:r w:rsidRPr="00145E13">
        <w:t>UIT fait partie du secrétariat conjoint de deux processus mondiaux créés par l</w:t>
      </w:r>
      <w:r w:rsidR="00060B5F" w:rsidRPr="00145E13">
        <w:t>'</w:t>
      </w:r>
      <w:r w:rsidRPr="00145E13">
        <w:t xml:space="preserve">Assemblée générale des Nations Unies en application de sa </w:t>
      </w:r>
      <w:hyperlink r:id="rId45" w:history="1">
        <w:r w:rsidR="002C4EF2" w:rsidRPr="00145E13">
          <w:rPr>
            <w:rStyle w:val="Hyperlink"/>
            <w:rFonts w:eastAsia="Times New Roman" w:cs="Times New Roman"/>
            <w:szCs w:val="20"/>
          </w:rPr>
          <w:t>R</w:t>
        </w:r>
        <w:r w:rsidRPr="00145E13">
          <w:rPr>
            <w:rStyle w:val="Hyperlink"/>
            <w:rFonts w:eastAsia="Times New Roman" w:cs="Times New Roman"/>
            <w:szCs w:val="20"/>
          </w:rPr>
          <w:t>ésolution 79/325</w:t>
        </w:r>
      </w:hyperlink>
      <w:r w:rsidRPr="00145E13">
        <w:t>, relative au Dialogue mondial sur la gouvernance de l'IA et au Groupe scientifique international sur l</w:t>
      </w:r>
      <w:r w:rsidR="00060B5F" w:rsidRPr="00145E13">
        <w:t>'</w:t>
      </w:r>
      <w:r w:rsidRPr="00145E13">
        <w:t>IA. Les autres membres du secrétariat conjoint sont l</w:t>
      </w:r>
      <w:r w:rsidR="00060B5F" w:rsidRPr="00145E13">
        <w:t>'</w:t>
      </w:r>
      <w:r w:rsidRPr="00145E13">
        <w:t>UNESCO et le Bureau de l'Envoyé spécial du Secrétaire général de l'ONU pour les technologies, tandis que le Cabinet du Secrétaire général de l</w:t>
      </w:r>
      <w:r w:rsidR="00060B5F" w:rsidRPr="00145E13">
        <w:t>'</w:t>
      </w:r>
      <w:r w:rsidRPr="00145E13">
        <w:t>ONU fournit un appui.</w:t>
      </w:r>
    </w:p>
    <w:p w14:paraId="2DD04921" w14:textId="5B36E7A0" w:rsidR="009659BE" w:rsidRPr="00145E13" w:rsidRDefault="009659BE" w:rsidP="00B07B89">
      <w:pPr>
        <w:jc w:val="both"/>
      </w:pPr>
      <w:r w:rsidRPr="00145E13">
        <w:t xml:space="preserve">La première édition du </w:t>
      </w:r>
      <w:hyperlink r:id="rId46" w:history="1">
        <w:r w:rsidRPr="00145E13">
          <w:rPr>
            <w:rStyle w:val="Hyperlink"/>
            <w:rFonts w:eastAsia="Times New Roman" w:cs="Times New Roman"/>
            <w:szCs w:val="20"/>
          </w:rPr>
          <w:t>Dialogue mondial des Nations Unies sur la gouvernance de l'IA</w:t>
        </w:r>
      </w:hyperlink>
      <w:r w:rsidRPr="00145E13">
        <w:t xml:space="preserve"> aura lieu au Centre international de congrès et d</w:t>
      </w:r>
      <w:r w:rsidR="00060B5F" w:rsidRPr="00145E13">
        <w:t>'</w:t>
      </w:r>
      <w:r w:rsidRPr="00145E13">
        <w:t>expositions – Palexpo, à Genève (Suisse), les</w:t>
      </w:r>
      <w:r w:rsidR="00C978B8" w:rsidRPr="00145E13">
        <w:t> </w:t>
      </w:r>
      <w:r w:rsidRPr="00145E13">
        <w:t>6</w:t>
      </w:r>
      <w:r w:rsidR="00C978B8" w:rsidRPr="00145E13">
        <w:t> </w:t>
      </w:r>
      <w:r w:rsidRPr="00145E13">
        <w:t>et</w:t>
      </w:r>
      <w:r w:rsidR="00C978B8" w:rsidRPr="00145E13">
        <w:t> </w:t>
      </w:r>
      <w:r w:rsidRPr="00145E13">
        <w:t>7 juillet 2026, en marge du Sommet mondial sur l</w:t>
      </w:r>
      <w:r w:rsidR="00060B5F" w:rsidRPr="00145E13">
        <w:t>'</w:t>
      </w:r>
      <w:r w:rsidRPr="00145E13">
        <w:t>IA au service du bien social. Ce Dialogue sera animé par le Secrétaire général de l</w:t>
      </w:r>
      <w:r w:rsidR="00060B5F" w:rsidRPr="00145E13">
        <w:t>'</w:t>
      </w:r>
      <w:r w:rsidRPr="00145E13">
        <w:t>ONU, et l</w:t>
      </w:r>
      <w:r w:rsidR="00060B5F" w:rsidRPr="00145E13">
        <w:t>'</w:t>
      </w:r>
      <w:r w:rsidRPr="00145E13">
        <w:t>UIT en coordonnera les travaux, conjointement avec l</w:t>
      </w:r>
      <w:r w:rsidR="00060B5F" w:rsidRPr="00145E13">
        <w:t>'</w:t>
      </w:r>
      <w:r w:rsidRPr="00145E13">
        <w:t>UNESCO, en étroite concertation avec les Coprésidents (les</w:t>
      </w:r>
      <w:r w:rsidR="002C4EF2" w:rsidRPr="00145E13">
        <w:t> </w:t>
      </w:r>
      <w:r w:rsidRPr="00145E13">
        <w:t>représentants permanents d</w:t>
      </w:r>
      <w:r w:rsidR="00060B5F" w:rsidRPr="00145E13">
        <w:t>'</w:t>
      </w:r>
      <w:r w:rsidRPr="00145E13">
        <w:t>El Salvador et de l</w:t>
      </w:r>
      <w:r w:rsidR="00060B5F" w:rsidRPr="00145E13">
        <w:t>'</w:t>
      </w:r>
      <w:r w:rsidRPr="00145E13">
        <w:t>Estonie auprès du Siège de l</w:t>
      </w:r>
      <w:r w:rsidR="00060B5F" w:rsidRPr="00145E13">
        <w:t>'</w:t>
      </w:r>
      <w:r w:rsidRPr="00145E13">
        <w:t>ONU à New</w:t>
      </w:r>
      <w:r w:rsidR="00BB18C5" w:rsidRPr="00145E13">
        <w:t> </w:t>
      </w:r>
      <w:r w:rsidRPr="00145E13">
        <w:t xml:space="preserve">York), et avec l'appui du Cabinet du Secrétaire général de l'ONU et du Bureau de son Envoyé spécial pour les technologies. Des </w:t>
      </w:r>
      <w:r w:rsidRPr="00145E13">
        <w:lastRenderedPageBreak/>
        <w:t>lettres d</w:t>
      </w:r>
      <w:r w:rsidR="00060B5F" w:rsidRPr="00145E13">
        <w:t>'</w:t>
      </w:r>
      <w:r w:rsidRPr="00145E13">
        <w:t>invitation ont été envoyées aux États</w:t>
      </w:r>
      <w:r w:rsidR="00C978B8" w:rsidRPr="00145E13">
        <w:t> </w:t>
      </w:r>
      <w:r w:rsidRPr="00145E13">
        <w:t>Membres par le Secrétaire général de l</w:t>
      </w:r>
      <w:r w:rsidR="00060B5F" w:rsidRPr="00145E13">
        <w:t>'</w:t>
      </w:r>
      <w:r w:rsidRPr="00145E13">
        <w:t xml:space="preserve">ONU, et les invitations pour les autres parties prenantes seront communiquées sur le </w:t>
      </w:r>
      <w:hyperlink r:id="rId47" w:history="1">
        <w:r w:rsidRPr="00145E13">
          <w:rPr>
            <w:rStyle w:val="Hyperlink"/>
            <w:rFonts w:eastAsia="Times New Roman" w:cs="Times New Roman"/>
            <w:szCs w:val="20"/>
          </w:rPr>
          <w:t>site web du Dialogue mondial</w:t>
        </w:r>
      </w:hyperlink>
      <w:r w:rsidRPr="00145E13">
        <w:t>.</w:t>
      </w:r>
    </w:p>
    <w:p w14:paraId="2A923CC0" w14:textId="6D65A705" w:rsidR="009659BE" w:rsidRPr="00145E13" w:rsidRDefault="009659BE" w:rsidP="00B07B89">
      <w:pPr>
        <w:jc w:val="both"/>
      </w:pPr>
      <w:r w:rsidRPr="00145E13">
        <w:t xml:space="preserve">Une </w:t>
      </w:r>
      <w:hyperlink r:id="rId48" w:history="1">
        <w:r w:rsidRPr="00145E13">
          <w:rPr>
            <w:rStyle w:val="Hyperlink"/>
            <w:rFonts w:eastAsia="Times New Roman" w:cs="Times New Roman"/>
            <w:szCs w:val="20"/>
          </w:rPr>
          <w:t>feuille de route</w:t>
        </w:r>
      </w:hyperlink>
      <w:r w:rsidRPr="00145E13">
        <w:t xml:space="preserve"> décrivant le processus de consultation des États Membres et de toutes les parties concernées a été publiée afin d'expliquer les thèmes, la structure et le programme du Dialogue. Des consultations sont déjà en cours, notamment sous la forme d'un dialogue (en présentiel et à distance) avec les États Membres, de consultations avec les parties prenantes faisant intervenir un grand nombre de participants d'horizons divers, en marge de la </w:t>
      </w:r>
      <w:r w:rsidR="003F1154" w:rsidRPr="00145E13">
        <w:t>C</w:t>
      </w:r>
      <w:r w:rsidRPr="00145E13">
        <w:t>onférence India AI Impact Summit et selon des modalités virtuelles, et de consultations à l</w:t>
      </w:r>
      <w:r w:rsidR="00060B5F" w:rsidRPr="00145E13">
        <w:t>'</w:t>
      </w:r>
      <w:r w:rsidRPr="00145E13">
        <w:t xml:space="preserve">échelle du système des Nations Unies à travers le Groupe GTI-IA. Plusieurs autres consultations sont programmées pour les mois à venir. Dans ce contexte, les Coprésidents se rendront à Genève en avril afin de poursuivre le dialogue avec les principaux acteurs, notamment avec les missions permanentes, les organisations internationales et d'autres parties prenantes à Genève. Un </w:t>
      </w:r>
      <w:hyperlink r:id="rId49" w:history="1">
        <w:r w:rsidRPr="00145E13">
          <w:rPr>
            <w:rStyle w:val="Hyperlink"/>
            <w:rFonts w:eastAsia="Times New Roman" w:cs="Times New Roman"/>
            <w:szCs w:val="20"/>
          </w:rPr>
          <w:t>portail en ligne spécifique</w:t>
        </w:r>
      </w:hyperlink>
      <w:r w:rsidRPr="00145E13">
        <w:t xml:space="preserve"> a été créé pour recueillir des contributions écrites afin d</w:t>
      </w:r>
      <w:r w:rsidR="00060B5F" w:rsidRPr="00145E13">
        <w:t>'</w:t>
      </w:r>
      <w:r w:rsidRPr="00145E13">
        <w:t>éclairer le Dialogue mondial.</w:t>
      </w:r>
    </w:p>
    <w:p w14:paraId="47314959" w14:textId="7BCB7FC6" w:rsidR="009659BE" w:rsidRPr="00145E13" w:rsidRDefault="009659BE" w:rsidP="00B07B89">
      <w:pPr>
        <w:jc w:val="both"/>
      </w:pPr>
      <w:r w:rsidRPr="00145E13">
        <w:t xml:space="preserve">Membre du secrétariat conjoint du </w:t>
      </w:r>
      <w:hyperlink r:id="rId50" w:history="1">
        <w:r w:rsidRPr="00145E13">
          <w:rPr>
            <w:rStyle w:val="Hyperlink"/>
            <w:rFonts w:eastAsia="Times New Roman" w:cs="Times New Roman"/>
            <w:szCs w:val="20"/>
          </w:rPr>
          <w:t>Groupe scientifique international sur l</w:t>
        </w:r>
        <w:r w:rsidR="00060B5F" w:rsidRPr="00145E13">
          <w:rPr>
            <w:rStyle w:val="Hyperlink"/>
            <w:rFonts w:eastAsia="Times New Roman" w:cs="Times New Roman"/>
            <w:szCs w:val="20"/>
          </w:rPr>
          <w:t>'</w:t>
        </w:r>
        <w:r w:rsidRPr="00145E13">
          <w:rPr>
            <w:rStyle w:val="Hyperlink"/>
            <w:rFonts w:eastAsia="Times New Roman" w:cs="Times New Roman"/>
            <w:szCs w:val="20"/>
          </w:rPr>
          <w:t>IA</w:t>
        </w:r>
      </w:hyperlink>
      <w:r w:rsidRPr="00145E13">
        <w:t>, l</w:t>
      </w:r>
      <w:r w:rsidR="00060B5F" w:rsidRPr="00145E13">
        <w:t>'</w:t>
      </w:r>
      <w:r w:rsidRPr="00145E13">
        <w:t>UIT a coopéré étroitement à la création du Groupe, notamment en jouant un rôle actif dans le processus de sélection et en s'appuyant sur le Groupe GTI-IA pour les questions de coordination à l</w:t>
      </w:r>
      <w:r w:rsidR="00060B5F" w:rsidRPr="00145E13">
        <w:t>'</w:t>
      </w:r>
      <w:r w:rsidRPr="00145E13">
        <w:t>échelle du système des Nations Unies. L</w:t>
      </w:r>
      <w:r w:rsidR="00060B5F" w:rsidRPr="00145E13">
        <w:t>'</w:t>
      </w:r>
      <w:r w:rsidRPr="00145E13">
        <w:t>UIT collabore étroitement avec le Bureau de l'Envoyé spécial pour les technologies et l</w:t>
      </w:r>
      <w:r w:rsidR="00060B5F" w:rsidRPr="00145E13">
        <w:t>'</w:t>
      </w:r>
      <w:r w:rsidRPr="00145E13">
        <w:t>UNESCO pour faciliter la mise en place du Groupe. La première réunion du Groupe, tenue en distanciel le 3 mars, a réuni le Secrétaire général de l</w:t>
      </w:r>
      <w:r w:rsidR="00060B5F" w:rsidRPr="00145E13">
        <w:t>'</w:t>
      </w:r>
      <w:r w:rsidRPr="00145E13">
        <w:t>ONU et les chefs des institutions membres du secrétariat conjoint. Les préparatifs de la première réunion en présentiel, qui doit avoir lieu à Madrid du 22 au 24 avril, sont en cours. Le secrétariat collabore étroitement avec les Coprésidents du Groupe pour mettre en place les groupes de travail thématiques et le reste du dispositif technique. Le premier rapport annuel du Groupe devrait être présenté lors du Dialogue mondial sur la gouvernance de l'IA.</w:t>
      </w:r>
    </w:p>
    <w:p w14:paraId="48D7ACA1" w14:textId="48B69995" w:rsidR="009659BE" w:rsidRPr="00145E13" w:rsidRDefault="009659BE" w:rsidP="009659BE">
      <w:pPr>
        <w:pStyle w:val="Headingb"/>
      </w:pPr>
      <w:r w:rsidRPr="00145E13">
        <w:t>Groupe de travail interinstitutions sur l</w:t>
      </w:r>
      <w:r w:rsidR="00060B5F" w:rsidRPr="00145E13">
        <w:t>'</w:t>
      </w:r>
      <w:r w:rsidRPr="00145E13">
        <w:t>IA</w:t>
      </w:r>
    </w:p>
    <w:p w14:paraId="15067967" w14:textId="170D53B3" w:rsidR="009659BE" w:rsidRPr="00145E13" w:rsidRDefault="009659BE" w:rsidP="00B07B89">
      <w:pPr>
        <w:jc w:val="both"/>
      </w:pPr>
      <w:r w:rsidRPr="00145E13">
        <w:t xml:space="preserve">Le </w:t>
      </w:r>
      <w:hyperlink r:id="rId51" w:history="1">
        <w:r w:rsidRPr="00145E13">
          <w:rPr>
            <w:rStyle w:val="Hyperlink"/>
            <w:rFonts w:eastAsia="Times New Roman" w:cs="Times New Roman"/>
            <w:szCs w:val="20"/>
          </w:rPr>
          <w:t>Groupe de travail interinstitutions des Nations Unies sur l</w:t>
        </w:r>
        <w:r w:rsidR="00060B5F" w:rsidRPr="00145E13">
          <w:rPr>
            <w:rStyle w:val="Hyperlink"/>
            <w:rFonts w:eastAsia="Times New Roman" w:cs="Times New Roman"/>
            <w:szCs w:val="20"/>
          </w:rPr>
          <w:t>'</w:t>
        </w:r>
        <w:r w:rsidRPr="00145E13">
          <w:rPr>
            <w:rStyle w:val="Hyperlink"/>
            <w:rFonts w:eastAsia="Times New Roman" w:cs="Times New Roman"/>
            <w:szCs w:val="20"/>
          </w:rPr>
          <w:t>IA</w:t>
        </w:r>
      </w:hyperlink>
      <w:r w:rsidRPr="00145E13">
        <w:t xml:space="preserve"> (GTI-IA), créé à l</w:t>
      </w:r>
      <w:r w:rsidR="00060B5F" w:rsidRPr="00145E13">
        <w:t>'</w:t>
      </w:r>
      <w:r w:rsidRPr="00145E13">
        <w:t>origine par le Comité de haut niveau sur les programmes et coprésidé par l</w:t>
      </w:r>
      <w:r w:rsidR="00060B5F" w:rsidRPr="00145E13">
        <w:t>'</w:t>
      </w:r>
      <w:r w:rsidRPr="00145E13">
        <w:t>UIT et l</w:t>
      </w:r>
      <w:r w:rsidR="00060B5F" w:rsidRPr="00145E13">
        <w:t>'</w:t>
      </w:r>
      <w:r w:rsidRPr="00145E13">
        <w:t xml:space="preserve">UNESCO, assure la coordination entre plus de 60 entités des Nations Unies. Le Groupe GTI-IA a élaboré plusieurs ressources ces dernières années, notamment les </w:t>
      </w:r>
      <w:hyperlink r:id="rId52" w:history="1">
        <w:r w:rsidRPr="00145E13">
          <w:rPr>
            <w:rStyle w:val="Hyperlink"/>
            <w:rFonts w:eastAsia="Times New Roman" w:cs="Times New Roman"/>
            <w:szCs w:val="20"/>
          </w:rPr>
          <w:t>Principes concernant l'utilisation éthique de l'IA à l</w:t>
        </w:r>
        <w:r w:rsidR="00060B5F" w:rsidRPr="00145E13">
          <w:rPr>
            <w:rStyle w:val="Hyperlink"/>
            <w:rFonts w:eastAsia="Times New Roman" w:cs="Times New Roman"/>
            <w:szCs w:val="20"/>
          </w:rPr>
          <w:t>'</w:t>
        </w:r>
        <w:r w:rsidRPr="00145E13">
          <w:rPr>
            <w:rStyle w:val="Hyperlink"/>
            <w:rFonts w:eastAsia="Times New Roman" w:cs="Times New Roman"/>
            <w:szCs w:val="20"/>
          </w:rPr>
          <w:t>échelle du système des Nations Unies</w:t>
        </w:r>
      </w:hyperlink>
      <w:r w:rsidRPr="00145E13">
        <w:t xml:space="preserve">, le </w:t>
      </w:r>
      <w:hyperlink r:id="rId53" w:history="1">
        <w:r w:rsidRPr="00145E13">
          <w:rPr>
            <w:rStyle w:val="Hyperlink"/>
            <w:rFonts w:eastAsia="Times New Roman" w:cs="Times New Roman"/>
            <w:szCs w:val="20"/>
          </w:rPr>
          <w:t>Livre blanc du système des Nations Unies sur la gouvernance de l'IA</w:t>
        </w:r>
      </w:hyperlink>
      <w:r w:rsidRPr="00145E13">
        <w:t xml:space="preserve"> et le </w:t>
      </w:r>
      <w:hyperlink r:id="rId54" w:history="1">
        <w:r w:rsidRPr="00145E13">
          <w:rPr>
            <w:rStyle w:val="Hyperlink"/>
            <w:rFonts w:eastAsia="Times New Roman" w:cs="Times New Roman"/>
            <w:szCs w:val="20"/>
          </w:rPr>
          <w:t>Pôle de ressources en IA du système des Nations Unies</w:t>
        </w:r>
      </w:hyperlink>
      <w:r w:rsidRPr="00145E13">
        <w:t>. Les résolutions adoptées par les États Membres reconnaissent les travaux du Groupe GTI-IA (la Résolution 101 (New Delhi, 2024) de l</w:t>
      </w:r>
      <w:r w:rsidR="00060B5F" w:rsidRPr="00145E13">
        <w:t>'</w:t>
      </w:r>
      <w:r w:rsidRPr="00145E13">
        <w:t xml:space="preserve">AMNT, la </w:t>
      </w:r>
      <w:r w:rsidR="002B48A2" w:rsidRPr="00145E13">
        <w:t>D</w:t>
      </w:r>
      <w:r w:rsidRPr="00145E13">
        <w:t>écision 220 EX/41 de l</w:t>
      </w:r>
      <w:r w:rsidR="00060B5F" w:rsidRPr="00145E13">
        <w:t>'</w:t>
      </w:r>
      <w:r w:rsidRPr="00145E13">
        <w:t xml:space="preserve">UNESCO et la Résolution 91 (Bakou, 2025) de la CMDT, à titre d'exemple). La </w:t>
      </w:r>
      <w:hyperlink r:id="rId55" w:history="1">
        <w:r w:rsidR="00BB18C5" w:rsidRPr="00145E13">
          <w:rPr>
            <w:rStyle w:val="Hyperlink"/>
            <w:rFonts w:eastAsia="Times New Roman" w:cs="Times New Roman"/>
            <w:szCs w:val="20"/>
          </w:rPr>
          <w:t>R</w:t>
        </w:r>
        <w:r w:rsidRPr="00145E13">
          <w:rPr>
            <w:rStyle w:val="Hyperlink"/>
            <w:rFonts w:eastAsia="Times New Roman" w:cs="Times New Roman"/>
            <w:szCs w:val="20"/>
          </w:rPr>
          <w:t>ésolution</w:t>
        </w:r>
        <w:r w:rsidR="00C978B8" w:rsidRPr="00145E13">
          <w:rPr>
            <w:rStyle w:val="Hyperlink"/>
            <w:rFonts w:eastAsia="Times New Roman" w:cs="Times New Roman"/>
            <w:szCs w:val="20"/>
          </w:rPr>
          <w:t> </w:t>
        </w:r>
        <w:r w:rsidRPr="00145E13">
          <w:rPr>
            <w:rStyle w:val="Hyperlink"/>
            <w:rFonts w:eastAsia="Times New Roman" w:cs="Times New Roman"/>
            <w:szCs w:val="20"/>
          </w:rPr>
          <w:t>79/325</w:t>
        </w:r>
      </w:hyperlink>
      <w:r w:rsidRPr="00145E13">
        <w:t xml:space="preserve"> de l</w:t>
      </w:r>
      <w:r w:rsidR="00060B5F" w:rsidRPr="00145E13">
        <w:t>'</w:t>
      </w:r>
      <w:r w:rsidRPr="00145E13">
        <w:t>Assemblée générale prie le Secrétaire général de l</w:t>
      </w:r>
      <w:r w:rsidR="00060B5F" w:rsidRPr="00145E13">
        <w:t>'</w:t>
      </w:r>
      <w:r w:rsidRPr="00145E13">
        <w:t>ONU de mobiliser les capacités du système des Nations Unies, y compris celles du Groupe GTI-IA, à l'appui du Groupe scientifique international sur l</w:t>
      </w:r>
      <w:r w:rsidR="00060B5F" w:rsidRPr="00145E13">
        <w:t>'</w:t>
      </w:r>
      <w:r w:rsidRPr="00145E13">
        <w:t xml:space="preserve">IA et du Dialogue mondial sur la gouvernance de l'IA. Conformément à la </w:t>
      </w:r>
      <w:hyperlink r:id="rId56" w:history="1">
        <w:r w:rsidR="00424A11" w:rsidRPr="00145E13">
          <w:rPr>
            <w:rStyle w:val="Hyperlink"/>
            <w:rFonts w:eastAsia="Times New Roman" w:cs="Times New Roman"/>
            <w:szCs w:val="20"/>
          </w:rPr>
          <w:t>R</w:t>
        </w:r>
        <w:r w:rsidRPr="00145E13">
          <w:rPr>
            <w:rStyle w:val="Hyperlink"/>
            <w:rFonts w:eastAsia="Times New Roman" w:cs="Times New Roman"/>
            <w:szCs w:val="20"/>
          </w:rPr>
          <w:t>ésolution 80/173</w:t>
        </w:r>
      </w:hyperlink>
      <w:r w:rsidRPr="00145E13">
        <w:t xml:space="preserve"> de l</w:t>
      </w:r>
      <w:r w:rsidR="00060B5F" w:rsidRPr="00145E13">
        <w:t>'</w:t>
      </w:r>
      <w:r w:rsidRPr="00145E13">
        <w:t>Assemblée générale sur l</w:t>
      </w:r>
      <w:r w:rsidR="00060B5F" w:rsidRPr="00145E13">
        <w:t>'</w:t>
      </w:r>
      <w:r w:rsidRPr="00145E13">
        <w:t>examen de la mise en</w:t>
      </w:r>
      <w:r w:rsidR="00C978B8" w:rsidRPr="00145E13">
        <w:t> </w:t>
      </w:r>
      <w:r w:rsidRPr="00145E13">
        <w:t>œuvre des textes issus du SMSI+20, le Groupe GTI-IA est chargé de dresser l</w:t>
      </w:r>
      <w:r w:rsidR="00060B5F" w:rsidRPr="00145E13">
        <w:t>'</w:t>
      </w:r>
      <w:r w:rsidRPr="00145E13">
        <w:t>inventaire des initiatives de renforcement des capacités engagées à l</w:t>
      </w:r>
      <w:r w:rsidR="00060B5F" w:rsidRPr="00145E13">
        <w:t>'</w:t>
      </w:r>
      <w:r w:rsidRPr="00145E13">
        <w:t>échelle du système des Nations</w:t>
      </w:r>
      <w:r w:rsidR="00C978B8" w:rsidRPr="00145E13">
        <w:t> </w:t>
      </w:r>
      <w:r w:rsidRPr="00145E13">
        <w:t>Unies et de créer une bourse aux fins du renforcement des capacités en matière d'IA ainsi que des programmes de recherche. Le Groupe GTI-IA est devenu un mécanisme stable de coordination interinstitutions, grâce à l'appui de l</w:t>
      </w:r>
      <w:r w:rsidR="00060B5F" w:rsidRPr="00145E13">
        <w:t>'</w:t>
      </w:r>
      <w:r w:rsidRPr="00145E13">
        <w:t>UIT et de l</w:t>
      </w:r>
      <w:r w:rsidR="00060B5F" w:rsidRPr="00145E13">
        <w:t>'</w:t>
      </w:r>
      <w:r w:rsidRPr="00145E13">
        <w:t xml:space="preserve">UNESCO qui en assurent conjointement le </w:t>
      </w:r>
      <w:r w:rsidRPr="00145E13">
        <w:lastRenderedPageBreak/>
        <w:t>secrétariat. Cette transition permet au système des Nations Unies de mieux regrouper les compétences, les données et l'assistance au profit des États Membres.</w:t>
      </w:r>
    </w:p>
    <w:p w14:paraId="346C20E3" w14:textId="77777777" w:rsidR="009659BE" w:rsidRPr="00145E13" w:rsidRDefault="009659BE" w:rsidP="009659BE">
      <w:pPr>
        <w:pStyle w:val="Headingb"/>
      </w:pPr>
      <w:r w:rsidRPr="00145E13">
        <w:t>Autres plates-formes fédératrices</w:t>
      </w:r>
    </w:p>
    <w:p w14:paraId="33366E58" w14:textId="1F06C7E1" w:rsidR="009659BE" w:rsidRPr="00145E13" w:rsidRDefault="009659BE" w:rsidP="00B07B89">
      <w:pPr>
        <w:jc w:val="both"/>
      </w:pPr>
      <w:r w:rsidRPr="00145E13">
        <w:t xml:space="preserve">Le </w:t>
      </w:r>
      <w:hyperlink r:id="rId57" w:history="1">
        <w:r w:rsidRPr="00145E13">
          <w:rPr>
            <w:rStyle w:val="Hyperlink"/>
            <w:rFonts w:eastAsia="Times New Roman" w:cs="Times New Roman"/>
            <w:szCs w:val="20"/>
          </w:rPr>
          <w:t>Forum annuel du SMSI</w:t>
        </w:r>
      </w:hyperlink>
      <w:r w:rsidRPr="00145E13">
        <w:t xml:space="preserve"> offre une tribune permettant aux différentes parties prenantes de débattre de l</w:t>
      </w:r>
      <w:r w:rsidR="00060B5F" w:rsidRPr="00145E13">
        <w:t>'</w:t>
      </w:r>
      <w:r w:rsidRPr="00145E13">
        <w:t>IA dans le contexte du développement, et la programmation simultanée avec le Sommet sur l</w:t>
      </w:r>
      <w:r w:rsidR="00060B5F" w:rsidRPr="00145E13">
        <w:t>'</w:t>
      </w:r>
      <w:r w:rsidRPr="00145E13">
        <w:t>IA au service du bien social a permis aux groupes concernés de tirer parti des deux plates-formes.</w:t>
      </w:r>
    </w:p>
    <w:p w14:paraId="4A34038E" w14:textId="7550A898" w:rsidR="009659BE" w:rsidRPr="00145E13" w:rsidRDefault="009659BE" w:rsidP="00B07B89">
      <w:pPr>
        <w:jc w:val="both"/>
      </w:pPr>
      <w:r w:rsidRPr="00145E13">
        <w:t xml:space="preserve">Le </w:t>
      </w:r>
      <w:hyperlink r:id="rId58" w:history="1">
        <w:r w:rsidRPr="00145E13">
          <w:rPr>
            <w:rStyle w:val="Hyperlink"/>
            <w:rFonts w:eastAsia="Times New Roman" w:cs="Times New Roman"/>
            <w:szCs w:val="20"/>
          </w:rPr>
          <w:t>projet Giga</w:t>
        </w:r>
      </w:hyperlink>
      <w:r w:rsidRPr="00145E13">
        <w:t xml:space="preserve"> mené par l'UIT en coopération avec le Fonds des Nations Unies pour l'enfance (UNICEF) vise à utiliser l'IA de manière stratégique pour développer la connectivité Internet afin de connecter les écoles du monde entier. En partenariat avec la </w:t>
      </w:r>
      <w:hyperlink r:id="rId59" w:anchor="/fr" w:history="1">
        <w:r w:rsidRPr="00145E13">
          <w:rPr>
            <w:rStyle w:val="Hyperlink"/>
            <w:rFonts w:eastAsia="Times New Roman" w:cs="Times New Roman"/>
            <w:szCs w:val="20"/>
          </w:rPr>
          <w:t>Coalition pour le numérique Partner2Connect</w:t>
        </w:r>
      </w:hyperlink>
      <w:r w:rsidRPr="00145E13">
        <w:t>, l</w:t>
      </w:r>
      <w:r w:rsidR="00060B5F" w:rsidRPr="00145E13">
        <w:t>'</w:t>
      </w:r>
      <w:r w:rsidRPr="00145E13">
        <w:t>UIT sollicite des contributions permettant d'améliorer l'accès et l'inclusion grâce à l</w:t>
      </w:r>
      <w:r w:rsidR="00060B5F" w:rsidRPr="00145E13">
        <w:t>'</w:t>
      </w:r>
      <w:r w:rsidRPr="00145E13">
        <w:t>IA. Dans le cadre de son initiative pour les investissements dans l'infrastructure numérique, l</w:t>
      </w:r>
      <w:r w:rsidR="00060B5F" w:rsidRPr="00145E13">
        <w:t>'</w:t>
      </w:r>
      <w:r w:rsidRPr="00145E13">
        <w:t>UIT élabore un guide des investissements dans l'infrastructure numérique et l'IA.</w:t>
      </w:r>
    </w:p>
    <w:p w14:paraId="48793368" w14:textId="77777777" w:rsidR="009659BE" w:rsidRPr="00145E13" w:rsidRDefault="009659BE" w:rsidP="009659BE">
      <w:pPr>
        <w:pStyle w:val="Heading1"/>
      </w:pPr>
      <w:bookmarkStart w:id="1" w:name="_Ref227575475"/>
      <w:r w:rsidRPr="00145E13">
        <w:t>2</w:t>
      </w:r>
      <w:r w:rsidRPr="00145E13">
        <w:tab/>
        <w:t>Compétences et capacités</w:t>
      </w:r>
      <w:bookmarkEnd w:id="1"/>
    </w:p>
    <w:p w14:paraId="6CB5E7EF" w14:textId="77777777" w:rsidR="009659BE" w:rsidRPr="00145E13" w:rsidRDefault="009659BE" w:rsidP="009659BE">
      <w:pPr>
        <w:pStyle w:val="Headingb"/>
      </w:pPr>
      <w:r w:rsidRPr="00145E13">
        <w:t>Coalition pour les compétences en matière d'IA</w:t>
      </w:r>
    </w:p>
    <w:p w14:paraId="198F9CC9" w14:textId="40348153" w:rsidR="009659BE" w:rsidRPr="00145E13" w:rsidRDefault="009659BE" w:rsidP="00B07B89">
      <w:pPr>
        <w:jc w:val="both"/>
      </w:pPr>
      <w:r w:rsidRPr="00145E13">
        <w:t>L</w:t>
      </w:r>
      <w:r w:rsidR="00060B5F" w:rsidRPr="00145E13">
        <w:t>'</w:t>
      </w:r>
      <w:hyperlink r:id="rId60" w:anchor="/fr" w:history="1">
        <w:r w:rsidR="00424A11" w:rsidRPr="00145E13">
          <w:rPr>
            <w:rStyle w:val="Hyperlink"/>
            <w:rFonts w:eastAsia="Times New Roman" w:cs="Times New Roman"/>
            <w:szCs w:val="20"/>
          </w:rPr>
          <w:t>I</w:t>
        </w:r>
        <w:r w:rsidRPr="00145E13">
          <w:rPr>
            <w:rStyle w:val="Hyperlink"/>
            <w:rFonts w:eastAsia="Times New Roman" w:cs="Times New Roman"/>
            <w:szCs w:val="20"/>
          </w:rPr>
          <w:t>nitiative AI for Good Impact</w:t>
        </w:r>
      </w:hyperlink>
      <w:r w:rsidRPr="00145E13">
        <w:t xml:space="preserve"> permet à l</w:t>
      </w:r>
      <w:r w:rsidR="00060B5F" w:rsidRPr="00145E13">
        <w:t>'</w:t>
      </w:r>
      <w:r w:rsidRPr="00145E13">
        <w:t>UIT de développer des solutions d</w:t>
      </w:r>
      <w:r w:rsidR="00060B5F" w:rsidRPr="00145E13">
        <w:t>'</w:t>
      </w:r>
      <w:r w:rsidRPr="00145E13">
        <w:t xml:space="preserve">IA efficaces et de consolider les activités de renforcement des capacités, particulièrement à l'intention des pays en développement. La </w:t>
      </w:r>
      <w:hyperlink r:id="rId61" w:anchor="/fr" w:history="1">
        <w:r w:rsidRPr="00145E13">
          <w:rPr>
            <w:rStyle w:val="Hyperlink"/>
            <w:rFonts w:eastAsia="Times New Roman" w:cs="Times New Roman"/>
            <w:szCs w:val="20"/>
          </w:rPr>
          <w:t>Coalition pour les compétences d'IA de l'Initiative sur l'IA au service du bien social</w:t>
        </w:r>
      </w:hyperlink>
      <w:r w:rsidRPr="00145E13">
        <w:t xml:space="preserve"> vise à opérer un mouvement transformateur d'autonomisation des individus et des populations par l'acquisition des compétences et des connaissances de base de l'IA. En partenariat avec l'</w:t>
      </w:r>
      <w:r w:rsidR="00B31AE1" w:rsidRPr="00145E13">
        <w:t>I</w:t>
      </w:r>
      <w:r w:rsidRPr="00145E13">
        <w:t>nitiative Google.org et la fondation i.am Angel, et dans le cadre de la Coalition pour les compétences d'IA et du projet Giga, l</w:t>
      </w:r>
      <w:r w:rsidR="00060B5F" w:rsidRPr="00145E13">
        <w:t>'</w:t>
      </w:r>
      <w:r w:rsidRPr="00145E13">
        <w:t>UIT organisera des programmes de formation destinés aux enseignants du secondaire et créera des clubs scolaires sur l'IA au Ghana, au Nigéria, en République sudafricaine, au Kenya et en Côte d</w:t>
      </w:r>
      <w:r w:rsidR="00060B5F" w:rsidRPr="00145E13">
        <w:t>'</w:t>
      </w:r>
      <w:r w:rsidRPr="00145E13">
        <w:t>Ivoire pour permettre à des élèves âgés de 10 à 18 ans, en particulier aux jeunes filles et aux élèves des zones rurales mal desservies, d'acquérir des compétences pratiques d</w:t>
      </w:r>
      <w:r w:rsidR="00060B5F" w:rsidRPr="00145E13">
        <w:t>'</w:t>
      </w:r>
      <w:r w:rsidRPr="00145E13">
        <w:t xml:space="preserve">IA et de robotique, déterminées en fonction des priorités nationales. </w:t>
      </w:r>
    </w:p>
    <w:p w14:paraId="357E804B" w14:textId="77777777" w:rsidR="009659BE" w:rsidRPr="00145E13" w:rsidRDefault="009659BE" w:rsidP="009659BE">
      <w:pPr>
        <w:pStyle w:val="Headingb"/>
      </w:pPr>
      <w:r w:rsidRPr="00145E13">
        <w:t>Espace de travail de l'Initiative sur l'IA au service du bien social de l'UIT</w:t>
      </w:r>
    </w:p>
    <w:p w14:paraId="510C9CB4" w14:textId="1EA2089F" w:rsidR="009659BE" w:rsidRPr="00145E13" w:rsidRDefault="009659BE" w:rsidP="00B07B89">
      <w:pPr>
        <w:jc w:val="both"/>
      </w:pPr>
      <w:r w:rsidRPr="00145E13">
        <w:t>L'espace de travail de l'Initiative sur l'IA au service du bien social de l'UIT est une structure distribuée et normalisée offrant un ensemble commun de ressources, notamment des outils de calcul, des séries de données ouvertes, des modèles, des logiciels à code source ouvert et des formations. Cette plate-forme diminue les entraves à la recherche, à l</w:t>
      </w:r>
      <w:r w:rsidR="00060B5F" w:rsidRPr="00145E13">
        <w:t>'</w:t>
      </w:r>
      <w:r w:rsidRPr="00145E13">
        <w:t>expérimentation et à l</w:t>
      </w:r>
      <w:r w:rsidR="00060B5F" w:rsidRPr="00145E13">
        <w:t>'</w:t>
      </w:r>
      <w:r w:rsidRPr="00145E13">
        <w:t>innovation concernant l</w:t>
      </w:r>
      <w:r w:rsidR="00060B5F" w:rsidRPr="00145E13">
        <w:t>'</w:t>
      </w:r>
      <w:r w:rsidRPr="00145E13">
        <w:t>IA pour les universités, les chercheurs, le secteur privé et les acteurs de l'innovation ainsi que les décideurs. Elle vise à donner aux utilisateurs les moyens d</w:t>
      </w:r>
      <w:r w:rsidR="00060B5F" w:rsidRPr="00145E13">
        <w:t>'</w:t>
      </w:r>
      <w:r w:rsidRPr="00145E13">
        <w:t>élaborer, de valider et de mettre en commun des bonnes pratiques, des enseignements et des solutions d</w:t>
      </w:r>
      <w:r w:rsidR="00060B5F" w:rsidRPr="00145E13">
        <w:t>'</w:t>
      </w:r>
      <w:r w:rsidRPr="00145E13">
        <w:t>IA respectueuses des normes de l</w:t>
      </w:r>
      <w:r w:rsidR="00060B5F" w:rsidRPr="00145E13">
        <w:t>'</w:t>
      </w:r>
      <w:r w:rsidRPr="00145E13">
        <w:t>UIT-T.</w:t>
      </w:r>
    </w:p>
    <w:p w14:paraId="6BE48EF6" w14:textId="0A6B007A" w:rsidR="009659BE" w:rsidRPr="00145E13" w:rsidRDefault="009659BE" w:rsidP="009659BE">
      <w:pPr>
        <w:pStyle w:val="Headingb"/>
      </w:pPr>
      <w:r w:rsidRPr="00145E13">
        <w:t>Préparation de l</w:t>
      </w:r>
      <w:r w:rsidR="00060B5F" w:rsidRPr="00145E13">
        <w:t>'</w:t>
      </w:r>
      <w:r w:rsidRPr="00145E13">
        <w:t>UIT à l</w:t>
      </w:r>
      <w:r w:rsidR="00060B5F" w:rsidRPr="00145E13">
        <w:t>'</w:t>
      </w:r>
      <w:r w:rsidRPr="00145E13">
        <w:t>IA</w:t>
      </w:r>
    </w:p>
    <w:p w14:paraId="3A4D70F3" w14:textId="3952244B" w:rsidR="009659BE" w:rsidRPr="00145E13" w:rsidRDefault="009659BE" w:rsidP="00B07B89">
      <w:pPr>
        <w:jc w:val="both"/>
      </w:pPr>
      <w:r w:rsidRPr="00145E13">
        <w:t xml:space="preserve">Le </w:t>
      </w:r>
      <w:hyperlink r:id="rId62" w:anchor="/fr" w:history="1">
        <w:r w:rsidRPr="00145E13">
          <w:rPr>
            <w:rStyle w:val="Hyperlink"/>
            <w:rFonts w:eastAsia="Times New Roman" w:cs="Times New Roman"/>
            <w:szCs w:val="20"/>
          </w:rPr>
          <w:t>Cadre de préparation de l'UIT en matière d'IA</w:t>
        </w:r>
      </w:hyperlink>
      <w:r w:rsidRPr="00145E13">
        <w:t xml:space="preserve"> est un outil de renforcement des capacités pour consolider les déterminants du succès dans toutes les dimensions de l</w:t>
      </w:r>
      <w:r w:rsidR="00060B5F" w:rsidRPr="00145E13">
        <w:t>'</w:t>
      </w:r>
      <w:r w:rsidRPr="00145E13">
        <w:t>IA et orienter l</w:t>
      </w:r>
      <w:r w:rsidR="00060B5F" w:rsidRPr="00145E13">
        <w:t>'</w:t>
      </w:r>
      <w:r w:rsidRPr="00145E13">
        <w:t>adoption pratique de l</w:t>
      </w:r>
      <w:r w:rsidR="00060B5F" w:rsidRPr="00145E13">
        <w:t>'</w:t>
      </w:r>
      <w:r w:rsidRPr="00145E13">
        <w:t xml:space="preserve">IA. Ce cadre s'avère un moyen essentiel d'évaluer l'intégration de l'IA </w:t>
      </w:r>
      <w:r w:rsidRPr="00145E13">
        <w:lastRenderedPageBreak/>
        <w:t>dans divers domaines et de proposer des orientations concrètes sur les principaux facteurs permettant de mieux se préparer à l'IA.</w:t>
      </w:r>
    </w:p>
    <w:p w14:paraId="47F2DE3D" w14:textId="066FB261" w:rsidR="009659BE" w:rsidRPr="00145E13" w:rsidRDefault="009659BE" w:rsidP="009659BE">
      <w:pPr>
        <w:pStyle w:val="Headingb"/>
      </w:pPr>
      <w:r w:rsidRPr="00145E13">
        <w:t>Concours sur l</w:t>
      </w:r>
      <w:r w:rsidR="00060B5F" w:rsidRPr="00145E13">
        <w:t>'</w:t>
      </w:r>
      <w:r w:rsidRPr="00145E13">
        <w:t>IA et l'apprentissage automatique</w:t>
      </w:r>
    </w:p>
    <w:p w14:paraId="4B449A55" w14:textId="386369A4" w:rsidR="009659BE" w:rsidRPr="00145E13" w:rsidRDefault="009659BE" w:rsidP="00B07B89">
      <w:pPr>
        <w:jc w:val="both"/>
      </w:pPr>
      <w:r w:rsidRPr="00145E13">
        <w:t>Une plate</w:t>
      </w:r>
      <w:r w:rsidR="003A3EAD" w:rsidRPr="00145E13">
        <w:t>-</w:t>
      </w:r>
      <w:r w:rsidRPr="00145E13">
        <w:t>forme collaborative phare permet à des milliers d</w:t>
      </w:r>
      <w:r w:rsidR="00060B5F" w:rsidRPr="00145E13">
        <w:t>'</w:t>
      </w:r>
      <w:r w:rsidRPr="00145E13">
        <w:t>étudiants et de professionnels de concevoir et d'expérimenter des modèles d</w:t>
      </w:r>
      <w:r w:rsidR="00060B5F" w:rsidRPr="00145E13">
        <w:t>'</w:t>
      </w:r>
      <w:r w:rsidRPr="00145E13">
        <w:t>IA pour des cas d</w:t>
      </w:r>
      <w:r w:rsidR="00060B5F" w:rsidRPr="00145E13">
        <w:t>'</w:t>
      </w:r>
      <w:r w:rsidRPr="00145E13">
        <w:t>utilisation réels, notamment des réseaux de communication et des modèles d</w:t>
      </w:r>
      <w:r w:rsidR="00060B5F" w:rsidRPr="00145E13">
        <w:t>'</w:t>
      </w:r>
      <w:r w:rsidRPr="00145E13">
        <w:t>IA géospatiale. Ces activités visent à renforcer les capacités techniques, et contribuent également au développement des normes à l</w:t>
      </w:r>
      <w:r w:rsidR="00060B5F" w:rsidRPr="00145E13">
        <w:t>'</w:t>
      </w:r>
      <w:r w:rsidRPr="00145E13">
        <w:t>UIT.</w:t>
      </w:r>
    </w:p>
    <w:p w14:paraId="21E1965B" w14:textId="13323F5E" w:rsidR="009659BE" w:rsidRPr="00145E13" w:rsidRDefault="009659BE" w:rsidP="009659BE">
      <w:pPr>
        <w:pStyle w:val="Headingb"/>
      </w:pPr>
      <w:r w:rsidRPr="00145E13">
        <w:t>Cours sur l</w:t>
      </w:r>
      <w:r w:rsidR="00060B5F" w:rsidRPr="00145E13">
        <w:t>'</w:t>
      </w:r>
      <w:r w:rsidRPr="00145E13">
        <w:t>IA proposés par l</w:t>
      </w:r>
      <w:r w:rsidR="00060B5F" w:rsidRPr="00145E13">
        <w:t>'</w:t>
      </w:r>
      <w:r w:rsidRPr="00145E13">
        <w:t>Académie de l</w:t>
      </w:r>
      <w:r w:rsidR="00060B5F" w:rsidRPr="00145E13">
        <w:t>'</w:t>
      </w:r>
      <w:r w:rsidRPr="00145E13">
        <w:t>UIT</w:t>
      </w:r>
    </w:p>
    <w:p w14:paraId="6651F4FA" w14:textId="09B9CC3E" w:rsidR="009659BE" w:rsidRPr="00145E13" w:rsidRDefault="009659BE" w:rsidP="00B07B89">
      <w:pPr>
        <w:jc w:val="both"/>
      </w:pPr>
      <w:r w:rsidRPr="00145E13">
        <w:t xml:space="preserve">Le </w:t>
      </w:r>
      <w:hyperlink r:id="rId63" w:anchor="/fr" w:history="1">
        <w:r w:rsidRPr="00145E13">
          <w:rPr>
            <w:rStyle w:val="Hyperlink"/>
            <w:rFonts w:eastAsia="Times New Roman" w:cs="Times New Roman"/>
            <w:szCs w:val="20"/>
          </w:rPr>
          <w:t>kit pratique de l</w:t>
        </w:r>
        <w:r w:rsidR="00060B5F" w:rsidRPr="00145E13">
          <w:rPr>
            <w:rStyle w:val="Hyperlink"/>
            <w:rFonts w:eastAsia="Times New Roman" w:cs="Times New Roman"/>
            <w:szCs w:val="20"/>
          </w:rPr>
          <w:t>'</w:t>
        </w:r>
        <w:r w:rsidRPr="00145E13">
          <w:rPr>
            <w:rStyle w:val="Hyperlink"/>
            <w:rFonts w:eastAsia="Times New Roman" w:cs="Times New Roman"/>
            <w:szCs w:val="20"/>
          </w:rPr>
          <w:t>UIT sur les compétences numériques</w:t>
        </w:r>
      </w:hyperlink>
      <w:r w:rsidRPr="00145E13">
        <w:t xml:space="preserve"> facilite l</w:t>
      </w:r>
      <w:r w:rsidR="00060B5F" w:rsidRPr="00145E13">
        <w:t>'</w:t>
      </w:r>
      <w:r w:rsidRPr="00145E13">
        <w:t>élaboration de stratégies nationales pour remédier au déficit de compétences dans les domaines de l'IA et du numérique. Un grand nombre de cours sur l</w:t>
      </w:r>
      <w:r w:rsidR="00060B5F" w:rsidRPr="00145E13">
        <w:t>'</w:t>
      </w:r>
      <w:r w:rsidRPr="00145E13">
        <w:t>IA ont été proposés par l</w:t>
      </w:r>
      <w:r w:rsidR="00060B5F" w:rsidRPr="00145E13">
        <w:t>'</w:t>
      </w:r>
      <w:hyperlink r:id="rId64" w:anchor="/fr" w:history="1">
        <w:r w:rsidRPr="00145E13">
          <w:rPr>
            <w:rStyle w:val="Hyperlink"/>
            <w:rFonts w:eastAsia="Times New Roman" w:cs="Times New Roman"/>
            <w:szCs w:val="20"/>
          </w:rPr>
          <w:t>Académie de l</w:t>
        </w:r>
        <w:r w:rsidR="00060B5F" w:rsidRPr="00145E13">
          <w:rPr>
            <w:rStyle w:val="Hyperlink"/>
            <w:rFonts w:eastAsia="Times New Roman" w:cs="Times New Roman"/>
            <w:szCs w:val="20"/>
          </w:rPr>
          <w:t>'</w:t>
        </w:r>
        <w:r w:rsidRPr="00145E13">
          <w:rPr>
            <w:rStyle w:val="Hyperlink"/>
            <w:rFonts w:eastAsia="Times New Roman" w:cs="Times New Roman"/>
            <w:szCs w:val="20"/>
          </w:rPr>
          <w:t>UIT</w:t>
        </w:r>
      </w:hyperlink>
      <w:r w:rsidRPr="00145E13">
        <w:t xml:space="preserve"> au cours de l</w:t>
      </w:r>
      <w:r w:rsidR="00060B5F" w:rsidRPr="00145E13">
        <w:t>'</w:t>
      </w:r>
      <w:r w:rsidRPr="00145E13">
        <w:t xml:space="preserve">année écoulée. Dans le cadre du projet "Renforcement des capacités pour la transformation numérique", le cours sur la </w:t>
      </w:r>
      <w:hyperlink r:id="rId65" w:anchor="/fr" w:history="1">
        <w:r w:rsidRPr="00145E13">
          <w:rPr>
            <w:rStyle w:val="Hyperlink"/>
            <w:rFonts w:eastAsia="Times New Roman" w:cs="Times New Roman"/>
            <w:szCs w:val="20"/>
          </w:rPr>
          <w:t>gouvernance de l'IA en pratique</w:t>
        </w:r>
      </w:hyperlink>
      <w:r w:rsidRPr="00145E13">
        <w:t xml:space="preserve"> a débuté en</w:t>
      </w:r>
      <w:r w:rsidR="00B31AE1" w:rsidRPr="00145E13">
        <w:t> </w:t>
      </w:r>
      <w:r w:rsidRPr="00145E13">
        <w:t xml:space="preserve">octobre 2025 à Genève (suivi par des participants originaires de 33 pays) et a été dispensé dans les régions </w:t>
      </w:r>
      <w:hyperlink r:id="rId66" w:anchor="/fr" w:history="1">
        <w:r w:rsidRPr="00145E13">
          <w:rPr>
            <w:rStyle w:val="Hyperlink"/>
            <w:rFonts w:eastAsia="Times New Roman" w:cs="Times New Roman"/>
            <w:szCs w:val="20"/>
          </w:rPr>
          <w:t>Asie-Pacifique</w:t>
        </w:r>
      </w:hyperlink>
      <w:r w:rsidRPr="00145E13">
        <w:t xml:space="preserve">, </w:t>
      </w:r>
      <w:hyperlink r:id="rId67" w:anchor="/fr" w:history="1">
        <w:r w:rsidRPr="00145E13">
          <w:rPr>
            <w:rStyle w:val="Hyperlink"/>
            <w:rFonts w:eastAsia="Times New Roman" w:cs="Times New Roman"/>
            <w:szCs w:val="20"/>
          </w:rPr>
          <w:t>Afrique</w:t>
        </w:r>
      </w:hyperlink>
      <w:r w:rsidRPr="00145E13">
        <w:t xml:space="preserve"> et </w:t>
      </w:r>
      <w:hyperlink r:id="rId68" w:anchor="/fr" w:history="1">
        <w:r w:rsidRPr="00145E13">
          <w:rPr>
            <w:rStyle w:val="Hyperlink"/>
            <w:rFonts w:eastAsia="Times New Roman" w:cs="Times New Roman"/>
            <w:szCs w:val="20"/>
          </w:rPr>
          <w:t>Amériques</w:t>
        </w:r>
      </w:hyperlink>
      <w:r w:rsidRPr="00145E13">
        <w:t>, d</w:t>
      </w:r>
      <w:r w:rsidR="00060B5F" w:rsidRPr="00145E13">
        <w:t>'</w:t>
      </w:r>
      <w:r w:rsidRPr="00145E13">
        <w:t>autres éditions, dans les régions Europe et Asie-Pacifique, étant prévues pour 2026. Le cours traite des principales questions relatives à l</w:t>
      </w:r>
      <w:r w:rsidR="00060B5F" w:rsidRPr="00145E13">
        <w:t>'</w:t>
      </w:r>
      <w:r w:rsidRPr="00145E13">
        <w:t>IA (grandes notions, éthique, cybersécurité et cadre juridique) et permet aux participants de créer en commun des feuilles de route quinquennales sur la gouvernance de l'IA. Une version en ligne de ce cours est en cours d'élaboration. D'autres cours sont proposés, intitulés "Convergence et sécurité des systèmes numériques et intelligents", "L</w:t>
      </w:r>
      <w:r w:rsidR="00060B5F" w:rsidRPr="00145E13">
        <w:t>'</w:t>
      </w:r>
      <w:r w:rsidRPr="00145E13">
        <w:t>intelligence artificielle en pratique", "L</w:t>
      </w:r>
      <w:r w:rsidR="00060B5F" w:rsidRPr="00145E13">
        <w:t>'</w:t>
      </w:r>
      <w:r w:rsidRPr="00145E13">
        <w:t>Internet des objets, les mégadonnées et l</w:t>
      </w:r>
      <w:r w:rsidR="00060B5F" w:rsidRPr="00145E13">
        <w:t>'</w:t>
      </w:r>
      <w:r w:rsidRPr="00145E13">
        <w:t>intelligence artificielle", "Rédactique et gouvernance des télécommunications" et "Internet large bande fixe et mobile de demain, informatique en nuage et IoT/IA". L</w:t>
      </w:r>
      <w:r w:rsidR="00060B5F" w:rsidRPr="00145E13">
        <w:t>'</w:t>
      </w:r>
      <w:r w:rsidRPr="00145E13">
        <w:t xml:space="preserve">initiative des </w:t>
      </w:r>
      <w:hyperlink r:id="rId69" w:anchor="/fr" w:history="1">
        <w:r w:rsidRPr="00145E13">
          <w:rPr>
            <w:rStyle w:val="Hyperlink"/>
            <w:rFonts w:eastAsia="Times New Roman" w:cs="Times New Roman"/>
            <w:szCs w:val="20"/>
          </w:rPr>
          <w:t>Centres de transformation numérique</w:t>
        </w:r>
      </w:hyperlink>
      <w:r w:rsidRPr="00145E13">
        <w:t xml:space="preserve"> permet à des personnes vivant dans des régions rurales mal desservies de recevoir une formation de base à l</w:t>
      </w:r>
      <w:r w:rsidR="00060B5F" w:rsidRPr="00145E13">
        <w:t>'</w:t>
      </w:r>
      <w:r w:rsidRPr="00145E13">
        <w:t>IA avec l'appui de partenaires.</w:t>
      </w:r>
    </w:p>
    <w:p w14:paraId="71300571" w14:textId="77777777" w:rsidR="009659BE" w:rsidRPr="00145E13" w:rsidRDefault="009659BE" w:rsidP="009659BE">
      <w:pPr>
        <w:pStyle w:val="Headingb"/>
      </w:pPr>
      <w:r w:rsidRPr="00145E13">
        <w:t>Initiatives de renforcement des capacités en matière d'IA</w:t>
      </w:r>
    </w:p>
    <w:p w14:paraId="5A4DAC19" w14:textId="3A380CC8" w:rsidR="009659BE" w:rsidRPr="00145E13" w:rsidRDefault="009659BE" w:rsidP="00B07B89">
      <w:pPr>
        <w:jc w:val="both"/>
      </w:pPr>
      <w:r w:rsidRPr="00145E13">
        <w:t>En 2025, l</w:t>
      </w:r>
      <w:r w:rsidR="00060B5F" w:rsidRPr="00145E13">
        <w:t>'</w:t>
      </w:r>
      <w:r w:rsidRPr="00145E13">
        <w:t xml:space="preserve">UIT a lancé la </w:t>
      </w:r>
      <w:hyperlink r:id="rId70" w:anchor="/fr" w:history="1">
        <w:r w:rsidRPr="00145E13">
          <w:rPr>
            <w:rStyle w:val="Hyperlink"/>
            <w:rFonts w:eastAsia="Times New Roman" w:cs="Times New Roman"/>
            <w:szCs w:val="20"/>
          </w:rPr>
          <w:t>Communauté des jeunes chefs de file de l'IA</w:t>
        </w:r>
      </w:hyperlink>
      <w:r w:rsidRPr="00145E13">
        <w:t>, qui s'adresse à des spécialistes âgés de 18 à 30 ans. Cette communauté a créé plus de 100 pôles répartis dans</w:t>
      </w:r>
      <w:r w:rsidR="00B31AE1" w:rsidRPr="00145E13">
        <w:t> </w:t>
      </w:r>
      <w:r w:rsidRPr="00145E13">
        <w:t>50 pays et accueilli plus de 650 membres qui ont accès à des compétences, des plates</w:t>
      </w:r>
      <w:r w:rsidR="00A40A21" w:rsidRPr="00145E13">
        <w:noBreakHyphen/>
      </w:r>
      <w:r w:rsidRPr="00145E13">
        <w:t>formes et une assistance pour élaborer des projets d</w:t>
      </w:r>
      <w:r w:rsidR="00060B5F" w:rsidRPr="00145E13">
        <w:t>'</w:t>
      </w:r>
      <w:r w:rsidRPr="00145E13">
        <w:t xml:space="preserve">IA efficaces aux échelons local et international. Le </w:t>
      </w:r>
      <w:hyperlink r:id="rId71" w:history="1">
        <w:r w:rsidRPr="00145E13">
          <w:rPr>
            <w:rStyle w:val="Hyperlink"/>
            <w:rFonts w:eastAsia="Times New Roman" w:cs="Times New Roman"/>
            <w:szCs w:val="20"/>
          </w:rPr>
          <w:t>projet d'accélération des compétences dans le domaine de l'IA pour les jeunes filles</w:t>
        </w:r>
      </w:hyperlink>
      <w:r w:rsidRPr="00145E13">
        <w:t xml:space="preserve"> forme des filles et des femmes au numérique, à l'éthique et à la gestion pour leur permettre de devenir créatrices de contenu et pour stimuler la créativité et l'innovation. Le Bureau régional de l'UIT pour l'Asie-Pacifique a organisé une </w:t>
      </w:r>
      <w:hyperlink r:id="rId72" w:history="1">
        <w:r w:rsidRPr="00145E13">
          <w:rPr>
            <w:rStyle w:val="Hyperlink"/>
            <w:rFonts w:eastAsia="Times New Roman" w:cs="Times New Roman"/>
            <w:szCs w:val="20"/>
          </w:rPr>
          <w:t>série de webinaires sur l'IA en Asie du Sud-Est</w:t>
        </w:r>
      </w:hyperlink>
      <w:r w:rsidRPr="00145E13">
        <w:t>, qui a permis d'échanger des renseignements et de renforcer les capacités pour des normes, politiques, cadres et initiatives d'IA respectant les impératifs d'égalité hommes-femmes et d'inclusivité sociale. Le projet "</w:t>
      </w:r>
      <w:hyperlink r:id="rId73" w:history="1">
        <w:r w:rsidRPr="00145E13">
          <w:rPr>
            <w:rStyle w:val="Hyperlink"/>
            <w:rFonts w:eastAsia="Times New Roman" w:cs="Times New Roman"/>
            <w:szCs w:val="20"/>
          </w:rPr>
          <w:t>Renforcement des capacités technologiques et normatives dans le domaine de l'IA en Asie-Pacifique</w:t>
        </w:r>
      </w:hyperlink>
      <w:r w:rsidRPr="00145E13">
        <w:t>" (financé par le Japon, issu d'une collaboration entre l'UIT-D et l'UIT-T) a organisé en Inde, en Malaisie, au Bhoutan et au Cambodge en 2025 des ateliers sous-régionaux et nationaux qui ont permis de former 253 participants originaires de 16 États Membres et d</w:t>
      </w:r>
      <w:r w:rsidR="00060B5F" w:rsidRPr="00145E13">
        <w:t>'</w:t>
      </w:r>
      <w:r w:rsidRPr="00145E13">
        <w:t>évaluer les besoins actuels et futurs en renforcement des capacités.</w:t>
      </w:r>
    </w:p>
    <w:p w14:paraId="70D01239" w14:textId="3E3E1C71" w:rsidR="009659BE" w:rsidRPr="00145E13" w:rsidRDefault="009659BE" w:rsidP="00B07B89">
      <w:pPr>
        <w:jc w:val="both"/>
      </w:pPr>
      <w:r w:rsidRPr="00145E13">
        <w:t>Dans le cadre du projet "Assistance pour encourager l</w:t>
      </w:r>
      <w:r w:rsidR="00060B5F" w:rsidRPr="00145E13">
        <w:t>'</w:t>
      </w:r>
      <w:r w:rsidRPr="00145E13">
        <w:t>utilisation de technologies innovantes pour édifier une société numérique de la prospérité partagée", mené avec la République de Corée, l</w:t>
      </w:r>
      <w:r w:rsidR="00060B5F" w:rsidRPr="00145E13">
        <w:t>'</w:t>
      </w:r>
      <w:r w:rsidRPr="00145E13">
        <w:t>UIT aider à tirer parti de l</w:t>
      </w:r>
      <w:r w:rsidR="00060B5F" w:rsidRPr="00145E13">
        <w:t>'</w:t>
      </w:r>
      <w:r w:rsidRPr="00145E13">
        <w:t xml:space="preserve">IA et des technologies émergentes pour développer les </w:t>
      </w:r>
      <w:r w:rsidRPr="00145E13">
        <w:lastRenderedPageBreak/>
        <w:t>infrastructures numériques par le renforcement des capacités et les échanges de connaissances régionaux. Parallèlement, le projet "Services de conseil agricole par IA à code source ouvert pour les petits exploitants agricoles du Lesotho", mené avec la FAO, propose les services en question aux petits exploitants agricoles du Lesotho, en faisant la démonstration de services numériques fondés sur l</w:t>
      </w:r>
      <w:r w:rsidR="00060B5F" w:rsidRPr="00145E13">
        <w:t>'</w:t>
      </w:r>
      <w:r w:rsidRPr="00145E13">
        <w:t>IA qu'il est possible de transposer.</w:t>
      </w:r>
    </w:p>
    <w:p w14:paraId="7957F80F" w14:textId="0FB39D12" w:rsidR="009659BE" w:rsidRPr="00145E13" w:rsidRDefault="009659BE" w:rsidP="00B07B89">
      <w:pPr>
        <w:jc w:val="both"/>
      </w:pPr>
      <w:r w:rsidRPr="00145E13">
        <w:t>Afin de promouvoir l'application de la Résolution 91 de la CMDT, certains programmes tirent parti de l</w:t>
      </w:r>
      <w:r w:rsidR="00060B5F" w:rsidRPr="00145E13">
        <w:t>'</w:t>
      </w:r>
      <w:r w:rsidRPr="00145E13">
        <w:t xml:space="preserve">IA pour améliorer la planification objective, le déploiement et l'abordabilité des infrastructures numériques (grâce notamment à l'analyse de la connectivité par les données, aux outils d'apprentissage automatique et à des solutions numériques ouvertes et interopérables pour les services publics), et proposent des </w:t>
      </w:r>
      <w:hyperlink r:id="rId74" w:history="1">
        <w:r w:rsidRPr="00145E13">
          <w:rPr>
            <w:rStyle w:val="Hyperlink"/>
            <w:rFonts w:eastAsia="Times New Roman" w:cs="Times New Roman"/>
            <w:szCs w:val="20"/>
          </w:rPr>
          <w:t>activités de renforcement</w:t>
        </w:r>
      </w:hyperlink>
      <w:r w:rsidRPr="00145E13">
        <w:t xml:space="preserve"> des capacités par l'intermédiaire de l</w:t>
      </w:r>
      <w:r w:rsidR="00060B5F" w:rsidRPr="00145E13">
        <w:t>'</w:t>
      </w:r>
      <w:r w:rsidRPr="00145E13">
        <w:t>Académie de l</w:t>
      </w:r>
      <w:r w:rsidR="00060B5F" w:rsidRPr="00145E13">
        <w:t>'</w:t>
      </w:r>
      <w:r w:rsidRPr="00145E13">
        <w:t>UIT. Est ainsi disponible un agent conversationnel de génération augmentée par récupération (RAG) permettant l'accès interactif à des contenus spécialisés de l</w:t>
      </w:r>
      <w:r w:rsidR="00060B5F" w:rsidRPr="00145E13">
        <w:t>'</w:t>
      </w:r>
      <w:r w:rsidRPr="00145E13">
        <w:t>UIT sur les infrastructures TIC pour faciliter le processus décisionnel axé sur les données.</w:t>
      </w:r>
    </w:p>
    <w:p w14:paraId="3ED45242" w14:textId="46AD553E" w:rsidR="009659BE" w:rsidRPr="00145E13" w:rsidRDefault="009659BE" w:rsidP="009659BE">
      <w:pPr>
        <w:pStyle w:val="Headingb"/>
      </w:pPr>
      <w:r w:rsidRPr="00145E13">
        <w:t>Activités internes de l</w:t>
      </w:r>
      <w:r w:rsidR="00060B5F" w:rsidRPr="00145E13">
        <w:t>'</w:t>
      </w:r>
      <w:r w:rsidRPr="00145E13">
        <w:t>UIT pour le renforcement des capacités dans le domaine de l'IA</w:t>
      </w:r>
    </w:p>
    <w:p w14:paraId="72647CB9" w14:textId="0FA035D8" w:rsidR="009659BE" w:rsidRPr="00145E13" w:rsidRDefault="009659BE" w:rsidP="00B07B89">
      <w:pPr>
        <w:jc w:val="both"/>
      </w:pPr>
      <w:r w:rsidRPr="00145E13">
        <w:t>L</w:t>
      </w:r>
      <w:r w:rsidR="00060B5F" w:rsidRPr="00145E13">
        <w:t>'</w:t>
      </w:r>
      <w:r w:rsidRPr="00145E13">
        <w:t>adoption de l</w:t>
      </w:r>
      <w:r w:rsidR="00060B5F" w:rsidRPr="00145E13">
        <w:t>'</w:t>
      </w:r>
      <w:r w:rsidRPr="00145E13">
        <w:t>IA est un élément central du programme de transformation de l</w:t>
      </w:r>
      <w:r w:rsidR="00060B5F" w:rsidRPr="00145E13">
        <w:t>'</w:t>
      </w:r>
      <w:r w:rsidRPr="00145E13">
        <w:t xml:space="preserve">UIT. L'Union a lancé un </w:t>
      </w:r>
      <w:hyperlink r:id="rId75" w:history="1">
        <w:r w:rsidRPr="00145E13">
          <w:rPr>
            <w:rStyle w:val="Hyperlink"/>
            <w:rFonts w:eastAsia="Times New Roman" w:cs="Times New Roman"/>
            <w:szCs w:val="20"/>
          </w:rPr>
          <w:t>pôle de l</w:t>
        </w:r>
        <w:r w:rsidR="00060B5F" w:rsidRPr="00145E13">
          <w:rPr>
            <w:rStyle w:val="Hyperlink"/>
            <w:rFonts w:eastAsia="Times New Roman" w:cs="Times New Roman"/>
            <w:szCs w:val="20"/>
          </w:rPr>
          <w:t>'</w:t>
        </w:r>
        <w:r w:rsidRPr="00145E13">
          <w:rPr>
            <w:rStyle w:val="Hyperlink"/>
            <w:rFonts w:eastAsia="Times New Roman" w:cs="Times New Roman"/>
            <w:szCs w:val="20"/>
          </w:rPr>
          <w:t>IA</w:t>
        </w:r>
      </w:hyperlink>
      <w:r w:rsidRPr="00145E13">
        <w:t xml:space="preserve"> en interne proposant des ressources au personnel et a publié des </w:t>
      </w:r>
      <w:hyperlink r:id="rId76" w:history="1">
        <w:r w:rsidRPr="00145E13">
          <w:rPr>
            <w:rStyle w:val="Hyperlink"/>
            <w:rFonts w:eastAsia="Times New Roman" w:cs="Times New Roman"/>
            <w:szCs w:val="20"/>
          </w:rPr>
          <w:t>lignes directrices internes sur l</w:t>
        </w:r>
        <w:r w:rsidR="00060B5F" w:rsidRPr="00145E13">
          <w:rPr>
            <w:rStyle w:val="Hyperlink"/>
            <w:rFonts w:eastAsia="Times New Roman" w:cs="Times New Roman"/>
            <w:szCs w:val="20"/>
          </w:rPr>
          <w:t>'</w:t>
        </w:r>
        <w:r w:rsidRPr="00145E13">
          <w:rPr>
            <w:rStyle w:val="Hyperlink"/>
            <w:rFonts w:eastAsia="Times New Roman" w:cs="Times New Roman"/>
            <w:szCs w:val="20"/>
          </w:rPr>
          <w:t>utilisation responsable de l'IA générative</w:t>
        </w:r>
      </w:hyperlink>
      <w:r w:rsidRPr="00145E13">
        <w:t>. Des séances de formation sont organisées régulièrement à l'intention du personnel et de la communauté diplomatique dans le cadre des laboratoires d</w:t>
      </w:r>
      <w:r w:rsidR="00060B5F" w:rsidRPr="00145E13">
        <w:t>'</w:t>
      </w:r>
      <w:r w:rsidRPr="00145E13">
        <w:t>apprentissage et de l</w:t>
      </w:r>
      <w:r w:rsidR="00060B5F" w:rsidRPr="00145E13">
        <w:t>'</w:t>
      </w:r>
      <w:r w:rsidR="00274A37" w:rsidRPr="00145E13">
        <w:t>I</w:t>
      </w:r>
      <w:r w:rsidRPr="00145E13">
        <w:t>nitiative Démystifier le numérique.</w:t>
      </w:r>
    </w:p>
    <w:p w14:paraId="1411C1BE" w14:textId="0777A737" w:rsidR="009659BE" w:rsidRPr="00145E13" w:rsidRDefault="009659BE" w:rsidP="009659BE">
      <w:pPr>
        <w:pStyle w:val="Heading1"/>
      </w:pPr>
      <w:bookmarkStart w:id="2" w:name="Normesetpolitiques"/>
      <w:r w:rsidRPr="00145E13">
        <w:t>3</w:t>
      </w:r>
      <w:r w:rsidRPr="00145E13">
        <w:tab/>
        <w:t>Normes et politiques</w:t>
      </w:r>
      <w:bookmarkEnd w:id="2"/>
    </w:p>
    <w:p w14:paraId="0842454F" w14:textId="69D988FF" w:rsidR="009659BE" w:rsidRPr="00145E13" w:rsidRDefault="009659BE" w:rsidP="00B07B89">
      <w:pPr>
        <w:jc w:val="both"/>
      </w:pPr>
      <w:r w:rsidRPr="00145E13">
        <w:t>L'UIT compte plus de 470 normes et autres publications connexes sur l</w:t>
      </w:r>
      <w:r w:rsidR="00060B5F" w:rsidRPr="00145E13">
        <w:t>'</w:t>
      </w:r>
      <w:r w:rsidRPr="00145E13">
        <w:t>IA en cours d</w:t>
      </w:r>
      <w:r w:rsidR="00060B5F" w:rsidRPr="00145E13">
        <w:t>'</w:t>
      </w:r>
      <w:r w:rsidRPr="00145E13">
        <w:t>élaboration ou déjà publiées, grâce à l'initiative de ses nombreux membres et à l'apport de sa collaboration avec l</w:t>
      </w:r>
      <w:r w:rsidR="00060B5F" w:rsidRPr="00145E13">
        <w:t>'</w:t>
      </w:r>
      <w:r w:rsidRPr="00145E13">
        <w:t xml:space="preserve">ISO et la CEI au titre de la </w:t>
      </w:r>
      <w:hyperlink r:id="rId77" w:history="1">
        <w:r w:rsidRPr="00145E13">
          <w:rPr>
            <w:rStyle w:val="Hyperlink"/>
            <w:rFonts w:eastAsia="Times New Roman" w:cs="Times New Roman"/>
            <w:szCs w:val="20"/>
          </w:rPr>
          <w:t>Coopération mondiale en matière de normalisation</w:t>
        </w:r>
      </w:hyperlink>
      <w:r w:rsidRPr="00145E13">
        <w:t xml:space="preserve"> (WSC).</w:t>
      </w:r>
    </w:p>
    <w:p w14:paraId="71698C69" w14:textId="77777777" w:rsidR="009659BE" w:rsidRPr="00145E13" w:rsidRDefault="009659BE" w:rsidP="009659BE">
      <w:pPr>
        <w:pStyle w:val="Headingb"/>
      </w:pPr>
      <w:r w:rsidRPr="00145E13">
        <w:t>Activités des commissions d'études sur l'IA</w:t>
      </w:r>
    </w:p>
    <w:p w14:paraId="793C987E" w14:textId="01A895F1" w:rsidR="009659BE" w:rsidRPr="00145E13" w:rsidRDefault="009659BE" w:rsidP="00B07B89">
      <w:pPr>
        <w:jc w:val="both"/>
      </w:pPr>
      <w:r w:rsidRPr="00145E13">
        <w:t>Au nombre des activités des commissions d</w:t>
      </w:r>
      <w:r w:rsidR="00060B5F" w:rsidRPr="00145E13">
        <w:t>'</w:t>
      </w:r>
      <w:r w:rsidRPr="00145E13">
        <w:t>études (CE) de l</w:t>
      </w:r>
      <w:r w:rsidR="00060B5F" w:rsidRPr="00145E13">
        <w:t>'</w:t>
      </w:r>
      <w:r w:rsidRPr="00145E13">
        <w:t>UIT-T sur l</w:t>
      </w:r>
      <w:r w:rsidR="00060B5F" w:rsidRPr="00145E13">
        <w:t>'</w:t>
      </w:r>
      <w:r w:rsidRPr="00145E13">
        <w:t>IA, on mentionnera: les travaux consacrés par la CE 2 à l'amélioration de l</w:t>
      </w:r>
      <w:r w:rsidR="00060B5F" w:rsidRPr="00145E13">
        <w:t>'</w:t>
      </w:r>
      <w:r w:rsidRPr="00145E13">
        <w:t>IA, notamment le kit pratique ML5G pour l</w:t>
      </w:r>
      <w:r w:rsidR="00060B5F" w:rsidRPr="00145E13">
        <w:t>'</w:t>
      </w:r>
      <w:r w:rsidRPr="00145E13">
        <w:t>intégration de l</w:t>
      </w:r>
      <w:r w:rsidR="00060B5F" w:rsidRPr="00145E13">
        <w:t>'</w:t>
      </w:r>
      <w:r w:rsidRPr="00145E13">
        <w:t xml:space="preserve">IA et de l'apprentissage automatique dans les réseaux 5G et les réseaux futurs et le kit pratique AITOM pour l'exploitation et la gestion assistées par l'IA des réseaux; la </w:t>
      </w:r>
      <w:hyperlink r:id="rId78" w:history="1">
        <w:r w:rsidRPr="00145E13">
          <w:rPr>
            <w:rStyle w:val="Hyperlink"/>
            <w:rFonts w:eastAsia="Times New Roman" w:cs="Times New Roman"/>
            <w:szCs w:val="20"/>
          </w:rPr>
          <w:t>nouvelle norme</w:t>
        </w:r>
      </w:hyperlink>
      <w:r w:rsidRPr="00145E13">
        <w:t xml:space="preserve"> de la CE 5 pour l</w:t>
      </w:r>
      <w:r w:rsidR="00060B5F" w:rsidRPr="00145E13">
        <w:t>'</w:t>
      </w:r>
      <w:r w:rsidRPr="00145E13">
        <w:t>évaluation des incidences environnementales des systèmes d</w:t>
      </w:r>
      <w:r w:rsidR="00060B5F" w:rsidRPr="00145E13">
        <w:t>'</w:t>
      </w:r>
      <w:r w:rsidRPr="00145E13">
        <w:t>IA; les travaux de la CE 11 sur la normalisation des outils d</w:t>
      </w:r>
      <w:r w:rsidR="00060B5F" w:rsidRPr="00145E13">
        <w:t>'</w:t>
      </w:r>
      <w:r w:rsidRPr="00145E13">
        <w:t>IA concernant la signalisation, les essais et l</w:t>
      </w:r>
      <w:r w:rsidR="00060B5F" w:rsidRPr="00145E13">
        <w:t>'</w:t>
      </w:r>
      <w:r w:rsidRPr="00145E13">
        <w:t>optimisation des réseaux, outre une nouvelle norme sur les méthodes et les indicateurs de suivi pour l</w:t>
      </w:r>
      <w:r w:rsidR="00060B5F" w:rsidRPr="00145E13">
        <w:t>'</w:t>
      </w:r>
      <w:r w:rsidRPr="00145E13">
        <w:t>apprentissage automatique/l</w:t>
      </w:r>
      <w:r w:rsidR="00060B5F" w:rsidRPr="00145E13">
        <w:t>'</w:t>
      </w:r>
      <w:r w:rsidRPr="00145E13">
        <w:t>IA; les travaux consacrés par la CE 12 à l</w:t>
      </w:r>
      <w:r w:rsidR="00060B5F" w:rsidRPr="00145E13">
        <w:t>'</w:t>
      </w:r>
      <w:r w:rsidRPr="00145E13">
        <w:t>évaluation de la qualité fondée sur l</w:t>
      </w:r>
      <w:r w:rsidR="00060B5F" w:rsidRPr="00145E13">
        <w:t>'</w:t>
      </w:r>
      <w:r w:rsidRPr="00145E13">
        <w:t>apprentissage automatique, y</w:t>
      </w:r>
      <w:r w:rsidR="00A40A21" w:rsidRPr="00145E13">
        <w:t> </w:t>
      </w:r>
      <w:r w:rsidRPr="00145E13">
        <w:t>compris des orientations sur les solutions d</w:t>
      </w:r>
      <w:r w:rsidR="00060B5F" w:rsidRPr="00145E13">
        <w:t>'</w:t>
      </w:r>
      <w:r w:rsidRPr="00145E13">
        <w:t>apprentissage automatique pour la prédiction de la qualité de service/qualité d</w:t>
      </w:r>
      <w:r w:rsidR="00060B5F" w:rsidRPr="00145E13">
        <w:t>'</w:t>
      </w:r>
      <w:r w:rsidRPr="00145E13">
        <w:t>expérience, et à un cadre pour les modèles de qualité vocale fondés sur l</w:t>
      </w:r>
      <w:r w:rsidR="00060B5F" w:rsidRPr="00145E13">
        <w:t>'</w:t>
      </w:r>
      <w:r w:rsidRPr="00145E13">
        <w:t>apprentissage automatique; les responsabilités confiées à la CE 13 concernant les normes d</w:t>
      </w:r>
      <w:r w:rsidR="00060B5F" w:rsidRPr="00145E13">
        <w:t>'</w:t>
      </w:r>
      <w:r w:rsidRPr="00145E13">
        <w:t>IA et d'apprentissage automatique pour les réseaux futurs, y</w:t>
      </w:r>
      <w:r w:rsidR="001D5256" w:rsidRPr="00145E13">
        <w:t> </w:t>
      </w:r>
      <w:r w:rsidRPr="00145E13">
        <w:t xml:space="preserve">compris la </w:t>
      </w:r>
      <w:hyperlink r:id="rId79" w:history="1">
        <w:r w:rsidRPr="00145E13">
          <w:rPr>
            <w:rStyle w:val="Hyperlink"/>
            <w:rFonts w:eastAsia="Times New Roman" w:cs="Times New Roman"/>
            <w:szCs w:val="20"/>
          </w:rPr>
          <w:t>feuille de route sur la normalisation de l</w:t>
        </w:r>
        <w:r w:rsidR="00060B5F" w:rsidRPr="00145E13">
          <w:rPr>
            <w:rStyle w:val="Hyperlink"/>
            <w:rFonts w:eastAsia="Times New Roman" w:cs="Times New Roman"/>
            <w:szCs w:val="20"/>
          </w:rPr>
          <w:t>'</w:t>
        </w:r>
        <w:r w:rsidRPr="00145E13">
          <w:rPr>
            <w:rStyle w:val="Hyperlink"/>
            <w:rFonts w:eastAsia="Times New Roman" w:cs="Times New Roman"/>
            <w:szCs w:val="20"/>
          </w:rPr>
          <w:t>IA</w:t>
        </w:r>
      </w:hyperlink>
      <w:r w:rsidRPr="00145E13">
        <w:t xml:space="preserve"> et les travaux sur la garantie de la qualité de service, l</w:t>
      </w:r>
      <w:r w:rsidR="00060B5F" w:rsidRPr="00145E13">
        <w:t>'</w:t>
      </w:r>
      <w:r w:rsidRPr="00145E13">
        <w:t>équilibrage de la charge, la collaboration entre agents d</w:t>
      </w:r>
      <w:r w:rsidR="00060B5F" w:rsidRPr="00145E13">
        <w:t>'</w:t>
      </w:r>
      <w:r w:rsidRPr="00145E13">
        <w:t>IA, l</w:t>
      </w:r>
      <w:r w:rsidR="00060B5F" w:rsidRPr="00145E13">
        <w:t>'</w:t>
      </w:r>
      <w:r w:rsidRPr="00145E13">
        <w:t>IA générative dans les réseaux de télécommunication et la communication entre agents d</w:t>
      </w:r>
      <w:r w:rsidR="00060B5F" w:rsidRPr="00145E13">
        <w:t>'</w:t>
      </w:r>
      <w:r w:rsidRPr="00145E13">
        <w:t>IA, parallèlement à un cadre d'analyse comparative pour l</w:t>
      </w:r>
      <w:r w:rsidR="00060B5F" w:rsidRPr="00145E13">
        <w:t>'</w:t>
      </w:r>
      <w:r w:rsidRPr="00145E13">
        <w:t xml:space="preserve">IA générative dans les télécommunications (en cours d'élaboration), le </w:t>
      </w:r>
      <w:r w:rsidRPr="00145E13">
        <w:lastRenderedPageBreak/>
        <w:t xml:space="preserve">tout complété par un </w:t>
      </w:r>
      <w:hyperlink r:id="rId80" w:anchor="/fr" w:history="1">
        <w:r w:rsidRPr="00145E13">
          <w:rPr>
            <w:rStyle w:val="Hyperlink"/>
            <w:rFonts w:eastAsia="Times New Roman" w:cs="Times New Roman"/>
            <w:szCs w:val="20"/>
          </w:rPr>
          <w:t>Groupe spécialisé sur les réseaux fondés sur l</w:t>
        </w:r>
        <w:r w:rsidR="00060B5F" w:rsidRPr="00145E13">
          <w:rPr>
            <w:rStyle w:val="Hyperlink"/>
            <w:rFonts w:eastAsia="Times New Roman" w:cs="Times New Roman"/>
            <w:szCs w:val="20"/>
          </w:rPr>
          <w:t>'</w:t>
        </w:r>
        <w:r w:rsidRPr="00145E13">
          <w:rPr>
            <w:rStyle w:val="Hyperlink"/>
            <w:rFonts w:eastAsia="Times New Roman" w:cs="Times New Roman"/>
            <w:szCs w:val="20"/>
          </w:rPr>
          <w:t>IA native</w:t>
        </w:r>
      </w:hyperlink>
      <w:r w:rsidRPr="00145E13">
        <w:t xml:space="preserve"> et le cadre ION-2030 pour les réseaux optiques internationaux; les nouveaux travaux normatifs de la CE 17 sur la sécurité de l</w:t>
      </w:r>
      <w:r w:rsidR="00060B5F" w:rsidRPr="00145E13">
        <w:t>'</w:t>
      </w:r>
      <w:r w:rsidRPr="00145E13">
        <w:t>IA, dans lesquels elle s'intéresse à l</w:t>
      </w:r>
      <w:r w:rsidR="00060B5F" w:rsidRPr="00145E13">
        <w:t>'</w:t>
      </w:r>
      <w:r w:rsidRPr="00145E13">
        <w:t>IA agentique, outre plusieurs normes à venir sur les menaces de sécurité, les cadres de confiance et la gestion de l</w:t>
      </w:r>
      <w:r w:rsidR="00060B5F" w:rsidRPr="00145E13">
        <w:t>'</w:t>
      </w:r>
      <w:r w:rsidRPr="00145E13">
        <w:t>identité pour les agents d'IA; les travaux de la CE 20 pour faire progresser l'IA au service des villes et communautés intelligentes et durables; et les travaux de la CE 21 sur les applications multimédias de l</w:t>
      </w:r>
      <w:r w:rsidR="00060B5F" w:rsidRPr="00145E13">
        <w:t>'</w:t>
      </w:r>
      <w:r w:rsidRPr="00145E13">
        <w:t>IA, y compris le système de codage d</w:t>
      </w:r>
      <w:r w:rsidR="00060B5F" w:rsidRPr="00145E13">
        <w:t>'</w:t>
      </w:r>
      <w:r w:rsidRPr="00145E13">
        <w:t>images JPEG fondé sur l</w:t>
      </w:r>
      <w:r w:rsidR="00060B5F" w:rsidRPr="00145E13">
        <w:t>'</w:t>
      </w:r>
      <w:r w:rsidRPr="00145E13">
        <w:t>apprentissage automatique (en coopération avec l</w:t>
      </w:r>
      <w:r w:rsidR="00060B5F" w:rsidRPr="00145E13">
        <w:t>'</w:t>
      </w:r>
      <w:r w:rsidRPr="00145E13">
        <w:t>ISO/CEI), et la nouvelle norme sur les systèmes d</w:t>
      </w:r>
      <w:r w:rsidR="00060B5F" w:rsidRPr="00145E13">
        <w:t>'</w:t>
      </w:r>
      <w:r w:rsidRPr="00145E13">
        <w:t>IA incarnée, ainsi que plus</w:t>
      </w:r>
      <w:r w:rsidR="00274A37" w:rsidRPr="00145E13">
        <w:t> </w:t>
      </w:r>
      <w:r w:rsidRPr="00145E13">
        <w:t>de</w:t>
      </w:r>
      <w:r w:rsidR="00274A37" w:rsidRPr="00145E13">
        <w:t> </w:t>
      </w:r>
      <w:r w:rsidRPr="00145E13">
        <w:t>150</w:t>
      </w:r>
      <w:r w:rsidR="000B2C52" w:rsidRPr="00145E13">
        <w:t> </w:t>
      </w:r>
      <w:r w:rsidRPr="00145E13">
        <w:t>recommandations relatives à l</w:t>
      </w:r>
      <w:r w:rsidR="00060B5F" w:rsidRPr="00145E13">
        <w:t>'</w:t>
      </w:r>
      <w:r w:rsidRPr="00145E13">
        <w:t xml:space="preserve">IA, et un nouveau </w:t>
      </w:r>
      <w:hyperlink r:id="rId81" w:anchor="/fr" w:history="1">
        <w:r w:rsidRPr="00145E13">
          <w:rPr>
            <w:rStyle w:val="Hyperlink"/>
            <w:rFonts w:eastAsia="Times New Roman" w:cs="Times New Roman"/>
            <w:szCs w:val="20"/>
          </w:rPr>
          <w:t>Groupe spécialisé sur l</w:t>
        </w:r>
        <w:r w:rsidR="00060B5F" w:rsidRPr="00145E13">
          <w:rPr>
            <w:rStyle w:val="Hyperlink"/>
            <w:rFonts w:eastAsia="Times New Roman" w:cs="Times New Roman"/>
            <w:szCs w:val="20"/>
          </w:rPr>
          <w:t>'</w:t>
        </w:r>
        <w:r w:rsidRPr="00145E13">
          <w:rPr>
            <w:rStyle w:val="Hyperlink"/>
            <w:rFonts w:eastAsia="Times New Roman" w:cs="Times New Roman"/>
            <w:szCs w:val="20"/>
          </w:rPr>
          <w:t>intelligence artificielle incarnée</w:t>
        </w:r>
      </w:hyperlink>
      <w:r w:rsidRPr="00145E13">
        <w:t>.</w:t>
      </w:r>
    </w:p>
    <w:p w14:paraId="24B31FD2" w14:textId="4368901C" w:rsidR="009659BE" w:rsidRPr="00145E13" w:rsidRDefault="009659BE" w:rsidP="00B07B89">
      <w:pPr>
        <w:jc w:val="both"/>
      </w:pPr>
      <w:r w:rsidRPr="00145E13">
        <w:t>Les commissions d</w:t>
      </w:r>
      <w:r w:rsidR="00060B5F" w:rsidRPr="00145E13">
        <w:t>'</w:t>
      </w:r>
      <w:r w:rsidRPr="00145E13">
        <w:t>études de l</w:t>
      </w:r>
      <w:r w:rsidR="00060B5F" w:rsidRPr="00145E13">
        <w:t>'</w:t>
      </w:r>
      <w:r w:rsidRPr="00145E13">
        <w:t>UIT-R tiennent compte des aspects liés à l</w:t>
      </w:r>
      <w:r w:rsidR="00060B5F" w:rsidRPr="00145E13">
        <w:t>'</w:t>
      </w:r>
      <w:r w:rsidRPr="00145E13">
        <w:t xml:space="preserve">IA dans leurs études: dans son rapport sur le </w:t>
      </w:r>
      <w:hyperlink r:id="rId82" w:history="1">
        <w:r w:rsidRPr="00145E13">
          <w:rPr>
            <w:rStyle w:val="Hyperlink"/>
            <w:rFonts w:eastAsia="Times New Roman" w:cs="Times New Roman"/>
            <w:szCs w:val="20"/>
          </w:rPr>
          <w:t>contrôle du spectre de prochaine génération</w:t>
        </w:r>
      </w:hyperlink>
      <w:r w:rsidRPr="00145E13">
        <w:t>, la CE 1 évoque l'application de l</w:t>
      </w:r>
      <w:r w:rsidR="00060B5F" w:rsidRPr="00145E13">
        <w:t>'</w:t>
      </w:r>
      <w:r w:rsidRPr="00145E13">
        <w:t>IA et des mégadonnées pour automatiser le contrôle du spectre; les travaux du Groupe de travail par correspondance sur l</w:t>
      </w:r>
      <w:r w:rsidR="00060B5F" w:rsidRPr="00145E13">
        <w:t>'</w:t>
      </w:r>
      <w:hyperlink r:id="rId83" w:history="1">
        <w:r w:rsidRPr="00145E13">
          <w:rPr>
            <w:rStyle w:val="Hyperlink"/>
            <w:rFonts w:eastAsia="Times New Roman" w:cs="Times New Roman"/>
            <w:szCs w:val="20"/>
          </w:rPr>
          <w:t>apprentissage automatique pour les études de propagation</w:t>
        </w:r>
      </w:hyperlink>
      <w:r w:rsidRPr="00145E13">
        <w:t xml:space="preserve"> orientent les applications de l'apprentissage automatique dans la prévision de la propagation des ondes radioélectriques; et la CE 6 s'intéresse à l</w:t>
      </w:r>
      <w:r w:rsidR="00060B5F" w:rsidRPr="00145E13">
        <w:t>'</w:t>
      </w:r>
      <w:r w:rsidRPr="00145E13">
        <w:t>IA appliquée à la radiodiffusion, notamment à l</w:t>
      </w:r>
      <w:r w:rsidR="00060B5F" w:rsidRPr="00145E13">
        <w:t>'</w:t>
      </w:r>
      <w:r w:rsidRPr="00145E13">
        <w:t>utilisation de l'IA générative dans les flux de production de programmes.</w:t>
      </w:r>
    </w:p>
    <w:p w14:paraId="06D8937C" w14:textId="3B8D01FD" w:rsidR="009659BE" w:rsidRPr="00145E13" w:rsidRDefault="009659BE" w:rsidP="00B07B89">
      <w:pPr>
        <w:jc w:val="both"/>
      </w:pPr>
      <w:r w:rsidRPr="00145E13">
        <w:t xml:space="preserve">Les principales initiatives d'avant-normalisation ont les buts suivants: </w:t>
      </w:r>
      <w:hyperlink r:id="rId84" w:anchor="/fr" w:history="1">
        <w:r w:rsidRPr="00145E13">
          <w:rPr>
            <w:rStyle w:val="Hyperlink"/>
            <w:rFonts w:eastAsia="Times New Roman" w:cs="Times New Roman"/>
            <w:szCs w:val="20"/>
          </w:rPr>
          <w:t>Initiative mondiale sur l</w:t>
        </w:r>
        <w:r w:rsidR="00060B5F" w:rsidRPr="00145E13">
          <w:rPr>
            <w:rStyle w:val="Hyperlink"/>
            <w:rFonts w:eastAsia="Times New Roman" w:cs="Times New Roman"/>
            <w:szCs w:val="20"/>
          </w:rPr>
          <w:t>'</w:t>
        </w:r>
        <w:r w:rsidRPr="00145E13">
          <w:rPr>
            <w:rStyle w:val="Hyperlink"/>
            <w:rFonts w:eastAsia="Times New Roman" w:cs="Times New Roman"/>
            <w:szCs w:val="20"/>
          </w:rPr>
          <w:t>IA pour les systèmes alimentaires</w:t>
        </w:r>
      </w:hyperlink>
      <w:r w:rsidRPr="00145E13">
        <w:t xml:space="preserve"> – utiliser l</w:t>
      </w:r>
      <w:r w:rsidR="00060B5F" w:rsidRPr="00145E13">
        <w:t>'</w:t>
      </w:r>
      <w:r w:rsidRPr="00145E13">
        <w:t>IA pour renforcer la productivité, l</w:t>
      </w:r>
      <w:r w:rsidR="00060B5F" w:rsidRPr="00145E13">
        <w:t>'</w:t>
      </w:r>
      <w:r w:rsidRPr="00145E13">
        <w:t xml:space="preserve">efficacité et la sécurité alimentaire mondiale; </w:t>
      </w:r>
      <w:hyperlink r:id="rId85" w:history="1">
        <w:r w:rsidRPr="00145E13">
          <w:rPr>
            <w:rStyle w:val="Hyperlink"/>
            <w:rFonts w:eastAsia="Times New Roman" w:cs="Times New Roman"/>
            <w:szCs w:val="20"/>
          </w:rPr>
          <w:t>Initiative mondiale sur la résilience aux risques naturels par les solutions d'intelligence artificielle</w:t>
        </w:r>
      </w:hyperlink>
      <w:r w:rsidRPr="00145E13">
        <w:t xml:space="preserve"> – offrir des conseils et un appui spécialisés pour la recherche, l'innovation et l'élaboration de normes; </w:t>
      </w:r>
      <w:hyperlink r:id="rId86" w:anchor="/fr" w:history="1">
        <w:r w:rsidRPr="00145E13">
          <w:rPr>
            <w:rStyle w:val="Hyperlink"/>
            <w:rFonts w:eastAsia="Times New Roman" w:cs="Times New Roman"/>
            <w:szCs w:val="20"/>
          </w:rPr>
          <w:t>Initiative mondiale sur l'intelligence artificielle au service de la santé</w:t>
        </w:r>
      </w:hyperlink>
      <w:r w:rsidRPr="00145E13">
        <w:t xml:space="preserve"> – promouvoir des lignes directrices normalisées, catalyser la collaboration intersectorielle et favoriser une plus large participation des professionnels de la santé et des spécialistes de l'IA au niveau mondial; et </w:t>
      </w:r>
      <w:hyperlink r:id="rId87" w:history="1">
        <w:r w:rsidRPr="00145E13">
          <w:rPr>
            <w:rStyle w:val="Hyperlink"/>
            <w:rFonts w:eastAsia="Times New Roman" w:cs="Times New Roman"/>
            <w:szCs w:val="20"/>
          </w:rPr>
          <w:t>Initiative mondiale sur les mondes virtuels et l'IA</w:t>
        </w:r>
      </w:hyperlink>
      <w:r w:rsidRPr="00145E13">
        <w:t xml:space="preserve"> – bâtir un avenir où les mondes virtuels fondés sur l</w:t>
      </w:r>
      <w:r w:rsidR="00060B5F" w:rsidRPr="00145E13">
        <w:t>'</w:t>
      </w:r>
      <w:r w:rsidRPr="00145E13">
        <w:t>IA soient inclusifs, fiables et interopérables.</w:t>
      </w:r>
    </w:p>
    <w:p w14:paraId="3D9EA781" w14:textId="77777777" w:rsidR="009659BE" w:rsidRPr="00145E13" w:rsidRDefault="009659BE" w:rsidP="009659BE">
      <w:pPr>
        <w:pStyle w:val="Headingb"/>
      </w:pPr>
      <w:r w:rsidRPr="00145E13">
        <w:t>Coopération en matière de normalisation mondiale (WSC)</w:t>
      </w:r>
    </w:p>
    <w:p w14:paraId="0A8CE731" w14:textId="0FB65E54" w:rsidR="009659BE" w:rsidRPr="00145E13" w:rsidRDefault="009659BE" w:rsidP="00B07B89">
      <w:pPr>
        <w:jc w:val="both"/>
      </w:pPr>
      <w:r w:rsidRPr="00145E13">
        <w:t>La collaboration menée avec d</w:t>
      </w:r>
      <w:r w:rsidR="00060B5F" w:rsidRPr="00145E13">
        <w:t>'</w:t>
      </w:r>
      <w:r w:rsidRPr="00145E13">
        <w:t xml:space="preserve">autres organisations de normalisation dans le cadre de la Coopération en matière de normalisation mondiale (WSC) promeut des normes internationales fondées sur le consensus. Ses principales réalisations sont la </w:t>
      </w:r>
      <w:hyperlink r:id="rId88" w:anchor="/fr" w:history="1">
        <w:r w:rsidRPr="00145E13">
          <w:rPr>
            <w:rStyle w:val="Hyperlink"/>
            <w:rFonts w:eastAsia="Times New Roman" w:cs="Times New Roman"/>
            <w:szCs w:val="20"/>
          </w:rPr>
          <w:t>création de la base de données pour les échanges de documents normatifs sur l</w:t>
        </w:r>
        <w:r w:rsidR="00060B5F" w:rsidRPr="00145E13">
          <w:rPr>
            <w:rStyle w:val="Hyperlink"/>
            <w:rFonts w:eastAsia="Times New Roman" w:cs="Times New Roman"/>
            <w:szCs w:val="20"/>
          </w:rPr>
          <w:t>'</w:t>
        </w:r>
        <w:r w:rsidRPr="00145E13">
          <w:rPr>
            <w:rStyle w:val="Hyperlink"/>
            <w:rFonts w:eastAsia="Times New Roman" w:cs="Times New Roman"/>
            <w:szCs w:val="20"/>
          </w:rPr>
          <w:t>IA</w:t>
        </w:r>
      </w:hyperlink>
      <w:r w:rsidRPr="00145E13">
        <w:t>, qui répertorie plus</w:t>
      </w:r>
      <w:r w:rsidR="00274A37" w:rsidRPr="00145E13">
        <w:t> </w:t>
      </w:r>
      <w:r w:rsidRPr="00145E13">
        <w:t>de</w:t>
      </w:r>
      <w:r w:rsidR="00274A37" w:rsidRPr="00145E13">
        <w:t> </w:t>
      </w:r>
      <w:r w:rsidRPr="00145E13">
        <w:t>800 normes et publications techniques de l</w:t>
      </w:r>
      <w:r w:rsidR="00060B5F" w:rsidRPr="00145E13">
        <w:t>'</w:t>
      </w:r>
      <w:r w:rsidRPr="00145E13">
        <w:t>UIT, de l</w:t>
      </w:r>
      <w:r w:rsidR="00060B5F" w:rsidRPr="00145E13">
        <w:t>'</w:t>
      </w:r>
      <w:r w:rsidRPr="00145E13">
        <w:t>ISO, de la CEI et de l</w:t>
      </w:r>
      <w:r w:rsidR="00060B5F" w:rsidRPr="00145E13">
        <w:t>'</w:t>
      </w:r>
      <w:r w:rsidRPr="00145E13">
        <w:t xml:space="preserve">IEEE, et la publication de </w:t>
      </w:r>
      <w:hyperlink r:id="rId89" w:anchor="/fr" w:history="1">
        <w:r w:rsidRPr="00145E13">
          <w:rPr>
            <w:rStyle w:val="Hyperlink"/>
            <w:rFonts w:eastAsia="Times New Roman" w:cs="Times New Roman"/>
            <w:szCs w:val="20"/>
          </w:rPr>
          <w:t>deux documents directifs et techniques phares</w:t>
        </w:r>
      </w:hyperlink>
      <w:r w:rsidRPr="00145E13">
        <w:t xml:space="preserve"> sur les normes en matière de détection de l'hypertrucage, à titre de produits initiaux de la Collaboration pour les normes sur l'authenticité de l'IA et des contenus multimédia (AMAS). Par ailleurs, le </w:t>
      </w:r>
      <w:hyperlink r:id="rId90" w:history="1">
        <w:r w:rsidRPr="00145E13">
          <w:rPr>
            <w:rStyle w:val="Hyperlink"/>
            <w:rFonts w:eastAsia="Times New Roman" w:cs="Times New Roman"/>
            <w:szCs w:val="20"/>
          </w:rPr>
          <w:t>Sommet sur les normes internationales de l'IA</w:t>
        </w:r>
      </w:hyperlink>
      <w:r w:rsidRPr="00145E13">
        <w:t xml:space="preserve"> a tenu sa séance inaugurale en marge de la dernière AMNT à New Delhi. Pour sa deuxième édition, en décembre 2025, il a adopté la </w:t>
      </w:r>
      <w:hyperlink r:id="rId91" w:history="1">
        <w:r w:rsidRPr="00145E13">
          <w:rPr>
            <w:rStyle w:val="Hyperlink"/>
            <w:rFonts w:eastAsia="Times New Roman" w:cs="Times New Roman"/>
            <w:szCs w:val="20"/>
          </w:rPr>
          <w:t>Déclaration de Séoul</w:t>
        </w:r>
      </w:hyperlink>
      <w:r w:rsidRPr="00145E13">
        <w:t xml:space="preserve"> sur le développement des normes internationales de l'IA.</w:t>
      </w:r>
    </w:p>
    <w:p w14:paraId="15F3D386" w14:textId="77777777" w:rsidR="009659BE" w:rsidRPr="00145E13" w:rsidRDefault="009659BE" w:rsidP="009659BE">
      <w:pPr>
        <w:pStyle w:val="Headingb"/>
      </w:pPr>
      <w:r w:rsidRPr="00145E13">
        <w:t>Autres travaux dans le domaine des politiques</w:t>
      </w:r>
    </w:p>
    <w:p w14:paraId="4606809D" w14:textId="7E08C394" w:rsidR="009659BE" w:rsidRPr="00145E13" w:rsidRDefault="009659BE" w:rsidP="00B07B89">
      <w:pPr>
        <w:jc w:val="both"/>
      </w:pPr>
      <w:r w:rsidRPr="00145E13">
        <w:t>À la suite de l</w:t>
      </w:r>
      <w:r w:rsidR="00060B5F" w:rsidRPr="00145E13">
        <w:t>'</w:t>
      </w:r>
      <w:r w:rsidRPr="00145E13">
        <w:t>enquête de 2023 sur l</w:t>
      </w:r>
      <w:r w:rsidR="00060B5F" w:rsidRPr="00145E13">
        <w:t>'</w:t>
      </w:r>
      <w:r w:rsidRPr="00145E13">
        <w:t>environnement de l</w:t>
      </w:r>
      <w:r w:rsidR="00060B5F" w:rsidRPr="00145E13">
        <w:t>'</w:t>
      </w:r>
      <w:r w:rsidRPr="00145E13">
        <w:t>IA, l</w:t>
      </w:r>
      <w:r w:rsidR="00060B5F" w:rsidRPr="00145E13">
        <w:t>'</w:t>
      </w:r>
      <w:r w:rsidRPr="00145E13">
        <w:t>UIT a lancé l</w:t>
      </w:r>
      <w:r w:rsidR="00060B5F" w:rsidRPr="00145E13">
        <w:t>'</w:t>
      </w:r>
      <w:hyperlink r:id="rId92" w:history="1">
        <w:r w:rsidRPr="00145E13">
          <w:rPr>
            <w:rStyle w:val="Hyperlink"/>
            <w:rFonts w:eastAsia="Times New Roman" w:cs="Times New Roman"/>
            <w:szCs w:val="20"/>
          </w:rPr>
          <w:t>édition 2025</w:t>
        </w:r>
      </w:hyperlink>
      <w:r w:rsidRPr="00145E13">
        <w:t xml:space="preserve"> de cette enquête en novembre 2025 pour recueillir des données actualisées sur les politiques d</w:t>
      </w:r>
      <w:r w:rsidR="00060B5F" w:rsidRPr="00145E13">
        <w:t>'</w:t>
      </w:r>
      <w:r w:rsidRPr="00145E13">
        <w:t>IA nationales, les capacités infrastructurelles et les besoins en renforcement des capacités. Les résultats sont en cours d</w:t>
      </w:r>
      <w:r w:rsidR="00060B5F" w:rsidRPr="00145E13">
        <w:t>'</w:t>
      </w:r>
      <w:r w:rsidRPr="00145E13">
        <w:t xml:space="preserve">analyse et un rapport sera publié ultérieurement. Cette analyse </w:t>
      </w:r>
      <w:r w:rsidRPr="00145E13">
        <w:lastRenderedPageBreak/>
        <w:t>constituera une ressource utile pour éclairer et orienter les activités de l</w:t>
      </w:r>
      <w:r w:rsidR="00060B5F" w:rsidRPr="00145E13">
        <w:t>'</w:t>
      </w:r>
      <w:r w:rsidRPr="00145E13">
        <w:t>UIT sur le renforcement des capacités pour l</w:t>
      </w:r>
      <w:r w:rsidR="00060B5F" w:rsidRPr="00145E13">
        <w:t>'</w:t>
      </w:r>
      <w:r w:rsidRPr="00145E13">
        <w:t>IA.</w:t>
      </w:r>
    </w:p>
    <w:p w14:paraId="0280E513" w14:textId="64A752F3" w:rsidR="009659BE" w:rsidRPr="00145E13" w:rsidRDefault="009659BE" w:rsidP="00B07B89">
      <w:pPr>
        <w:jc w:val="both"/>
      </w:pPr>
      <w:r w:rsidRPr="00145E13">
        <w:t>Lors de l</w:t>
      </w:r>
      <w:r w:rsidR="00060B5F" w:rsidRPr="00145E13">
        <w:t>'</w:t>
      </w:r>
      <w:r w:rsidRPr="00145E13">
        <w:t xml:space="preserve">édition 2025 du Colloque mondial des régulateurs, les participants ont adopté des </w:t>
      </w:r>
      <w:hyperlink r:id="rId93" w:anchor="p=1" w:history="1">
        <w:r w:rsidRPr="00145E13">
          <w:rPr>
            <w:rStyle w:val="Hyperlink"/>
            <w:rFonts w:eastAsia="Times New Roman" w:cs="Times New Roman"/>
            <w:szCs w:val="20"/>
          </w:rPr>
          <w:t>principes de référence</w:t>
        </w:r>
      </w:hyperlink>
      <w:r w:rsidRPr="00145E13">
        <w:t xml:space="preserve"> sur la formation des régulateurs à la construction de l</w:t>
      </w:r>
      <w:r w:rsidR="00060B5F" w:rsidRPr="00145E13">
        <w:t>'</w:t>
      </w:r>
      <w:r w:rsidRPr="00145E13">
        <w:t xml:space="preserve">écosystème numérique. Dans le cadre de la </w:t>
      </w:r>
      <w:hyperlink r:id="rId94" w:history="1">
        <w:r w:rsidRPr="00145E13">
          <w:rPr>
            <w:rStyle w:val="Hyperlink"/>
            <w:rFonts w:eastAsia="Times New Roman" w:cs="Times New Roman"/>
            <w:szCs w:val="20"/>
          </w:rPr>
          <w:t>plate-forme sur la réglementation du numérique</w:t>
        </w:r>
      </w:hyperlink>
      <w:r w:rsidRPr="00145E13">
        <w:t>, l</w:t>
      </w:r>
      <w:r w:rsidR="00060B5F" w:rsidRPr="00145E13">
        <w:t>'</w:t>
      </w:r>
      <w:r w:rsidRPr="00145E13">
        <w:t>UIT propose plusieurs ressources, notamment un "</w:t>
      </w:r>
      <w:hyperlink r:id="rId95" w:history="1">
        <w:r w:rsidRPr="00145E13">
          <w:rPr>
            <w:rStyle w:val="Hyperlink"/>
            <w:rFonts w:eastAsia="Times New Roman" w:cs="Times New Roman"/>
            <w:szCs w:val="20"/>
          </w:rPr>
          <w:t>Guide des cadres de collaboration pour l</w:t>
        </w:r>
        <w:r w:rsidR="00060B5F" w:rsidRPr="00145E13">
          <w:rPr>
            <w:rStyle w:val="Hyperlink"/>
            <w:rFonts w:eastAsia="Times New Roman" w:cs="Times New Roman"/>
            <w:szCs w:val="20"/>
          </w:rPr>
          <w:t>'</w:t>
        </w:r>
        <w:r w:rsidRPr="00145E13">
          <w:rPr>
            <w:rStyle w:val="Hyperlink"/>
            <w:rFonts w:eastAsia="Times New Roman" w:cs="Times New Roman"/>
            <w:szCs w:val="20"/>
          </w:rPr>
          <w:t>IA</w:t>
        </w:r>
      </w:hyperlink>
      <w:r w:rsidRPr="00145E13">
        <w:t>" et des analyses sur le thème "</w:t>
      </w:r>
      <w:hyperlink r:id="rId96" w:history="1">
        <w:r w:rsidR="00274A37" w:rsidRPr="00145E13">
          <w:rPr>
            <w:rStyle w:val="Hyperlink"/>
            <w:rFonts w:eastAsia="Times New Roman" w:cs="Times New Roman"/>
            <w:szCs w:val="20"/>
          </w:rPr>
          <w:t>Enjeux des technologies transformatrices (IA) et principes de réglementation</w:t>
        </w:r>
      </w:hyperlink>
      <w:r w:rsidRPr="00145E13">
        <w:t>". Pour mettre en œuvre ces ressources, l</w:t>
      </w:r>
      <w:r w:rsidR="00060B5F" w:rsidRPr="00145E13">
        <w:t>'</w:t>
      </w:r>
      <w:r w:rsidRPr="00145E13">
        <w:t>UIT publiera prochainement un guide pratique de diagnostic et de mise en œuvre intitulé "Préparation à l</w:t>
      </w:r>
      <w:r w:rsidR="00060B5F" w:rsidRPr="00145E13">
        <w:t>'</w:t>
      </w:r>
      <w:r w:rsidRPr="00145E13">
        <w:t>IA – De l'analyse à l</w:t>
      </w:r>
      <w:r w:rsidR="00060B5F" w:rsidRPr="00145E13">
        <w:t>'</w:t>
      </w:r>
      <w:r w:rsidRPr="00145E13">
        <w:t>action", qui indique comment traduire les évaluations en feuilles de routes assorties de priorités. L</w:t>
      </w:r>
      <w:r w:rsidR="00060B5F" w:rsidRPr="00145E13">
        <w:t>'</w:t>
      </w:r>
      <w:r w:rsidRPr="00145E13">
        <w:t>UIT soutient également les stratégies d'IA et les cadres d'infrastructure publique numérique au niveau national, tout en mettant à la disposition des pays des sas réglementaires leur permettant d'expérimenter et de piloter l</w:t>
      </w:r>
      <w:r w:rsidR="00060B5F" w:rsidRPr="00145E13">
        <w:t>'</w:t>
      </w:r>
      <w:r w:rsidRPr="00145E13">
        <w:t>innovation liée à l'IA selon leur propre contexte national.</w:t>
      </w:r>
    </w:p>
    <w:p w14:paraId="25E0BBCE" w14:textId="1D3A9ED9" w:rsidR="009659BE" w:rsidRPr="00145E13" w:rsidRDefault="009659BE" w:rsidP="00B07B89">
      <w:pPr>
        <w:jc w:val="both"/>
      </w:pPr>
      <w:r w:rsidRPr="00145E13">
        <w:t>L</w:t>
      </w:r>
      <w:r w:rsidR="00060B5F" w:rsidRPr="00145E13">
        <w:t>'</w:t>
      </w:r>
      <w:r w:rsidRPr="00145E13">
        <w:t>UIT, de concert avec le Comité des droits de l</w:t>
      </w:r>
      <w:r w:rsidR="00060B5F" w:rsidRPr="00145E13">
        <w:t>'</w:t>
      </w:r>
      <w:r w:rsidRPr="00145E13">
        <w:t>enfant de l'ONU et l</w:t>
      </w:r>
      <w:r w:rsidR="00060B5F" w:rsidRPr="00145E13">
        <w:t>'</w:t>
      </w:r>
      <w:r w:rsidRPr="00145E13">
        <w:t xml:space="preserve">UNICEF, a dirigé la rédaction de la </w:t>
      </w:r>
      <w:hyperlink r:id="rId97" w:history="1">
        <w:r w:rsidRPr="00145E13">
          <w:rPr>
            <w:rStyle w:val="Hyperlink"/>
            <w:rFonts w:eastAsia="Times New Roman" w:cs="Times New Roman"/>
            <w:szCs w:val="20"/>
          </w:rPr>
          <w:t>Déclaration commune sur l'intelligence artificielle et les droits de l'enfant</w:t>
        </w:r>
      </w:hyperlink>
      <w:r w:rsidRPr="00145E13">
        <w:t>. Publiée en janvier 2026 et cosignée par plus de 60 partenaires, la Déclaration énonce des orientations et des recommandations pour la prise en compte des droits de l</w:t>
      </w:r>
      <w:r w:rsidR="00060B5F" w:rsidRPr="00145E13">
        <w:t>'</w:t>
      </w:r>
      <w:r w:rsidRPr="00145E13">
        <w:t>enfant tout au long du cycle de vie de l</w:t>
      </w:r>
      <w:r w:rsidR="00060B5F" w:rsidRPr="00145E13">
        <w:t>'</w:t>
      </w:r>
      <w:r w:rsidRPr="00145E13">
        <w:t>IA.</w:t>
      </w:r>
    </w:p>
    <w:p w14:paraId="3991A6A1" w14:textId="77777777" w:rsidR="009659BE" w:rsidRPr="00145E13" w:rsidRDefault="009659BE" w:rsidP="009659BE">
      <w:pPr>
        <w:pStyle w:val="Headingb"/>
      </w:pPr>
      <w:r w:rsidRPr="00145E13">
        <w:t>Conclusion</w:t>
      </w:r>
    </w:p>
    <w:p w14:paraId="23B24256" w14:textId="41D463C8" w:rsidR="009659BE" w:rsidRPr="00145E13" w:rsidRDefault="009659BE" w:rsidP="00B07B89">
      <w:pPr>
        <w:jc w:val="both"/>
      </w:pPr>
      <w:r w:rsidRPr="00145E13">
        <w:t>Dans le présent rapport, les nombreuses activités que l</w:t>
      </w:r>
      <w:r w:rsidR="00060B5F" w:rsidRPr="00145E13">
        <w:t>'</w:t>
      </w:r>
      <w:r w:rsidRPr="00145E13">
        <w:t>UIT consacre à l</w:t>
      </w:r>
      <w:r w:rsidR="00060B5F" w:rsidRPr="00145E13">
        <w:t>'</w:t>
      </w:r>
      <w:r w:rsidRPr="00145E13">
        <w:t>IA sont groupées en trois piliers, en indiquant comment l</w:t>
      </w:r>
      <w:r w:rsidR="00060B5F" w:rsidRPr="00145E13">
        <w:t>'</w:t>
      </w:r>
      <w:r w:rsidRPr="00145E13">
        <w:t>UIT relie solutions concrètes pour l</w:t>
      </w:r>
      <w:r w:rsidR="00060B5F" w:rsidRPr="00145E13">
        <w:t>'</w:t>
      </w:r>
      <w:r w:rsidRPr="00145E13">
        <w:t>IA et mise en commun des connaissances, renforce les capacités institutionnelles et humaines, et promeut une IA fiable et interopérable par les normes, les politiques et la coordination internationale. Les activités de politique générale et de renforcement des capacités de l'UIT suscitent toujours plus d'intérêt, de même que son Initiative sur l'IA au service du bien social, ce qui témoigne de la reconnaissance croissance de son rôle et son savoir-faire en la matière.</w:t>
      </w:r>
    </w:p>
    <w:p w14:paraId="26A60116" w14:textId="4F602D9A" w:rsidR="006A11AE" w:rsidRDefault="009659BE" w:rsidP="00B07B89">
      <w:pPr>
        <w:jc w:val="both"/>
      </w:pPr>
      <w:r w:rsidRPr="00145E13">
        <w:t>Au rythme où les activités de l'UIT progressent dans ce domaine, comme en témoignent l</w:t>
      </w:r>
      <w:r w:rsidR="00060B5F" w:rsidRPr="00145E13">
        <w:t>'</w:t>
      </w:r>
      <w:r w:rsidRPr="00145E13">
        <w:t>Initiative sur l'IA au service du bien social, les activités normatives sur l</w:t>
      </w:r>
      <w:r w:rsidR="00060B5F" w:rsidRPr="00145E13">
        <w:t>'</w:t>
      </w:r>
      <w:r w:rsidRPr="00145E13">
        <w:t xml:space="preserve">IA ou encore la première édition du Dialogue mondial des Nations Unies sur la gouvernance de l'IA, il est nécessaire de prévoir des ressources suffisantes. Le Secrétariat de l'UIT a donc demandé des ressources financières supplémentaires pour pérenniser et mettre à l'échelle ses initiatives concernant l'IA, comme indiqué dans le </w:t>
      </w:r>
      <w:hyperlink r:id="rId98" w:history="1">
        <w:r w:rsidRPr="00145E13">
          <w:rPr>
            <w:rStyle w:val="Hyperlink"/>
            <w:rFonts w:eastAsia="Times New Roman" w:cs="Times New Roman"/>
            <w:szCs w:val="20"/>
          </w:rPr>
          <w:t xml:space="preserve">Document </w:t>
        </w:r>
        <w:proofErr w:type="spellStart"/>
        <w:r w:rsidRPr="00145E13">
          <w:rPr>
            <w:rStyle w:val="Hyperlink"/>
            <w:rFonts w:eastAsia="Times New Roman" w:cs="Times New Roman"/>
            <w:szCs w:val="20"/>
          </w:rPr>
          <w:t>C26</w:t>
        </w:r>
        <w:proofErr w:type="spellEnd"/>
        <w:r w:rsidRPr="00145E13">
          <w:rPr>
            <w:rStyle w:val="Hyperlink"/>
            <w:rFonts w:eastAsia="Times New Roman" w:cs="Times New Roman"/>
            <w:szCs w:val="20"/>
          </w:rPr>
          <w:t>/42</w:t>
        </w:r>
      </w:hyperlink>
      <w:r w:rsidRPr="00145E13">
        <w:t>.</w:t>
      </w:r>
    </w:p>
    <w:p w14:paraId="4DE2AB0F" w14:textId="77777777" w:rsidR="00B07B89" w:rsidRPr="00145E13" w:rsidRDefault="00B07B89" w:rsidP="00B07B89">
      <w:pPr>
        <w:jc w:val="both"/>
      </w:pPr>
    </w:p>
    <w:p w14:paraId="49847545" w14:textId="77777777" w:rsidR="00897553" w:rsidRPr="00145E13" w:rsidRDefault="006A11AE" w:rsidP="002D2336">
      <w:pPr>
        <w:jc w:val="center"/>
      </w:pPr>
      <w:r w:rsidRPr="00145E13">
        <w:t>______________</w:t>
      </w:r>
    </w:p>
    <w:sectPr w:rsidR="00897553" w:rsidRPr="00145E13" w:rsidSect="00D72F49">
      <w:headerReference w:type="even" r:id="rId99"/>
      <w:footerReference w:type="even" r:id="rId100"/>
      <w:footerReference w:type="default" r:id="rId101"/>
      <w:headerReference w:type="first" r:id="rId102"/>
      <w:footerReference w:type="first" r:id="rId103"/>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E0317" w14:textId="77777777" w:rsidR="00970A79" w:rsidRDefault="00970A79">
      <w:r>
        <w:separator/>
      </w:r>
    </w:p>
  </w:endnote>
  <w:endnote w:type="continuationSeparator" w:id="0">
    <w:p w14:paraId="06234AFA" w14:textId="77777777" w:rsidR="00970A79" w:rsidRDefault="00970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9D57" w14:textId="1D660FDC" w:rsidR="00732045" w:rsidRDefault="00145E13">
    <w:pPr>
      <w:pStyle w:val="Footer"/>
    </w:pPr>
    <w:fldSimple w:instr=" FILENAME \p \* MERGEFORMAT ">
      <w:r w:rsidR="00970A79">
        <w:t>Document1</w:t>
      </w:r>
    </w:fldSimple>
    <w:r w:rsidR="00732045">
      <w:tab/>
    </w:r>
    <w:r w:rsidR="002F1B76">
      <w:fldChar w:fldCharType="begin"/>
    </w:r>
    <w:r w:rsidR="00732045">
      <w:instrText xml:space="preserve"> savedate \@ dd.MM.yy </w:instrText>
    </w:r>
    <w:r w:rsidR="002F1B76">
      <w:fldChar w:fldCharType="separate"/>
    </w:r>
    <w:r w:rsidR="00D201EB">
      <w:t>20.04.26</w:t>
    </w:r>
    <w:r w:rsidR="002F1B76">
      <w:fldChar w:fldCharType="end"/>
    </w:r>
    <w:r w:rsidR="00732045">
      <w:tab/>
    </w:r>
    <w:r w:rsidR="002F1B76">
      <w:fldChar w:fldCharType="begin"/>
    </w:r>
    <w:r w:rsidR="00732045">
      <w:instrText xml:space="preserve"> printdate \@ dd.MM.yy </w:instrText>
    </w:r>
    <w:r w:rsidR="002F1B76">
      <w:fldChar w:fldCharType="separate"/>
    </w:r>
    <w:r w:rsidR="00970A79">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362E4559" w14:textId="77777777" w:rsidTr="00E31DCE">
      <w:trPr>
        <w:jc w:val="center"/>
      </w:trPr>
      <w:tc>
        <w:tcPr>
          <w:tcW w:w="1803" w:type="dxa"/>
          <w:vAlign w:val="center"/>
        </w:tcPr>
        <w:p w14:paraId="24FA5026" w14:textId="39258197" w:rsidR="00A51849" w:rsidRDefault="009659BE" w:rsidP="00A51849">
          <w:pPr>
            <w:pStyle w:val="Header"/>
            <w:jc w:val="left"/>
            <w:rPr>
              <w:noProof/>
            </w:rPr>
          </w:pPr>
          <w:r>
            <w:rPr>
              <w:noProof/>
            </w:rPr>
            <w:t>2600738</w:t>
          </w:r>
        </w:p>
      </w:tc>
      <w:tc>
        <w:tcPr>
          <w:tcW w:w="8261" w:type="dxa"/>
        </w:tcPr>
        <w:p w14:paraId="31E1956D" w14:textId="33A9B242"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9659BE">
            <w:rPr>
              <w:bCs/>
            </w:rPr>
            <w:t>29</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28273D80"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9851DB7" w14:textId="77777777" w:rsidTr="00E31DCE">
      <w:trPr>
        <w:jc w:val="center"/>
      </w:trPr>
      <w:tc>
        <w:tcPr>
          <w:tcW w:w="1803" w:type="dxa"/>
          <w:vAlign w:val="center"/>
        </w:tcPr>
        <w:p w14:paraId="4A4FFE8A"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79E4CC78" w14:textId="39BC158C"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805CF7">
            <w:rPr>
              <w:bCs/>
            </w:rPr>
            <w:t>29</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62D1D4B6"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8A8E7" w14:textId="77777777" w:rsidR="00970A79" w:rsidRDefault="00970A79">
      <w:r>
        <w:t>____________________</w:t>
      </w:r>
    </w:p>
  </w:footnote>
  <w:footnote w:type="continuationSeparator" w:id="0">
    <w:p w14:paraId="038E8BCF" w14:textId="77777777" w:rsidR="00970A79" w:rsidRDefault="00970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3518"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5A9C7CB5"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EFC7" w14:textId="77777777" w:rsidR="00A51849" w:rsidRPr="001342E0" w:rsidRDefault="001342E0" w:rsidP="001342E0">
    <w:pPr>
      <w:pStyle w:val="Header"/>
    </w:pPr>
    <w:r>
      <w:rPr>
        <w:noProof/>
      </w:rPr>
      <w:drawing>
        <wp:inline distT="0" distB="0" distL="0" distR="0" wp14:anchorId="544AE6CD" wp14:editId="5885213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19176826">
    <w:abstractNumId w:val="9"/>
  </w:num>
  <w:num w:numId="2" w16cid:durableId="524363137">
    <w:abstractNumId w:val="7"/>
  </w:num>
  <w:num w:numId="3" w16cid:durableId="1454327607">
    <w:abstractNumId w:val="6"/>
  </w:num>
  <w:num w:numId="4" w16cid:durableId="1795323616">
    <w:abstractNumId w:val="5"/>
  </w:num>
  <w:num w:numId="5" w16cid:durableId="2015066905">
    <w:abstractNumId w:val="4"/>
  </w:num>
  <w:num w:numId="6" w16cid:durableId="78672602">
    <w:abstractNumId w:val="8"/>
  </w:num>
  <w:num w:numId="7" w16cid:durableId="1752190194">
    <w:abstractNumId w:val="3"/>
  </w:num>
  <w:num w:numId="8" w16cid:durableId="345058981">
    <w:abstractNumId w:val="2"/>
  </w:num>
  <w:num w:numId="9" w16cid:durableId="1410813071">
    <w:abstractNumId w:val="1"/>
  </w:num>
  <w:num w:numId="10" w16cid:durableId="951783705">
    <w:abstractNumId w:val="0"/>
  </w:num>
  <w:num w:numId="11" w16cid:durableId="328600506">
    <w:abstractNumId w:val="8"/>
  </w:num>
  <w:num w:numId="12" w16cid:durableId="1698892802">
    <w:abstractNumId w:val="3"/>
  </w:num>
  <w:num w:numId="13" w16cid:durableId="370349269">
    <w:abstractNumId w:val="2"/>
  </w:num>
  <w:num w:numId="14" w16cid:durableId="58983907">
    <w:abstractNumId w:val="1"/>
  </w:num>
  <w:num w:numId="15" w16cid:durableId="501286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A79"/>
    <w:rsid w:val="00016165"/>
    <w:rsid w:val="00060B5F"/>
    <w:rsid w:val="00067CE0"/>
    <w:rsid w:val="00076A2C"/>
    <w:rsid w:val="000B2C52"/>
    <w:rsid w:val="000D0D0A"/>
    <w:rsid w:val="000D2A66"/>
    <w:rsid w:val="00103163"/>
    <w:rsid w:val="00106B19"/>
    <w:rsid w:val="001133EF"/>
    <w:rsid w:val="00115D93"/>
    <w:rsid w:val="001247A8"/>
    <w:rsid w:val="001342E0"/>
    <w:rsid w:val="001370B2"/>
    <w:rsid w:val="001378C0"/>
    <w:rsid w:val="00145E13"/>
    <w:rsid w:val="00151DE7"/>
    <w:rsid w:val="001658F9"/>
    <w:rsid w:val="00165CE3"/>
    <w:rsid w:val="0018599D"/>
    <w:rsid w:val="0018694A"/>
    <w:rsid w:val="0019129B"/>
    <w:rsid w:val="001A3287"/>
    <w:rsid w:val="001A6508"/>
    <w:rsid w:val="001D4C31"/>
    <w:rsid w:val="001D5256"/>
    <w:rsid w:val="001E4D21"/>
    <w:rsid w:val="00207CD1"/>
    <w:rsid w:val="00226657"/>
    <w:rsid w:val="00231A41"/>
    <w:rsid w:val="002477A2"/>
    <w:rsid w:val="00263A51"/>
    <w:rsid w:val="00267E02"/>
    <w:rsid w:val="00271321"/>
    <w:rsid w:val="00274A37"/>
    <w:rsid w:val="00277DEA"/>
    <w:rsid w:val="00282866"/>
    <w:rsid w:val="002A49EC"/>
    <w:rsid w:val="002A5D44"/>
    <w:rsid w:val="002B48A2"/>
    <w:rsid w:val="002C3F32"/>
    <w:rsid w:val="002C4E3D"/>
    <w:rsid w:val="002C4EF2"/>
    <w:rsid w:val="002D2336"/>
    <w:rsid w:val="002E0BC4"/>
    <w:rsid w:val="002F1693"/>
    <w:rsid w:val="002F1B76"/>
    <w:rsid w:val="0033568E"/>
    <w:rsid w:val="00355FF5"/>
    <w:rsid w:val="00361350"/>
    <w:rsid w:val="00384BB3"/>
    <w:rsid w:val="003A3EAD"/>
    <w:rsid w:val="003A77B5"/>
    <w:rsid w:val="003C3FAE"/>
    <w:rsid w:val="003F1154"/>
    <w:rsid w:val="004038CB"/>
    <w:rsid w:val="0040546F"/>
    <w:rsid w:val="004177BD"/>
    <w:rsid w:val="0042404A"/>
    <w:rsid w:val="00424A11"/>
    <w:rsid w:val="00443F33"/>
    <w:rsid w:val="0044618F"/>
    <w:rsid w:val="00457597"/>
    <w:rsid w:val="00465C35"/>
    <w:rsid w:val="0046769A"/>
    <w:rsid w:val="00475FB3"/>
    <w:rsid w:val="004C37A9"/>
    <w:rsid w:val="004D1D50"/>
    <w:rsid w:val="004F259E"/>
    <w:rsid w:val="004F633A"/>
    <w:rsid w:val="00504C7F"/>
    <w:rsid w:val="00511F1D"/>
    <w:rsid w:val="00520F36"/>
    <w:rsid w:val="00524E8D"/>
    <w:rsid w:val="00534E13"/>
    <w:rsid w:val="00540615"/>
    <w:rsid w:val="00540A6D"/>
    <w:rsid w:val="00553536"/>
    <w:rsid w:val="00566679"/>
    <w:rsid w:val="00571EEA"/>
    <w:rsid w:val="00575417"/>
    <w:rsid w:val="005768E1"/>
    <w:rsid w:val="005A3D07"/>
    <w:rsid w:val="005B1938"/>
    <w:rsid w:val="005C3890"/>
    <w:rsid w:val="005F7BFE"/>
    <w:rsid w:val="00600017"/>
    <w:rsid w:val="00602682"/>
    <w:rsid w:val="006235CA"/>
    <w:rsid w:val="0062366E"/>
    <w:rsid w:val="006643AB"/>
    <w:rsid w:val="006A11AE"/>
    <w:rsid w:val="006B224B"/>
    <w:rsid w:val="006E0092"/>
    <w:rsid w:val="006F0A53"/>
    <w:rsid w:val="0071402E"/>
    <w:rsid w:val="007210CD"/>
    <w:rsid w:val="00732045"/>
    <w:rsid w:val="0073275D"/>
    <w:rsid w:val="007369DB"/>
    <w:rsid w:val="0077110E"/>
    <w:rsid w:val="007956C2"/>
    <w:rsid w:val="00796BDB"/>
    <w:rsid w:val="007A187E"/>
    <w:rsid w:val="007A1E7A"/>
    <w:rsid w:val="007C72C2"/>
    <w:rsid w:val="007D4436"/>
    <w:rsid w:val="007F257A"/>
    <w:rsid w:val="007F3665"/>
    <w:rsid w:val="00800037"/>
    <w:rsid w:val="00805CF7"/>
    <w:rsid w:val="0082299A"/>
    <w:rsid w:val="0083391C"/>
    <w:rsid w:val="0084546D"/>
    <w:rsid w:val="00861D73"/>
    <w:rsid w:val="008647BB"/>
    <w:rsid w:val="00882919"/>
    <w:rsid w:val="00897553"/>
    <w:rsid w:val="008A4E87"/>
    <w:rsid w:val="008D76E6"/>
    <w:rsid w:val="0092392D"/>
    <w:rsid w:val="0093234A"/>
    <w:rsid w:val="00956A78"/>
    <w:rsid w:val="009659BE"/>
    <w:rsid w:val="00970A79"/>
    <w:rsid w:val="0097363B"/>
    <w:rsid w:val="00973F53"/>
    <w:rsid w:val="0098348E"/>
    <w:rsid w:val="009A6BAA"/>
    <w:rsid w:val="009A76A8"/>
    <w:rsid w:val="009C307F"/>
    <w:rsid w:val="009C353C"/>
    <w:rsid w:val="009C6526"/>
    <w:rsid w:val="009D5955"/>
    <w:rsid w:val="009F0FB8"/>
    <w:rsid w:val="00A01F4F"/>
    <w:rsid w:val="00A109AF"/>
    <w:rsid w:val="00A125FB"/>
    <w:rsid w:val="00A2113E"/>
    <w:rsid w:val="00A23A51"/>
    <w:rsid w:val="00A24607"/>
    <w:rsid w:val="00A25CD3"/>
    <w:rsid w:val="00A40A21"/>
    <w:rsid w:val="00A44564"/>
    <w:rsid w:val="00A5017D"/>
    <w:rsid w:val="00A51849"/>
    <w:rsid w:val="00A709FE"/>
    <w:rsid w:val="00A73C60"/>
    <w:rsid w:val="00A7649E"/>
    <w:rsid w:val="00A82767"/>
    <w:rsid w:val="00AA332F"/>
    <w:rsid w:val="00AA63F8"/>
    <w:rsid w:val="00AA7BBB"/>
    <w:rsid w:val="00AB64A8"/>
    <w:rsid w:val="00AC0266"/>
    <w:rsid w:val="00AC0F1D"/>
    <w:rsid w:val="00AD24EC"/>
    <w:rsid w:val="00AF6AF3"/>
    <w:rsid w:val="00B07B89"/>
    <w:rsid w:val="00B27B00"/>
    <w:rsid w:val="00B309F9"/>
    <w:rsid w:val="00B31AE1"/>
    <w:rsid w:val="00B32B60"/>
    <w:rsid w:val="00B51005"/>
    <w:rsid w:val="00B61619"/>
    <w:rsid w:val="00BB18C5"/>
    <w:rsid w:val="00BB38C1"/>
    <w:rsid w:val="00BB4545"/>
    <w:rsid w:val="00BD5873"/>
    <w:rsid w:val="00BF4B60"/>
    <w:rsid w:val="00C03BFC"/>
    <w:rsid w:val="00C049D7"/>
    <w:rsid w:val="00C04BE3"/>
    <w:rsid w:val="00C07FC9"/>
    <w:rsid w:val="00C25D29"/>
    <w:rsid w:val="00C2625E"/>
    <w:rsid w:val="00C27A7C"/>
    <w:rsid w:val="00C42437"/>
    <w:rsid w:val="00C978B8"/>
    <w:rsid w:val="00CA08ED"/>
    <w:rsid w:val="00CC4FBB"/>
    <w:rsid w:val="00CC6EAA"/>
    <w:rsid w:val="00CE5172"/>
    <w:rsid w:val="00CF0534"/>
    <w:rsid w:val="00CF183B"/>
    <w:rsid w:val="00D201EB"/>
    <w:rsid w:val="00D375CD"/>
    <w:rsid w:val="00D37B53"/>
    <w:rsid w:val="00D553A2"/>
    <w:rsid w:val="00D72F49"/>
    <w:rsid w:val="00D774D3"/>
    <w:rsid w:val="00D904E8"/>
    <w:rsid w:val="00DA08C3"/>
    <w:rsid w:val="00DA0DB1"/>
    <w:rsid w:val="00DB0EFF"/>
    <w:rsid w:val="00DB5A3E"/>
    <w:rsid w:val="00DC00E7"/>
    <w:rsid w:val="00DC22AA"/>
    <w:rsid w:val="00DD1A99"/>
    <w:rsid w:val="00DE62C6"/>
    <w:rsid w:val="00DF74DD"/>
    <w:rsid w:val="00E25AD0"/>
    <w:rsid w:val="00E4428F"/>
    <w:rsid w:val="00E4448E"/>
    <w:rsid w:val="00E47427"/>
    <w:rsid w:val="00E93668"/>
    <w:rsid w:val="00E95647"/>
    <w:rsid w:val="00EB6350"/>
    <w:rsid w:val="00ED799B"/>
    <w:rsid w:val="00EE4F24"/>
    <w:rsid w:val="00F15B57"/>
    <w:rsid w:val="00F35EF4"/>
    <w:rsid w:val="00F37FE5"/>
    <w:rsid w:val="00F427DB"/>
    <w:rsid w:val="00FA2D7B"/>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632F25F"/>
  <w15:docId w15:val="{252D9516-6C7E-41F8-8C09-56BD4B484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DB0EFF"/>
    <w:pPr>
      <w:framePr w:hSpace="181" w:wrap="around" w:vAnchor="page" w:hAnchor="page" w:x="1589" w:y="2314"/>
      <w:spacing w:before="840"/>
    </w:pPr>
    <w:rPr>
      <w:rFonts w:cstheme="minorHAnsi"/>
      <w:b/>
      <w:color w:val="000000"/>
      <w:sz w:val="32"/>
      <w:szCs w:val="32"/>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paragraph" w:styleId="IntenseQuote">
    <w:name w:val="Intense Quote"/>
    <w:basedOn w:val="Normal"/>
    <w:next w:val="Normal"/>
    <w:link w:val="IntenseQuoteChar"/>
    <w:uiPriority w:val="30"/>
    <w:qFormat/>
    <w:rsid w:val="00AF6AF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F6AF3"/>
    <w:rPr>
      <w:rFonts w:ascii="Calibri" w:hAnsi="Calibri"/>
      <w:i/>
      <w:iCs/>
      <w:color w:val="4F81BD" w:themeColor="accent1"/>
      <w:sz w:val="24"/>
      <w:lang w:val="fr-FR" w:eastAsia="en-US"/>
    </w:rPr>
  </w:style>
  <w:style w:type="character" w:styleId="CommentReference">
    <w:name w:val="annotation reference"/>
    <w:basedOn w:val="DefaultParagraphFont"/>
    <w:semiHidden/>
    <w:unhideWhenUsed/>
    <w:rsid w:val="007A1E7A"/>
    <w:rPr>
      <w:sz w:val="16"/>
      <w:szCs w:val="16"/>
    </w:rPr>
  </w:style>
  <w:style w:type="paragraph" w:styleId="CommentText">
    <w:name w:val="annotation text"/>
    <w:basedOn w:val="Normal"/>
    <w:link w:val="CommentTextChar"/>
    <w:semiHidden/>
    <w:unhideWhenUsed/>
    <w:rsid w:val="007A1E7A"/>
    <w:rPr>
      <w:sz w:val="20"/>
    </w:rPr>
  </w:style>
  <w:style w:type="character" w:customStyle="1" w:styleId="CommentTextChar">
    <w:name w:val="Comment Text Char"/>
    <w:basedOn w:val="DefaultParagraphFont"/>
    <w:link w:val="CommentText"/>
    <w:semiHidden/>
    <w:rsid w:val="007A1E7A"/>
    <w:rPr>
      <w:rFonts w:ascii="Calibri" w:hAnsi="Calibri"/>
      <w:lang w:val="fr-FR" w:eastAsia="en-US"/>
    </w:rPr>
  </w:style>
  <w:style w:type="paragraph" w:styleId="CommentSubject">
    <w:name w:val="annotation subject"/>
    <w:basedOn w:val="CommentText"/>
    <w:next w:val="CommentText"/>
    <w:link w:val="CommentSubjectChar"/>
    <w:semiHidden/>
    <w:unhideWhenUsed/>
    <w:rsid w:val="007A1E7A"/>
    <w:rPr>
      <w:b/>
      <w:bCs/>
    </w:rPr>
  </w:style>
  <w:style w:type="character" w:customStyle="1" w:styleId="CommentSubjectChar">
    <w:name w:val="Comment Subject Char"/>
    <w:basedOn w:val="CommentTextChar"/>
    <w:link w:val="CommentSubject"/>
    <w:semiHidden/>
    <w:rsid w:val="007A1E7A"/>
    <w:rPr>
      <w:rFonts w:ascii="Calibri" w:hAnsi="Calibri"/>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hrome-extension://efaidnbmnnnibpcajpcglclefindmkaj/https:/www.itu.int/dms_pub/itu-t/opb/ai4g/T-AI4G-AI4GOOD-2025-6-PDF-F.pdf" TargetMode="External"/><Relationship Id="rId21" Type="http://schemas.openxmlformats.org/officeDocument/2006/relationships/hyperlink" Target="https://aiforgood.itu.int/young-ai-leaders-community/" TargetMode="External"/><Relationship Id="rId42" Type="http://schemas.openxmlformats.org/officeDocument/2006/relationships/hyperlink" Target="https://github.com/sustainable-software-guidelines/Sustainable-Software-Development" TargetMode="External"/><Relationship Id="rId47" Type="http://schemas.openxmlformats.org/officeDocument/2006/relationships/hyperlink" Target="https://www.un.org/global-dialogue-ai-governance/fr" TargetMode="External"/><Relationship Id="rId63" Type="http://schemas.openxmlformats.org/officeDocument/2006/relationships/hyperlink" Target="https://academy.itu.int/research-advocacy-and-convening-platforms/research-publications/digital-skills-toolkit" TargetMode="External"/><Relationship Id="rId68" Type="http://schemas.openxmlformats.org/officeDocument/2006/relationships/hyperlink" Target="https://academy.itu.int/training-courses/full-catalogue/ai-governance-practice-developing-secure-and-innovative-frameworks-3" TargetMode="External"/><Relationship Id="rId84" Type="http://schemas.openxmlformats.org/officeDocument/2006/relationships/hyperlink" Target="https://aiforgood.itu.int/ai-for-food-systems/" TargetMode="External"/><Relationship Id="rId89" Type="http://schemas.openxmlformats.org/officeDocument/2006/relationships/hyperlink" Target="https://aiforgood.itu.int/multimedia-authenticity/reports/" TargetMode="External"/><Relationship Id="rId16" Type="http://schemas.openxmlformats.org/officeDocument/2006/relationships/hyperlink" Target="https://aiforgood.itu.int/about-us/innovation-factory/" TargetMode="External"/><Relationship Id="rId11" Type="http://schemas.openxmlformats.org/officeDocument/2006/relationships/hyperlink" Target="https://www.itu.int/itu-d/meetings/wtdc25/wp-content/uploads/sites/29/2025/11/090-E.pdf" TargetMode="External"/><Relationship Id="rId32" Type="http://schemas.openxmlformats.org/officeDocument/2006/relationships/hyperlink" Target="https://govstack.global/" TargetMode="External"/><Relationship Id="rId37" Type="http://schemas.openxmlformats.org/officeDocument/2006/relationships/hyperlink" Target="https://www.itu.int/en/ITU-D/Emergency-Telecommunications/Pages/Events/2025/AI-EW4All-Innovation-Challenge.aspx" TargetMode="External"/><Relationship Id="rId53" Type="http://schemas.openxmlformats.org/officeDocument/2006/relationships/hyperlink" Target="chrome-extension://efaidnbmnnnibpcajpcglclefindmkaj/https:/unsceb.org/sites/default/files/2024-04/United%20Nations%20System%20White%20Paper%20on%20AI%20Governance.pdf" TargetMode="External"/><Relationship Id="rId58" Type="http://schemas.openxmlformats.org/officeDocument/2006/relationships/hyperlink" Target="https://www.itu.int/fr/ITU-D/Initiatives/GIGA/Pages/default.aspx" TargetMode="External"/><Relationship Id="rId74" Type="http://schemas.openxmlformats.org/officeDocument/2006/relationships/hyperlink" Target="https://www.itu.int/en/ITU-D/Technology/Pages/Events.aspx" TargetMode="External"/><Relationship Id="rId79" Type="http://schemas.openxmlformats.org/officeDocument/2006/relationships/hyperlink" Target="https://www.itu.int/rec/T-REC-Y.Sup72-202211-I/fr" TargetMode="External"/><Relationship Id="rId102" Type="http://schemas.openxmlformats.org/officeDocument/2006/relationships/header" Target="header2.xml"/><Relationship Id="rId5" Type="http://schemas.openxmlformats.org/officeDocument/2006/relationships/webSettings" Target="webSettings.xml"/><Relationship Id="rId90" Type="http://schemas.openxmlformats.org/officeDocument/2006/relationships/hyperlink" Target="https://www.aistandardssummit.org/event/2025/summary" TargetMode="External"/><Relationship Id="rId95" Type="http://schemas.openxmlformats.org/officeDocument/2006/relationships/hyperlink" Target="https://digitalregulation.org/a-guide-towards-collaborative-ai-frameworks/" TargetMode="External"/><Relationship Id="rId22" Type="http://schemas.openxmlformats.org/officeDocument/2006/relationships/hyperlink" Target="https://aiforgood.itu.int/about-us/discovery/" TargetMode="External"/><Relationship Id="rId27" Type="http://schemas.openxmlformats.org/officeDocument/2006/relationships/hyperlink" Target="https://www.itu.int/pub/S-GEN-UNACT-2024/fr" TargetMode="External"/><Relationship Id="rId43" Type="http://schemas.openxmlformats.org/officeDocument/2006/relationships/hyperlink" Target="https://www.itu.int/hub/2025/09/new-itu-academic-collaboration-on-technology-trends/" TargetMode="External"/><Relationship Id="rId48" Type="http://schemas.openxmlformats.org/officeDocument/2006/relationships/hyperlink" Target="https://www.un.org/global-dialogue-ai-governance/en/roadmap" TargetMode="External"/><Relationship Id="rId64" Type="http://schemas.openxmlformats.org/officeDocument/2006/relationships/hyperlink" Target="https://academy.itu.int/" TargetMode="External"/><Relationship Id="rId69" Type="http://schemas.openxmlformats.org/officeDocument/2006/relationships/hyperlink" Target="https://academy.itu.int/digital-skills-communities" TargetMode="External"/><Relationship Id="rId80" Type="http://schemas.openxmlformats.org/officeDocument/2006/relationships/hyperlink" Target="https://www.itu.int/en/ITU-T/focusgroups/ainn/Pages/default.aspx" TargetMode="External"/><Relationship Id="rId85" Type="http://schemas.openxmlformats.org/officeDocument/2006/relationships/hyperlink" Target="https://www.itu.int/en/ITU-T/extcoop/ai4resilience/Pages/default.aspx" TargetMode="External"/><Relationship Id="rId12" Type="http://schemas.openxmlformats.org/officeDocument/2006/relationships/hyperlink" Target="https://aiforgood.itu.int/" TargetMode="External"/><Relationship Id="rId17" Type="http://schemas.openxmlformats.org/officeDocument/2006/relationships/hyperlink" Target="https://aiforgood.itu.int/robotics-for-good-youth-challenge/" TargetMode="External"/><Relationship Id="rId33" Type="http://schemas.openxmlformats.org/officeDocument/2006/relationships/hyperlink" Target="https://aiforgood.itu.int/eventcat/discovery-open-source-ai-for-digital-public-goods/" TargetMode="External"/><Relationship Id="rId38" Type="http://schemas.openxmlformats.org/officeDocument/2006/relationships/hyperlink" Target="https://www.itu.int/en/ITU-D/Emergency-Telecommunications/Pages/Events/2025/AI-EW4All-Innovation-Challenge.aspx" TargetMode="External"/><Relationship Id="rId59" Type="http://schemas.openxmlformats.org/officeDocument/2006/relationships/hyperlink" Target="https://www.itu.int/partner2connect/" TargetMode="External"/><Relationship Id="rId103" Type="http://schemas.openxmlformats.org/officeDocument/2006/relationships/footer" Target="footer3.xml"/><Relationship Id="rId20" Type="http://schemas.openxmlformats.org/officeDocument/2006/relationships/hyperlink" Target="https://aiforgood.itu.int/innovate-for-impact/" TargetMode="External"/><Relationship Id="rId41" Type="http://schemas.openxmlformats.org/officeDocument/2006/relationships/hyperlink" Target="https://www.itu.int/dms_pub/itu-s/opb/gen/S-GEN-GDA.001-2025-PDF-E.pdf" TargetMode="External"/><Relationship Id="rId54" Type="http://schemas.openxmlformats.org/officeDocument/2006/relationships/hyperlink" Target="https://unaihub.aiforgood.itu.int/" TargetMode="External"/><Relationship Id="rId62" Type="http://schemas.openxmlformats.org/officeDocument/2006/relationships/hyperlink" Target="https://aiforgood.itu.int/ai-readiness/" TargetMode="External"/><Relationship Id="rId70" Type="http://schemas.openxmlformats.org/officeDocument/2006/relationships/hyperlink" Target="https://aiforgood.itu.int/young-ai-leaders-community/" TargetMode="External"/><Relationship Id="rId75" Type="http://schemas.openxmlformats.org/officeDocument/2006/relationships/hyperlink" Target="https://ituint.sharepoint.com/sites/AIHUB" TargetMode="External"/><Relationship Id="rId83" Type="http://schemas.openxmlformats.org/officeDocument/2006/relationships/hyperlink" Target="https://extranet.itu.int/rsg-meetings/sg3/wp3j/cg3j3k3l3m27/SitePages/Home.aspx" TargetMode="External"/><Relationship Id="rId88" Type="http://schemas.openxmlformats.org/officeDocument/2006/relationships/hyperlink" Target="https://aiforgood.itu.int/ai-standards-exchange/" TargetMode="External"/><Relationship Id="rId91" Type="http://schemas.openxmlformats.org/officeDocument/2006/relationships/hyperlink" Target="https://www.aistandardssummit.org/event/2025/seoul-statement" TargetMode="External"/><Relationship Id="rId96" Type="http://schemas.openxmlformats.org/officeDocument/2006/relationships/hyperlink" Target="https://digitalregulation.org/3004297-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iforgood.itu.int/about-us/innovation-factory/" TargetMode="External"/><Relationship Id="rId23" Type="http://schemas.openxmlformats.org/officeDocument/2006/relationships/hyperlink" Target="https://aiforgood.itu.int/newsroom/publications-and-reports/" TargetMode="External"/><Relationship Id="rId28" Type="http://schemas.openxmlformats.org/officeDocument/2006/relationships/hyperlink" Target="https://unaihub.aiforgood.itu.int/" TargetMode="External"/><Relationship Id="rId36" Type="http://schemas.openxmlformats.org/officeDocument/2006/relationships/hyperlink" Target="https://www.itu.int/en/ITU-D/Emergency-Telecommunications/Pages/AI-Sub-Group-EW4All-.aspx" TargetMode="External"/><Relationship Id="rId49" Type="http://schemas.openxmlformats.org/officeDocument/2006/relationships/hyperlink" Target="https://www.un.org/global-dialogue-ai-governance/en/roadmap" TargetMode="External"/><Relationship Id="rId57" Type="http://schemas.openxmlformats.org/officeDocument/2006/relationships/hyperlink" Target="https://www.itu.int/net4/wsis/forum/2026/fr" TargetMode="External"/><Relationship Id="rId10" Type="http://schemas.openxmlformats.org/officeDocument/2006/relationships/hyperlink" Target="https://www.itu.int/dms_pub/itu-t/opb/res/T-RES-T.101-2024-PDF-F.pdf" TargetMode="External"/><Relationship Id="rId31" Type="http://schemas.openxmlformats.org/officeDocument/2006/relationships/hyperlink" Target="https://opensource.org/ai/open-source-ai-definition" TargetMode="External"/><Relationship Id="rId44" Type="http://schemas.openxmlformats.org/officeDocument/2006/relationships/hyperlink" Target="https://www.itu.int/en/action/youth/Pages/itu-secretary-generals-youth-advisory-board.aspx" TargetMode="External"/><Relationship Id="rId52" Type="http://schemas.openxmlformats.org/officeDocument/2006/relationships/hyperlink" Target="https://unsceb.org/sites/default/files/2022-09/Principles%20for%20the%20Ethical%20Use%20of%20AI%20in%20the%20UN%20System_1.pdf" TargetMode="External"/><Relationship Id="rId60" Type="http://schemas.openxmlformats.org/officeDocument/2006/relationships/hyperlink" Target="https://aiforgood.itu.int/impact-initiative/" TargetMode="External"/><Relationship Id="rId65" Type="http://schemas.openxmlformats.org/officeDocument/2006/relationships/hyperlink" Target="https://academy.itu.int/training-courses/full-catalogue/ai-governance-practice-developing-secure-and-innovative-frameworks" TargetMode="External"/><Relationship Id="rId73" Type="http://schemas.openxmlformats.org/officeDocument/2006/relationships/hyperlink" Target="https://www.itu.int/en/ITU-D/Regional-Presence/AsiaPacific/Pages/Projects/AI%20Technology%20and%20Standards%20Capacity%20Building%20in%20Asia%20Pacific/Artificial-Intelligence-Technology-and-Standards-Capacity-Building-in-Asia-Pacific-.aspx" TargetMode="External"/><Relationship Id="rId78" Type="http://schemas.openxmlformats.org/officeDocument/2006/relationships/hyperlink" Target="https://www.itu.int/myworkspace/t-rec/item?id=16642&amp;lang=FR" TargetMode="External"/><Relationship Id="rId81" Type="http://schemas.openxmlformats.org/officeDocument/2006/relationships/hyperlink" Target="https://www.itu.int/en/ITU-T/focusgroups/eai/Pages/default.aspx" TargetMode="External"/><Relationship Id="rId86" Type="http://schemas.openxmlformats.org/officeDocument/2006/relationships/hyperlink" Target="https://www.itu.int/hub/2023/07/new-un-initiative-aims-to-step-up-ais-contribution-to-health/" TargetMode="External"/><Relationship Id="rId94" Type="http://schemas.openxmlformats.org/officeDocument/2006/relationships/hyperlink" Target="https://digitalregulation.org/" TargetMode="External"/><Relationship Id="rId99" Type="http://schemas.openxmlformats.org/officeDocument/2006/relationships/header" Target="header1.xml"/><Relationship Id="rId10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tu.int/en/council/Documents/basic-texts-2023/RES-214-F.pdf" TargetMode="External"/><Relationship Id="rId13" Type="http://schemas.openxmlformats.org/officeDocument/2006/relationships/hyperlink" Target="https://aiforgood.itu.int/summit26/" TargetMode="External"/><Relationship Id="rId18" Type="http://schemas.openxmlformats.org/officeDocument/2006/relationships/hyperlink" Target="https://aiforgood.itu.int/event/ml5g-challenge/" TargetMode="External"/><Relationship Id="rId39" Type="http://schemas.openxmlformats.org/officeDocument/2006/relationships/hyperlink" Target="https://u4ssc.itu.int/" TargetMode="External"/><Relationship Id="rId34" Type="http://schemas.openxmlformats.org/officeDocument/2006/relationships/hyperlink" Target="https://www.itu.int/en/ITU-D/ICT-Applications/Pages/Initiatives/ITU_OSPO/Open-Source_AI_for_Public_Services/GenAI-for-Good-Community-Challenge.aspx" TargetMode="External"/><Relationship Id="rId50" Type="http://schemas.openxmlformats.org/officeDocument/2006/relationships/hyperlink" Target="https://www.un.org/independent-international-scientific-panel-ai/fr" TargetMode="External"/><Relationship Id="rId55" Type="http://schemas.openxmlformats.org/officeDocument/2006/relationships/hyperlink" Target="https://docs.un.org/fr/A/RES/79/325" TargetMode="External"/><Relationship Id="rId76" Type="http://schemas.openxmlformats.org/officeDocument/2006/relationships/hyperlink" Target="https://ituint.sharepoint.com/:u:/r/sites/AIHUB/SitePages/Responsible-Use-of-Artificial-Intelligence--ITU-Guidelines-and-Principles%281%29.aspx?csf=1&amp;web=1&amp;e=gja9IQ&amp;xsdata=MDV8MDJ8SVMuU2VjcmV0YXJpYXRAaXR1LmludHw1OGM1YTlkYjVhZGQ0MzZjMTI5YzA4ZGUxYWM1MDU3OXwyM2U0NjRkNzA0ZTY0Yjg3OTEzYzI0YmQ4OTIxOWZkM3wwfDB8NjM4OTc3NjMwNjYwMzU1MDQ5fFVua25vd258VFdGcGJHWnNiM2Q4ZXlKRmJYQjBlVTFoY0draU9uUnlkV1VzSWxZaU9pSXdMakF1TURBd01DSXNJbEFpT2lKWGFXNHpNaUlzSWtGT0lqb2lUV0ZwYkNJc0lsZFVJam95ZlE9PXwwfHx8&amp;sdata=OCtkd1JJMzFoY1Q3bmFQQUx2Nys2NkZFZE1jTHc0RGZ0akRYWnlKOTV6WT0%3d" TargetMode="External"/><Relationship Id="rId97" Type="http://schemas.openxmlformats.org/officeDocument/2006/relationships/hyperlink" Target="chrome-extension://efaidnbmnnnibpcajpcglclefindmkaj/https:/www.itu.int/dms_pub/itu-d/opb/str/D-STR-CYB_JOINT-2025-PDF-F.pdf"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itu.int/women-and-girls/women-in-ict/ai-skills-accelerator-for-girls/" TargetMode="External"/><Relationship Id="rId92" Type="http://schemas.openxmlformats.org/officeDocument/2006/relationships/hyperlink" Target="https://www.itu.int/md/S25-SG-CIR-0052/fr" TargetMode="External"/><Relationship Id="rId2" Type="http://schemas.openxmlformats.org/officeDocument/2006/relationships/numbering" Target="numbering.xml"/><Relationship Id="rId29" Type="http://schemas.openxmlformats.org/officeDocument/2006/relationships/hyperlink" Target="https://www.itu.int/en/action/ai/Pages/UN-inter-agency-working-group-on-AI.aspx" TargetMode="External"/><Relationship Id="rId24" Type="http://schemas.openxmlformats.org/officeDocument/2006/relationships/hyperlink" Target="https://s41721.pcdn.co/wp-content/uploads/2022/04/Unlocking-AIs-Potential-to-Serve-Humanity.pdf" TargetMode="External"/><Relationship Id="rId40" Type="http://schemas.openxmlformats.org/officeDocument/2006/relationships/hyperlink" Target="https://www.itu.int/initiatives/green-digital-action/" TargetMode="External"/><Relationship Id="rId45" Type="http://schemas.openxmlformats.org/officeDocument/2006/relationships/hyperlink" Target="https://docs.un.org/fr/A/RES/79/325" TargetMode="External"/><Relationship Id="rId66" Type="http://schemas.openxmlformats.org/officeDocument/2006/relationships/hyperlink" Target="https://academy.itu.int/training-courses/full-catalogue/ai-governance-practice-developing-secure-and-innovative-frameworks-2" TargetMode="External"/><Relationship Id="rId87" Type="http://schemas.openxmlformats.org/officeDocument/2006/relationships/hyperlink" Target="https://www.itu.int/metaverse/virtual-worlds/" TargetMode="External"/><Relationship Id="rId61" Type="http://schemas.openxmlformats.org/officeDocument/2006/relationships/hyperlink" Target="https://aiforgood.itu.int/ai-skills-coalition/" TargetMode="External"/><Relationship Id="rId82" Type="http://schemas.openxmlformats.org/officeDocument/2006/relationships/hyperlink" Target="https://www.itu.int/pub/R-REP-SM.2542/fr" TargetMode="External"/><Relationship Id="rId19" Type="http://schemas.openxmlformats.org/officeDocument/2006/relationships/hyperlink" Target="https://aiforgood.itu.int/ai-skills-coalition/" TargetMode="External"/><Relationship Id="rId14" Type="http://schemas.openxmlformats.org/officeDocument/2006/relationships/hyperlink" Target="https://aiforgood.itu.int/neural-network/" TargetMode="External"/><Relationship Id="rId30" Type="http://schemas.openxmlformats.org/officeDocument/2006/relationships/hyperlink" Target="https://www.itu.int/en/ITU-D/ICT-Applications/Pages/Initiatives/ITU_OSPO/Open-Source_AI_for_Public_Services/GENIE-AI_framework.aspx" TargetMode="External"/><Relationship Id="rId35" Type="http://schemas.openxmlformats.org/officeDocument/2006/relationships/hyperlink" Target="https://earlywarningsforall.org/site/early-warnings-all" TargetMode="External"/><Relationship Id="rId56" Type="http://schemas.openxmlformats.org/officeDocument/2006/relationships/hyperlink" Target="https://docs.un.org/fr/A/RES/80/173" TargetMode="External"/><Relationship Id="rId77" Type="http://schemas.openxmlformats.org/officeDocument/2006/relationships/hyperlink" Target="https://www.worldstandardscooperation.org/" TargetMode="External"/><Relationship Id="rId100" Type="http://schemas.openxmlformats.org/officeDocument/2006/relationships/footer" Target="footer1.xml"/><Relationship Id="rId105" Type="http://schemas.openxmlformats.org/officeDocument/2006/relationships/theme" Target="theme/theme1.xml"/><Relationship Id="rId8" Type="http://schemas.openxmlformats.org/officeDocument/2006/relationships/hyperlink" Target="https://www.itu.int/md/S26-CL-C-0042/fr" TargetMode="External"/><Relationship Id="rId51" Type="http://schemas.openxmlformats.org/officeDocument/2006/relationships/hyperlink" Target="https://www.itu.int/en/action/ai/Pages/UN-inter-agency-working-group-on-AI.aspx" TargetMode="External"/><Relationship Id="rId72" Type="http://schemas.openxmlformats.org/officeDocument/2006/relationships/hyperlink" Target="https://www.itu.int/en/ITU-D/Regional-Presence/AsiaPacific/Pages/Events/2024/Southeast%20Asia%20AI%20Webinar%20Series/Southeast-Asia-AI-Webinar-Series.aspx" TargetMode="External"/><Relationship Id="rId93" Type="http://schemas.openxmlformats.org/officeDocument/2006/relationships/hyperlink" Target="https://www.itu.int/net/epub/BDT/2025-GSR-25-Best-Practice-Guidelines/index.html" TargetMode="External"/><Relationship Id="rId98" Type="http://schemas.openxmlformats.org/officeDocument/2006/relationships/hyperlink" Target="https://www.itu.int/md/S26-CL-C-0042/fr" TargetMode="External"/><Relationship Id="rId3" Type="http://schemas.openxmlformats.org/officeDocument/2006/relationships/styles" Target="styles.xml"/><Relationship Id="rId25" Type="http://schemas.openxmlformats.org/officeDocument/2006/relationships/hyperlink" Target="https://s41721.pcdn.co/wp-content/uploads/2022/04/2600081_AI-for-Good-Impact-Report-2025-E-v6.pdf" TargetMode="External"/><Relationship Id="rId46" Type="http://schemas.openxmlformats.org/officeDocument/2006/relationships/hyperlink" Target="https://www.un.org/global-dialogue-ai-governance/en/roadmap" TargetMode="External"/><Relationship Id="rId67" Type="http://schemas.openxmlformats.org/officeDocument/2006/relationships/hyperlink" Target="https://academy.itu.int/training-courses/full-catalogue/ai-governance-practice-developing-secure-and-innovative-frameworks-0"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B7E78-4C15-4302-94B5-38BCD818B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PF_Council26.dotx</Template>
  <TotalTime>10</TotalTime>
  <Pages>11</Pages>
  <Words>5653</Words>
  <Characters>40301</Characters>
  <Application>Microsoft Office Word</Application>
  <DocSecurity>0</DocSecurity>
  <Lines>760</Lines>
  <Paragraphs>319</Paragraphs>
  <ScaleCrop>false</ScaleCrop>
  <HeadingPairs>
    <vt:vector size="2" baseType="variant">
      <vt:variant>
        <vt:lpstr>Title</vt:lpstr>
      </vt:variant>
      <vt:variant>
        <vt:i4>1</vt:i4>
      </vt:variant>
    </vt:vector>
  </HeadingPairs>
  <TitlesOfParts>
    <vt:vector size="1" baseType="lpstr">
      <vt:lpstr>Rapport sur la Résolution 214 (Bucarest, 2022) de la Conférence de plénipotentiaires – Technologies d'intelligence artificielle et télécommunications/technologies de l'information et de la communication</vt:lpstr>
    </vt:vector>
  </TitlesOfParts>
  <Manager>Secrétariat général - Pool</Manager>
  <Company>Union internationale des télécommunications (UIT)</Company>
  <LinksUpToDate>false</LinksUpToDate>
  <CharactersWithSpaces>45635</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sur la Résolution 214 (Bucarest, 2022) de la Conférence de plénipotentiaires – Technologies d'intelligence artificielle et télécommunications/technologies de l'information et de la communication</dc:title>
  <dc:subject>Conseil 2026 de l'UIT</dc:subject>
  <cp:keywords>C26; C2026; Council 2026; PP26</cp:keywords>
  <dc:description/>
  <cp:lastPrinted>2000-07-18T08:55:00Z</cp:lastPrinted>
  <dcterms:created xsi:type="dcterms:W3CDTF">2026-04-21T17:02:00Z</dcterms:created>
  <dcterms:modified xsi:type="dcterms:W3CDTF">2026-04-21T17:11:00Z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