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A67AB7" w14:paraId="62CDC10D" w14:textId="77777777" w:rsidTr="00C4421B">
        <w:trPr>
          <w:cantSplit/>
          <w:trHeight w:val="23"/>
        </w:trPr>
        <w:tc>
          <w:tcPr>
            <w:tcW w:w="3969" w:type="dxa"/>
            <w:vMerge w:val="restart"/>
            <w:tcMar>
              <w:left w:w="0" w:type="dxa"/>
            </w:tcMar>
          </w:tcPr>
          <w:p w14:paraId="7C2BB9E9" w14:textId="2BEAFE3F" w:rsidR="00FE57F6" w:rsidRPr="00885171" w:rsidRDefault="00CC1FAF" w:rsidP="00C4421B">
            <w:pPr>
              <w:tabs>
                <w:tab w:val="left" w:pos="851"/>
              </w:tabs>
              <w:spacing w:before="0" w:line="240" w:lineRule="atLeast"/>
              <w:rPr>
                <w:b/>
                <w:lang w:val="es-ES"/>
              </w:rPr>
            </w:pPr>
            <w:bookmarkStart w:id="0" w:name="_Hlk133421839"/>
            <w:r w:rsidRPr="00885171">
              <w:rPr>
                <w:b/>
                <w:lang w:val="es-ES"/>
              </w:rPr>
              <w:t>Punto del o</w:t>
            </w:r>
            <w:r w:rsidR="00BB6FD8" w:rsidRPr="00885171">
              <w:rPr>
                <w:b/>
                <w:lang w:val="es-ES"/>
              </w:rPr>
              <w:t>rden del día</w:t>
            </w:r>
            <w:r w:rsidR="00FE57F6" w:rsidRPr="00885171">
              <w:rPr>
                <w:b/>
                <w:lang w:val="es-ES"/>
              </w:rPr>
              <w:t>:</w:t>
            </w:r>
            <w:r w:rsidR="00485B19" w:rsidRPr="00885171" w:rsidDel="00A64F4F">
              <w:rPr>
                <w:b/>
                <w:lang w:val="es-ES"/>
              </w:rPr>
              <w:t xml:space="preserve"> </w:t>
            </w:r>
            <w:r w:rsidR="00485B19" w:rsidRPr="00885171">
              <w:rPr>
                <w:b/>
                <w:lang w:val="es-ES"/>
              </w:rPr>
              <w:t>ADM</w:t>
            </w:r>
          </w:p>
        </w:tc>
        <w:tc>
          <w:tcPr>
            <w:tcW w:w="5245" w:type="dxa"/>
          </w:tcPr>
          <w:p w14:paraId="47D0DD8D" w14:textId="65D40EB1" w:rsidR="00485B19" w:rsidRPr="00885171" w:rsidRDefault="00485B19" w:rsidP="00485B19">
            <w:pPr>
              <w:tabs>
                <w:tab w:val="left" w:pos="851"/>
              </w:tabs>
              <w:spacing w:before="0" w:line="240" w:lineRule="atLeast"/>
              <w:jc w:val="right"/>
              <w:rPr>
                <w:b/>
                <w:lang w:val="es-ES"/>
              </w:rPr>
            </w:pPr>
            <w:r w:rsidRPr="00885171">
              <w:rPr>
                <w:b/>
                <w:lang w:val="es-ES"/>
              </w:rPr>
              <w:t>Revisión 1 del</w:t>
            </w:r>
          </w:p>
          <w:p w14:paraId="34880FAA" w14:textId="32D04C28" w:rsidR="00FE57F6" w:rsidRPr="00885171" w:rsidRDefault="00485B19" w:rsidP="00485B19">
            <w:pPr>
              <w:tabs>
                <w:tab w:val="left" w:pos="851"/>
              </w:tabs>
              <w:spacing w:before="0" w:line="240" w:lineRule="atLeast"/>
              <w:jc w:val="right"/>
              <w:rPr>
                <w:b/>
                <w:lang w:val="es-ES"/>
              </w:rPr>
            </w:pPr>
            <w:r w:rsidRPr="00885171">
              <w:rPr>
                <w:b/>
                <w:lang w:val="es-ES"/>
              </w:rPr>
              <w:t>Documento C26/28-S</w:t>
            </w:r>
          </w:p>
        </w:tc>
      </w:tr>
      <w:tr w:rsidR="00FE57F6" w:rsidRPr="00885171" w14:paraId="6F657595" w14:textId="77777777" w:rsidTr="00C4421B">
        <w:trPr>
          <w:cantSplit/>
        </w:trPr>
        <w:tc>
          <w:tcPr>
            <w:tcW w:w="3969" w:type="dxa"/>
            <w:vMerge/>
          </w:tcPr>
          <w:p w14:paraId="0A73F6D4" w14:textId="77777777" w:rsidR="00FE57F6" w:rsidRPr="00885171" w:rsidRDefault="00FE57F6" w:rsidP="00C4421B">
            <w:pPr>
              <w:tabs>
                <w:tab w:val="left" w:pos="851"/>
              </w:tabs>
              <w:spacing w:line="240" w:lineRule="atLeast"/>
              <w:rPr>
                <w:b/>
                <w:lang w:val="es-ES"/>
              </w:rPr>
            </w:pPr>
          </w:p>
        </w:tc>
        <w:tc>
          <w:tcPr>
            <w:tcW w:w="5245" w:type="dxa"/>
          </w:tcPr>
          <w:p w14:paraId="1DD0D419" w14:textId="7128711A" w:rsidR="00FE57F6" w:rsidRPr="00885171" w:rsidRDefault="00485B19" w:rsidP="00C4421B">
            <w:pPr>
              <w:tabs>
                <w:tab w:val="left" w:pos="851"/>
              </w:tabs>
              <w:spacing w:before="0"/>
              <w:jc w:val="right"/>
              <w:rPr>
                <w:b/>
                <w:lang w:val="es-ES"/>
              </w:rPr>
            </w:pPr>
            <w:r w:rsidRPr="00885171">
              <w:rPr>
                <w:b/>
                <w:lang w:val="es-ES"/>
              </w:rPr>
              <w:t>29 de abril de 2026</w:t>
            </w:r>
          </w:p>
        </w:tc>
      </w:tr>
      <w:tr w:rsidR="00FE57F6" w:rsidRPr="00885171" w14:paraId="08C811A2" w14:textId="77777777" w:rsidTr="00C4421B">
        <w:trPr>
          <w:cantSplit/>
          <w:trHeight w:val="23"/>
        </w:trPr>
        <w:tc>
          <w:tcPr>
            <w:tcW w:w="3969" w:type="dxa"/>
            <w:vMerge/>
          </w:tcPr>
          <w:p w14:paraId="225CBF4E" w14:textId="77777777" w:rsidR="00FE57F6" w:rsidRPr="00885171" w:rsidRDefault="00FE57F6" w:rsidP="00C4421B">
            <w:pPr>
              <w:tabs>
                <w:tab w:val="left" w:pos="851"/>
              </w:tabs>
              <w:spacing w:line="240" w:lineRule="atLeast"/>
              <w:rPr>
                <w:b/>
                <w:lang w:val="es-ES"/>
              </w:rPr>
            </w:pPr>
          </w:p>
        </w:tc>
        <w:tc>
          <w:tcPr>
            <w:tcW w:w="5245" w:type="dxa"/>
          </w:tcPr>
          <w:p w14:paraId="5B23D5A5" w14:textId="77777777" w:rsidR="00FE57F6" w:rsidRPr="00885171" w:rsidRDefault="00F24B71" w:rsidP="00C4421B">
            <w:pPr>
              <w:tabs>
                <w:tab w:val="left" w:pos="851"/>
              </w:tabs>
              <w:spacing w:before="0" w:line="240" w:lineRule="atLeast"/>
              <w:jc w:val="right"/>
              <w:rPr>
                <w:b/>
                <w:bCs/>
                <w:lang w:val="es-ES"/>
              </w:rPr>
            </w:pPr>
            <w:r w:rsidRPr="00885171">
              <w:rPr>
                <w:rFonts w:cstheme="minorHAnsi"/>
                <w:b/>
                <w:bCs/>
                <w:lang w:val="es-ES"/>
              </w:rPr>
              <w:t>Original: inglés</w:t>
            </w:r>
          </w:p>
        </w:tc>
      </w:tr>
      <w:tr w:rsidR="00FE57F6" w:rsidRPr="00885171" w14:paraId="4FEDE1B8" w14:textId="77777777" w:rsidTr="00C4421B">
        <w:trPr>
          <w:cantSplit/>
          <w:trHeight w:val="23"/>
        </w:trPr>
        <w:tc>
          <w:tcPr>
            <w:tcW w:w="3969" w:type="dxa"/>
          </w:tcPr>
          <w:p w14:paraId="7E591C89" w14:textId="77777777" w:rsidR="00FE57F6" w:rsidRPr="00885171" w:rsidRDefault="00FE57F6" w:rsidP="007611FB">
            <w:pPr>
              <w:tabs>
                <w:tab w:val="left" w:pos="851"/>
              </w:tabs>
              <w:spacing w:before="0" w:line="240" w:lineRule="atLeast"/>
              <w:rPr>
                <w:b/>
                <w:lang w:val="es-ES"/>
              </w:rPr>
            </w:pPr>
          </w:p>
        </w:tc>
        <w:tc>
          <w:tcPr>
            <w:tcW w:w="5245" w:type="dxa"/>
          </w:tcPr>
          <w:p w14:paraId="3BA8A5D0" w14:textId="77777777" w:rsidR="00FE57F6" w:rsidRPr="00885171" w:rsidRDefault="00FE57F6" w:rsidP="007611FB">
            <w:pPr>
              <w:tabs>
                <w:tab w:val="left" w:pos="851"/>
              </w:tabs>
              <w:spacing w:before="0" w:line="240" w:lineRule="atLeast"/>
              <w:jc w:val="right"/>
              <w:rPr>
                <w:b/>
                <w:lang w:val="es-ES"/>
              </w:rPr>
            </w:pPr>
          </w:p>
        </w:tc>
      </w:tr>
      <w:tr w:rsidR="00FE57F6" w:rsidRPr="00C66A27" w14:paraId="3C83E4EC" w14:textId="77777777" w:rsidTr="00C4421B">
        <w:trPr>
          <w:cantSplit/>
        </w:trPr>
        <w:tc>
          <w:tcPr>
            <w:tcW w:w="9214" w:type="dxa"/>
            <w:gridSpan w:val="2"/>
            <w:tcMar>
              <w:left w:w="0" w:type="dxa"/>
            </w:tcMar>
          </w:tcPr>
          <w:p w14:paraId="73F942C8" w14:textId="77777777" w:rsidR="00FE57F6" w:rsidRPr="00885171" w:rsidRDefault="00157AC4" w:rsidP="007611FB">
            <w:pPr>
              <w:pStyle w:val="Source"/>
              <w:spacing w:before="640"/>
              <w:jc w:val="left"/>
              <w:rPr>
                <w:sz w:val="34"/>
                <w:szCs w:val="34"/>
                <w:lang w:val="es-ES"/>
              </w:rPr>
            </w:pPr>
            <w:r w:rsidRPr="00885171">
              <w:rPr>
                <w:rFonts w:cstheme="minorHAnsi"/>
                <w:sz w:val="34"/>
                <w:szCs w:val="34"/>
                <w:lang w:val="es-ES"/>
              </w:rPr>
              <w:t>Informe de la Secretaria General</w:t>
            </w:r>
          </w:p>
        </w:tc>
      </w:tr>
      <w:tr w:rsidR="00FE57F6" w:rsidRPr="00C66A27" w14:paraId="22B897D1" w14:textId="77777777" w:rsidTr="00C4421B">
        <w:trPr>
          <w:cantSplit/>
        </w:trPr>
        <w:tc>
          <w:tcPr>
            <w:tcW w:w="9214" w:type="dxa"/>
            <w:gridSpan w:val="2"/>
            <w:tcMar>
              <w:left w:w="0" w:type="dxa"/>
            </w:tcMar>
          </w:tcPr>
          <w:p w14:paraId="2AF20BBA" w14:textId="07C1E853" w:rsidR="00FE57F6" w:rsidRPr="00885171" w:rsidRDefault="00485B19" w:rsidP="00C5533A">
            <w:pPr>
              <w:pStyle w:val="Subtitle"/>
              <w:framePr w:hSpace="0" w:wrap="auto" w:hAnchor="text" w:xAlign="left" w:yAlign="inline"/>
              <w:rPr>
                <w:lang w:val="es-ES"/>
              </w:rPr>
            </w:pPr>
            <w:r w:rsidRPr="00885171">
              <w:rPr>
                <w:lang w:val="es-ES"/>
              </w:rPr>
              <w:t>PROYECTO DE PLAN OPERACIONAL DE LA UNIÓN PARA 2027</w:t>
            </w:r>
          </w:p>
        </w:tc>
      </w:tr>
      <w:tr w:rsidR="00FE57F6" w:rsidRPr="00A67AB7" w14:paraId="1AEEF81E" w14:textId="77777777" w:rsidTr="00C4421B">
        <w:trPr>
          <w:cantSplit/>
        </w:trPr>
        <w:tc>
          <w:tcPr>
            <w:tcW w:w="9214" w:type="dxa"/>
            <w:gridSpan w:val="2"/>
            <w:tcBorders>
              <w:top w:val="single" w:sz="4" w:space="0" w:color="auto"/>
              <w:bottom w:val="single" w:sz="4" w:space="0" w:color="auto"/>
            </w:tcBorders>
            <w:tcMar>
              <w:left w:w="0" w:type="dxa"/>
            </w:tcMar>
          </w:tcPr>
          <w:p w14:paraId="1EA4FE13" w14:textId="77777777" w:rsidR="00FE57F6" w:rsidRPr="00885171" w:rsidRDefault="00F24B71" w:rsidP="00C4421B">
            <w:pPr>
              <w:spacing w:before="160"/>
              <w:rPr>
                <w:b/>
                <w:bCs/>
                <w:sz w:val="26"/>
                <w:szCs w:val="26"/>
                <w:lang w:val="es-ES"/>
              </w:rPr>
            </w:pPr>
            <w:r w:rsidRPr="00885171">
              <w:rPr>
                <w:b/>
                <w:bCs/>
                <w:sz w:val="26"/>
                <w:szCs w:val="26"/>
                <w:lang w:val="es-ES"/>
              </w:rPr>
              <w:t>Finalidad</w:t>
            </w:r>
          </w:p>
          <w:p w14:paraId="555A1712" w14:textId="34FA69D5" w:rsidR="00485B19" w:rsidRPr="00885171" w:rsidRDefault="00485B19" w:rsidP="00485B19">
            <w:pPr>
              <w:rPr>
                <w:lang w:val="es-ES"/>
              </w:rPr>
            </w:pPr>
            <w:r w:rsidRPr="00885171">
              <w:rPr>
                <w:lang w:val="es-ES"/>
              </w:rPr>
              <w:t>En este documento se presenta el proyecto de Plan Operacional de la Unión para 2027, preparado de conformidad con el número 87A del Artículo 5 del Convenio de la UIT. En él figuran enlaces a los Planes Operacionales de las Oficinas, de conformidad con el Convenio de la UIT. Los planes de la TSB y la BR se han presentado a los Grupos Asesores correspondientes, mientras que el plan de la BDT se presentará a la próxima reunión del GADT.</w:t>
            </w:r>
          </w:p>
          <w:p w14:paraId="3AB3EDE1" w14:textId="763AF30D" w:rsidR="00FE57F6" w:rsidRPr="00885171" w:rsidRDefault="00485B19" w:rsidP="00485B19">
            <w:pPr>
              <w:rPr>
                <w:lang w:val="es-ES"/>
              </w:rPr>
            </w:pPr>
            <w:r w:rsidRPr="00885171">
              <w:rPr>
                <w:lang w:val="es-ES"/>
              </w:rPr>
              <w:t>Los Planes Estratégico y Financiero de la UIT para 2024-2027 fueron aprobados por la Conferencia de Plenipotenciarios de la UIT de 2022 (PP-22), y 2027 será el último año en el que la UIT implementará dichos Planes Estratégico y Financiero. La UIT aún no ha aprobado los Planes Estratégico y Financiero para 2028-2031, con arreglo a los cuales se elaborarán los Planes Operacionales para 2028-2030. En consecuencia, este Plan proporciona información operativa detallada para el año 2027.</w:t>
            </w:r>
          </w:p>
          <w:p w14:paraId="23B99573" w14:textId="77777777" w:rsidR="00FE57F6" w:rsidRPr="00885171" w:rsidRDefault="00F24B71" w:rsidP="00C4421B">
            <w:pPr>
              <w:spacing w:before="160"/>
              <w:rPr>
                <w:b/>
                <w:bCs/>
                <w:sz w:val="26"/>
                <w:szCs w:val="26"/>
                <w:lang w:val="es-ES"/>
              </w:rPr>
            </w:pPr>
            <w:r w:rsidRPr="00885171">
              <w:rPr>
                <w:b/>
                <w:bCs/>
                <w:sz w:val="26"/>
                <w:szCs w:val="26"/>
                <w:lang w:val="es-ES"/>
              </w:rPr>
              <w:t xml:space="preserve">Acción solicitada </w:t>
            </w:r>
            <w:r w:rsidR="00677A97" w:rsidRPr="00885171">
              <w:rPr>
                <w:b/>
                <w:bCs/>
                <w:sz w:val="26"/>
                <w:szCs w:val="26"/>
                <w:lang w:val="es-ES"/>
              </w:rPr>
              <w:t>al</w:t>
            </w:r>
            <w:r w:rsidRPr="00885171">
              <w:rPr>
                <w:b/>
                <w:bCs/>
                <w:sz w:val="26"/>
                <w:szCs w:val="26"/>
                <w:lang w:val="es-ES"/>
              </w:rPr>
              <w:t xml:space="preserve"> Consejo</w:t>
            </w:r>
          </w:p>
          <w:p w14:paraId="21A725E9" w14:textId="31D6CDD5" w:rsidR="00F92BED" w:rsidRPr="00885171" w:rsidRDefault="00485B19" w:rsidP="00C4421B">
            <w:pPr>
              <w:spacing w:before="160"/>
              <w:rPr>
                <w:szCs w:val="24"/>
                <w:lang w:val="es-ES"/>
              </w:rPr>
            </w:pPr>
            <w:r w:rsidRPr="00885171">
              <w:rPr>
                <w:lang w:val="es-ES"/>
              </w:rPr>
              <w:t xml:space="preserve">Se invita al Consejo a </w:t>
            </w:r>
            <w:r w:rsidRPr="00885171">
              <w:rPr>
                <w:b/>
                <w:bCs/>
                <w:lang w:val="es-ES"/>
              </w:rPr>
              <w:t>examinar</w:t>
            </w:r>
            <w:r w:rsidRPr="00885171">
              <w:rPr>
                <w:lang w:val="es-ES"/>
              </w:rPr>
              <w:t xml:space="preserve"> el documento C26/28 (Rev.1) y </w:t>
            </w:r>
            <w:r w:rsidRPr="00885171">
              <w:rPr>
                <w:b/>
                <w:bCs/>
                <w:lang w:val="es-ES"/>
              </w:rPr>
              <w:t>aprobar</w:t>
            </w:r>
            <w:r w:rsidRPr="00885171">
              <w:rPr>
                <w:lang w:val="es-ES"/>
              </w:rPr>
              <w:t xml:space="preserve"> </w:t>
            </w:r>
            <w:r w:rsidRPr="00885171">
              <w:rPr>
                <w:b/>
                <w:lang w:val="es-ES"/>
              </w:rPr>
              <w:t>el proyecto de resolución</w:t>
            </w:r>
            <w:r w:rsidRPr="00885171">
              <w:rPr>
                <w:lang w:val="es-ES"/>
              </w:rPr>
              <w:t xml:space="preserve"> del Plan Operacional de la UIT para la Unión para 2027 presentado en el Anexo 1 a este documento.</w:t>
            </w:r>
          </w:p>
          <w:p w14:paraId="246619E9" w14:textId="77777777" w:rsidR="00F92BED" w:rsidRPr="00885171" w:rsidRDefault="00F92BED" w:rsidP="00C4421B">
            <w:pPr>
              <w:spacing w:before="160"/>
              <w:rPr>
                <w:b/>
                <w:bCs/>
                <w:sz w:val="26"/>
                <w:szCs w:val="26"/>
                <w:lang w:val="es-ES"/>
              </w:rPr>
            </w:pPr>
            <w:r w:rsidRPr="00885171">
              <w:rPr>
                <w:b/>
                <w:bCs/>
                <w:sz w:val="26"/>
                <w:szCs w:val="26"/>
                <w:lang w:val="es-ES"/>
              </w:rPr>
              <w:t>Vínculo(s) pertinente(s) con el Plan Estratégico</w:t>
            </w:r>
          </w:p>
          <w:p w14:paraId="7BFCD74F" w14:textId="3FFB7845" w:rsidR="00F92BED" w:rsidRPr="00885171" w:rsidRDefault="00485B19" w:rsidP="00C4421B">
            <w:pPr>
              <w:rPr>
                <w:lang w:val="es-ES"/>
              </w:rPr>
            </w:pPr>
            <w:r w:rsidRPr="00885171">
              <w:rPr>
                <w:lang w:val="es-ES"/>
              </w:rPr>
              <w:t>En el Plan Operacional para 2027 se exponen detalladamente las cinco prioridades temáticas y los 43 productos de la Unión, establecidos en el Plan Estratégico para 2024-2027.</w:t>
            </w:r>
          </w:p>
          <w:p w14:paraId="2DDCDF78" w14:textId="77777777" w:rsidR="00F92BED" w:rsidRPr="00885171" w:rsidRDefault="00F92BED" w:rsidP="00485B19">
            <w:pPr>
              <w:keepNext/>
              <w:spacing w:before="160"/>
              <w:rPr>
                <w:b/>
                <w:bCs/>
                <w:sz w:val="26"/>
                <w:szCs w:val="26"/>
                <w:lang w:val="es-ES"/>
              </w:rPr>
            </w:pPr>
            <w:r w:rsidRPr="00885171">
              <w:rPr>
                <w:b/>
                <w:bCs/>
                <w:sz w:val="26"/>
                <w:szCs w:val="26"/>
                <w:lang w:val="es-ES"/>
              </w:rPr>
              <w:t>Repercusiones financieras</w:t>
            </w:r>
          </w:p>
          <w:p w14:paraId="48122F2C" w14:textId="2D41B367" w:rsidR="00485B19" w:rsidRPr="00885171" w:rsidRDefault="00485B19" w:rsidP="00485B19">
            <w:pPr>
              <w:keepNext/>
              <w:keepLines/>
              <w:rPr>
                <w:lang w:val="es-ES"/>
              </w:rPr>
            </w:pPr>
            <w:r w:rsidRPr="00885171">
              <w:rPr>
                <w:lang w:val="es-ES"/>
              </w:rPr>
              <w:t>El Plan Operacional para 2027 se ajusta a los límites financieros establecidos por la Conferencia de Plenipotenciarios en la Decisión 5 (Rev. Bucarest, 2022).</w:t>
            </w:r>
          </w:p>
          <w:p w14:paraId="7D982502" w14:textId="77777777" w:rsidR="00FE57F6" w:rsidRPr="00885171" w:rsidRDefault="00FE57F6" w:rsidP="00C4421B">
            <w:pPr>
              <w:spacing w:before="160"/>
              <w:rPr>
                <w:caps/>
                <w:sz w:val="22"/>
                <w:lang w:val="es-ES"/>
              </w:rPr>
            </w:pPr>
            <w:r w:rsidRPr="00885171">
              <w:rPr>
                <w:sz w:val="22"/>
                <w:lang w:val="es-ES"/>
              </w:rPr>
              <w:t>__________________</w:t>
            </w:r>
          </w:p>
          <w:p w14:paraId="50D0C51F" w14:textId="326F2D90" w:rsidR="00FE57F6" w:rsidRPr="00885171" w:rsidRDefault="00F24B71" w:rsidP="007611FB">
            <w:pPr>
              <w:keepNext/>
              <w:keepLines/>
              <w:spacing w:before="160"/>
              <w:rPr>
                <w:b/>
                <w:bCs/>
                <w:sz w:val="26"/>
                <w:szCs w:val="26"/>
                <w:lang w:val="es-ES"/>
              </w:rPr>
            </w:pPr>
            <w:r w:rsidRPr="00885171">
              <w:rPr>
                <w:b/>
                <w:bCs/>
                <w:sz w:val="26"/>
                <w:szCs w:val="26"/>
                <w:lang w:val="es-ES"/>
              </w:rPr>
              <w:t>Referencia</w:t>
            </w:r>
            <w:r w:rsidR="00F92BED" w:rsidRPr="00885171">
              <w:rPr>
                <w:b/>
                <w:bCs/>
                <w:sz w:val="26"/>
                <w:szCs w:val="26"/>
                <w:lang w:val="es-ES"/>
              </w:rPr>
              <w:t>s</w:t>
            </w:r>
          </w:p>
          <w:p w14:paraId="742718CA" w14:textId="0EE35B62" w:rsidR="00FE57F6" w:rsidRPr="00885171" w:rsidRDefault="00485B19" w:rsidP="007611FB">
            <w:pPr>
              <w:rPr>
                <w:i/>
                <w:iCs/>
                <w:sz w:val="22"/>
                <w:szCs w:val="22"/>
                <w:lang w:val="es-ES"/>
              </w:rPr>
            </w:pPr>
            <w:r w:rsidRPr="00885171">
              <w:rPr>
                <w:i/>
                <w:iCs/>
                <w:szCs w:val="24"/>
                <w:lang w:val="es-ES"/>
              </w:rPr>
              <w:t xml:space="preserve">Resolución </w:t>
            </w:r>
            <w:r>
              <w:fldChar w:fldCharType="begin"/>
            </w:r>
            <w:r w:rsidRPr="00A67AB7">
              <w:rPr>
                <w:lang w:val="en-GB"/>
                <w:rPrChange w:id="1" w:author="GBS" w:date="2026-05-05T09:02:00Z" w16du:dateUtc="2026-05-05T07:02:00Z">
                  <w:rPr/>
                </w:rPrChange>
              </w:rPr>
              <w:instrText>HYPERLINK "https://www.itu.int/en/council/Documents/basic-texts-2023/RES-071-S.pdf"</w:instrText>
            </w:r>
            <w:r>
              <w:fldChar w:fldCharType="separate"/>
            </w:r>
            <w:r w:rsidRPr="00885171">
              <w:rPr>
                <w:rStyle w:val="Hyperlink"/>
                <w:i/>
                <w:iCs/>
                <w:lang w:val="es-ES"/>
              </w:rPr>
              <w:t>71</w:t>
            </w:r>
            <w:r>
              <w:fldChar w:fldCharType="end"/>
            </w:r>
            <w:r w:rsidRPr="00885171">
              <w:rPr>
                <w:i/>
                <w:iCs/>
                <w:szCs w:val="24"/>
                <w:lang w:val="es-ES"/>
              </w:rPr>
              <w:t xml:space="preserve"> (Rev. Bucarest, 2022), </w:t>
            </w:r>
            <w:r>
              <w:fldChar w:fldCharType="begin"/>
            </w:r>
            <w:r w:rsidRPr="00A67AB7">
              <w:rPr>
                <w:lang w:val="en-GB"/>
                <w:rPrChange w:id="2" w:author="GBS" w:date="2026-05-05T09:02:00Z" w16du:dateUtc="2026-05-05T07:02:00Z">
                  <w:rPr/>
                </w:rPrChange>
              </w:rPr>
              <w:instrText>HYPERLINK "https://www.itu.int/en/council/Documents/basic-texts/Convention-S.pdf"</w:instrText>
            </w:r>
            <w:r>
              <w:fldChar w:fldCharType="separate"/>
            </w:r>
            <w:r w:rsidRPr="00885171">
              <w:rPr>
                <w:rStyle w:val="Hyperlink"/>
                <w:i/>
                <w:iCs/>
                <w:lang w:val="es-ES"/>
              </w:rPr>
              <w:t>CV 87A</w:t>
            </w:r>
            <w:r>
              <w:fldChar w:fldCharType="end"/>
            </w:r>
            <w:r w:rsidRPr="00885171">
              <w:rPr>
                <w:i/>
                <w:iCs/>
                <w:szCs w:val="24"/>
                <w:lang w:val="es-ES"/>
              </w:rPr>
              <w:t xml:space="preserve">, </w:t>
            </w:r>
            <w:r>
              <w:fldChar w:fldCharType="begin"/>
            </w:r>
            <w:r w:rsidRPr="00A67AB7">
              <w:rPr>
                <w:lang w:val="en-GB"/>
                <w:rPrChange w:id="3" w:author="GBS" w:date="2026-05-05T09:02:00Z" w16du:dateUtc="2026-05-05T07:02:00Z">
                  <w:rPr/>
                </w:rPrChange>
              </w:rPr>
              <w:instrText>HYPERLINK "https://www.itu.int/en/council/Documents/basic-texts/Convention-S.pdf"</w:instrText>
            </w:r>
            <w:r>
              <w:fldChar w:fldCharType="separate"/>
            </w:r>
            <w:r w:rsidRPr="00885171">
              <w:rPr>
                <w:rStyle w:val="Hyperlink"/>
                <w:i/>
                <w:iCs/>
                <w:lang w:val="es-ES"/>
              </w:rPr>
              <w:t>181A</w:t>
            </w:r>
            <w:r>
              <w:fldChar w:fldCharType="end"/>
            </w:r>
            <w:r w:rsidRPr="00885171">
              <w:rPr>
                <w:i/>
                <w:iCs/>
                <w:szCs w:val="24"/>
                <w:lang w:val="es-ES"/>
              </w:rPr>
              <w:t xml:space="preserve">, </w:t>
            </w:r>
            <w:r>
              <w:fldChar w:fldCharType="begin"/>
            </w:r>
            <w:r w:rsidRPr="00A67AB7">
              <w:rPr>
                <w:lang w:val="en-GB"/>
                <w:rPrChange w:id="4" w:author="GBS" w:date="2026-05-05T09:02:00Z" w16du:dateUtc="2026-05-05T07:02:00Z">
                  <w:rPr/>
                </w:rPrChange>
              </w:rPr>
              <w:instrText>HYPERLINK "https://www.itu.int/en/council/Documents/basic-texts/Convention-S.pdf"</w:instrText>
            </w:r>
            <w:r>
              <w:fldChar w:fldCharType="separate"/>
            </w:r>
            <w:r w:rsidRPr="00885171">
              <w:rPr>
                <w:rStyle w:val="Hyperlink"/>
                <w:i/>
                <w:iCs/>
                <w:lang w:val="es-ES"/>
              </w:rPr>
              <w:t>205A</w:t>
            </w:r>
            <w:r>
              <w:fldChar w:fldCharType="end"/>
            </w:r>
            <w:r w:rsidRPr="00885171">
              <w:rPr>
                <w:i/>
                <w:iCs/>
                <w:szCs w:val="24"/>
                <w:lang w:val="es-ES"/>
              </w:rPr>
              <w:t xml:space="preserve">, </w:t>
            </w:r>
            <w:r>
              <w:fldChar w:fldCharType="begin"/>
            </w:r>
            <w:r w:rsidRPr="00A67AB7">
              <w:rPr>
                <w:lang w:val="en-GB"/>
                <w:rPrChange w:id="5" w:author="GBS" w:date="2026-05-05T09:02:00Z" w16du:dateUtc="2026-05-05T07:02:00Z">
                  <w:rPr/>
                </w:rPrChange>
              </w:rPr>
              <w:instrText>HYPERLINK "https://www.itu.int/en/council/Documents/basic-texts/Convention-S.pdf"</w:instrText>
            </w:r>
            <w:r>
              <w:fldChar w:fldCharType="separate"/>
            </w:r>
            <w:r w:rsidRPr="00885171">
              <w:rPr>
                <w:rStyle w:val="Hyperlink"/>
                <w:i/>
                <w:iCs/>
                <w:lang w:val="es-ES"/>
              </w:rPr>
              <w:t>223A</w:t>
            </w:r>
            <w:r>
              <w:fldChar w:fldCharType="end"/>
            </w:r>
            <w:r w:rsidRPr="00885171">
              <w:rPr>
                <w:rStyle w:val="Hyperlink"/>
                <w:i/>
                <w:iCs/>
                <w:lang w:val="es-ES"/>
              </w:rPr>
              <w:t>.</w:t>
            </w:r>
          </w:p>
        </w:tc>
      </w:tr>
    </w:tbl>
    <w:bookmarkEnd w:id="0"/>
    <w:p w14:paraId="69401855" w14:textId="77777777" w:rsidR="001D4257" w:rsidRPr="00885171" w:rsidRDefault="001D4257" w:rsidP="003F48BC">
      <w:pPr>
        <w:pStyle w:val="AnnexNo"/>
        <w:rPr>
          <w:lang w:val="es-ES"/>
        </w:rPr>
      </w:pPr>
      <w:r w:rsidRPr="00885171">
        <w:rPr>
          <w:lang w:val="es-ES"/>
        </w:rPr>
        <w:lastRenderedPageBreak/>
        <w:t>ANEXO 1</w:t>
      </w:r>
    </w:p>
    <w:p w14:paraId="5AF269D7" w14:textId="77777777" w:rsidR="001D4257" w:rsidRPr="00885171" w:rsidRDefault="001D4257" w:rsidP="001D4257">
      <w:pPr>
        <w:pStyle w:val="Heading1"/>
        <w:rPr>
          <w:rFonts w:asciiTheme="minorHAnsi" w:hAnsiTheme="minorHAnsi" w:cstheme="minorHAnsi"/>
          <w:b w:val="0"/>
          <w:bCs/>
          <w:lang w:val="es-ES"/>
        </w:rPr>
      </w:pPr>
      <w:r w:rsidRPr="00885171">
        <w:rPr>
          <w:lang w:val="es-ES"/>
        </w:rPr>
        <w:t>1</w:t>
      </w:r>
      <w:r w:rsidRPr="00885171">
        <w:rPr>
          <w:lang w:val="es-ES"/>
        </w:rPr>
        <w:tab/>
        <w:t>Estructura del Plan Operacional para 2027 por prioridades temáticas, productos y sector</w:t>
      </w:r>
    </w:p>
    <w:p w14:paraId="20D34BB4" w14:textId="77777777" w:rsidR="001D4257" w:rsidRPr="00885171" w:rsidRDefault="001D4257" w:rsidP="001D4257">
      <w:pPr>
        <w:rPr>
          <w:lang w:val="es-ES"/>
        </w:rPr>
      </w:pPr>
      <w:r w:rsidRPr="00885171">
        <w:rPr>
          <w:lang w:val="es-ES"/>
        </w:rPr>
        <w:t>1.1</w:t>
      </w:r>
      <w:r w:rsidRPr="00885171">
        <w:rPr>
          <w:lang w:val="es-ES"/>
        </w:rPr>
        <w:tab/>
        <w:t>El proyecto de Plan Operacional para 2027 se articula en torno a 5 prioridades temáticas y 43 productos establecidos por los Planes Estratégico y Financiero para 2024</w:t>
      </w:r>
      <w:r w:rsidRPr="00885171">
        <w:rPr>
          <w:lang w:val="es-ES"/>
        </w:rPr>
        <w:noBreakHyphen/>
        <w:t>2027, aprobados por la Conferencia de Plenipotenciarios de 2022. Ofrece un análisis detallado de la utilización de los recursos de la UIT, en la Secretaría General y los Sectores, en la ejecución de esas prioridades temáticas y productos para 2027.</w:t>
      </w:r>
    </w:p>
    <w:p w14:paraId="650BEFC3" w14:textId="77777777" w:rsidR="001D4257" w:rsidRPr="00885171" w:rsidRDefault="001D4257" w:rsidP="001D4257">
      <w:pPr>
        <w:rPr>
          <w:lang w:val="es-ES"/>
        </w:rPr>
      </w:pPr>
      <w:r w:rsidRPr="00885171">
        <w:rPr>
          <w:lang w:val="es-ES"/>
        </w:rPr>
        <w:t>1.2</w:t>
      </w:r>
      <w:r w:rsidRPr="00885171">
        <w:rPr>
          <w:lang w:val="es-ES"/>
        </w:rPr>
        <w:tab/>
        <w:t>La estructura del proyecto de Plan Operacional para 2027 es la siguiente:</w:t>
      </w:r>
    </w:p>
    <w:p w14:paraId="15F9EE99" w14:textId="77777777" w:rsidR="001D4257" w:rsidRPr="00885171" w:rsidRDefault="001D4257" w:rsidP="001D4257">
      <w:pPr>
        <w:pStyle w:val="FigureNo"/>
        <w:rPr>
          <w:lang w:val="es-ES"/>
        </w:rPr>
      </w:pPr>
      <w:r w:rsidRPr="00885171">
        <w:rPr>
          <w:lang w:val="es-ES"/>
        </w:rPr>
        <w:t>FIGURA 1</w:t>
      </w:r>
    </w:p>
    <w:p w14:paraId="3043267F" w14:textId="77777777" w:rsidR="001D4257" w:rsidRPr="00885171" w:rsidRDefault="001D4257" w:rsidP="001D4257">
      <w:pPr>
        <w:pStyle w:val="Figuretitle"/>
        <w:spacing w:after="240"/>
        <w:rPr>
          <w:lang w:val="es-ES"/>
        </w:rPr>
      </w:pPr>
      <w:r w:rsidRPr="00885171">
        <w:rPr>
          <w:lang w:val="es-ES"/>
        </w:rPr>
        <w:t>Proyecto del Plan Operacional para 2027</w:t>
      </w:r>
    </w:p>
    <w:p w14:paraId="1B28917C" w14:textId="77777777" w:rsidR="001D4257" w:rsidRPr="00885171" w:rsidRDefault="001D4257" w:rsidP="001D4257">
      <w:pPr>
        <w:pStyle w:val="Figure"/>
        <w:rPr>
          <w:lang w:val="es-ES"/>
        </w:rPr>
      </w:pPr>
      <w:r w:rsidRPr="00885171">
        <w:rPr>
          <w:noProof/>
          <w:lang w:val="en-US"/>
        </w:rPr>
        <w:drawing>
          <wp:inline distT="0" distB="0" distL="0" distR="0" wp14:anchorId="7958F1A7" wp14:editId="59E973C0">
            <wp:extent cx="6003985" cy="1814079"/>
            <wp:effectExtent l="0" t="0" r="0" b="0"/>
            <wp:docPr id="38427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0084" cy="1824986"/>
                    </a:xfrm>
                    <a:prstGeom prst="rect">
                      <a:avLst/>
                    </a:prstGeom>
                    <a:noFill/>
                  </pic:spPr>
                </pic:pic>
              </a:graphicData>
            </a:graphic>
          </wp:inline>
        </w:drawing>
      </w:r>
    </w:p>
    <w:p w14:paraId="7E61F020" w14:textId="77777777" w:rsidR="001D4257" w:rsidRPr="00885171" w:rsidRDefault="001D4257" w:rsidP="001D4257">
      <w:pPr>
        <w:pStyle w:val="Heading1"/>
        <w:rPr>
          <w:rFonts w:asciiTheme="minorHAnsi" w:hAnsiTheme="minorHAnsi" w:cstheme="minorHAnsi"/>
          <w:b w:val="0"/>
          <w:sz w:val="24"/>
          <w:szCs w:val="24"/>
          <w:lang w:val="es-ES"/>
        </w:rPr>
      </w:pPr>
      <w:r w:rsidRPr="00885171">
        <w:rPr>
          <w:lang w:val="es-ES"/>
        </w:rPr>
        <w:t>2</w:t>
      </w:r>
      <w:r w:rsidRPr="00885171">
        <w:rPr>
          <w:lang w:val="es-ES"/>
        </w:rPr>
        <w:tab/>
        <w:t>Prioridades temáticas y productos</w:t>
      </w:r>
    </w:p>
    <w:p w14:paraId="0E45F0AB" w14:textId="77777777" w:rsidR="001D4257" w:rsidRPr="00885171" w:rsidRDefault="001D4257" w:rsidP="001D4257">
      <w:pPr>
        <w:rPr>
          <w:lang w:val="es-ES"/>
        </w:rPr>
      </w:pPr>
      <w:r w:rsidRPr="00885171">
        <w:rPr>
          <w:lang w:val="es-ES"/>
        </w:rPr>
        <w:t>2.1</w:t>
      </w:r>
      <w:r w:rsidRPr="00885171">
        <w:rPr>
          <w:lang w:val="es-ES"/>
        </w:rPr>
        <w:tab/>
        <w:t>En el Cuadro 1 se ofrece un desglose de los costos para 2027 por prioridad temática y sector.</w:t>
      </w:r>
    </w:p>
    <w:p w14:paraId="2C2E791C"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s-ES"/>
        </w:rPr>
      </w:pPr>
    </w:p>
    <w:p w14:paraId="0DE8E85D" w14:textId="77777777" w:rsidR="001D4257" w:rsidRPr="00885171" w:rsidRDefault="001D4257" w:rsidP="001D4257">
      <w:pPr>
        <w:rPr>
          <w:lang w:val="es-ES"/>
        </w:rPr>
        <w:sectPr w:rsidR="001D4257" w:rsidRPr="00885171" w:rsidSect="008C24C0">
          <w:footerReference w:type="default" r:id="rId7"/>
          <w:headerReference w:type="first" r:id="rId8"/>
          <w:footerReference w:type="first" r:id="rId9"/>
          <w:pgSz w:w="11907" w:h="16834"/>
          <w:pgMar w:top="1418" w:right="1418" w:bottom="1418" w:left="1418" w:header="720" w:footer="720" w:gutter="0"/>
          <w:cols w:space="720"/>
          <w:titlePg/>
        </w:sectPr>
      </w:pPr>
    </w:p>
    <w:p w14:paraId="3B26EC4F" w14:textId="77777777" w:rsidR="001D4257" w:rsidRPr="00885171" w:rsidRDefault="001D4257" w:rsidP="001D4257">
      <w:pPr>
        <w:pStyle w:val="TableNo"/>
        <w:rPr>
          <w:lang w:val="es-ES"/>
        </w:rPr>
      </w:pPr>
      <w:r w:rsidRPr="00885171">
        <w:rPr>
          <w:lang w:val="es-ES"/>
        </w:rPr>
        <w:lastRenderedPageBreak/>
        <w:t>Cuadro 1</w:t>
      </w:r>
    </w:p>
    <w:p w14:paraId="5F447933" w14:textId="77777777" w:rsidR="001D4257" w:rsidRPr="00885171" w:rsidRDefault="001D4257" w:rsidP="001D4257">
      <w:pPr>
        <w:pStyle w:val="Tabletitle"/>
        <w:rPr>
          <w:lang w:val="es-ES"/>
        </w:rPr>
      </w:pPr>
      <w:r w:rsidRPr="00885171">
        <w:rPr>
          <w:lang w:val="es-ES"/>
        </w:rPr>
        <w:t>Desglose de los costos para 2027 por prioridad temática y sector</w:t>
      </w:r>
    </w:p>
    <w:p w14:paraId="60EA85F2" w14:textId="77777777" w:rsidR="001D4257" w:rsidRPr="00885171" w:rsidRDefault="001D4257" w:rsidP="001D4257">
      <w:pPr>
        <w:pStyle w:val="Figure"/>
        <w:rPr>
          <w:rFonts w:asciiTheme="minorHAnsi" w:hAnsiTheme="minorHAnsi" w:cstheme="minorBidi"/>
          <w:szCs w:val="24"/>
          <w:lang w:val="es-ES"/>
        </w:rPr>
      </w:pPr>
      <w:r w:rsidRPr="00885171">
        <w:rPr>
          <w:noProof/>
          <w:lang w:val="en-US"/>
        </w:rPr>
        <w:drawing>
          <wp:inline distT="0" distB="0" distL="0" distR="0" wp14:anchorId="58F5CE2D" wp14:editId="68F37DB2">
            <wp:extent cx="8363754" cy="1839433"/>
            <wp:effectExtent l="0" t="0" r="0" b="8890"/>
            <wp:docPr id="3135913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4416" cy="1843977"/>
                    </a:xfrm>
                    <a:prstGeom prst="rect">
                      <a:avLst/>
                    </a:prstGeom>
                    <a:noFill/>
                    <a:ln>
                      <a:noFill/>
                    </a:ln>
                  </pic:spPr>
                </pic:pic>
              </a:graphicData>
            </a:graphic>
          </wp:inline>
        </w:drawing>
      </w:r>
    </w:p>
    <w:p w14:paraId="20218EC0" w14:textId="77777777" w:rsidR="001D4257" w:rsidRPr="00885171" w:rsidRDefault="001D4257" w:rsidP="001D4257">
      <w:pPr>
        <w:rPr>
          <w:lang w:val="es-ES"/>
        </w:rPr>
      </w:pPr>
      <w:r w:rsidRPr="00885171">
        <w:rPr>
          <w:lang w:val="es-ES"/>
        </w:rPr>
        <w:br w:type="page"/>
      </w:r>
    </w:p>
    <w:p w14:paraId="426E1C90" w14:textId="77777777" w:rsidR="001D4257" w:rsidRPr="00885171" w:rsidRDefault="001D4257" w:rsidP="001D4257">
      <w:pPr>
        <w:rPr>
          <w:lang w:val="es-ES"/>
        </w:rPr>
        <w:sectPr w:rsidR="001D4257" w:rsidRPr="00885171" w:rsidSect="008C24C0">
          <w:headerReference w:type="first" r:id="rId11"/>
          <w:footerReference w:type="first" r:id="rId12"/>
          <w:pgSz w:w="16834" w:h="11907" w:orient="landscape"/>
          <w:pgMar w:top="1418" w:right="1418" w:bottom="1418" w:left="1418" w:header="720" w:footer="720" w:gutter="0"/>
          <w:cols w:space="720"/>
          <w:titlePg/>
        </w:sectPr>
      </w:pPr>
    </w:p>
    <w:p w14:paraId="154A9EBA" w14:textId="77777777" w:rsidR="001D4257" w:rsidRPr="00885171" w:rsidRDefault="001D4257" w:rsidP="001D4257">
      <w:pPr>
        <w:rPr>
          <w:rFonts w:asciiTheme="minorHAnsi" w:hAnsiTheme="minorHAnsi" w:cstheme="minorHAnsi"/>
          <w:szCs w:val="24"/>
          <w:lang w:val="es-ES"/>
        </w:rPr>
      </w:pPr>
      <w:r w:rsidRPr="00885171">
        <w:rPr>
          <w:lang w:val="es-ES"/>
        </w:rPr>
        <w:lastRenderedPageBreak/>
        <w:t>2.2</w:t>
      </w:r>
      <w:r w:rsidRPr="00885171">
        <w:rPr>
          <w:lang w:val="es-ES"/>
        </w:rPr>
        <w:tab/>
        <w:t>En el Cuadro 2 se proporciona el desglose de costos totales de 2027 por producto.</w:t>
      </w:r>
    </w:p>
    <w:p w14:paraId="6AB7F3F3" w14:textId="77777777" w:rsidR="001D4257" w:rsidRPr="00885171" w:rsidRDefault="001D4257" w:rsidP="001D4257">
      <w:pPr>
        <w:pStyle w:val="TableNo"/>
        <w:rPr>
          <w:lang w:val="es-ES"/>
        </w:rPr>
      </w:pPr>
      <w:r w:rsidRPr="00885171">
        <w:rPr>
          <w:lang w:val="es-ES"/>
        </w:rPr>
        <w:t>CUADRO 2</w:t>
      </w:r>
    </w:p>
    <w:p w14:paraId="2E169BD4" w14:textId="77777777" w:rsidR="001D4257" w:rsidRPr="00885171" w:rsidRDefault="001D4257" w:rsidP="001D4257">
      <w:pPr>
        <w:pStyle w:val="Tabletitle"/>
        <w:spacing w:after="0"/>
        <w:rPr>
          <w:lang w:val="es-ES"/>
        </w:rPr>
      </w:pPr>
      <w:r w:rsidRPr="00885171">
        <w:rPr>
          <w:lang w:val="es-ES"/>
        </w:rPr>
        <w:t>Desglose de 2027 de los costos totales por producto</w:t>
      </w:r>
    </w:p>
    <w:tbl>
      <w:tblPr>
        <w:tblpPr w:leftFromText="180" w:rightFromText="180" w:vertAnchor="text" w:horzAnchor="margin" w:tblpXSpec="center" w:tblpY="470"/>
        <w:tblW w:w="8267" w:type="dxa"/>
        <w:jc w:val="center"/>
        <w:tblLayout w:type="fixed"/>
        <w:tblLook w:val="06A0" w:firstRow="1" w:lastRow="0" w:firstColumn="1" w:lastColumn="0" w:noHBand="1" w:noVBand="1"/>
      </w:tblPr>
      <w:tblGrid>
        <w:gridCol w:w="6091"/>
        <w:gridCol w:w="2176"/>
      </w:tblGrid>
      <w:tr w:rsidR="001D4257" w:rsidRPr="00C66A27" w14:paraId="4A814067" w14:textId="77777777" w:rsidTr="00B03B3E">
        <w:trPr>
          <w:trHeight w:val="507"/>
          <w:jc w:val="center"/>
        </w:trPr>
        <w:tc>
          <w:tcPr>
            <w:tcW w:w="6091" w:type="dxa"/>
            <w:tcBorders>
              <w:top w:val="single" w:sz="4" w:space="0" w:color="auto"/>
              <w:left w:val="single" w:sz="4" w:space="0" w:color="auto"/>
              <w:bottom w:val="single" w:sz="4" w:space="0" w:color="auto"/>
              <w:right w:val="single" w:sz="4" w:space="0" w:color="auto"/>
            </w:tcBorders>
            <w:shd w:val="clear" w:color="auto" w:fill="FBE2D5"/>
            <w:vAlign w:val="center"/>
          </w:tcPr>
          <w:p w14:paraId="3464D2BB" w14:textId="77777777" w:rsidR="001D4257" w:rsidRPr="00885171" w:rsidRDefault="001D4257" w:rsidP="00B03B3E">
            <w:pPr>
              <w:pStyle w:val="Tablehead"/>
              <w:spacing w:before="0" w:after="0"/>
              <w:rPr>
                <w:sz w:val="20"/>
                <w:szCs w:val="18"/>
                <w:lang w:val="es-ES"/>
              </w:rPr>
            </w:pPr>
            <w:r w:rsidRPr="00885171">
              <w:rPr>
                <w:sz w:val="20"/>
                <w:szCs w:val="18"/>
                <w:lang w:val="es-ES"/>
              </w:rPr>
              <w:t>Productos</w:t>
            </w:r>
          </w:p>
        </w:tc>
        <w:tc>
          <w:tcPr>
            <w:tcW w:w="2176" w:type="dxa"/>
            <w:tcBorders>
              <w:top w:val="single" w:sz="4" w:space="0" w:color="auto"/>
              <w:left w:val="single" w:sz="4" w:space="0" w:color="auto"/>
              <w:bottom w:val="nil"/>
              <w:right w:val="single" w:sz="4" w:space="0" w:color="auto"/>
            </w:tcBorders>
            <w:shd w:val="clear" w:color="auto" w:fill="FBE2D5"/>
            <w:vAlign w:val="center"/>
          </w:tcPr>
          <w:p w14:paraId="1AF52B0D" w14:textId="77777777" w:rsidR="001D4257" w:rsidRPr="00885171" w:rsidRDefault="001D4257" w:rsidP="00B03B3E">
            <w:pPr>
              <w:pStyle w:val="Tablehead"/>
              <w:spacing w:before="0" w:after="0"/>
              <w:rPr>
                <w:sz w:val="20"/>
                <w:szCs w:val="18"/>
                <w:lang w:val="es-ES"/>
              </w:rPr>
            </w:pPr>
            <w:r w:rsidRPr="00885171">
              <w:rPr>
                <w:sz w:val="20"/>
                <w:szCs w:val="18"/>
                <w:lang w:val="es-ES"/>
              </w:rPr>
              <w:t>Costos totales de 2027</w:t>
            </w:r>
            <w:r w:rsidRPr="00885171">
              <w:rPr>
                <w:sz w:val="20"/>
                <w:szCs w:val="18"/>
                <w:lang w:val="es-ES"/>
              </w:rPr>
              <w:br/>
              <w:t>(miles CHF)</w:t>
            </w:r>
          </w:p>
        </w:tc>
      </w:tr>
      <w:tr w:rsidR="001D4257" w:rsidRPr="00885171" w14:paraId="62B8609E" w14:textId="77777777" w:rsidTr="00B03B3E">
        <w:trPr>
          <w:trHeight w:hRule="exact" w:val="258"/>
          <w:jc w:val="center"/>
        </w:trPr>
        <w:tc>
          <w:tcPr>
            <w:tcW w:w="6091" w:type="dxa"/>
            <w:tcBorders>
              <w:top w:val="single" w:sz="4" w:space="0" w:color="auto"/>
              <w:left w:val="single" w:sz="4" w:space="0" w:color="auto"/>
              <w:bottom w:val="dotted" w:sz="4" w:space="0" w:color="auto"/>
              <w:right w:val="single" w:sz="4" w:space="0" w:color="auto"/>
            </w:tcBorders>
            <w:shd w:val="clear" w:color="auto" w:fill="F2CEEF"/>
            <w:vAlign w:val="center"/>
          </w:tcPr>
          <w:p w14:paraId="5B908F7A" w14:textId="77777777" w:rsidR="001D4257" w:rsidRPr="00885171" w:rsidRDefault="001D4257" w:rsidP="00B03B3E">
            <w:pPr>
              <w:spacing w:before="0"/>
              <w:rPr>
                <w:sz w:val="20"/>
                <w:lang w:val="es-ES"/>
              </w:rPr>
            </w:pPr>
            <w:r w:rsidRPr="00885171">
              <w:rPr>
                <w:sz w:val="20"/>
                <w:lang w:val="es-ES"/>
              </w:rPr>
              <w:t>I1 – PP</w:t>
            </w:r>
          </w:p>
        </w:tc>
        <w:tc>
          <w:tcPr>
            <w:tcW w:w="2176" w:type="dxa"/>
            <w:tcBorders>
              <w:top w:val="single" w:sz="4" w:space="0" w:color="auto"/>
              <w:left w:val="single" w:sz="4" w:space="0" w:color="auto"/>
              <w:bottom w:val="dotted" w:sz="4" w:space="0" w:color="auto"/>
              <w:right w:val="single" w:sz="4" w:space="0" w:color="auto"/>
            </w:tcBorders>
            <w:shd w:val="clear" w:color="auto" w:fill="F2CEEF"/>
            <w:vAlign w:val="center"/>
          </w:tcPr>
          <w:p w14:paraId="53DD0FEA" w14:textId="77777777" w:rsidR="001D4257" w:rsidRPr="00885171" w:rsidRDefault="001D4257" w:rsidP="00B03B3E">
            <w:pPr>
              <w:spacing w:before="0"/>
              <w:jc w:val="right"/>
              <w:rPr>
                <w:sz w:val="20"/>
                <w:lang w:val="es-ES"/>
              </w:rPr>
            </w:pPr>
            <w:r w:rsidRPr="00885171">
              <w:rPr>
                <w:sz w:val="20"/>
                <w:lang w:val="es-ES"/>
              </w:rPr>
              <w:t>4 089</w:t>
            </w:r>
          </w:p>
        </w:tc>
      </w:tr>
      <w:tr w:rsidR="001D4257" w:rsidRPr="00885171" w14:paraId="4CFB3057"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565F7AB8" w14:textId="77777777" w:rsidR="001D4257" w:rsidRPr="00885171" w:rsidRDefault="001D4257" w:rsidP="00B03B3E">
            <w:pPr>
              <w:spacing w:before="0"/>
              <w:rPr>
                <w:sz w:val="20"/>
                <w:lang w:val="es-ES"/>
              </w:rPr>
            </w:pPr>
            <w:r w:rsidRPr="00885171">
              <w:rPr>
                <w:sz w:val="20"/>
                <w:lang w:val="es-ES"/>
              </w:rPr>
              <w:t>I2 – Consejo y GT</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27F3BF36" w14:textId="77777777" w:rsidR="001D4257" w:rsidRPr="00885171" w:rsidRDefault="001D4257" w:rsidP="00B03B3E">
            <w:pPr>
              <w:spacing w:before="0"/>
              <w:jc w:val="right"/>
              <w:rPr>
                <w:sz w:val="20"/>
                <w:lang w:val="es-ES"/>
              </w:rPr>
            </w:pPr>
            <w:r w:rsidRPr="00885171">
              <w:rPr>
                <w:sz w:val="20"/>
                <w:lang w:val="es-ES"/>
              </w:rPr>
              <w:t>5 619</w:t>
            </w:r>
          </w:p>
        </w:tc>
      </w:tr>
      <w:tr w:rsidR="001D4257" w:rsidRPr="00885171" w14:paraId="13D14828"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5B7A5C82" w14:textId="77777777" w:rsidR="001D4257" w:rsidRPr="00885171" w:rsidRDefault="001D4257" w:rsidP="00B03B3E">
            <w:pPr>
              <w:spacing w:before="0"/>
              <w:rPr>
                <w:sz w:val="20"/>
                <w:lang w:val="es-ES"/>
              </w:rPr>
            </w:pPr>
            <w:r w:rsidRPr="00885171">
              <w:rPr>
                <w:sz w:val="20"/>
                <w:lang w:val="es-ES"/>
              </w:rPr>
              <w:t>I3 – FMPT</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003BDE71" w14:textId="77777777" w:rsidR="001D4257" w:rsidRPr="00885171" w:rsidRDefault="001D4257" w:rsidP="00B03B3E">
            <w:pPr>
              <w:spacing w:before="0"/>
              <w:jc w:val="right"/>
              <w:rPr>
                <w:sz w:val="20"/>
                <w:lang w:val="es-ES"/>
              </w:rPr>
            </w:pPr>
            <w:r w:rsidRPr="00885171">
              <w:rPr>
                <w:sz w:val="20"/>
                <w:lang w:val="es-ES"/>
              </w:rPr>
              <w:t>779</w:t>
            </w:r>
          </w:p>
        </w:tc>
      </w:tr>
      <w:tr w:rsidR="001D4257" w:rsidRPr="00885171" w14:paraId="46DBBC72"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5EC9D55D" w14:textId="77777777" w:rsidR="001D4257" w:rsidRPr="00885171" w:rsidRDefault="001D4257" w:rsidP="00B03B3E">
            <w:pPr>
              <w:spacing w:before="0"/>
              <w:rPr>
                <w:sz w:val="20"/>
                <w:lang w:val="es-ES"/>
              </w:rPr>
            </w:pPr>
            <w:r w:rsidRPr="00885171">
              <w:rPr>
                <w:sz w:val="20"/>
                <w:lang w:val="es-ES"/>
              </w:rPr>
              <w:t>I4 – CMSI</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000B26CA" w14:textId="77777777" w:rsidR="001D4257" w:rsidRPr="00885171" w:rsidRDefault="001D4257" w:rsidP="00B03B3E">
            <w:pPr>
              <w:spacing w:before="0"/>
              <w:jc w:val="right"/>
              <w:rPr>
                <w:sz w:val="20"/>
                <w:lang w:val="es-ES"/>
              </w:rPr>
            </w:pPr>
            <w:r w:rsidRPr="00885171">
              <w:rPr>
                <w:sz w:val="20"/>
                <w:lang w:val="es-ES"/>
              </w:rPr>
              <w:t>1 751</w:t>
            </w:r>
          </w:p>
        </w:tc>
      </w:tr>
      <w:tr w:rsidR="001D4257" w:rsidRPr="00885171" w14:paraId="5AC39A2D"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76D92992" w14:textId="77777777" w:rsidR="001D4257" w:rsidRPr="00885171" w:rsidRDefault="001D4257" w:rsidP="00B03B3E">
            <w:pPr>
              <w:spacing w:before="0"/>
              <w:rPr>
                <w:sz w:val="20"/>
                <w:lang w:val="es-ES"/>
              </w:rPr>
            </w:pPr>
            <w:r w:rsidRPr="00885171">
              <w:rPr>
                <w:sz w:val="20"/>
                <w:lang w:val="es-ES"/>
              </w:rPr>
              <w:t>I5 – Juventud y Género</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041CAA72" w14:textId="77777777" w:rsidR="001D4257" w:rsidRPr="00885171" w:rsidRDefault="001D4257" w:rsidP="00B03B3E">
            <w:pPr>
              <w:spacing w:before="0"/>
              <w:jc w:val="right"/>
              <w:rPr>
                <w:sz w:val="20"/>
                <w:lang w:val="es-ES"/>
              </w:rPr>
            </w:pPr>
            <w:r w:rsidRPr="00885171">
              <w:rPr>
                <w:sz w:val="20"/>
                <w:lang w:val="es-ES"/>
              </w:rPr>
              <w:t>1 921</w:t>
            </w:r>
          </w:p>
        </w:tc>
      </w:tr>
      <w:tr w:rsidR="001D4257" w:rsidRPr="00885171" w14:paraId="2B3CFB6B"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1CFE841F" w14:textId="77777777" w:rsidR="001D4257" w:rsidRPr="00885171" w:rsidRDefault="001D4257" w:rsidP="00B03B3E">
            <w:pPr>
              <w:spacing w:before="0"/>
              <w:rPr>
                <w:sz w:val="20"/>
                <w:lang w:val="es-ES"/>
              </w:rPr>
            </w:pPr>
            <w:r w:rsidRPr="00885171">
              <w:rPr>
                <w:sz w:val="20"/>
                <w:lang w:val="es-ES"/>
              </w:rPr>
              <w:t>I6 – Compromiso para con la sostenibilidad medioambiental</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6B1F4F95" w14:textId="77777777" w:rsidR="001D4257" w:rsidRPr="00885171" w:rsidRDefault="001D4257" w:rsidP="00B03B3E">
            <w:pPr>
              <w:spacing w:before="0"/>
              <w:jc w:val="right"/>
              <w:rPr>
                <w:sz w:val="20"/>
                <w:lang w:val="es-ES"/>
              </w:rPr>
            </w:pPr>
            <w:r w:rsidRPr="00885171">
              <w:rPr>
                <w:sz w:val="20"/>
                <w:lang w:val="es-ES"/>
              </w:rPr>
              <w:t>1 535</w:t>
            </w:r>
          </w:p>
        </w:tc>
      </w:tr>
      <w:tr w:rsidR="001D4257" w:rsidRPr="00885171" w14:paraId="56C1F805"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5D860E1D" w14:textId="77777777" w:rsidR="001D4257" w:rsidRPr="00885171" w:rsidRDefault="001D4257" w:rsidP="00B03B3E">
            <w:pPr>
              <w:spacing w:before="0"/>
              <w:rPr>
                <w:sz w:val="20"/>
                <w:lang w:val="es-ES"/>
              </w:rPr>
            </w:pPr>
            <w:r w:rsidRPr="00885171">
              <w:rPr>
                <w:sz w:val="20"/>
                <w:lang w:val="es-ES"/>
              </w:rPr>
              <w:t>I7 – Asociaciones y cooperación internacional</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7AD84AFE" w14:textId="77777777" w:rsidR="001D4257" w:rsidRPr="00885171" w:rsidRDefault="001D4257" w:rsidP="00B03B3E">
            <w:pPr>
              <w:spacing w:before="0"/>
              <w:jc w:val="right"/>
              <w:rPr>
                <w:sz w:val="20"/>
                <w:lang w:val="es-ES"/>
              </w:rPr>
            </w:pPr>
            <w:r w:rsidRPr="00885171">
              <w:rPr>
                <w:sz w:val="20"/>
                <w:lang w:val="es-ES"/>
              </w:rPr>
              <w:t>5 837</w:t>
            </w:r>
          </w:p>
        </w:tc>
      </w:tr>
      <w:tr w:rsidR="001D4257" w:rsidRPr="00885171" w14:paraId="0249E0E2"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6A54BA7F" w14:textId="77777777" w:rsidR="001D4257" w:rsidRPr="00885171" w:rsidRDefault="001D4257" w:rsidP="00B03B3E">
            <w:pPr>
              <w:spacing w:before="0"/>
              <w:rPr>
                <w:sz w:val="20"/>
                <w:lang w:val="es-ES"/>
              </w:rPr>
            </w:pPr>
            <w:r w:rsidRPr="00885171">
              <w:rPr>
                <w:sz w:val="20"/>
                <w:lang w:val="es-ES"/>
              </w:rPr>
              <w:t>I8 – Movilización de recursos</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4F837C71" w14:textId="77777777" w:rsidR="001D4257" w:rsidRPr="00885171" w:rsidRDefault="001D4257" w:rsidP="00B03B3E">
            <w:pPr>
              <w:spacing w:before="0"/>
              <w:jc w:val="right"/>
              <w:rPr>
                <w:sz w:val="20"/>
                <w:lang w:val="es-ES"/>
              </w:rPr>
            </w:pPr>
            <w:r w:rsidRPr="00885171">
              <w:rPr>
                <w:sz w:val="20"/>
                <w:lang w:val="es-ES"/>
              </w:rPr>
              <w:t>2 507</w:t>
            </w:r>
          </w:p>
        </w:tc>
      </w:tr>
      <w:tr w:rsidR="001D4257" w:rsidRPr="00885171" w14:paraId="478EBB80"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2CEEF"/>
            <w:vAlign w:val="center"/>
          </w:tcPr>
          <w:p w14:paraId="6744EBCE" w14:textId="77777777" w:rsidR="001D4257" w:rsidRPr="00885171" w:rsidRDefault="001D4257" w:rsidP="00B03B3E">
            <w:pPr>
              <w:spacing w:before="0"/>
              <w:rPr>
                <w:sz w:val="20"/>
                <w:lang w:val="es-ES"/>
              </w:rPr>
            </w:pPr>
            <w:r w:rsidRPr="00885171">
              <w:rPr>
                <w:sz w:val="20"/>
                <w:lang w:val="es-ES"/>
              </w:rPr>
              <w:t>I9 – Excelencia e innovación en materia de organización y recursos humanos</w:t>
            </w:r>
          </w:p>
        </w:tc>
        <w:tc>
          <w:tcPr>
            <w:tcW w:w="2176" w:type="dxa"/>
            <w:tcBorders>
              <w:top w:val="dotted" w:sz="4" w:space="0" w:color="auto"/>
              <w:left w:val="single" w:sz="4" w:space="0" w:color="auto"/>
              <w:bottom w:val="dotted" w:sz="4" w:space="0" w:color="auto"/>
              <w:right w:val="single" w:sz="4" w:space="0" w:color="auto"/>
            </w:tcBorders>
            <w:shd w:val="clear" w:color="auto" w:fill="F2CEEF"/>
            <w:vAlign w:val="center"/>
          </w:tcPr>
          <w:p w14:paraId="5A173666" w14:textId="77777777" w:rsidR="001D4257" w:rsidRPr="00885171" w:rsidRDefault="001D4257" w:rsidP="00B03B3E">
            <w:pPr>
              <w:spacing w:before="0"/>
              <w:jc w:val="right"/>
              <w:rPr>
                <w:sz w:val="20"/>
                <w:lang w:val="es-ES"/>
              </w:rPr>
            </w:pPr>
            <w:r w:rsidRPr="00885171">
              <w:rPr>
                <w:sz w:val="20"/>
                <w:lang w:val="es-ES"/>
              </w:rPr>
              <w:t>2 763</w:t>
            </w:r>
          </w:p>
        </w:tc>
      </w:tr>
      <w:tr w:rsidR="001D4257" w:rsidRPr="00885171" w14:paraId="0DF2597A"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49BBEC2D" w14:textId="77777777" w:rsidR="001D4257" w:rsidRPr="00885171" w:rsidRDefault="001D4257" w:rsidP="00B03B3E">
            <w:pPr>
              <w:spacing w:before="0"/>
              <w:rPr>
                <w:sz w:val="20"/>
                <w:lang w:val="es-ES"/>
              </w:rPr>
            </w:pPr>
            <w:r w:rsidRPr="00885171">
              <w:rPr>
                <w:sz w:val="20"/>
                <w:lang w:val="es-ES"/>
              </w:rPr>
              <w:t>R1 – Tramitación de las notificaciones espaciales</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4960498C" w14:textId="77777777" w:rsidR="001D4257" w:rsidRPr="00885171" w:rsidRDefault="001D4257" w:rsidP="00B03B3E">
            <w:pPr>
              <w:spacing w:before="0"/>
              <w:jc w:val="right"/>
              <w:rPr>
                <w:sz w:val="20"/>
                <w:lang w:val="es-ES"/>
              </w:rPr>
            </w:pPr>
            <w:r w:rsidRPr="00885171">
              <w:rPr>
                <w:sz w:val="20"/>
                <w:lang w:val="es-ES"/>
              </w:rPr>
              <w:t>20 995</w:t>
            </w:r>
          </w:p>
        </w:tc>
      </w:tr>
      <w:tr w:rsidR="001D4257" w:rsidRPr="00885171" w14:paraId="3AA0E37D"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255F5A17" w14:textId="77777777" w:rsidR="001D4257" w:rsidRPr="00885171" w:rsidRDefault="001D4257" w:rsidP="00B03B3E">
            <w:pPr>
              <w:spacing w:before="0"/>
              <w:rPr>
                <w:sz w:val="20"/>
                <w:lang w:val="es-ES"/>
              </w:rPr>
            </w:pPr>
            <w:r w:rsidRPr="00885171">
              <w:rPr>
                <w:sz w:val="20"/>
                <w:lang w:val="es-ES"/>
              </w:rPr>
              <w:t>R2 – Tramitación de las notificaciones terrenales</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560FE3BE" w14:textId="77777777" w:rsidR="001D4257" w:rsidRPr="00885171" w:rsidRDefault="001D4257" w:rsidP="00B03B3E">
            <w:pPr>
              <w:spacing w:before="0"/>
              <w:jc w:val="right"/>
              <w:rPr>
                <w:sz w:val="20"/>
                <w:lang w:val="es-ES"/>
              </w:rPr>
            </w:pPr>
            <w:r w:rsidRPr="00885171">
              <w:rPr>
                <w:sz w:val="20"/>
                <w:lang w:val="es-ES"/>
              </w:rPr>
              <w:t>9 094</w:t>
            </w:r>
          </w:p>
        </w:tc>
      </w:tr>
      <w:tr w:rsidR="001D4257" w:rsidRPr="00885171" w14:paraId="3E1FFA43"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494408BA" w14:textId="77777777" w:rsidR="001D4257" w:rsidRPr="00885171" w:rsidRDefault="001D4257" w:rsidP="00B03B3E">
            <w:pPr>
              <w:spacing w:before="0"/>
              <w:rPr>
                <w:sz w:val="20"/>
                <w:lang w:val="es-ES"/>
              </w:rPr>
            </w:pPr>
            <w:r w:rsidRPr="00885171">
              <w:rPr>
                <w:sz w:val="20"/>
                <w:lang w:val="es-ES"/>
              </w:rPr>
              <w:t>R3 – Resultados de la CMR (Actas Finales)</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520FAB00" w14:textId="77777777" w:rsidR="001D4257" w:rsidRPr="00885171" w:rsidRDefault="001D4257" w:rsidP="00B03B3E">
            <w:pPr>
              <w:spacing w:before="0"/>
              <w:jc w:val="right"/>
              <w:rPr>
                <w:sz w:val="20"/>
                <w:lang w:val="es-ES"/>
              </w:rPr>
            </w:pPr>
            <w:r w:rsidRPr="00885171">
              <w:rPr>
                <w:sz w:val="20"/>
                <w:lang w:val="es-ES"/>
              </w:rPr>
              <w:t>11 005</w:t>
            </w:r>
          </w:p>
        </w:tc>
      </w:tr>
      <w:tr w:rsidR="001D4257" w:rsidRPr="00885171" w14:paraId="731403A6"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6BD0BF51" w14:textId="77777777" w:rsidR="001D4257" w:rsidRPr="00885171" w:rsidRDefault="001D4257" w:rsidP="00B03B3E">
            <w:pPr>
              <w:spacing w:before="0"/>
              <w:rPr>
                <w:sz w:val="20"/>
                <w:lang w:val="es-ES"/>
              </w:rPr>
            </w:pPr>
            <w:r w:rsidRPr="00885171">
              <w:rPr>
                <w:sz w:val="20"/>
                <w:lang w:val="es-ES"/>
              </w:rPr>
              <w:t>R4 – Resultados de la RPC (Informe de la RPC)</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4248849B" w14:textId="77777777" w:rsidR="001D4257" w:rsidRPr="00885171" w:rsidRDefault="001D4257" w:rsidP="00B03B3E">
            <w:pPr>
              <w:spacing w:before="0"/>
              <w:jc w:val="right"/>
              <w:rPr>
                <w:sz w:val="20"/>
                <w:lang w:val="es-ES"/>
              </w:rPr>
            </w:pPr>
            <w:r w:rsidRPr="00885171">
              <w:rPr>
                <w:sz w:val="20"/>
                <w:lang w:val="es-ES"/>
              </w:rPr>
              <w:t>5 859</w:t>
            </w:r>
          </w:p>
        </w:tc>
      </w:tr>
      <w:tr w:rsidR="001D4257" w:rsidRPr="00885171" w14:paraId="756407EA"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61DCF33C" w14:textId="77777777" w:rsidR="001D4257" w:rsidRPr="00885171" w:rsidRDefault="001D4257" w:rsidP="00B03B3E">
            <w:pPr>
              <w:spacing w:before="0"/>
              <w:rPr>
                <w:sz w:val="20"/>
                <w:lang w:val="es-ES"/>
              </w:rPr>
            </w:pPr>
            <w:r w:rsidRPr="00885171">
              <w:rPr>
                <w:sz w:val="20"/>
                <w:lang w:val="es-ES"/>
              </w:rPr>
              <w:t>R5 – Resultados de la RRB (Reglas de Procedimiento y Decisiones)</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746C2F6B" w14:textId="77777777" w:rsidR="001D4257" w:rsidRPr="00885171" w:rsidRDefault="001D4257" w:rsidP="00B03B3E">
            <w:pPr>
              <w:spacing w:before="0"/>
              <w:jc w:val="right"/>
              <w:rPr>
                <w:sz w:val="20"/>
                <w:lang w:val="es-ES"/>
              </w:rPr>
            </w:pPr>
            <w:r w:rsidRPr="00885171">
              <w:rPr>
                <w:sz w:val="20"/>
                <w:lang w:val="es-ES"/>
              </w:rPr>
              <w:t>3 020</w:t>
            </w:r>
          </w:p>
        </w:tc>
      </w:tr>
      <w:tr w:rsidR="001D4257" w:rsidRPr="00885171" w14:paraId="44190D14"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19909984" w14:textId="77777777" w:rsidR="001D4257" w:rsidRPr="00885171" w:rsidRDefault="001D4257" w:rsidP="00B03B3E">
            <w:pPr>
              <w:spacing w:before="0"/>
              <w:rPr>
                <w:sz w:val="20"/>
                <w:lang w:val="es-ES"/>
              </w:rPr>
            </w:pPr>
            <w:r w:rsidRPr="00885171">
              <w:rPr>
                <w:sz w:val="20"/>
                <w:lang w:val="es-ES"/>
              </w:rPr>
              <w:t>R6 – Soporte lógico</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5B5E1A05" w14:textId="77777777" w:rsidR="001D4257" w:rsidRPr="00885171" w:rsidRDefault="001D4257" w:rsidP="00B03B3E">
            <w:pPr>
              <w:spacing w:before="0"/>
              <w:jc w:val="right"/>
              <w:rPr>
                <w:sz w:val="20"/>
                <w:lang w:val="es-ES"/>
              </w:rPr>
            </w:pPr>
            <w:r w:rsidRPr="00885171">
              <w:rPr>
                <w:sz w:val="20"/>
                <w:lang w:val="es-ES"/>
              </w:rPr>
              <w:t>1 119</w:t>
            </w:r>
          </w:p>
        </w:tc>
      </w:tr>
      <w:tr w:rsidR="001D4257" w:rsidRPr="00885171" w14:paraId="75E7A9BB"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10179B40" w14:textId="77777777" w:rsidR="001D4257" w:rsidRPr="00885171" w:rsidRDefault="001D4257" w:rsidP="00B03B3E">
            <w:pPr>
              <w:spacing w:before="0"/>
              <w:rPr>
                <w:sz w:val="20"/>
                <w:lang w:val="es-ES"/>
              </w:rPr>
            </w:pPr>
            <w:r w:rsidRPr="00885171">
              <w:rPr>
                <w:sz w:val="20"/>
                <w:lang w:val="es-ES"/>
              </w:rPr>
              <w:t>R7 – Publicaciones del UIT-R</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74AB97B3" w14:textId="77777777" w:rsidR="001D4257" w:rsidRPr="00885171" w:rsidRDefault="001D4257" w:rsidP="00B03B3E">
            <w:pPr>
              <w:spacing w:before="0"/>
              <w:jc w:val="right"/>
              <w:rPr>
                <w:sz w:val="20"/>
                <w:lang w:val="es-ES"/>
              </w:rPr>
            </w:pPr>
            <w:r w:rsidRPr="00885171">
              <w:rPr>
                <w:sz w:val="20"/>
                <w:lang w:val="es-ES"/>
              </w:rPr>
              <w:t>4 620</w:t>
            </w:r>
          </w:p>
        </w:tc>
      </w:tr>
      <w:tr w:rsidR="001D4257" w:rsidRPr="00885171" w14:paraId="2AD93859"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536766F0" w14:textId="77777777" w:rsidR="001D4257" w:rsidRPr="00885171" w:rsidRDefault="001D4257" w:rsidP="00B03B3E">
            <w:pPr>
              <w:spacing w:before="0"/>
              <w:rPr>
                <w:sz w:val="20"/>
                <w:lang w:val="es-ES"/>
              </w:rPr>
            </w:pPr>
            <w:r w:rsidRPr="00885171">
              <w:rPr>
                <w:sz w:val="20"/>
                <w:lang w:val="es-ES"/>
              </w:rPr>
              <w:t xml:space="preserve">R8 – Resultados de las Comisiones de Estudio del UIT-R </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40E4F6B4" w14:textId="77777777" w:rsidR="001D4257" w:rsidRPr="00885171" w:rsidRDefault="001D4257" w:rsidP="00B03B3E">
            <w:pPr>
              <w:spacing w:before="0"/>
              <w:jc w:val="right"/>
              <w:rPr>
                <w:sz w:val="20"/>
                <w:lang w:val="es-ES"/>
              </w:rPr>
            </w:pPr>
            <w:r w:rsidRPr="00885171">
              <w:rPr>
                <w:sz w:val="20"/>
                <w:lang w:val="es-ES"/>
              </w:rPr>
              <w:t>4 006</w:t>
            </w:r>
          </w:p>
        </w:tc>
      </w:tr>
      <w:tr w:rsidR="001D4257" w:rsidRPr="00885171" w14:paraId="6BD40D03"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6A5389D1" w14:textId="77777777" w:rsidR="001D4257" w:rsidRPr="00885171" w:rsidRDefault="001D4257" w:rsidP="00B03B3E">
            <w:pPr>
              <w:spacing w:before="0"/>
              <w:rPr>
                <w:sz w:val="20"/>
                <w:lang w:val="es-ES"/>
              </w:rPr>
            </w:pPr>
            <w:r w:rsidRPr="00885171">
              <w:rPr>
                <w:sz w:val="20"/>
                <w:lang w:val="es-ES"/>
              </w:rPr>
              <w:t xml:space="preserve">R9 – Salidas RA </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21DB0ED0" w14:textId="77777777" w:rsidR="001D4257" w:rsidRPr="00885171" w:rsidRDefault="001D4257" w:rsidP="00B03B3E">
            <w:pPr>
              <w:spacing w:before="0"/>
              <w:jc w:val="right"/>
              <w:rPr>
                <w:sz w:val="20"/>
                <w:lang w:val="es-ES"/>
              </w:rPr>
            </w:pPr>
            <w:r w:rsidRPr="00885171">
              <w:rPr>
                <w:sz w:val="20"/>
                <w:lang w:val="es-ES"/>
              </w:rPr>
              <w:t>3 322</w:t>
            </w:r>
          </w:p>
        </w:tc>
      </w:tr>
      <w:tr w:rsidR="001D4257" w:rsidRPr="00885171" w14:paraId="1768D56D"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410428EC" w14:textId="77777777" w:rsidR="001D4257" w:rsidRPr="00885171" w:rsidRDefault="001D4257" w:rsidP="00B03B3E">
            <w:pPr>
              <w:spacing w:before="0"/>
              <w:rPr>
                <w:sz w:val="20"/>
                <w:lang w:val="es-ES"/>
              </w:rPr>
            </w:pPr>
            <w:r w:rsidRPr="00885171">
              <w:rPr>
                <w:sz w:val="20"/>
                <w:lang w:val="es-ES"/>
              </w:rPr>
              <w:t>R10 – Salidas RAG</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57A2B0E3" w14:textId="77777777" w:rsidR="001D4257" w:rsidRPr="00885171" w:rsidRDefault="001D4257" w:rsidP="00B03B3E">
            <w:pPr>
              <w:spacing w:before="0"/>
              <w:jc w:val="right"/>
              <w:rPr>
                <w:sz w:val="20"/>
                <w:lang w:val="es-ES"/>
              </w:rPr>
            </w:pPr>
            <w:r w:rsidRPr="00885171">
              <w:rPr>
                <w:sz w:val="20"/>
                <w:lang w:val="es-ES"/>
              </w:rPr>
              <w:t>1 193</w:t>
            </w:r>
          </w:p>
        </w:tc>
      </w:tr>
      <w:tr w:rsidR="001D4257" w:rsidRPr="00885171" w14:paraId="1801F664"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2BD06BB9" w14:textId="77777777" w:rsidR="001D4257" w:rsidRPr="00885171" w:rsidRDefault="001D4257" w:rsidP="00B03B3E">
            <w:pPr>
              <w:spacing w:before="0"/>
              <w:rPr>
                <w:sz w:val="20"/>
                <w:lang w:val="es-ES"/>
              </w:rPr>
            </w:pPr>
            <w:r w:rsidRPr="00885171">
              <w:rPr>
                <w:sz w:val="20"/>
                <w:lang w:val="es-ES"/>
              </w:rPr>
              <w:t>R11 – Asistencia técnica</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75C169BA" w14:textId="77777777" w:rsidR="001D4257" w:rsidRPr="00885171" w:rsidRDefault="001D4257" w:rsidP="00B03B3E">
            <w:pPr>
              <w:spacing w:before="0"/>
              <w:jc w:val="right"/>
              <w:rPr>
                <w:sz w:val="20"/>
                <w:lang w:val="es-ES"/>
              </w:rPr>
            </w:pPr>
            <w:r w:rsidRPr="00885171">
              <w:rPr>
                <w:sz w:val="20"/>
                <w:lang w:val="es-ES"/>
              </w:rPr>
              <w:t>2 392</w:t>
            </w:r>
          </w:p>
        </w:tc>
      </w:tr>
      <w:tr w:rsidR="001D4257" w:rsidRPr="00885171" w14:paraId="0E2E466E"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FBE2D5"/>
            <w:vAlign w:val="center"/>
          </w:tcPr>
          <w:p w14:paraId="1E560A82" w14:textId="77777777" w:rsidR="001D4257" w:rsidRPr="00885171" w:rsidRDefault="001D4257" w:rsidP="00B03B3E">
            <w:pPr>
              <w:spacing w:before="0"/>
              <w:rPr>
                <w:sz w:val="20"/>
                <w:lang w:val="es-ES"/>
              </w:rPr>
            </w:pPr>
            <w:r w:rsidRPr="00885171">
              <w:rPr>
                <w:sz w:val="20"/>
                <w:lang w:val="es-ES"/>
              </w:rPr>
              <w:t>R12 – Seminarios del UIT-R</w:t>
            </w:r>
          </w:p>
        </w:tc>
        <w:tc>
          <w:tcPr>
            <w:tcW w:w="2176" w:type="dxa"/>
            <w:tcBorders>
              <w:top w:val="dotted" w:sz="4" w:space="0" w:color="auto"/>
              <w:left w:val="single" w:sz="4" w:space="0" w:color="auto"/>
              <w:bottom w:val="dotted" w:sz="4" w:space="0" w:color="auto"/>
              <w:right w:val="single" w:sz="4" w:space="0" w:color="auto"/>
            </w:tcBorders>
            <w:shd w:val="clear" w:color="auto" w:fill="FBE2D5"/>
            <w:vAlign w:val="center"/>
          </w:tcPr>
          <w:p w14:paraId="65DDEF32" w14:textId="77777777" w:rsidR="001D4257" w:rsidRPr="00885171" w:rsidRDefault="001D4257" w:rsidP="00B03B3E">
            <w:pPr>
              <w:spacing w:before="0"/>
              <w:jc w:val="right"/>
              <w:rPr>
                <w:sz w:val="20"/>
                <w:lang w:val="es-ES"/>
              </w:rPr>
            </w:pPr>
            <w:r w:rsidRPr="00885171">
              <w:rPr>
                <w:sz w:val="20"/>
                <w:lang w:val="es-ES"/>
              </w:rPr>
              <w:t>3 514</w:t>
            </w:r>
          </w:p>
        </w:tc>
      </w:tr>
      <w:tr w:rsidR="001D4257" w:rsidRPr="00885171" w14:paraId="639A84D5"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2050A7B4" w14:textId="77777777" w:rsidR="001D4257" w:rsidRPr="00885171" w:rsidRDefault="001D4257" w:rsidP="00B03B3E">
            <w:pPr>
              <w:spacing w:before="0"/>
              <w:rPr>
                <w:sz w:val="20"/>
                <w:lang w:val="es-ES"/>
              </w:rPr>
            </w:pPr>
            <w:r w:rsidRPr="00885171">
              <w:rPr>
                <w:sz w:val="20"/>
                <w:lang w:val="es-ES"/>
              </w:rPr>
              <w:t>T1 – AMNT</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513E71A4" w14:textId="77777777" w:rsidR="001D4257" w:rsidRPr="00885171" w:rsidRDefault="001D4257" w:rsidP="00B03B3E">
            <w:pPr>
              <w:spacing w:before="0"/>
              <w:jc w:val="right"/>
              <w:rPr>
                <w:sz w:val="20"/>
                <w:lang w:val="es-ES"/>
              </w:rPr>
            </w:pPr>
            <w:r w:rsidRPr="00885171">
              <w:rPr>
                <w:sz w:val="20"/>
                <w:lang w:val="es-ES"/>
              </w:rPr>
              <w:t>553</w:t>
            </w:r>
          </w:p>
        </w:tc>
      </w:tr>
      <w:tr w:rsidR="001D4257" w:rsidRPr="00885171" w14:paraId="2C75C3E0"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39E6BA91" w14:textId="77777777" w:rsidR="001D4257" w:rsidRPr="00885171" w:rsidRDefault="001D4257" w:rsidP="00B03B3E">
            <w:pPr>
              <w:spacing w:before="0"/>
              <w:rPr>
                <w:sz w:val="20"/>
                <w:lang w:val="es-ES"/>
              </w:rPr>
            </w:pPr>
            <w:r w:rsidRPr="00885171">
              <w:rPr>
                <w:sz w:val="20"/>
                <w:lang w:val="es-ES"/>
              </w:rPr>
              <w:t>T2 – Reuniones de consulta regionales de la AMNT</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639028B0" w14:textId="77777777" w:rsidR="001D4257" w:rsidRPr="00885171" w:rsidRDefault="001D4257" w:rsidP="00B03B3E">
            <w:pPr>
              <w:spacing w:before="0"/>
              <w:jc w:val="right"/>
              <w:rPr>
                <w:sz w:val="20"/>
                <w:lang w:val="es-ES"/>
              </w:rPr>
            </w:pPr>
            <w:r w:rsidRPr="00885171">
              <w:rPr>
                <w:sz w:val="20"/>
                <w:lang w:val="es-ES"/>
              </w:rPr>
              <w:t>219</w:t>
            </w:r>
          </w:p>
        </w:tc>
      </w:tr>
      <w:tr w:rsidR="001D4257" w:rsidRPr="00885171" w14:paraId="1B3B422B"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3CE83D58" w14:textId="77777777" w:rsidR="001D4257" w:rsidRPr="00885171" w:rsidRDefault="001D4257" w:rsidP="00B03B3E">
            <w:pPr>
              <w:spacing w:before="0"/>
              <w:rPr>
                <w:sz w:val="20"/>
                <w:lang w:val="es-ES"/>
              </w:rPr>
            </w:pPr>
            <w:r w:rsidRPr="00885171">
              <w:rPr>
                <w:sz w:val="20"/>
                <w:lang w:val="es-ES"/>
              </w:rPr>
              <w:t>T3 – GANT</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3486320F" w14:textId="77777777" w:rsidR="001D4257" w:rsidRPr="00885171" w:rsidRDefault="001D4257" w:rsidP="00B03B3E">
            <w:pPr>
              <w:spacing w:before="0"/>
              <w:jc w:val="right"/>
              <w:rPr>
                <w:sz w:val="20"/>
                <w:lang w:val="es-ES"/>
              </w:rPr>
            </w:pPr>
            <w:r w:rsidRPr="00885171">
              <w:rPr>
                <w:sz w:val="20"/>
                <w:lang w:val="es-ES"/>
              </w:rPr>
              <w:t>1 703</w:t>
            </w:r>
          </w:p>
        </w:tc>
      </w:tr>
      <w:tr w:rsidR="001D4257" w:rsidRPr="00885171" w14:paraId="676CA900"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4B66217F" w14:textId="77777777" w:rsidR="001D4257" w:rsidRPr="00885171" w:rsidRDefault="001D4257" w:rsidP="00B03B3E">
            <w:pPr>
              <w:spacing w:before="0"/>
              <w:rPr>
                <w:sz w:val="20"/>
                <w:lang w:val="es-ES"/>
              </w:rPr>
            </w:pPr>
            <w:r w:rsidRPr="00885171">
              <w:rPr>
                <w:sz w:val="20"/>
                <w:lang w:val="es-ES"/>
              </w:rPr>
              <w:t>T4 – Asistencia y cooperación generales del UIT-T</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281FCF9E" w14:textId="77777777" w:rsidR="001D4257" w:rsidRPr="00885171" w:rsidRDefault="001D4257" w:rsidP="00B03B3E">
            <w:pPr>
              <w:spacing w:before="0"/>
              <w:jc w:val="right"/>
              <w:rPr>
                <w:sz w:val="20"/>
                <w:lang w:val="es-ES"/>
              </w:rPr>
            </w:pPr>
            <w:r w:rsidRPr="00885171">
              <w:rPr>
                <w:sz w:val="20"/>
                <w:lang w:val="es-ES"/>
              </w:rPr>
              <w:t>1 631</w:t>
            </w:r>
          </w:p>
        </w:tc>
      </w:tr>
      <w:tr w:rsidR="001D4257" w:rsidRPr="00885171" w14:paraId="32837828"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4E9C6594" w14:textId="77777777" w:rsidR="001D4257" w:rsidRPr="007611FB" w:rsidRDefault="001D4257" w:rsidP="00B03B3E">
            <w:pPr>
              <w:spacing w:before="0"/>
              <w:rPr>
                <w:sz w:val="20"/>
              </w:rPr>
            </w:pPr>
            <w:r w:rsidRPr="007611FB">
              <w:rPr>
                <w:sz w:val="20"/>
              </w:rPr>
              <w:t>T5 – CE del UIT-T</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60F1ACEA" w14:textId="77777777" w:rsidR="001D4257" w:rsidRPr="00885171" w:rsidRDefault="001D4257" w:rsidP="00B03B3E">
            <w:pPr>
              <w:spacing w:before="0"/>
              <w:jc w:val="right"/>
              <w:rPr>
                <w:sz w:val="20"/>
                <w:lang w:val="es-ES"/>
              </w:rPr>
            </w:pPr>
            <w:r w:rsidRPr="00885171">
              <w:rPr>
                <w:sz w:val="20"/>
                <w:lang w:val="es-ES"/>
              </w:rPr>
              <w:t>13 030</w:t>
            </w:r>
          </w:p>
        </w:tc>
      </w:tr>
      <w:tr w:rsidR="001D4257" w:rsidRPr="00885171" w14:paraId="65CF24AD"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78A566A0" w14:textId="77777777" w:rsidR="001D4257" w:rsidRPr="00885171" w:rsidRDefault="001D4257" w:rsidP="00B03B3E">
            <w:pPr>
              <w:spacing w:before="0"/>
              <w:rPr>
                <w:sz w:val="20"/>
                <w:lang w:val="es-ES"/>
              </w:rPr>
            </w:pPr>
            <w:r w:rsidRPr="00885171">
              <w:rPr>
                <w:sz w:val="20"/>
                <w:lang w:val="es-ES"/>
              </w:rPr>
              <w:t>T6 – Reducción de la brecha de normalización</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7C5F0EFE" w14:textId="77777777" w:rsidR="001D4257" w:rsidRPr="00885171" w:rsidRDefault="001D4257" w:rsidP="00B03B3E">
            <w:pPr>
              <w:spacing w:before="0"/>
              <w:jc w:val="right"/>
              <w:rPr>
                <w:sz w:val="20"/>
                <w:lang w:val="es-ES"/>
              </w:rPr>
            </w:pPr>
            <w:r w:rsidRPr="00885171">
              <w:rPr>
                <w:sz w:val="20"/>
                <w:lang w:val="es-ES"/>
              </w:rPr>
              <w:t>2 881</w:t>
            </w:r>
          </w:p>
        </w:tc>
      </w:tr>
      <w:tr w:rsidR="001D4257" w:rsidRPr="00885171" w14:paraId="36F53102" w14:textId="77777777" w:rsidTr="00B03B3E">
        <w:trPr>
          <w:trHeight w:hRule="exact" w:val="255"/>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56BEEB2B" w14:textId="77777777" w:rsidR="001D4257" w:rsidRPr="00885171" w:rsidRDefault="001D4257" w:rsidP="00B03B3E">
            <w:pPr>
              <w:spacing w:before="0"/>
              <w:rPr>
                <w:sz w:val="20"/>
                <w:lang w:val="es-ES"/>
              </w:rPr>
            </w:pPr>
            <w:r w:rsidRPr="00885171">
              <w:rPr>
                <w:sz w:val="20"/>
                <w:lang w:val="es-ES"/>
              </w:rPr>
              <w:t>T7 – Actividades de capacitación, incluidos talleres y seminarios</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7550C728" w14:textId="77777777" w:rsidR="001D4257" w:rsidRPr="00885171" w:rsidRDefault="001D4257" w:rsidP="00B03B3E">
            <w:pPr>
              <w:spacing w:before="0"/>
              <w:jc w:val="right"/>
              <w:rPr>
                <w:sz w:val="20"/>
                <w:lang w:val="es-ES"/>
              </w:rPr>
            </w:pPr>
            <w:r w:rsidRPr="00885171">
              <w:rPr>
                <w:sz w:val="20"/>
                <w:lang w:val="es-ES"/>
              </w:rPr>
              <w:t>4 275</w:t>
            </w:r>
          </w:p>
        </w:tc>
      </w:tr>
      <w:tr w:rsidR="001D4257" w:rsidRPr="00885171" w14:paraId="4E6D9340" w14:textId="77777777" w:rsidTr="00B03B3E">
        <w:trPr>
          <w:trHeight w:hRule="exact" w:val="227"/>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vAlign w:val="center"/>
          </w:tcPr>
          <w:p w14:paraId="7765EDB8" w14:textId="77777777" w:rsidR="001D4257" w:rsidRPr="00885171" w:rsidRDefault="001D4257" w:rsidP="00B03B3E">
            <w:pPr>
              <w:spacing w:before="0"/>
              <w:rPr>
                <w:sz w:val="20"/>
                <w:lang w:val="es-ES"/>
              </w:rPr>
            </w:pPr>
            <w:r w:rsidRPr="00885171">
              <w:rPr>
                <w:sz w:val="20"/>
                <w:lang w:val="es-ES"/>
              </w:rPr>
              <w:t>T8 – Publicaciones del UIT-T y publicaciones de bases de datos</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1C5D9D70" w14:textId="77777777" w:rsidR="001D4257" w:rsidRPr="00885171" w:rsidRDefault="001D4257" w:rsidP="00B03B3E">
            <w:pPr>
              <w:spacing w:before="0"/>
              <w:jc w:val="right"/>
              <w:rPr>
                <w:sz w:val="20"/>
                <w:lang w:val="es-ES"/>
              </w:rPr>
            </w:pPr>
            <w:r w:rsidRPr="00885171">
              <w:rPr>
                <w:sz w:val="20"/>
                <w:lang w:val="es-ES"/>
              </w:rPr>
              <w:t>3 156</w:t>
            </w:r>
          </w:p>
        </w:tc>
      </w:tr>
      <w:tr w:rsidR="001D4257" w:rsidRPr="00885171" w14:paraId="14028B8B" w14:textId="77777777" w:rsidTr="00B03B3E">
        <w:trPr>
          <w:trHeight w:hRule="exact" w:val="264"/>
          <w:jc w:val="center"/>
        </w:trPr>
        <w:tc>
          <w:tcPr>
            <w:tcW w:w="6091" w:type="dxa"/>
            <w:tcBorders>
              <w:top w:val="dotted" w:sz="4" w:space="0" w:color="auto"/>
              <w:left w:val="single" w:sz="4" w:space="0" w:color="auto"/>
              <w:bottom w:val="dotted" w:sz="4" w:space="0" w:color="auto"/>
              <w:right w:val="single" w:sz="4" w:space="0" w:color="auto"/>
            </w:tcBorders>
            <w:shd w:val="clear" w:color="auto" w:fill="DAF2D0"/>
          </w:tcPr>
          <w:p w14:paraId="5CB6D59D" w14:textId="77777777" w:rsidR="001D4257" w:rsidRPr="00885171" w:rsidRDefault="001D4257" w:rsidP="00B03B3E">
            <w:pPr>
              <w:spacing w:before="0"/>
              <w:rPr>
                <w:sz w:val="20"/>
                <w:lang w:val="es-ES"/>
              </w:rPr>
            </w:pPr>
            <w:r w:rsidRPr="00885171">
              <w:rPr>
                <w:sz w:val="20"/>
                <w:lang w:val="es-ES"/>
              </w:rPr>
              <w:t>T9 – Atribución y gestión de los recursos de numeración internacionales</w:t>
            </w:r>
          </w:p>
        </w:tc>
        <w:tc>
          <w:tcPr>
            <w:tcW w:w="2176" w:type="dxa"/>
            <w:tcBorders>
              <w:top w:val="dotted" w:sz="4" w:space="0" w:color="auto"/>
              <w:left w:val="single" w:sz="4" w:space="0" w:color="auto"/>
              <w:bottom w:val="dotted" w:sz="4" w:space="0" w:color="auto"/>
              <w:right w:val="single" w:sz="4" w:space="0" w:color="auto"/>
            </w:tcBorders>
            <w:shd w:val="clear" w:color="auto" w:fill="DAF2D0"/>
            <w:vAlign w:val="center"/>
          </w:tcPr>
          <w:p w14:paraId="6D2DE04B" w14:textId="77777777" w:rsidR="001D4257" w:rsidRPr="00885171" w:rsidRDefault="001D4257" w:rsidP="00B03B3E">
            <w:pPr>
              <w:spacing w:before="0"/>
              <w:jc w:val="right"/>
              <w:rPr>
                <w:sz w:val="20"/>
                <w:lang w:val="es-ES"/>
              </w:rPr>
            </w:pPr>
            <w:r w:rsidRPr="00885171">
              <w:rPr>
                <w:sz w:val="20"/>
                <w:lang w:val="es-ES"/>
              </w:rPr>
              <w:t>1 217</w:t>
            </w:r>
          </w:p>
        </w:tc>
      </w:tr>
      <w:tr w:rsidR="001D4257" w:rsidRPr="00885171" w14:paraId="5AC64662"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40B0155C" w14:textId="77777777" w:rsidR="001D4257" w:rsidRPr="00885171" w:rsidRDefault="001D4257" w:rsidP="00B03B3E">
            <w:pPr>
              <w:spacing w:before="0"/>
              <w:rPr>
                <w:sz w:val="20"/>
                <w:lang w:val="es-ES"/>
              </w:rPr>
            </w:pPr>
            <w:r w:rsidRPr="00885171">
              <w:rPr>
                <w:sz w:val="20"/>
                <w:lang w:val="es-ES"/>
              </w:rPr>
              <w:t>D1 – CMDT y Reuniones Preparatorias Regionales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3E30374C" w14:textId="77777777" w:rsidR="001D4257" w:rsidRPr="00885171" w:rsidRDefault="001D4257" w:rsidP="00B03B3E">
            <w:pPr>
              <w:spacing w:before="0"/>
              <w:jc w:val="right"/>
              <w:rPr>
                <w:sz w:val="20"/>
                <w:lang w:val="es-ES"/>
              </w:rPr>
            </w:pPr>
            <w:r w:rsidRPr="00885171">
              <w:rPr>
                <w:sz w:val="20"/>
                <w:lang w:val="es-ES"/>
              </w:rPr>
              <w:t>2 241</w:t>
            </w:r>
          </w:p>
        </w:tc>
      </w:tr>
      <w:tr w:rsidR="001D4257" w:rsidRPr="00885171" w14:paraId="48617390"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03870D66" w14:textId="77777777" w:rsidR="001D4257" w:rsidRPr="00885171" w:rsidRDefault="001D4257" w:rsidP="00B03B3E">
            <w:pPr>
              <w:spacing w:before="0"/>
              <w:rPr>
                <w:sz w:val="20"/>
                <w:lang w:val="es-ES"/>
              </w:rPr>
            </w:pPr>
            <w:r w:rsidRPr="00885171">
              <w:rPr>
                <w:sz w:val="20"/>
                <w:lang w:val="es-ES"/>
              </w:rPr>
              <w:t>D2 – GADT</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6F19B5D4" w14:textId="77777777" w:rsidR="001D4257" w:rsidRPr="00885171" w:rsidRDefault="001D4257" w:rsidP="00B03B3E">
            <w:pPr>
              <w:spacing w:before="0"/>
              <w:jc w:val="right"/>
              <w:rPr>
                <w:sz w:val="20"/>
                <w:lang w:val="es-ES"/>
              </w:rPr>
            </w:pPr>
            <w:r w:rsidRPr="00885171">
              <w:rPr>
                <w:sz w:val="20"/>
                <w:lang w:val="es-ES"/>
              </w:rPr>
              <w:t>2 511</w:t>
            </w:r>
          </w:p>
        </w:tc>
      </w:tr>
      <w:tr w:rsidR="001D4257" w:rsidRPr="00885171" w14:paraId="586B6BFC"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5D9B245E" w14:textId="77777777" w:rsidR="001D4257" w:rsidRPr="00885171" w:rsidRDefault="001D4257" w:rsidP="00B03B3E">
            <w:pPr>
              <w:spacing w:before="0"/>
              <w:rPr>
                <w:sz w:val="20"/>
                <w:lang w:val="es-ES"/>
              </w:rPr>
            </w:pPr>
            <w:r w:rsidRPr="00885171">
              <w:rPr>
                <w:sz w:val="20"/>
                <w:lang w:val="es-ES"/>
              </w:rPr>
              <w:t>D3 – Comisiones de Estudio del UIT-D</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23CF07D0" w14:textId="77777777" w:rsidR="001D4257" w:rsidRPr="00885171" w:rsidRDefault="001D4257" w:rsidP="00B03B3E">
            <w:pPr>
              <w:spacing w:before="0"/>
              <w:jc w:val="right"/>
              <w:rPr>
                <w:sz w:val="20"/>
                <w:lang w:val="es-ES"/>
              </w:rPr>
            </w:pPr>
            <w:r w:rsidRPr="00885171">
              <w:rPr>
                <w:sz w:val="20"/>
                <w:lang w:val="es-ES"/>
              </w:rPr>
              <w:t>4 582</w:t>
            </w:r>
          </w:p>
        </w:tc>
      </w:tr>
      <w:tr w:rsidR="001D4257" w:rsidRPr="00885171" w14:paraId="2F1C4312"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2C1A8FF2" w14:textId="77777777" w:rsidR="001D4257" w:rsidRPr="00885171" w:rsidRDefault="001D4257" w:rsidP="00B03B3E">
            <w:pPr>
              <w:spacing w:before="0"/>
              <w:rPr>
                <w:sz w:val="20"/>
                <w:lang w:val="es-ES"/>
              </w:rPr>
            </w:pPr>
            <w:r w:rsidRPr="00885171">
              <w:rPr>
                <w:sz w:val="20"/>
                <w:lang w:val="es-ES"/>
              </w:rPr>
              <w:t>D4 – Movilización de recursos y asociaciones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1210F1E3" w14:textId="77777777" w:rsidR="001D4257" w:rsidRPr="00885171" w:rsidRDefault="001D4257" w:rsidP="00B03B3E">
            <w:pPr>
              <w:spacing w:before="0"/>
              <w:jc w:val="right"/>
              <w:rPr>
                <w:sz w:val="20"/>
                <w:lang w:val="es-ES"/>
              </w:rPr>
            </w:pPr>
            <w:r w:rsidRPr="00885171">
              <w:rPr>
                <w:sz w:val="20"/>
                <w:lang w:val="es-ES"/>
              </w:rPr>
              <w:t>5 311</w:t>
            </w:r>
          </w:p>
        </w:tc>
      </w:tr>
      <w:tr w:rsidR="001D4257" w:rsidRPr="00885171" w14:paraId="23C6073D"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6A45C674" w14:textId="77777777" w:rsidR="001D4257" w:rsidRPr="00885171" w:rsidRDefault="001D4257" w:rsidP="00B03B3E">
            <w:pPr>
              <w:spacing w:before="0"/>
              <w:rPr>
                <w:sz w:val="20"/>
                <w:lang w:val="es-ES"/>
              </w:rPr>
            </w:pPr>
            <w:r w:rsidRPr="00885171">
              <w:rPr>
                <w:sz w:val="20"/>
                <w:lang w:val="es-ES"/>
              </w:rPr>
              <w:t>D5 – Desarrollo de nuevos productos y servicios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11DB43D5" w14:textId="77777777" w:rsidR="001D4257" w:rsidRPr="00885171" w:rsidRDefault="001D4257" w:rsidP="00B03B3E">
            <w:pPr>
              <w:spacing w:before="0"/>
              <w:jc w:val="right"/>
              <w:rPr>
                <w:sz w:val="20"/>
                <w:lang w:val="es-ES"/>
              </w:rPr>
            </w:pPr>
            <w:r w:rsidRPr="00885171">
              <w:rPr>
                <w:sz w:val="20"/>
                <w:lang w:val="es-ES"/>
              </w:rPr>
              <w:t>5 964</w:t>
            </w:r>
          </w:p>
        </w:tc>
      </w:tr>
      <w:tr w:rsidR="001D4257" w:rsidRPr="00885171" w14:paraId="15C7CFFF"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7F108639" w14:textId="77777777" w:rsidR="001D4257" w:rsidRPr="00885171" w:rsidRDefault="001D4257" w:rsidP="00B03B3E">
            <w:pPr>
              <w:spacing w:before="0"/>
              <w:rPr>
                <w:sz w:val="20"/>
                <w:lang w:val="es-ES"/>
              </w:rPr>
            </w:pPr>
            <w:r w:rsidRPr="00885171">
              <w:rPr>
                <w:sz w:val="20"/>
                <w:lang w:val="es-ES"/>
              </w:rPr>
              <w:t>D6 – Comunicaciones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37FA3B75" w14:textId="77777777" w:rsidR="001D4257" w:rsidRPr="00885171" w:rsidRDefault="001D4257" w:rsidP="00B03B3E">
            <w:pPr>
              <w:spacing w:before="0"/>
              <w:jc w:val="right"/>
              <w:rPr>
                <w:sz w:val="20"/>
                <w:lang w:val="es-ES"/>
              </w:rPr>
            </w:pPr>
            <w:r w:rsidRPr="00885171">
              <w:rPr>
                <w:sz w:val="20"/>
                <w:lang w:val="es-ES"/>
              </w:rPr>
              <w:t>3 097</w:t>
            </w:r>
          </w:p>
        </w:tc>
      </w:tr>
      <w:tr w:rsidR="001D4257" w:rsidRPr="00885171" w14:paraId="4ECB6EAB"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2D8330F8" w14:textId="77777777" w:rsidR="001D4257" w:rsidRPr="00885171" w:rsidRDefault="001D4257" w:rsidP="00B03B3E">
            <w:pPr>
              <w:spacing w:before="0"/>
              <w:rPr>
                <w:sz w:val="20"/>
                <w:lang w:val="es-ES"/>
              </w:rPr>
            </w:pPr>
            <w:r w:rsidRPr="00885171">
              <w:rPr>
                <w:sz w:val="20"/>
                <w:lang w:val="es-ES"/>
              </w:rPr>
              <w:t>D7 – Desarrollo de la capacidad</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1CFA70F0" w14:textId="77777777" w:rsidR="001D4257" w:rsidRPr="00885171" w:rsidRDefault="001D4257" w:rsidP="00B03B3E">
            <w:pPr>
              <w:spacing w:before="0"/>
              <w:jc w:val="right"/>
              <w:rPr>
                <w:sz w:val="20"/>
                <w:lang w:val="es-ES"/>
              </w:rPr>
            </w:pPr>
            <w:r w:rsidRPr="00885171">
              <w:rPr>
                <w:sz w:val="20"/>
                <w:lang w:val="es-ES"/>
              </w:rPr>
              <w:t>3 783</w:t>
            </w:r>
          </w:p>
        </w:tc>
      </w:tr>
      <w:tr w:rsidR="001D4257" w:rsidRPr="00885171" w14:paraId="61B0770F"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6D617AE6" w14:textId="77777777" w:rsidR="001D4257" w:rsidRPr="00885171" w:rsidRDefault="001D4257" w:rsidP="00B03B3E">
            <w:pPr>
              <w:spacing w:before="0"/>
              <w:rPr>
                <w:sz w:val="20"/>
                <w:lang w:val="es-ES"/>
              </w:rPr>
            </w:pPr>
            <w:r w:rsidRPr="00885171">
              <w:rPr>
                <w:sz w:val="20"/>
                <w:lang w:val="es-ES"/>
              </w:rPr>
              <w:t>D8 – Entrega de productos y servicios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4FB4AF28" w14:textId="77777777" w:rsidR="001D4257" w:rsidRPr="00885171" w:rsidRDefault="001D4257" w:rsidP="00B03B3E">
            <w:pPr>
              <w:spacing w:before="0"/>
              <w:jc w:val="right"/>
              <w:rPr>
                <w:sz w:val="20"/>
                <w:lang w:val="es-ES"/>
              </w:rPr>
            </w:pPr>
            <w:r w:rsidRPr="00885171">
              <w:rPr>
                <w:sz w:val="20"/>
                <w:lang w:val="es-ES"/>
              </w:rPr>
              <w:t>2 499</w:t>
            </w:r>
          </w:p>
        </w:tc>
      </w:tr>
      <w:tr w:rsidR="001D4257" w:rsidRPr="00885171" w14:paraId="084F6C17"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49D45902" w14:textId="77777777" w:rsidR="001D4257" w:rsidRPr="00885171" w:rsidRDefault="001D4257" w:rsidP="00B03B3E">
            <w:pPr>
              <w:spacing w:before="0"/>
              <w:rPr>
                <w:sz w:val="20"/>
                <w:lang w:val="es-ES"/>
              </w:rPr>
            </w:pPr>
            <w:r w:rsidRPr="00885171">
              <w:rPr>
                <w:sz w:val="20"/>
                <w:lang w:val="es-ES"/>
              </w:rPr>
              <w:t>D9 – Estadística</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72678468" w14:textId="77777777" w:rsidR="001D4257" w:rsidRPr="00885171" w:rsidRDefault="001D4257" w:rsidP="00B03B3E">
            <w:pPr>
              <w:spacing w:before="0"/>
              <w:jc w:val="right"/>
              <w:rPr>
                <w:sz w:val="20"/>
                <w:lang w:val="es-ES"/>
              </w:rPr>
            </w:pPr>
            <w:r w:rsidRPr="00885171">
              <w:rPr>
                <w:sz w:val="20"/>
                <w:lang w:val="es-ES"/>
              </w:rPr>
              <w:t>1 707</w:t>
            </w:r>
          </w:p>
        </w:tc>
      </w:tr>
      <w:tr w:rsidR="001D4257" w:rsidRPr="00885171" w14:paraId="0A4ACC9F"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69F26DD1" w14:textId="77777777" w:rsidR="001D4257" w:rsidRPr="00885171" w:rsidRDefault="001D4257" w:rsidP="00B03B3E">
            <w:pPr>
              <w:spacing w:before="0"/>
              <w:rPr>
                <w:sz w:val="20"/>
                <w:lang w:val="es-ES"/>
              </w:rPr>
            </w:pPr>
            <w:r w:rsidRPr="00885171">
              <w:rPr>
                <w:sz w:val="20"/>
                <w:lang w:val="es-ES"/>
              </w:rPr>
              <w:t>D10 – Publicaciones (emblemáticas)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146BE55D" w14:textId="77777777" w:rsidR="001D4257" w:rsidRPr="00885171" w:rsidRDefault="001D4257" w:rsidP="00B03B3E">
            <w:pPr>
              <w:spacing w:before="0"/>
              <w:jc w:val="right"/>
              <w:rPr>
                <w:sz w:val="20"/>
                <w:lang w:val="es-ES"/>
              </w:rPr>
            </w:pPr>
            <w:r w:rsidRPr="00885171">
              <w:rPr>
                <w:sz w:val="20"/>
                <w:lang w:val="es-ES"/>
              </w:rPr>
              <w:t>3 003</w:t>
            </w:r>
          </w:p>
        </w:tc>
      </w:tr>
      <w:tr w:rsidR="001D4257" w:rsidRPr="00885171" w14:paraId="4648C44D"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7298AD33" w14:textId="77777777" w:rsidR="001D4257" w:rsidRPr="00885171" w:rsidRDefault="001D4257" w:rsidP="00B03B3E">
            <w:pPr>
              <w:spacing w:before="0"/>
              <w:rPr>
                <w:sz w:val="20"/>
                <w:lang w:val="es-ES"/>
              </w:rPr>
            </w:pPr>
            <w:r w:rsidRPr="00885171">
              <w:rPr>
                <w:sz w:val="20"/>
                <w:lang w:val="es-ES"/>
              </w:rPr>
              <w:t xml:space="preserve">D11 – Divulgación y representación </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66397BA1" w14:textId="77777777" w:rsidR="001D4257" w:rsidRPr="00885171" w:rsidRDefault="001D4257" w:rsidP="00B03B3E">
            <w:pPr>
              <w:spacing w:before="0"/>
              <w:jc w:val="right"/>
              <w:rPr>
                <w:sz w:val="20"/>
                <w:lang w:val="es-ES"/>
              </w:rPr>
            </w:pPr>
            <w:r w:rsidRPr="00885171">
              <w:rPr>
                <w:sz w:val="20"/>
                <w:lang w:val="es-ES"/>
              </w:rPr>
              <w:t>3 129</w:t>
            </w:r>
          </w:p>
        </w:tc>
      </w:tr>
      <w:tr w:rsidR="001D4257" w:rsidRPr="00885171" w14:paraId="1D6EF350" w14:textId="77777777" w:rsidTr="00B03B3E">
        <w:trPr>
          <w:trHeight w:hRule="exact" w:val="258"/>
          <w:jc w:val="center"/>
        </w:trPr>
        <w:tc>
          <w:tcPr>
            <w:tcW w:w="6091" w:type="dxa"/>
            <w:tcBorders>
              <w:top w:val="dotted" w:sz="4" w:space="0" w:color="auto"/>
              <w:left w:val="single" w:sz="4" w:space="0" w:color="auto"/>
              <w:bottom w:val="dotted" w:sz="4" w:space="0" w:color="auto"/>
              <w:right w:val="single" w:sz="4" w:space="0" w:color="auto"/>
            </w:tcBorders>
            <w:shd w:val="clear" w:color="auto" w:fill="CAEDFB"/>
            <w:vAlign w:val="center"/>
          </w:tcPr>
          <w:p w14:paraId="709F9EA1" w14:textId="77777777" w:rsidR="001D4257" w:rsidRPr="00885171" w:rsidRDefault="001D4257" w:rsidP="00B03B3E">
            <w:pPr>
              <w:spacing w:before="0"/>
              <w:rPr>
                <w:sz w:val="20"/>
                <w:lang w:val="es-ES"/>
              </w:rPr>
            </w:pPr>
            <w:r w:rsidRPr="00885171">
              <w:rPr>
                <w:sz w:val="20"/>
                <w:lang w:val="es-ES"/>
              </w:rPr>
              <w:t>D12 – Participación de las Naciones Unidas</w:t>
            </w:r>
          </w:p>
        </w:tc>
        <w:tc>
          <w:tcPr>
            <w:tcW w:w="2176" w:type="dxa"/>
            <w:tcBorders>
              <w:top w:val="dotted" w:sz="4" w:space="0" w:color="auto"/>
              <w:left w:val="single" w:sz="4" w:space="0" w:color="auto"/>
              <w:bottom w:val="dotted" w:sz="4" w:space="0" w:color="auto"/>
              <w:right w:val="single" w:sz="4" w:space="0" w:color="auto"/>
            </w:tcBorders>
            <w:shd w:val="clear" w:color="auto" w:fill="CAEDFB"/>
            <w:vAlign w:val="center"/>
          </w:tcPr>
          <w:p w14:paraId="36956C77" w14:textId="77777777" w:rsidR="001D4257" w:rsidRPr="00885171" w:rsidRDefault="001D4257" w:rsidP="00B03B3E">
            <w:pPr>
              <w:spacing w:before="0"/>
              <w:jc w:val="right"/>
              <w:rPr>
                <w:sz w:val="20"/>
                <w:lang w:val="es-ES"/>
              </w:rPr>
            </w:pPr>
            <w:r w:rsidRPr="00885171">
              <w:rPr>
                <w:sz w:val="20"/>
                <w:lang w:val="es-ES"/>
              </w:rPr>
              <w:t>3 710</w:t>
            </w:r>
          </w:p>
        </w:tc>
      </w:tr>
      <w:tr w:rsidR="001D4257" w:rsidRPr="00885171" w14:paraId="139E5942" w14:textId="77777777" w:rsidTr="00B03B3E">
        <w:trPr>
          <w:trHeight w:hRule="exact" w:val="258"/>
          <w:jc w:val="center"/>
        </w:trPr>
        <w:tc>
          <w:tcPr>
            <w:tcW w:w="6091" w:type="dxa"/>
            <w:tcBorders>
              <w:top w:val="dotted" w:sz="4" w:space="0" w:color="auto"/>
              <w:left w:val="single" w:sz="4" w:space="0" w:color="auto"/>
              <w:right w:val="single" w:sz="4" w:space="0" w:color="auto"/>
            </w:tcBorders>
            <w:shd w:val="clear" w:color="auto" w:fill="CAEDFB"/>
            <w:vAlign w:val="center"/>
          </w:tcPr>
          <w:p w14:paraId="447914FC" w14:textId="77777777" w:rsidR="001D4257" w:rsidRPr="00885171" w:rsidRDefault="001D4257" w:rsidP="00B03B3E">
            <w:pPr>
              <w:spacing w:before="0"/>
              <w:rPr>
                <w:sz w:val="20"/>
                <w:lang w:val="es-ES"/>
              </w:rPr>
            </w:pPr>
            <w:r w:rsidRPr="00885171">
              <w:rPr>
                <w:sz w:val="20"/>
                <w:lang w:val="es-ES"/>
              </w:rPr>
              <w:t>D13 – Plataformas (GSR, SMTI, FRD, etc.)</w:t>
            </w:r>
          </w:p>
        </w:tc>
        <w:tc>
          <w:tcPr>
            <w:tcW w:w="2176" w:type="dxa"/>
            <w:tcBorders>
              <w:top w:val="dotted" w:sz="4" w:space="0" w:color="auto"/>
              <w:left w:val="single" w:sz="4" w:space="0" w:color="auto"/>
              <w:right w:val="single" w:sz="4" w:space="0" w:color="auto"/>
            </w:tcBorders>
            <w:shd w:val="clear" w:color="auto" w:fill="CAEDFB"/>
            <w:vAlign w:val="center"/>
          </w:tcPr>
          <w:p w14:paraId="7426E7FA" w14:textId="77777777" w:rsidR="001D4257" w:rsidRPr="00885171" w:rsidRDefault="001D4257" w:rsidP="00B03B3E">
            <w:pPr>
              <w:spacing w:before="0"/>
              <w:jc w:val="right"/>
              <w:rPr>
                <w:sz w:val="20"/>
                <w:lang w:val="es-ES"/>
              </w:rPr>
            </w:pPr>
            <w:r w:rsidRPr="00885171">
              <w:rPr>
                <w:sz w:val="20"/>
                <w:lang w:val="es-ES"/>
              </w:rPr>
              <w:t>2 970</w:t>
            </w:r>
          </w:p>
        </w:tc>
      </w:tr>
      <w:tr w:rsidR="001D4257" w:rsidRPr="00885171" w14:paraId="627801C6" w14:textId="77777777" w:rsidTr="00B03B3E">
        <w:trPr>
          <w:trHeight w:hRule="exact" w:val="258"/>
          <w:jc w:val="center"/>
        </w:trPr>
        <w:tc>
          <w:tcPr>
            <w:tcW w:w="6091" w:type="dxa"/>
            <w:tcBorders>
              <w:left w:val="single" w:sz="4" w:space="0" w:color="auto"/>
              <w:bottom w:val="single" w:sz="4" w:space="0" w:color="auto"/>
              <w:right w:val="single" w:sz="4" w:space="0" w:color="auto"/>
            </w:tcBorders>
            <w:shd w:val="clear" w:color="auto" w:fill="FBE2D5"/>
            <w:vAlign w:val="center"/>
          </w:tcPr>
          <w:p w14:paraId="3CD30122" w14:textId="77777777" w:rsidR="001D4257" w:rsidRPr="00885171" w:rsidRDefault="001D4257" w:rsidP="00B03B3E">
            <w:pPr>
              <w:spacing w:before="0"/>
              <w:rPr>
                <w:sz w:val="20"/>
                <w:lang w:val="es-ES"/>
              </w:rPr>
            </w:pPr>
            <w:r w:rsidRPr="00885171">
              <w:rPr>
                <w:b/>
                <w:bCs/>
                <w:color w:val="000000"/>
                <w:sz w:val="20"/>
                <w:lang w:val="es-ES"/>
              </w:rPr>
              <w:t>TOTAL</w:t>
            </w:r>
          </w:p>
        </w:tc>
        <w:tc>
          <w:tcPr>
            <w:tcW w:w="2176" w:type="dxa"/>
            <w:tcBorders>
              <w:left w:val="single" w:sz="4" w:space="0" w:color="auto"/>
              <w:bottom w:val="single" w:sz="4" w:space="0" w:color="auto"/>
              <w:right w:val="single" w:sz="4" w:space="0" w:color="auto"/>
            </w:tcBorders>
            <w:shd w:val="clear" w:color="auto" w:fill="FBE2D5"/>
            <w:vAlign w:val="center"/>
          </w:tcPr>
          <w:p w14:paraId="05DF4C1F" w14:textId="77777777" w:rsidR="001D4257" w:rsidRPr="00885171" w:rsidRDefault="001D4257" w:rsidP="00B03B3E">
            <w:pPr>
              <w:spacing w:before="0"/>
              <w:jc w:val="right"/>
              <w:rPr>
                <w:sz w:val="20"/>
                <w:lang w:val="es-ES"/>
              </w:rPr>
            </w:pPr>
            <w:r w:rsidRPr="00885171">
              <w:rPr>
                <w:b/>
                <w:bCs/>
                <w:color w:val="000000"/>
                <w:sz w:val="20"/>
                <w:lang w:val="es-ES"/>
              </w:rPr>
              <w:t>170 112</w:t>
            </w:r>
          </w:p>
        </w:tc>
      </w:tr>
    </w:tbl>
    <w:p w14:paraId="30E8F1D5" w14:textId="77777777" w:rsidR="001D4257" w:rsidRPr="00885171" w:rsidRDefault="001D4257" w:rsidP="001D4257">
      <w:pPr>
        <w:pStyle w:val="Heading1"/>
        <w:rPr>
          <w:rFonts w:asciiTheme="minorHAnsi" w:hAnsiTheme="minorHAnsi" w:cstheme="minorHAnsi"/>
          <w:b w:val="0"/>
          <w:bCs/>
          <w:lang w:val="es-ES"/>
        </w:rPr>
      </w:pPr>
      <w:r w:rsidRPr="00885171">
        <w:rPr>
          <w:lang w:val="es-ES"/>
        </w:rPr>
        <w:lastRenderedPageBreak/>
        <w:t>3</w:t>
      </w:r>
      <w:r w:rsidRPr="00885171">
        <w:rPr>
          <w:lang w:val="es-ES"/>
        </w:rPr>
        <w:tab/>
        <w:t>Estructura de costos y metodología de atribución de costos</w:t>
      </w:r>
    </w:p>
    <w:p w14:paraId="7392373E" w14:textId="77777777" w:rsidR="001D4257" w:rsidRPr="00885171" w:rsidRDefault="001D4257" w:rsidP="001D4257">
      <w:pPr>
        <w:rPr>
          <w:lang w:val="es-ES"/>
        </w:rPr>
      </w:pPr>
      <w:r w:rsidRPr="00885171">
        <w:rPr>
          <w:lang w:val="es-ES"/>
        </w:rPr>
        <w:t>3.1</w:t>
      </w:r>
      <w:r w:rsidRPr="00885171">
        <w:rPr>
          <w:lang w:val="es-ES"/>
        </w:rPr>
        <w:tab/>
        <w:t xml:space="preserve">La atribución íntegra de costos a cada componente del presupuesto basado en resultados, es decir, a las prioridades temáticas y los productos, se basa en la metodología de atribución de costos descrita en el </w:t>
      </w:r>
      <w:r w:rsidRPr="00885171">
        <w:rPr>
          <w:rFonts w:eastAsiaTheme="minorHAnsi" w:cstheme="minorBidi"/>
          <w:szCs w:val="22"/>
          <w:lang w:val="es-ES"/>
        </w:rPr>
        <w:t xml:space="preserve">Acuerdo </w:t>
      </w:r>
      <w:hyperlink r:id="rId13" w:history="1">
        <w:r w:rsidRPr="00885171">
          <w:rPr>
            <w:rStyle w:val="Hyperlink"/>
            <w:lang w:val="es-ES"/>
          </w:rPr>
          <w:t>535</w:t>
        </w:r>
      </w:hyperlink>
      <w:r w:rsidRPr="00885171">
        <w:rPr>
          <w:lang w:val="es-ES"/>
        </w:rPr>
        <w:t xml:space="preserve"> del Consejo.</w:t>
      </w:r>
      <w:hyperlink r:id="rId14" w:history="1"/>
    </w:p>
    <w:p w14:paraId="4B5E2E93" w14:textId="77777777" w:rsidR="001D4257" w:rsidRPr="00885171" w:rsidRDefault="001D4257" w:rsidP="001D4257">
      <w:pPr>
        <w:rPr>
          <w:lang w:val="es-ES"/>
        </w:rPr>
      </w:pPr>
      <w:r w:rsidRPr="00885171">
        <w:rPr>
          <w:lang w:val="es-ES"/>
        </w:rPr>
        <w:t>3.2</w:t>
      </w:r>
      <w:r w:rsidRPr="00885171">
        <w:rPr>
          <w:lang w:val="es-ES"/>
        </w:rPr>
        <w:tab/>
        <w:t>La estructura de costos completa es la siguiente:</w:t>
      </w:r>
    </w:p>
    <w:p w14:paraId="772D8A5A" w14:textId="77777777" w:rsidR="001D4257" w:rsidRPr="00885171" w:rsidRDefault="001D4257" w:rsidP="001D4257">
      <w:pPr>
        <w:pStyle w:val="FigureNo"/>
        <w:rPr>
          <w:lang w:val="es-ES"/>
        </w:rPr>
      </w:pPr>
      <w:r w:rsidRPr="00885171">
        <w:rPr>
          <w:lang w:val="es-ES"/>
        </w:rPr>
        <w:t>FIGURA 2</w:t>
      </w:r>
    </w:p>
    <w:p w14:paraId="29218D71" w14:textId="77777777" w:rsidR="001D4257" w:rsidRPr="00885171" w:rsidRDefault="001D4257" w:rsidP="001D4257">
      <w:pPr>
        <w:pStyle w:val="Figuretitle"/>
        <w:rPr>
          <w:lang w:val="es-ES"/>
        </w:rPr>
      </w:pPr>
      <w:r w:rsidRPr="00885171">
        <w:rPr>
          <w:lang w:val="es-ES"/>
        </w:rPr>
        <w:t>Estructura total de costos</w:t>
      </w:r>
    </w:p>
    <w:p w14:paraId="073BED83" w14:textId="77777777" w:rsidR="001D4257" w:rsidRPr="00885171" w:rsidRDefault="001D4257" w:rsidP="001D4257">
      <w:pPr>
        <w:pStyle w:val="Figure"/>
        <w:rPr>
          <w:lang w:val="es-ES"/>
        </w:rPr>
      </w:pPr>
      <w:r w:rsidRPr="00885171">
        <w:rPr>
          <w:noProof/>
          <w:lang w:val="en-US"/>
        </w:rPr>
        <w:drawing>
          <wp:inline distT="0" distB="0" distL="0" distR="0" wp14:anchorId="6029FE56" wp14:editId="460F1FEE">
            <wp:extent cx="3572510" cy="2743200"/>
            <wp:effectExtent l="0" t="0" r="8890" b="0"/>
            <wp:docPr id="12146801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2510" cy="2743200"/>
                    </a:xfrm>
                    <a:prstGeom prst="rect">
                      <a:avLst/>
                    </a:prstGeom>
                    <a:noFill/>
                  </pic:spPr>
                </pic:pic>
              </a:graphicData>
            </a:graphic>
          </wp:inline>
        </w:drawing>
      </w:r>
    </w:p>
    <w:p w14:paraId="21137CAE" w14:textId="77777777" w:rsidR="001D4257" w:rsidRPr="00885171" w:rsidRDefault="001D4257" w:rsidP="001D4257">
      <w:pPr>
        <w:rPr>
          <w:lang w:val="es-ES"/>
        </w:rPr>
      </w:pPr>
      <w:r w:rsidRPr="00885171">
        <w:rPr>
          <w:lang w:val="es-ES"/>
        </w:rPr>
        <w:t>3.3</w:t>
      </w:r>
      <w:r w:rsidRPr="00885171">
        <w:rPr>
          <w:lang w:val="es-ES"/>
        </w:rPr>
        <w:tab/>
        <w:t>Los gastos previstos (presupuesto financiero) se representan según las siguientes categorías de gastos:</w:t>
      </w:r>
    </w:p>
    <w:p w14:paraId="03A2DAA2" w14:textId="77777777" w:rsidR="001D4257" w:rsidRPr="00885171" w:rsidRDefault="001D4257" w:rsidP="001D4257">
      <w:pPr>
        <w:pStyle w:val="Headingb"/>
        <w:rPr>
          <w:lang w:val="es-ES"/>
        </w:rPr>
      </w:pPr>
      <w:r w:rsidRPr="00885171">
        <w:rPr>
          <w:lang w:val="es-ES"/>
        </w:rPr>
        <w:t>Gastos de personal</w:t>
      </w:r>
    </w:p>
    <w:p w14:paraId="19AA2DE7" w14:textId="77777777" w:rsidR="001D4257" w:rsidRPr="00885171" w:rsidRDefault="001D4257" w:rsidP="001D4257">
      <w:pPr>
        <w:pStyle w:val="enumlev1"/>
        <w:rPr>
          <w:lang w:val="es-ES"/>
        </w:rPr>
      </w:pPr>
      <w:r w:rsidRPr="00885171">
        <w:rPr>
          <w:lang w:val="es-ES"/>
        </w:rPr>
        <w:t>–</w:t>
      </w:r>
      <w:r w:rsidRPr="00885171">
        <w:rPr>
          <w:lang w:val="es-ES"/>
        </w:rPr>
        <w:tab/>
        <w:t>Categoría 1 – Gastos de personal (salarios y dietas, etc.)</w:t>
      </w:r>
    </w:p>
    <w:p w14:paraId="30AFC179" w14:textId="77777777" w:rsidR="001D4257" w:rsidRPr="00885171" w:rsidRDefault="001D4257" w:rsidP="001D4257">
      <w:pPr>
        <w:pStyle w:val="enumlev1"/>
        <w:rPr>
          <w:lang w:val="es-ES"/>
        </w:rPr>
      </w:pPr>
      <w:r w:rsidRPr="00885171">
        <w:rPr>
          <w:lang w:val="es-ES"/>
        </w:rPr>
        <w:t>–</w:t>
      </w:r>
      <w:r w:rsidRPr="00885171">
        <w:rPr>
          <w:lang w:val="es-ES"/>
        </w:rPr>
        <w:tab/>
        <w:t>Categoría 2 – Otros gastos de personal (pensiones, seguro de enfermedad, desarrollo de recursos humanos, etc.)</w:t>
      </w:r>
    </w:p>
    <w:p w14:paraId="619E0E87" w14:textId="77777777" w:rsidR="001D4257" w:rsidRPr="00885171" w:rsidRDefault="001D4257" w:rsidP="001D4257">
      <w:pPr>
        <w:pStyle w:val="Headingb"/>
        <w:rPr>
          <w:lang w:val="es-ES"/>
        </w:rPr>
      </w:pPr>
      <w:r w:rsidRPr="00885171">
        <w:rPr>
          <w:lang w:val="es-ES"/>
        </w:rPr>
        <w:t>Gastos no atribuibles al personal</w:t>
      </w:r>
    </w:p>
    <w:p w14:paraId="07A04D81" w14:textId="77777777" w:rsidR="001D4257" w:rsidRPr="00885171" w:rsidRDefault="001D4257" w:rsidP="001D4257">
      <w:pPr>
        <w:pStyle w:val="enumlev1"/>
        <w:rPr>
          <w:lang w:val="es-ES"/>
        </w:rPr>
      </w:pPr>
      <w:r w:rsidRPr="00885171">
        <w:rPr>
          <w:lang w:val="es-ES"/>
        </w:rPr>
        <w:t>–</w:t>
      </w:r>
      <w:r w:rsidRPr="00885171">
        <w:rPr>
          <w:lang w:val="es-ES"/>
        </w:rPr>
        <w:tab/>
        <w:t>Categoría 3 – Viajes de servicio</w:t>
      </w:r>
    </w:p>
    <w:p w14:paraId="2BC9F607" w14:textId="77777777" w:rsidR="001D4257" w:rsidRPr="00885171" w:rsidRDefault="001D4257" w:rsidP="001D4257">
      <w:pPr>
        <w:pStyle w:val="enumlev1"/>
        <w:rPr>
          <w:lang w:val="es-ES"/>
        </w:rPr>
      </w:pPr>
      <w:r w:rsidRPr="00885171">
        <w:rPr>
          <w:lang w:val="es-ES"/>
        </w:rPr>
        <w:t>–</w:t>
      </w:r>
      <w:r w:rsidRPr="00885171">
        <w:rPr>
          <w:lang w:val="es-ES"/>
        </w:rPr>
        <w:tab/>
        <w:t>Categoría 4 – Servicios por contrata</w:t>
      </w:r>
    </w:p>
    <w:p w14:paraId="7DF02BCD" w14:textId="77777777" w:rsidR="001D4257" w:rsidRPr="00885171" w:rsidRDefault="001D4257" w:rsidP="001D4257">
      <w:pPr>
        <w:pStyle w:val="enumlev1"/>
        <w:rPr>
          <w:lang w:val="es-ES"/>
        </w:rPr>
      </w:pPr>
      <w:r w:rsidRPr="00885171">
        <w:rPr>
          <w:lang w:val="es-ES"/>
        </w:rPr>
        <w:t>–</w:t>
      </w:r>
      <w:r w:rsidRPr="00885171">
        <w:rPr>
          <w:lang w:val="es-ES"/>
        </w:rPr>
        <w:tab/>
        <w:t>Categoría 5 – Alquiler y conservación de edificios y equipos</w:t>
      </w:r>
    </w:p>
    <w:p w14:paraId="01CD5FB2" w14:textId="77777777" w:rsidR="001D4257" w:rsidRPr="00885171" w:rsidRDefault="001D4257" w:rsidP="001D4257">
      <w:pPr>
        <w:pStyle w:val="enumlev1"/>
        <w:rPr>
          <w:lang w:val="es-ES"/>
        </w:rPr>
      </w:pPr>
      <w:r w:rsidRPr="00885171">
        <w:rPr>
          <w:lang w:val="es-ES"/>
        </w:rPr>
        <w:t>–</w:t>
      </w:r>
      <w:r w:rsidRPr="00885171">
        <w:rPr>
          <w:lang w:val="es-ES"/>
        </w:rPr>
        <w:tab/>
        <w:t>Categoría 6 – Materiales y suministros</w:t>
      </w:r>
    </w:p>
    <w:p w14:paraId="3EDCEBD5" w14:textId="77777777" w:rsidR="001D4257" w:rsidRPr="00885171" w:rsidRDefault="001D4257" w:rsidP="001D4257">
      <w:pPr>
        <w:pStyle w:val="enumlev1"/>
        <w:rPr>
          <w:lang w:val="es-ES"/>
        </w:rPr>
      </w:pPr>
      <w:r w:rsidRPr="00885171">
        <w:rPr>
          <w:lang w:val="es-ES"/>
        </w:rPr>
        <w:t>–</w:t>
      </w:r>
      <w:r w:rsidRPr="00885171">
        <w:rPr>
          <w:lang w:val="es-ES"/>
        </w:rPr>
        <w:tab/>
        <w:t>Categoría 7 – Adquisición de locales, mobiliario y equipos</w:t>
      </w:r>
    </w:p>
    <w:p w14:paraId="3C501EC0" w14:textId="77777777" w:rsidR="001D4257" w:rsidRPr="00885171" w:rsidRDefault="001D4257" w:rsidP="001D4257">
      <w:pPr>
        <w:pStyle w:val="enumlev1"/>
        <w:rPr>
          <w:lang w:val="es-ES"/>
        </w:rPr>
      </w:pPr>
      <w:r w:rsidRPr="00885171">
        <w:rPr>
          <w:lang w:val="es-ES"/>
        </w:rPr>
        <w:t>–</w:t>
      </w:r>
      <w:r w:rsidRPr="00885171">
        <w:rPr>
          <w:lang w:val="es-ES"/>
        </w:rPr>
        <w:tab/>
        <w:t>Categoría 8 – Servicios públicos e instalaciones internas</w:t>
      </w:r>
    </w:p>
    <w:p w14:paraId="68B88A75" w14:textId="77777777" w:rsidR="001D4257" w:rsidRPr="00885171" w:rsidRDefault="001D4257" w:rsidP="001D4257">
      <w:pPr>
        <w:pStyle w:val="enumlev1"/>
        <w:rPr>
          <w:lang w:val="es-ES"/>
        </w:rPr>
      </w:pPr>
      <w:r w:rsidRPr="00885171">
        <w:rPr>
          <w:lang w:val="es-ES"/>
        </w:rPr>
        <w:t>–</w:t>
      </w:r>
      <w:r w:rsidRPr="00885171">
        <w:rPr>
          <w:lang w:val="es-ES"/>
        </w:rPr>
        <w:tab/>
        <w:t>Categoría 9 – Auditoría de cuentas, cotizaciones a otros organismos y varios</w:t>
      </w:r>
    </w:p>
    <w:p w14:paraId="0AA49B20" w14:textId="77777777" w:rsidR="001D4257" w:rsidRPr="00885171" w:rsidRDefault="001D4257" w:rsidP="001D4257">
      <w:pPr>
        <w:rPr>
          <w:lang w:val="es-ES"/>
        </w:rPr>
      </w:pPr>
      <w:r w:rsidRPr="00885171">
        <w:rPr>
          <w:lang w:val="es-ES"/>
        </w:rPr>
        <w:t>3.4</w:t>
      </w:r>
      <w:r w:rsidRPr="00885171">
        <w:rPr>
          <w:lang w:val="es-ES"/>
        </w:rPr>
        <w:tab/>
        <w:t>Los Costos de Documentación representan servicios prestados por el Departamento de Conferencias y Publicaciones, que pueden imputarse directamente a un producto con arreglo al número de páginas. Esos servicios son:</w:t>
      </w:r>
    </w:p>
    <w:p w14:paraId="67DFCE53" w14:textId="77777777" w:rsidR="001D4257" w:rsidRPr="00885171" w:rsidRDefault="001D4257" w:rsidP="001D4257">
      <w:pPr>
        <w:pStyle w:val="enumlev1"/>
        <w:rPr>
          <w:lang w:val="es-ES"/>
        </w:rPr>
      </w:pPr>
      <w:r w:rsidRPr="00885171">
        <w:rPr>
          <w:lang w:val="es-ES"/>
        </w:rPr>
        <w:lastRenderedPageBreak/>
        <w:t>–</w:t>
      </w:r>
      <w:r w:rsidRPr="00885171">
        <w:rPr>
          <w:lang w:val="es-ES"/>
        </w:rPr>
        <w:tab/>
        <w:t>Traducción (en los seis idiomas oficiales de la Unión)</w:t>
      </w:r>
    </w:p>
    <w:p w14:paraId="0FFB2CBC" w14:textId="77777777" w:rsidR="001D4257" w:rsidRPr="00885171" w:rsidRDefault="001D4257" w:rsidP="001D4257">
      <w:pPr>
        <w:pStyle w:val="enumlev1"/>
        <w:rPr>
          <w:lang w:val="es-ES"/>
        </w:rPr>
      </w:pPr>
      <w:r w:rsidRPr="00885171">
        <w:rPr>
          <w:lang w:val="es-ES"/>
        </w:rPr>
        <w:t>–</w:t>
      </w:r>
      <w:r w:rsidRPr="00885171">
        <w:rPr>
          <w:lang w:val="es-ES"/>
        </w:rPr>
        <w:tab/>
        <w:t>Procesamiento de texto (en los seis idiomas oficiales de la Unión)</w:t>
      </w:r>
    </w:p>
    <w:p w14:paraId="31EFCEF6" w14:textId="77777777" w:rsidR="001D4257" w:rsidRPr="00885171" w:rsidRDefault="001D4257" w:rsidP="001D4257">
      <w:pPr>
        <w:rPr>
          <w:lang w:val="es-ES"/>
        </w:rPr>
      </w:pPr>
      <w:r w:rsidRPr="00885171">
        <w:rPr>
          <w:lang w:val="es-ES"/>
        </w:rPr>
        <w:t>3.5</w:t>
      </w:r>
      <w:r w:rsidRPr="00885171">
        <w:rPr>
          <w:lang w:val="es-ES"/>
        </w:rPr>
        <w:tab/>
        <w:t>Los costos de apoyo de Oficinas/la Secretaría General representan los costos de personal y los gastos asociados de las Oficinas (incluida la Oficina del Director) y la Secretaría General (el Departamento de Planificación Estratégica y Relaciones con los Miembros) que se atribuyen a las prioridades temáticas y los productos en base a la medición del esfuerzo realizado (estudio de tiempos).</w:t>
      </w:r>
    </w:p>
    <w:p w14:paraId="57E382B7" w14:textId="77777777" w:rsidR="001D4257" w:rsidRPr="00885171" w:rsidRDefault="001D4257" w:rsidP="001D4257">
      <w:pPr>
        <w:rPr>
          <w:lang w:val="es-ES"/>
        </w:rPr>
      </w:pPr>
      <w:r w:rsidRPr="00885171">
        <w:rPr>
          <w:lang w:val="es-ES"/>
        </w:rPr>
        <w:t>3.6</w:t>
      </w:r>
      <w:r w:rsidRPr="00885171">
        <w:rPr>
          <w:lang w:val="es-ES"/>
        </w:rPr>
        <w:tab/>
        <w:t>Los costos de los servicios administrativos centralizados representan los costos de personal y los gastos conexos de:</w:t>
      </w:r>
    </w:p>
    <w:p w14:paraId="4E1A8E08" w14:textId="77777777" w:rsidR="001D4257" w:rsidRPr="00885171" w:rsidRDefault="001D4257" w:rsidP="001D4257">
      <w:pPr>
        <w:pStyle w:val="enumlev1"/>
        <w:rPr>
          <w:lang w:val="es-ES"/>
        </w:rPr>
      </w:pPr>
      <w:r w:rsidRPr="00885171">
        <w:rPr>
          <w:lang w:val="es-ES"/>
        </w:rPr>
        <w:t>–</w:t>
      </w:r>
      <w:r w:rsidRPr="00885171">
        <w:rPr>
          <w:lang w:val="es-ES"/>
        </w:rPr>
        <w:tab/>
        <w:t>la Oficina de la Secretaria General y Vicesecretario General;</w:t>
      </w:r>
    </w:p>
    <w:p w14:paraId="6BC7A3CB" w14:textId="77777777" w:rsidR="001D4257" w:rsidRPr="00885171" w:rsidRDefault="001D4257" w:rsidP="001D4257">
      <w:pPr>
        <w:pStyle w:val="enumlev1"/>
        <w:rPr>
          <w:lang w:val="es-ES"/>
        </w:rPr>
      </w:pPr>
      <w:r w:rsidRPr="00885171">
        <w:rPr>
          <w:lang w:val="es-ES"/>
        </w:rPr>
        <w:t>–</w:t>
      </w:r>
      <w:r w:rsidRPr="00885171">
        <w:rPr>
          <w:lang w:val="es-ES"/>
        </w:rPr>
        <w:tab/>
        <w:t>el Departamento de Gestión de Recursos Humanos;</w:t>
      </w:r>
    </w:p>
    <w:p w14:paraId="64E3893F" w14:textId="77777777" w:rsidR="001D4257" w:rsidRPr="00885171" w:rsidRDefault="001D4257" w:rsidP="001D4257">
      <w:pPr>
        <w:pStyle w:val="enumlev1"/>
        <w:rPr>
          <w:lang w:val="es-ES"/>
        </w:rPr>
      </w:pPr>
      <w:r w:rsidRPr="00885171">
        <w:rPr>
          <w:lang w:val="es-ES"/>
        </w:rPr>
        <w:t>–</w:t>
      </w:r>
      <w:r w:rsidRPr="00885171">
        <w:rPr>
          <w:lang w:val="es-ES"/>
        </w:rPr>
        <w:tab/>
        <w:t>el Departamento de Gestión de Recursos Financieros;</w:t>
      </w:r>
    </w:p>
    <w:p w14:paraId="08152250" w14:textId="77777777" w:rsidR="001D4257" w:rsidRPr="00885171" w:rsidRDefault="001D4257" w:rsidP="001D4257">
      <w:pPr>
        <w:rPr>
          <w:rFonts w:asciiTheme="minorHAnsi" w:hAnsiTheme="minorHAnsi" w:cstheme="minorHAnsi"/>
          <w:lang w:val="es-ES"/>
        </w:rPr>
      </w:pPr>
      <w:r w:rsidRPr="00885171">
        <w:rPr>
          <w:lang w:val="es-ES"/>
        </w:rPr>
        <w:t>que proporcionan apoyo administrativo general a todas las prioridades temáticas y productos de la Unión. Estos costos se reatribuyen a los productos en función de los factores de reatribución.</w:t>
      </w:r>
    </w:p>
    <w:p w14:paraId="2DD2042C" w14:textId="77777777" w:rsidR="001D4257" w:rsidRPr="00885171" w:rsidRDefault="001D4257" w:rsidP="001D4257">
      <w:pPr>
        <w:rPr>
          <w:lang w:val="es-ES"/>
        </w:rPr>
      </w:pPr>
      <w:r w:rsidRPr="00885171">
        <w:rPr>
          <w:lang w:val="es-ES"/>
        </w:rPr>
        <w:t>3.7</w:t>
      </w:r>
      <w:r w:rsidRPr="00885171">
        <w:rPr>
          <w:lang w:val="es-ES"/>
        </w:rPr>
        <w:tab/>
        <w:t>Los costos de los servicios de apoyo centralizados representan los costos de personal y los gastos conexos de:</w:t>
      </w:r>
    </w:p>
    <w:p w14:paraId="6CF6CCCC" w14:textId="77777777" w:rsidR="001D4257" w:rsidRPr="00885171" w:rsidRDefault="001D4257" w:rsidP="001D4257">
      <w:pPr>
        <w:pStyle w:val="enumlev1"/>
        <w:rPr>
          <w:lang w:val="es-ES"/>
        </w:rPr>
      </w:pPr>
      <w:r w:rsidRPr="00885171">
        <w:rPr>
          <w:lang w:val="es-ES"/>
        </w:rPr>
        <w:t>–</w:t>
      </w:r>
      <w:r w:rsidRPr="00885171">
        <w:rPr>
          <w:lang w:val="es-ES"/>
        </w:rPr>
        <w:tab/>
        <w:t>el Departamento de Conferencias y Publicaciones (excepto los costos de documentación);</w:t>
      </w:r>
    </w:p>
    <w:p w14:paraId="531B8C85" w14:textId="77777777" w:rsidR="001D4257" w:rsidRPr="00885171" w:rsidRDefault="001D4257" w:rsidP="001D4257">
      <w:pPr>
        <w:pStyle w:val="enumlev1"/>
        <w:rPr>
          <w:lang w:val="es-ES"/>
        </w:rPr>
      </w:pPr>
      <w:r w:rsidRPr="00885171">
        <w:rPr>
          <w:lang w:val="es-ES"/>
        </w:rPr>
        <w:t>–</w:t>
      </w:r>
      <w:r w:rsidRPr="00885171">
        <w:rPr>
          <w:lang w:val="es-ES"/>
        </w:rPr>
        <w:tab/>
        <w:t>el Departamento de Servicios Informáticos;</w:t>
      </w:r>
    </w:p>
    <w:p w14:paraId="62EA9F0F" w14:textId="77777777" w:rsidR="001D4257" w:rsidRPr="00885171" w:rsidRDefault="001D4257" w:rsidP="001D4257">
      <w:pPr>
        <w:pStyle w:val="enumlev1"/>
        <w:rPr>
          <w:lang w:val="es-ES"/>
        </w:rPr>
      </w:pPr>
      <w:r w:rsidRPr="00885171">
        <w:rPr>
          <w:lang w:val="es-ES"/>
        </w:rPr>
        <w:t>–</w:t>
      </w:r>
      <w:r w:rsidRPr="00885171">
        <w:rPr>
          <w:lang w:val="es-ES"/>
        </w:rPr>
        <w:tab/>
        <w:t>los gastos comunes de la UIT;</w:t>
      </w:r>
    </w:p>
    <w:p w14:paraId="5DE4ECFF" w14:textId="77777777" w:rsidR="001D4257" w:rsidRPr="00885171" w:rsidRDefault="001D4257" w:rsidP="001D4257">
      <w:pPr>
        <w:rPr>
          <w:lang w:val="es-ES"/>
        </w:rPr>
      </w:pPr>
      <w:r w:rsidRPr="00885171">
        <w:rPr>
          <w:lang w:val="es-ES"/>
        </w:rPr>
        <w:t>que proporcionan apoyo general a las prioridades temáticas y productos de la Unión. Estos costos se reatribuyen a los productos en función de los factores de reatribución.</w:t>
      </w:r>
    </w:p>
    <w:p w14:paraId="3264D7B7" w14:textId="77777777" w:rsidR="001D4257" w:rsidRPr="00885171" w:rsidRDefault="001D4257" w:rsidP="001D4257">
      <w:pPr>
        <w:pStyle w:val="Heading1"/>
        <w:rPr>
          <w:lang w:val="es-ES"/>
        </w:rPr>
      </w:pPr>
      <w:r w:rsidRPr="00885171">
        <w:rPr>
          <w:lang w:val="es-ES"/>
        </w:rPr>
        <w:t>4</w:t>
      </w:r>
      <w:r w:rsidRPr="00885171">
        <w:rPr>
          <w:lang w:val="es-ES"/>
        </w:rPr>
        <w:tab/>
        <w:t>Atribución a prioridades temáticas y productos en 2027</w:t>
      </w:r>
    </w:p>
    <w:p w14:paraId="61B46297" w14:textId="77777777" w:rsidR="001D4257" w:rsidRPr="00885171" w:rsidRDefault="001D4257" w:rsidP="001D4257">
      <w:pPr>
        <w:keepNext/>
        <w:keepLines/>
        <w:rPr>
          <w:rFonts w:asciiTheme="minorHAnsi" w:hAnsiTheme="minorHAnsi"/>
          <w:lang w:val="es-ES"/>
        </w:rPr>
      </w:pPr>
      <w:r w:rsidRPr="00885171">
        <w:rPr>
          <w:lang w:val="es-ES"/>
        </w:rPr>
        <w:t>4.1</w:t>
      </w:r>
      <w:r w:rsidRPr="00885171">
        <w:rPr>
          <w:lang w:val="es-ES"/>
        </w:rPr>
        <w:tab/>
        <w:t>El proyecto de Plan Operacional proporciona información para la aplicación de las cinco prioridades temáticas y 43 productos en aplicación:</w:t>
      </w:r>
    </w:p>
    <w:p w14:paraId="60373643" w14:textId="77777777" w:rsidR="001D4257" w:rsidRPr="00885171" w:rsidRDefault="001D4257" w:rsidP="001D4257">
      <w:pPr>
        <w:pStyle w:val="enumlev1"/>
        <w:keepNext/>
        <w:keepLines/>
        <w:rPr>
          <w:lang w:val="es-ES"/>
        </w:rPr>
      </w:pPr>
      <w:r w:rsidRPr="00885171">
        <w:rPr>
          <w:lang w:val="es-ES"/>
        </w:rPr>
        <w:t>–</w:t>
      </w:r>
      <w:r w:rsidRPr="00885171">
        <w:rPr>
          <w:lang w:val="es-ES"/>
        </w:rPr>
        <w:tab/>
        <w:t>9 productos intersectoriales;</w:t>
      </w:r>
    </w:p>
    <w:p w14:paraId="41298866" w14:textId="77777777" w:rsidR="001D4257" w:rsidRPr="00885171" w:rsidRDefault="001D4257" w:rsidP="001D4257">
      <w:pPr>
        <w:pStyle w:val="enumlev1"/>
        <w:keepNext/>
        <w:keepLines/>
        <w:rPr>
          <w:lang w:val="es-ES"/>
        </w:rPr>
      </w:pPr>
      <w:r w:rsidRPr="00885171">
        <w:rPr>
          <w:lang w:val="es-ES"/>
        </w:rPr>
        <w:t>–</w:t>
      </w:r>
      <w:r w:rsidRPr="00885171">
        <w:rPr>
          <w:lang w:val="es-ES"/>
        </w:rPr>
        <w:tab/>
        <w:t>12 productos del Sector de Radiocomunicaciones;</w:t>
      </w:r>
    </w:p>
    <w:p w14:paraId="716285A5" w14:textId="77777777" w:rsidR="001D4257" w:rsidRPr="00885171" w:rsidRDefault="001D4257" w:rsidP="001D4257">
      <w:pPr>
        <w:pStyle w:val="enumlev1"/>
        <w:keepNext/>
        <w:keepLines/>
        <w:rPr>
          <w:lang w:val="es-ES"/>
        </w:rPr>
      </w:pPr>
      <w:r w:rsidRPr="00885171">
        <w:rPr>
          <w:lang w:val="es-ES"/>
        </w:rPr>
        <w:t>–</w:t>
      </w:r>
      <w:r w:rsidRPr="00885171">
        <w:rPr>
          <w:lang w:val="es-ES"/>
        </w:rPr>
        <w:tab/>
        <w:t>9 productos del Sector de Normalización de las Telecomunicaciones;</w:t>
      </w:r>
    </w:p>
    <w:p w14:paraId="6BAE0DEA" w14:textId="77777777" w:rsidR="001D4257" w:rsidRPr="00885171" w:rsidRDefault="001D4257" w:rsidP="001D4257">
      <w:pPr>
        <w:pStyle w:val="enumlev1"/>
        <w:keepNext/>
        <w:keepLines/>
        <w:rPr>
          <w:lang w:val="es-ES"/>
        </w:rPr>
      </w:pPr>
      <w:r w:rsidRPr="00885171">
        <w:rPr>
          <w:lang w:val="es-ES"/>
        </w:rPr>
        <w:t>–</w:t>
      </w:r>
      <w:r w:rsidRPr="00885171">
        <w:rPr>
          <w:lang w:val="es-ES"/>
        </w:rPr>
        <w:tab/>
        <w:t>13 productos del Sector de Desarrollo de las Telecomunicaciones.</w:t>
      </w:r>
    </w:p>
    <w:p w14:paraId="0F58B755" w14:textId="77777777" w:rsidR="001D4257" w:rsidRPr="00885171" w:rsidRDefault="001D4257" w:rsidP="001D4257">
      <w:pPr>
        <w:keepNext/>
        <w:keepLines/>
        <w:rPr>
          <w:rFonts w:asciiTheme="minorHAnsi" w:hAnsiTheme="minorHAnsi"/>
          <w:lang w:val="es-ES"/>
        </w:rPr>
      </w:pPr>
      <w:r w:rsidRPr="00885171">
        <w:rPr>
          <w:lang w:val="es-ES"/>
        </w:rPr>
        <w:t>4.2</w:t>
      </w:r>
      <w:r w:rsidRPr="00885171">
        <w:rPr>
          <w:lang w:val="es-ES"/>
        </w:rPr>
        <w:tab/>
        <w:t>Para cada prioridad temática, se facilita la siguiente información:</w:t>
      </w:r>
    </w:p>
    <w:p w14:paraId="597DEBF4" w14:textId="77777777" w:rsidR="001D4257" w:rsidRPr="00885171" w:rsidRDefault="001D4257" w:rsidP="001D4257">
      <w:pPr>
        <w:pStyle w:val="enumlev1"/>
        <w:rPr>
          <w:lang w:val="es-ES"/>
        </w:rPr>
      </w:pPr>
      <w:r w:rsidRPr="00885171">
        <w:rPr>
          <w:lang w:val="es-ES"/>
        </w:rPr>
        <w:t>–</w:t>
      </w:r>
      <w:r w:rsidRPr="00885171">
        <w:rPr>
          <w:lang w:val="es-ES"/>
        </w:rPr>
        <w:tab/>
        <w:t>Descripción de la prioridad temática;</w:t>
      </w:r>
    </w:p>
    <w:p w14:paraId="4ED1D2B2" w14:textId="77777777" w:rsidR="001D4257" w:rsidRPr="00885171" w:rsidRDefault="001D4257" w:rsidP="001D4257">
      <w:pPr>
        <w:pStyle w:val="enumlev1"/>
        <w:rPr>
          <w:lang w:val="es-ES"/>
        </w:rPr>
      </w:pPr>
      <w:r w:rsidRPr="00885171">
        <w:rPr>
          <w:lang w:val="es-ES"/>
        </w:rPr>
        <w:t>–</w:t>
      </w:r>
      <w:r w:rsidRPr="00885171">
        <w:rPr>
          <w:lang w:val="es-ES"/>
        </w:rPr>
        <w:tab/>
        <w:t>Resumen de la asignación de costos para 2027;</w:t>
      </w:r>
    </w:p>
    <w:p w14:paraId="628CD572" w14:textId="77777777" w:rsidR="001D4257" w:rsidRPr="00885171" w:rsidRDefault="001D4257" w:rsidP="001D4257">
      <w:pPr>
        <w:pStyle w:val="enumlev1"/>
        <w:rPr>
          <w:lang w:val="es-ES"/>
        </w:rPr>
      </w:pPr>
      <w:r w:rsidRPr="00885171">
        <w:rPr>
          <w:lang w:val="es-ES"/>
        </w:rPr>
        <w:t>–</w:t>
      </w:r>
      <w:r w:rsidRPr="00885171">
        <w:rPr>
          <w:lang w:val="es-ES"/>
        </w:rPr>
        <w:tab/>
        <w:t>Descripción de los principales resultados e indicadores de resultados;</w:t>
      </w:r>
    </w:p>
    <w:p w14:paraId="4FE56E00" w14:textId="77777777" w:rsidR="001D4257" w:rsidRPr="00885171" w:rsidRDefault="001D4257" w:rsidP="001D4257">
      <w:pPr>
        <w:pStyle w:val="enumlev1"/>
        <w:rPr>
          <w:lang w:val="es-ES"/>
        </w:rPr>
      </w:pPr>
      <w:r w:rsidRPr="00885171">
        <w:rPr>
          <w:lang w:val="es-ES"/>
        </w:rPr>
        <w:t>–</w:t>
      </w:r>
      <w:r w:rsidRPr="00885171">
        <w:rPr>
          <w:lang w:val="es-ES"/>
        </w:rPr>
        <w:tab/>
        <w:t>Principales riesgos para 2027;</w:t>
      </w:r>
    </w:p>
    <w:p w14:paraId="2FB9CBF2" w14:textId="77777777" w:rsidR="001D4257" w:rsidRPr="00885171" w:rsidRDefault="001D4257" w:rsidP="001D4257">
      <w:pPr>
        <w:pStyle w:val="enumlev1"/>
        <w:rPr>
          <w:lang w:val="es-ES"/>
        </w:rPr>
      </w:pPr>
      <w:r w:rsidRPr="00885171">
        <w:rPr>
          <w:lang w:val="es-ES"/>
        </w:rPr>
        <w:t>–</w:t>
      </w:r>
      <w:r w:rsidRPr="00885171">
        <w:rPr>
          <w:lang w:val="es-ES"/>
        </w:rPr>
        <w:tab/>
        <w:t>Los costos de los productos que contribuyan a la prioridad temática en 2027.</w:t>
      </w:r>
    </w:p>
    <w:p w14:paraId="05D1C382"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es-ES"/>
        </w:rPr>
      </w:pPr>
      <w:r w:rsidRPr="00885171">
        <w:rPr>
          <w:rFonts w:asciiTheme="minorHAnsi" w:hAnsiTheme="minorHAnsi"/>
          <w:lang w:val="es-ES"/>
        </w:rPr>
        <w:br w:type="page"/>
      </w:r>
    </w:p>
    <w:p w14:paraId="5B45F55E"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napToGrid w:val="0"/>
        <w:spacing w:before="0"/>
        <w:ind w:left="426"/>
        <w:textAlignment w:val="auto"/>
        <w:rPr>
          <w:rFonts w:asciiTheme="minorHAnsi" w:hAnsiTheme="minorHAnsi"/>
          <w:lang w:val="es-ES"/>
        </w:rPr>
        <w:sectPr w:rsidR="001D4257" w:rsidRPr="00885171" w:rsidSect="008C24C0">
          <w:footerReference w:type="default" r:id="rId16"/>
          <w:headerReference w:type="first" r:id="rId17"/>
          <w:footerReference w:type="first" r:id="rId18"/>
          <w:pgSz w:w="11907" w:h="16834"/>
          <w:pgMar w:top="1418" w:right="1418" w:bottom="1418" w:left="1418" w:header="720" w:footer="720" w:gutter="0"/>
          <w:cols w:space="720"/>
          <w:titlePg/>
        </w:sectPr>
      </w:pPr>
    </w:p>
    <w:p w14:paraId="25E2F842" w14:textId="77777777" w:rsidR="001D4257" w:rsidRPr="00885171" w:rsidRDefault="001D4257" w:rsidP="001D4257">
      <w:pPr>
        <w:pStyle w:val="FigureNo"/>
        <w:rPr>
          <w:lang w:val="es-ES"/>
        </w:rPr>
      </w:pPr>
      <w:r w:rsidRPr="00885171">
        <w:rPr>
          <w:lang w:val="es-ES"/>
        </w:rPr>
        <w:lastRenderedPageBreak/>
        <w:t>FIGURA 3</w:t>
      </w:r>
    </w:p>
    <w:p w14:paraId="0F5ABF0A" w14:textId="77777777" w:rsidR="001D4257" w:rsidRPr="00885171" w:rsidRDefault="001D4257" w:rsidP="001D4257">
      <w:pPr>
        <w:pStyle w:val="Figuretitle"/>
        <w:rPr>
          <w:lang w:val="es-ES"/>
        </w:rPr>
      </w:pPr>
      <w:r w:rsidRPr="00885171">
        <w:rPr>
          <w:lang w:val="es-ES"/>
        </w:rPr>
        <w:t>Atribución en 2027 a la prioridad temática 1</w:t>
      </w:r>
    </w:p>
    <w:p w14:paraId="275FABEA" w14:textId="77777777" w:rsidR="001D4257" w:rsidRPr="00885171" w:rsidRDefault="001D4257" w:rsidP="001D4257">
      <w:pPr>
        <w:pStyle w:val="Figure"/>
        <w:rPr>
          <w:lang w:val="es-ES"/>
        </w:rPr>
      </w:pPr>
      <w:r w:rsidRPr="00885171">
        <w:rPr>
          <w:noProof/>
          <w:lang w:val="en-US"/>
        </w:rPr>
        <w:drawing>
          <wp:inline distT="0" distB="0" distL="0" distR="0" wp14:anchorId="4D48BC83" wp14:editId="7A74B944">
            <wp:extent cx="9128171" cy="4981433"/>
            <wp:effectExtent l="0" t="0" r="0" b="0"/>
            <wp:docPr id="109478185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32520" cy="4983806"/>
                    </a:xfrm>
                    <a:prstGeom prst="rect">
                      <a:avLst/>
                    </a:prstGeom>
                    <a:noFill/>
                    <a:ln>
                      <a:noFill/>
                    </a:ln>
                  </pic:spPr>
                </pic:pic>
              </a:graphicData>
            </a:graphic>
          </wp:inline>
        </w:drawing>
      </w:r>
    </w:p>
    <w:p w14:paraId="1C52FC36" w14:textId="77777777" w:rsidR="001D4257" w:rsidRPr="00885171" w:rsidRDefault="001D4257" w:rsidP="001D4257">
      <w:pPr>
        <w:pStyle w:val="FigureNo"/>
        <w:rPr>
          <w:lang w:val="es-ES"/>
        </w:rPr>
      </w:pPr>
      <w:r w:rsidRPr="00885171">
        <w:rPr>
          <w:lang w:val="es-ES"/>
        </w:rPr>
        <w:lastRenderedPageBreak/>
        <w:t>FIGURA 4</w:t>
      </w:r>
    </w:p>
    <w:p w14:paraId="36A2730B" w14:textId="77777777" w:rsidR="001D4257" w:rsidRPr="00885171" w:rsidRDefault="001D4257" w:rsidP="001D4257">
      <w:pPr>
        <w:pStyle w:val="Figuretitle"/>
        <w:rPr>
          <w:lang w:val="es-ES"/>
        </w:rPr>
      </w:pPr>
      <w:r w:rsidRPr="00885171">
        <w:rPr>
          <w:lang w:val="es-ES"/>
        </w:rPr>
        <w:t>Atribución en 2027 a la prioridad temática 2</w:t>
      </w:r>
    </w:p>
    <w:p w14:paraId="11243528" w14:textId="77777777" w:rsidR="001D4257" w:rsidRPr="00885171" w:rsidRDefault="001D4257" w:rsidP="001D4257">
      <w:pPr>
        <w:pStyle w:val="Figure"/>
        <w:rPr>
          <w:lang w:val="es-ES"/>
        </w:rPr>
      </w:pPr>
      <w:r w:rsidRPr="00885171">
        <w:rPr>
          <w:noProof/>
          <w:lang w:val="en-US"/>
        </w:rPr>
        <w:drawing>
          <wp:inline distT="0" distB="0" distL="0" distR="0" wp14:anchorId="6AF45113" wp14:editId="39D72AFB">
            <wp:extent cx="9138261" cy="5063320"/>
            <wp:effectExtent l="0" t="0" r="6350" b="4445"/>
            <wp:docPr id="84821191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39983" cy="5064274"/>
                    </a:xfrm>
                    <a:prstGeom prst="rect">
                      <a:avLst/>
                    </a:prstGeom>
                    <a:noFill/>
                    <a:ln>
                      <a:noFill/>
                    </a:ln>
                  </pic:spPr>
                </pic:pic>
              </a:graphicData>
            </a:graphic>
          </wp:inline>
        </w:drawing>
      </w:r>
    </w:p>
    <w:p w14:paraId="3517EFF0" w14:textId="77777777" w:rsidR="001D4257" w:rsidRPr="00885171" w:rsidRDefault="001D4257" w:rsidP="001D4257">
      <w:pPr>
        <w:pStyle w:val="Figure"/>
        <w:rPr>
          <w:lang w:val="es-ES"/>
        </w:rPr>
      </w:pPr>
      <w:r w:rsidRPr="00885171">
        <w:rPr>
          <w:lang w:val="es-ES"/>
        </w:rPr>
        <w:br w:type="page"/>
      </w:r>
    </w:p>
    <w:p w14:paraId="725C8AB3" w14:textId="77777777" w:rsidR="001D4257" w:rsidRPr="00885171" w:rsidRDefault="001D4257" w:rsidP="001D4257">
      <w:pPr>
        <w:pStyle w:val="FigureNo"/>
        <w:keepNext w:val="0"/>
        <w:keepLines w:val="0"/>
        <w:rPr>
          <w:lang w:val="es-ES"/>
        </w:rPr>
      </w:pPr>
      <w:r w:rsidRPr="00885171">
        <w:rPr>
          <w:lang w:val="es-ES"/>
        </w:rPr>
        <w:lastRenderedPageBreak/>
        <w:t>FIGURA 5</w:t>
      </w:r>
    </w:p>
    <w:p w14:paraId="6341DDED" w14:textId="77777777" w:rsidR="001D4257" w:rsidRPr="00885171" w:rsidRDefault="001D4257" w:rsidP="001D4257">
      <w:pPr>
        <w:pStyle w:val="Figuretitle"/>
        <w:rPr>
          <w:lang w:val="es-ES"/>
        </w:rPr>
      </w:pPr>
      <w:r w:rsidRPr="00885171">
        <w:rPr>
          <w:lang w:val="es-ES"/>
        </w:rPr>
        <w:t>Atribución en 2027 a la prioridad temática 3</w:t>
      </w:r>
    </w:p>
    <w:p w14:paraId="70EBB253" w14:textId="77777777" w:rsidR="001D4257" w:rsidRPr="00885171" w:rsidRDefault="001D4257" w:rsidP="001D4257">
      <w:pPr>
        <w:pStyle w:val="Figure"/>
        <w:rPr>
          <w:lang w:val="es-ES"/>
        </w:rPr>
      </w:pPr>
      <w:r w:rsidRPr="00885171">
        <w:rPr>
          <w:noProof/>
          <w:lang w:val="en-US"/>
        </w:rPr>
        <w:drawing>
          <wp:inline distT="0" distB="0" distL="0" distR="0" wp14:anchorId="0E98BA60" wp14:editId="1432AA87">
            <wp:extent cx="9256250" cy="5295332"/>
            <wp:effectExtent l="0" t="0" r="2540" b="635"/>
            <wp:docPr id="209216401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63932" cy="5299727"/>
                    </a:xfrm>
                    <a:prstGeom prst="rect">
                      <a:avLst/>
                    </a:prstGeom>
                    <a:noFill/>
                    <a:ln>
                      <a:noFill/>
                    </a:ln>
                  </pic:spPr>
                </pic:pic>
              </a:graphicData>
            </a:graphic>
          </wp:inline>
        </w:drawing>
      </w:r>
    </w:p>
    <w:p w14:paraId="1D250334" w14:textId="77777777" w:rsidR="001D4257" w:rsidRPr="00885171" w:rsidRDefault="001D4257" w:rsidP="001D4257">
      <w:pPr>
        <w:pStyle w:val="FigureNo"/>
        <w:rPr>
          <w:lang w:val="es-ES"/>
        </w:rPr>
      </w:pPr>
      <w:r w:rsidRPr="00885171">
        <w:rPr>
          <w:lang w:val="es-ES"/>
        </w:rPr>
        <w:lastRenderedPageBreak/>
        <w:t>FIGURA 6</w:t>
      </w:r>
    </w:p>
    <w:p w14:paraId="2FF8AED8" w14:textId="77777777" w:rsidR="001D4257" w:rsidRPr="00885171" w:rsidRDefault="001D4257" w:rsidP="001D4257">
      <w:pPr>
        <w:pStyle w:val="Figuretitle"/>
        <w:rPr>
          <w:lang w:val="es-ES"/>
        </w:rPr>
      </w:pPr>
      <w:r w:rsidRPr="00885171">
        <w:rPr>
          <w:lang w:val="es-ES"/>
        </w:rPr>
        <w:t>Atribución en 2027 a la prioridad temática 4</w:t>
      </w:r>
    </w:p>
    <w:p w14:paraId="72585CD9"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lang w:val="es-ES"/>
        </w:rPr>
      </w:pPr>
      <w:r w:rsidRPr="00885171">
        <w:rPr>
          <w:noProof/>
          <w:lang w:val="en-US"/>
        </w:rPr>
        <w:drawing>
          <wp:inline distT="0" distB="0" distL="0" distR="0" wp14:anchorId="76C4B29D" wp14:editId="73052C5D">
            <wp:extent cx="9287801" cy="4940489"/>
            <wp:effectExtent l="0" t="0" r="8890" b="0"/>
            <wp:docPr id="197764522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91505" cy="4942459"/>
                    </a:xfrm>
                    <a:prstGeom prst="rect">
                      <a:avLst/>
                    </a:prstGeom>
                    <a:noFill/>
                    <a:ln>
                      <a:noFill/>
                    </a:ln>
                  </pic:spPr>
                </pic:pic>
              </a:graphicData>
            </a:graphic>
          </wp:inline>
        </w:drawing>
      </w:r>
    </w:p>
    <w:p w14:paraId="42EEDC81"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lang w:val="es-ES"/>
        </w:rPr>
      </w:pPr>
      <w:r w:rsidRPr="00885171">
        <w:rPr>
          <w:lang w:val="es-ES"/>
        </w:rPr>
        <w:br w:type="page"/>
      </w:r>
    </w:p>
    <w:p w14:paraId="608E1B73" w14:textId="77777777" w:rsidR="001D4257" w:rsidRPr="00885171" w:rsidRDefault="001D4257" w:rsidP="001D4257">
      <w:pPr>
        <w:pStyle w:val="FigureNo"/>
        <w:rPr>
          <w:lang w:val="es-ES"/>
        </w:rPr>
      </w:pPr>
      <w:r w:rsidRPr="00885171">
        <w:rPr>
          <w:lang w:val="es-ES"/>
        </w:rPr>
        <w:lastRenderedPageBreak/>
        <w:t>FIGURA 7</w:t>
      </w:r>
    </w:p>
    <w:p w14:paraId="46BFFBC5" w14:textId="77777777" w:rsidR="001D4257" w:rsidRPr="00885171" w:rsidRDefault="001D4257" w:rsidP="001D4257">
      <w:pPr>
        <w:pStyle w:val="Figuretitle"/>
        <w:rPr>
          <w:lang w:val="es-ES"/>
        </w:rPr>
      </w:pPr>
      <w:r w:rsidRPr="00885171">
        <w:rPr>
          <w:lang w:val="es-ES"/>
        </w:rPr>
        <w:t>Atribución en 2027 a la prioridad temática 5</w:t>
      </w:r>
    </w:p>
    <w:p w14:paraId="4E2A8B1C" w14:textId="77777777" w:rsidR="001D4257" w:rsidRPr="00885171" w:rsidRDefault="001D4257" w:rsidP="001D4257">
      <w:pPr>
        <w:pStyle w:val="Figure"/>
        <w:rPr>
          <w:lang w:val="es-ES"/>
        </w:rPr>
      </w:pPr>
      <w:r w:rsidRPr="00885171">
        <w:rPr>
          <w:noProof/>
          <w:lang w:val="en-US"/>
        </w:rPr>
        <w:drawing>
          <wp:inline distT="0" distB="0" distL="0" distR="0" wp14:anchorId="2883EB64" wp14:editId="67EA1BB0">
            <wp:extent cx="9062114" cy="5282673"/>
            <wp:effectExtent l="0" t="0" r="5715" b="0"/>
            <wp:docPr id="2063700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65282" cy="5284520"/>
                    </a:xfrm>
                    <a:prstGeom prst="rect">
                      <a:avLst/>
                    </a:prstGeom>
                    <a:noFill/>
                    <a:ln>
                      <a:noFill/>
                    </a:ln>
                  </pic:spPr>
                </pic:pic>
              </a:graphicData>
            </a:graphic>
          </wp:inline>
        </w:drawing>
      </w:r>
      <w:r w:rsidRPr="00885171">
        <w:rPr>
          <w:lang w:val="es-ES"/>
        </w:rPr>
        <w:br w:type="page"/>
      </w:r>
    </w:p>
    <w:p w14:paraId="51278325" w14:textId="77777777" w:rsidR="001D4257" w:rsidRPr="00885171" w:rsidRDefault="001D4257" w:rsidP="001D4257">
      <w:pPr>
        <w:pStyle w:val="TableNo"/>
        <w:rPr>
          <w:lang w:val="es-ES"/>
        </w:rPr>
      </w:pPr>
      <w:r w:rsidRPr="00885171">
        <w:rPr>
          <w:lang w:val="es-ES"/>
        </w:rPr>
        <w:lastRenderedPageBreak/>
        <w:t>CUADRO 3</w:t>
      </w:r>
    </w:p>
    <w:p w14:paraId="73DEF157" w14:textId="77777777" w:rsidR="001D4257" w:rsidRPr="00885171" w:rsidRDefault="001D4257" w:rsidP="001D4257">
      <w:pPr>
        <w:pStyle w:val="Tabletitle"/>
        <w:rPr>
          <w:lang w:val="es-ES"/>
        </w:rPr>
      </w:pPr>
      <w:r w:rsidRPr="00885171">
        <w:rPr>
          <w:lang w:val="es-ES"/>
        </w:rPr>
        <w:t>Productos intersectoriales en 2027</w:t>
      </w:r>
    </w:p>
    <w:p w14:paraId="4ADD7AB6" w14:textId="77777777" w:rsidR="001D4257" w:rsidRPr="00885171" w:rsidRDefault="001D4257" w:rsidP="001D4257">
      <w:pPr>
        <w:pStyle w:val="Figure"/>
        <w:rPr>
          <w:lang w:val="es-ES"/>
        </w:rPr>
      </w:pPr>
      <w:r w:rsidRPr="00885171">
        <w:rPr>
          <w:noProof/>
          <w:lang w:val="en-US"/>
        </w:rPr>
        <w:drawing>
          <wp:inline distT="0" distB="0" distL="0" distR="0" wp14:anchorId="1B353044" wp14:editId="628967CF">
            <wp:extent cx="8005365" cy="2135875"/>
            <wp:effectExtent l="0" t="0" r="0" b="0"/>
            <wp:docPr id="56347198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31861" cy="2142944"/>
                    </a:xfrm>
                    <a:prstGeom prst="rect">
                      <a:avLst/>
                    </a:prstGeom>
                    <a:noFill/>
                    <a:ln>
                      <a:noFill/>
                    </a:ln>
                  </pic:spPr>
                </pic:pic>
              </a:graphicData>
            </a:graphic>
          </wp:inline>
        </w:drawing>
      </w:r>
    </w:p>
    <w:p w14:paraId="2DB9655F"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sz w:val="22"/>
          <w:lang w:val="es-ES"/>
        </w:rPr>
      </w:pPr>
      <w:r w:rsidRPr="00885171">
        <w:rPr>
          <w:lang w:val="es-ES"/>
        </w:rPr>
        <w:br w:type="page"/>
      </w:r>
    </w:p>
    <w:p w14:paraId="3C72AB67" w14:textId="77777777" w:rsidR="001D4257" w:rsidRPr="00885171" w:rsidRDefault="001D4257" w:rsidP="001D4257">
      <w:pPr>
        <w:pStyle w:val="TableNo"/>
        <w:rPr>
          <w:lang w:val="es-ES"/>
        </w:rPr>
      </w:pPr>
      <w:r w:rsidRPr="00885171">
        <w:rPr>
          <w:lang w:val="es-ES"/>
        </w:rPr>
        <w:lastRenderedPageBreak/>
        <w:t>CUADRO 4</w:t>
      </w:r>
    </w:p>
    <w:p w14:paraId="1626699C" w14:textId="77777777" w:rsidR="001D4257" w:rsidRPr="00885171" w:rsidRDefault="001D4257" w:rsidP="001D4257">
      <w:pPr>
        <w:pStyle w:val="Tabletitle"/>
        <w:rPr>
          <w:lang w:val="es-ES"/>
        </w:rPr>
      </w:pPr>
      <w:r w:rsidRPr="00885171">
        <w:rPr>
          <w:lang w:val="es-ES"/>
        </w:rPr>
        <w:t>Productos del Sector de Radiocomunicaciones en 2027</w:t>
      </w:r>
    </w:p>
    <w:p w14:paraId="5AAE3B52" w14:textId="77777777" w:rsidR="001D4257" w:rsidRPr="00885171" w:rsidRDefault="001D4257" w:rsidP="001D4257">
      <w:pPr>
        <w:pStyle w:val="Figure"/>
        <w:rPr>
          <w:lang w:val="es-ES"/>
        </w:rPr>
      </w:pPr>
      <w:r w:rsidRPr="00885171">
        <w:rPr>
          <w:noProof/>
          <w:lang w:val="en-US"/>
        </w:rPr>
        <w:drawing>
          <wp:inline distT="0" distB="0" distL="0" distR="0" wp14:anchorId="4C605880" wp14:editId="272FFA59">
            <wp:extent cx="8048011" cy="2552132"/>
            <wp:effectExtent l="0" t="0" r="0" b="635"/>
            <wp:docPr id="71195558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93365" cy="2566514"/>
                    </a:xfrm>
                    <a:prstGeom prst="rect">
                      <a:avLst/>
                    </a:prstGeom>
                    <a:noFill/>
                    <a:ln>
                      <a:noFill/>
                    </a:ln>
                  </pic:spPr>
                </pic:pic>
              </a:graphicData>
            </a:graphic>
          </wp:inline>
        </w:drawing>
      </w:r>
    </w:p>
    <w:p w14:paraId="692694B9"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sz w:val="22"/>
          <w:lang w:val="es-ES"/>
        </w:rPr>
      </w:pPr>
      <w:r w:rsidRPr="00885171">
        <w:rPr>
          <w:lang w:val="es-ES"/>
        </w:rPr>
        <w:br w:type="page"/>
      </w:r>
    </w:p>
    <w:p w14:paraId="0824788B" w14:textId="77777777" w:rsidR="001D4257" w:rsidRPr="00885171" w:rsidRDefault="001D4257" w:rsidP="001D4257">
      <w:pPr>
        <w:pStyle w:val="TableNo"/>
        <w:rPr>
          <w:lang w:val="es-ES"/>
        </w:rPr>
      </w:pPr>
      <w:r w:rsidRPr="00885171">
        <w:rPr>
          <w:lang w:val="es-ES"/>
        </w:rPr>
        <w:lastRenderedPageBreak/>
        <w:t>CUADRO 5</w:t>
      </w:r>
    </w:p>
    <w:p w14:paraId="7A311F38" w14:textId="77777777" w:rsidR="001D4257" w:rsidRPr="00885171" w:rsidRDefault="001D4257" w:rsidP="001D4257">
      <w:pPr>
        <w:pStyle w:val="Tabletitle"/>
        <w:rPr>
          <w:lang w:val="es-ES"/>
        </w:rPr>
      </w:pPr>
      <w:r w:rsidRPr="00885171">
        <w:rPr>
          <w:bCs/>
          <w:lang w:val="es-ES"/>
        </w:rPr>
        <w:t>Productos del Sector de Normalización de las Telecomunicaciones</w:t>
      </w:r>
    </w:p>
    <w:p w14:paraId="4987A66C" w14:textId="77777777" w:rsidR="001D4257" w:rsidRPr="00885171" w:rsidRDefault="001D4257" w:rsidP="001D4257">
      <w:pPr>
        <w:pStyle w:val="Figure"/>
        <w:rPr>
          <w:lang w:val="es-ES"/>
        </w:rPr>
      </w:pPr>
      <w:r w:rsidRPr="00885171">
        <w:rPr>
          <w:noProof/>
          <w:lang w:val="en-US"/>
        </w:rPr>
        <w:drawing>
          <wp:inline distT="0" distB="0" distL="0" distR="0" wp14:anchorId="76A3E59F" wp14:editId="08ACF4EF">
            <wp:extent cx="8030942" cy="2142699"/>
            <wp:effectExtent l="0" t="0" r="8255" b="0"/>
            <wp:docPr id="107438058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63707" cy="2151441"/>
                    </a:xfrm>
                    <a:prstGeom prst="rect">
                      <a:avLst/>
                    </a:prstGeom>
                    <a:noFill/>
                    <a:ln>
                      <a:noFill/>
                    </a:ln>
                  </pic:spPr>
                </pic:pic>
              </a:graphicData>
            </a:graphic>
          </wp:inline>
        </w:drawing>
      </w:r>
    </w:p>
    <w:p w14:paraId="74085978"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lang w:val="es-ES"/>
        </w:rPr>
      </w:pPr>
      <w:r w:rsidRPr="00885171">
        <w:rPr>
          <w:lang w:val="es-ES"/>
        </w:rPr>
        <w:br w:type="page"/>
      </w:r>
    </w:p>
    <w:p w14:paraId="7F5D416F" w14:textId="77777777" w:rsidR="001D4257" w:rsidRPr="00885171" w:rsidRDefault="001D4257" w:rsidP="001D4257">
      <w:pPr>
        <w:pStyle w:val="TableNo"/>
        <w:rPr>
          <w:lang w:val="es-ES"/>
        </w:rPr>
      </w:pPr>
      <w:r w:rsidRPr="00885171">
        <w:rPr>
          <w:lang w:val="es-ES"/>
        </w:rPr>
        <w:lastRenderedPageBreak/>
        <w:t>CUADRO 6</w:t>
      </w:r>
    </w:p>
    <w:p w14:paraId="37A42E72" w14:textId="77777777" w:rsidR="001D4257" w:rsidRPr="00885171" w:rsidRDefault="001D4257" w:rsidP="001D4257">
      <w:pPr>
        <w:pStyle w:val="Tabletitle"/>
        <w:rPr>
          <w:rFonts w:asciiTheme="minorHAnsi" w:hAnsiTheme="minorHAnsi"/>
          <w:b w:val="0"/>
          <w:lang w:val="es-ES"/>
        </w:rPr>
      </w:pPr>
      <w:r w:rsidRPr="00885171">
        <w:rPr>
          <w:lang w:val="es-ES"/>
        </w:rPr>
        <w:t>Productos del Sector de Desarrollo de las Telecomunicaciones</w:t>
      </w:r>
    </w:p>
    <w:p w14:paraId="30968D47" w14:textId="77777777" w:rsidR="001D4257" w:rsidRPr="00885171" w:rsidRDefault="001D4257" w:rsidP="001D4257">
      <w:pPr>
        <w:pStyle w:val="Figure"/>
        <w:rPr>
          <w:lang w:val="es-ES"/>
        </w:rPr>
      </w:pPr>
      <w:r w:rsidRPr="00885171">
        <w:rPr>
          <w:noProof/>
          <w:lang w:val="en-US"/>
        </w:rPr>
        <w:drawing>
          <wp:inline distT="0" distB="0" distL="0" distR="0" wp14:anchorId="6E3D2527" wp14:editId="3AC72914">
            <wp:extent cx="8024883" cy="2674961"/>
            <wp:effectExtent l="0" t="0" r="0" b="0"/>
            <wp:docPr id="59405616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58547" cy="2686182"/>
                    </a:xfrm>
                    <a:prstGeom prst="rect">
                      <a:avLst/>
                    </a:prstGeom>
                    <a:noFill/>
                    <a:ln>
                      <a:noFill/>
                    </a:ln>
                  </pic:spPr>
                </pic:pic>
              </a:graphicData>
            </a:graphic>
          </wp:inline>
        </w:drawing>
      </w:r>
    </w:p>
    <w:p w14:paraId="1AB6A9AC" w14:textId="77777777" w:rsidR="001D4257" w:rsidRPr="00885171" w:rsidRDefault="001D4257" w:rsidP="001D42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es-ES"/>
        </w:rPr>
      </w:pPr>
      <w:r w:rsidRPr="00885171">
        <w:rPr>
          <w:rFonts w:asciiTheme="minorHAnsi" w:hAnsiTheme="minorHAnsi"/>
          <w:lang w:val="es-ES"/>
        </w:rPr>
        <w:br w:type="page"/>
      </w:r>
    </w:p>
    <w:p w14:paraId="6C97ECE5" w14:textId="77777777" w:rsidR="001D4257" w:rsidRPr="00885171" w:rsidRDefault="001D4257" w:rsidP="001D4257">
      <w:pPr>
        <w:tabs>
          <w:tab w:val="clear" w:pos="567"/>
          <w:tab w:val="clear" w:pos="1134"/>
          <w:tab w:val="clear" w:pos="1701"/>
          <w:tab w:val="clear" w:pos="2268"/>
          <w:tab w:val="clear" w:pos="2835"/>
        </w:tabs>
        <w:snapToGrid w:val="0"/>
        <w:spacing w:before="240" w:after="120"/>
        <w:jc w:val="both"/>
        <w:rPr>
          <w:rFonts w:asciiTheme="minorHAnsi" w:hAnsiTheme="minorHAnsi" w:cstheme="minorHAnsi"/>
          <w:b/>
          <w:bCs/>
          <w:lang w:val="es-ES"/>
        </w:rPr>
        <w:sectPr w:rsidR="001D4257" w:rsidRPr="00885171" w:rsidSect="008C24C0">
          <w:footerReference w:type="default" r:id="rId28"/>
          <w:footerReference w:type="first" r:id="rId29"/>
          <w:pgSz w:w="16834" w:h="11907" w:orient="landscape"/>
          <w:pgMar w:top="1134" w:right="1418" w:bottom="1134" w:left="1418" w:header="720" w:footer="720" w:gutter="0"/>
          <w:cols w:space="720"/>
          <w:titlePg/>
        </w:sectPr>
      </w:pPr>
    </w:p>
    <w:p w14:paraId="0D350145" w14:textId="77777777" w:rsidR="001D4257" w:rsidRPr="00885171" w:rsidRDefault="001D4257" w:rsidP="001D4257">
      <w:pPr>
        <w:pStyle w:val="ResNo"/>
        <w:rPr>
          <w:szCs w:val="24"/>
          <w:lang w:val="es-ES"/>
        </w:rPr>
      </w:pPr>
      <w:r w:rsidRPr="00885171">
        <w:rPr>
          <w:lang w:val="es-ES"/>
        </w:rPr>
        <w:lastRenderedPageBreak/>
        <w:t>PROYECTO DE RESOLUCIÓN [...]</w:t>
      </w:r>
    </w:p>
    <w:p w14:paraId="457E7507" w14:textId="77FFE459" w:rsidR="001D4257" w:rsidRPr="00885171" w:rsidRDefault="001D4257" w:rsidP="001D4257">
      <w:pPr>
        <w:pStyle w:val="Restitle"/>
        <w:rPr>
          <w:szCs w:val="24"/>
          <w:lang w:val="es-ES"/>
        </w:rPr>
      </w:pPr>
      <w:r w:rsidRPr="00885171">
        <w:rPr>
          <w:lang w:val="es-ES"/>
        </w:rPr>
        <w:t>Plan Operacional de la Unión para 2027</w:t>
      </w:r>
    </w:p>
    <w:p w14:paraId="1F5C79E4" w14:textId="77777777" w:rsidR="001D4257" w:rsidRPr="00885171" w:rsidRDefault="001D4257" w:rsidP="001D4257">
      <w:pPr>
        <w:pStyle w:val="Normalaftertitle"/>
        <w:rPr>
          <w:lang w:val="es-ES"/>
        </w:rPr>
      </w:pPr>
      <w:r w:rsidRPr="00885171">
        <w:rPr>
          <w:lang w:val="es-ES"/>
        </w:rPr>
        <w:t>El Consejo de la UIT,</w:t>
      </w:r>
    </w:p>
    <w:p w14:paraId="39BCEC55" w14:textId="77777777" w:rsidR="001D4257" w:rsidRPr="00885171" w:rsidRDefault="001D4257" w:rsidP="001D4257">
      <w:pPr>
        <w:pStyle w:val="Call"/>
        <w:rPr>
          <w:lang w:val="es-ES"/>
        </w:rPr>
      </w:pPr>
      <w:r w:rsidRPr="00885171">
        <w:rPr>
          <w:lang w:val="es-ES"/>
        </w:rPr>
        <w:t>reconociendo</w:t>
      </w:r>
    </w:p>
    <w:p w14:paraId="1FC33DD1" w14:textId="77777777" w:rsidR="001D4257" w:rsidRPr="00885171" w:rsidRDefault="001D4257" w:rsidP="001D4257">
      <w:pPr>
        <w:rPr>
          <w:lang w:val="es-ES"/>
        </w:rPr>
      </w:pPr>
      <w:r w:rsidRPr="00885171">
        <w:rPr>
          <w:lang w:val="es-ES"/>
        </w:rPr>
        <w:t>las disposiciones de los Artículos 5, 11A, 12, 14A, 15 y 18 del Convenio de la UIT,</w:t>
      </w:r>
    </w:p>
    <w:p w14:paraId="2027329A" w14:textId="77777777" w:rsidR="001D4257" w:rsidRPr="00885171" w:rsidRDefault="001D4257" w:rsidP="001D4257">
      <w:pPr>
        <w:pStyle w:val="Call"/>
        <w:jc w:val="both"/>
        <w:rPr>
          <w:lang w:val="es-ES"/>
        </w:rPr>
      </w:pPr>
      <w:r w:rsidRPr="00885171">
        <w:rPr>
          <w:lang w:val="es-ES"/>
        </w:rPr>
        <w:t>recordando</w:t>
      </w:r>
    </w:p>
    <w:p w14:paraId="1ACCEFDA" w14:textId="77777777" w:rsidR="001D4257" w:rsidRPr="00885171" w:rsidRDefault="001D4257" w:rsidP="001D4257">
      <w:pPr>
        <w:rPr>
          <w:lang w:val="es-ES"/>
        </w:rPr>
      </w:pPr>
      <w:r w:rsidRPr="00885171">
        <w:rPr>
          <w:lang w:val="es-ES"/>
        </w:rPr>
        <w:t>la Resolución 71 (Rev. Bucarest, 2022) sobre el Plan Estratégico de la Unión para 2024-2027 y la Resolución 151 (Rev. Bucarest, 2022) sobre la aplicación de la gestión basada en los resultados,</w:t>
      </w:r>
    </w:p>
    <w:p w14:paraId="431A309F" w14:textId="77777777" w:rsidR="001D4257" w:rsidRPr="00885171" w:rsidRDefault="001D4257" w:rsidP="001D4257">
      <w:pPr>
        <w:pStyle w:val="Call"/>
        <w:rPr>
          <w:lang w:val="es-ES"/>
        </w:rPr>
      </w:pPr>
      <w:r w:rsidRPr="00885171">
        <w:rPr>
          <w:lang w:val="es-ES"/>
        </w:rPr>
        <w:t>habiendo considerado</w:t>
      </w:r>
    </w:p>
    <w:p w14:paraId="5EC826F7" w14:textId="04D30F25" w:rsidR="001D4257" w:rsidRPr="00885171" w:rsidRDefault="001D4257" w:rsidP="001D4257">
      <w:pPr>
        <w:rPr>
          <w:rFonts w:asciiTheme="minorHAnsi" w:hAnsiTheme="minorHAnsi" w:cstheme="minorHAnsi"/>
          <w:lang w:val="es-ES"/>
        </w:rPr>
      </w:pPr>
      <w:r w:rsidRPr="00885171">
        <w:rPr>
          <w:lang w:val="es-ES"/>
        </w:rPr>
        <w:t xml:space="preserve">el proyecto de Plan Operacional de la Unión para 2027 (en el Anexo 1 del Documento </w:t>
      </w:r>
      <w:hyperlink r:id="rId30" w:history="1">
        <w:r w:rsidRPr="00885171">
          <w:rPr>
            <w:rStyle w:val="Hyperlink"/>
            <w:lang w:val="es-ES"/>
          </w:rPr>
          <w:t>C26/28</w:t>
        </w:r>
      </w:hyperlink>
      <w:r w:rsidRPr="00885171">
        <w:rPr>
          <w:rStyle w:val="Hyperlink"/>
          <w:lang w:val="es-ES"/>
        </w:rPr>
        <w:t xml:space="preserve"> (Rev.1)</w:t>
      </w:r>
      <w:r w:rsidRPr="00885171">
        <w:rPr>
          <w:lang w:val="es-ES"/>
        </w:rPr>
        <w:t>),</w:t>
      </w:r>
      <w:hyperlink r:id="rId31" w:history="1"/>
    </w:p>
    <w:p w14:paraId="3F8BBE74" w14:textId="77777777" w:rsidR="001D4257" w:rsidRPr="00885171" w:rsidRDefault="001D4257" w:rsidP="001D4257">
      <w:pPr>
        <w:pStyle w:val="Call"/>
        <w:rPr>
          <w:lang w:val="es-ES"/>
        </w:rPr>
      </w:pPr>
      <w:r w:rsidRPr="00885171">
        <w:rPr>
          <w:lang w:val="es-ES"/>
        </w:rPr>
        <w:t>habiendo considerado también</w:t>
      </w:r>
    </w:p>
    <w:p w14:paraId="6F16311E" w14:textId="77777777" w:rsidR="001D4257" w:rsidRPr="00885171" w:rsidRDefault="001D4257" w:rsidP="001D4257">
      <w:pPr>
        <w:rPr>
          <w:rFonts w:asciiTheme="minorHAnsi" w:hAnsiTheme="minorHAnsi" w:cstheme="minorHAnsi"/>
          <w:lang w:val="es-ES"/>
        </w:rPr>
      </w:pPr>
      <w:r w:rsidRPr="00885171">
        <w:rPr>
          <w:lang w:val="es-ES"/>
        </w:rPr>
        <w:t>la necesidad de que el Secretario General y los Directores de las Oficinas gocen de cierta flexibilidad en la puesta en práctica de los elementos correspondientes del Plan Operacional para tomar en consideración cualquier cambio que pueda producirse durante el intervalo entre dos reuniones del Consejo,</w:t>
      </w:r>
    </w:p>
    <w:p w14:paraId="416748F4" w14:textId="77777777" w:rsidR="001D4257" w:rsidRPr="00885171" w:rsidRDefault="001D4257" w:rsidP="001D4257">
      <w:pPr>
        <w:pStyle w:val="Call"/>
        <w:rPr>
          <w:lang w:val="es-ES"/>
        </w:rPr>
      </w:pPr>
      <w:r w:rsidRPr="00885171">
        <w:rPr>
          <w:lang w:val="es-ES"/>
        </w:rPr>
        <w:t>resuelve</w:t>
      </w:r>
    </w:p>
    <w:p w14:paraId="326698A0" w14:textId="77777777" w:rsidR="001D4257" w:rsidRPr="00885171" w:rsidRDefault="001D4257" w:rsidP="001D4257">
      <w:pPr>
        <w:rPr>
          <w:rFonts w:asciiTheme="minorHAnsi" w:hAnsiTheme="minorHAnsi" w:cstheme="minorHAnsi"/>
          <w:lang w:val="es-ES"/>
        </w:rPr>
      </w:pPr>
      <w:r w:rsidRPr="00885171">
        <w:rPr>
          <w:lang w:val="es-ES"/>
        </w:rPr>
        <w:t>1</w:t>
      </w:r>
      <w:r w:rsidRPr="00885171">
        <w:rPr>
          <w:lang w:val="es-ES"/>
        </w:rPr>
        <w:tab/>
        <w:t>aprobar el Plan Operacional de la Unión para 2027, y</w:t>
      </w:r>
    </w:p>
    <w:p w14:paraId="24F9FFC1" w14:textId="77777777" w:rsidR="001D4257" w:rsidRPr="00885171" w:rsidRDefault="001D4257" w:rsidP="001D4257">
      <w:pPr>
        <w:rPr>
          <w:lang w:val="es-ES"/>
        </w:rPr>
      </w:pPr>
      <w:r w:rsidRPr="00885171">
        <w:rPr>
          <w:lang w:val="es-ES"/>
        </w:rPr>
        <w:t>2</w:t>
      </w:r>
      <w:r w:rsidRPr="00885171">
        <w:rPr>
          <w:lang w:val="es-ES"/>
        </w:rPr>
        <w:tab/>
        <w:t>permitir al Secretario General y a los Directores la flexibilidad necesaria en la puesta en práctica de los elementos correspondientes del Plan Operacional de la Unión para 2027.</w:t>
      </w:r>
    </w:p>
    <w:p w14:paraId="107CCDDC" w14:textId="77777777" w:rsidR="00E40377" w:rsidRPr="00885171" w:rsidRDefault="00E40377" w:rsidP="00411C49">
      <w:pPr>
        <w:pStyle w:val="Reasons"/>
        <w:rPr>
          <w:lang w:val="es-ES"/>
        </w:rPr>
      </w:pPr>
    </w:p>
    <w:p w14:paraId="1EF22B25" w14:textId="77777777" w:rsidR="00E40377" w:rsidRPr="00885171" w:rsidRDefault="00E40377">
      <w:pPr>
        <w:jc w:val="center"/>
        <w:rPr>
          <w:lang w:val="es-ES"/>
        </w:rPr>
      </w:pPr>
      <w:r w:rsidRPr="00885171">
        <w:rPr>
          <w:lang w:val="es-ES"/>
        </w:rPr>
        <w:t>______________</w:t>
      </w:r>
    </w:p>
    <w:sectPr w:rsidR="00E40377" w:rsidRPr="00885171" w:rsidSect="00C538FC">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3205" w14:textId="77777777" w:rsidR="001418D1" w:rsidRDefault="001418D1">
      <w:r>
        <w:separator/>
      </w:r>
    </w:p>
  </w:endnote>
  <w:endnote w:type="continuationSeparator" w:id="0">
    <w:p w14:paraId="5C1FBAB0" w14:textId="77777777" w:rsidR="001418D1" w:rsidRDefault="0014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D4257" w:rsidRPr="00784011" w14:paraId="1AA86ED8" w14:textId="77777777" w:rsidTr="00A64F4F">
      <w:trPr>
        <w:jc w:val="center"/>
      </w:trPr>
      <w:tc>
        <w:tcPr>
          <w:tcW w:w="1803" w:type="dxa"/>
          <w:vAlign w:val="center"/>
        </w:tcPr>
        <w:p w14:paraId="01D26CC5" w14:textId="0E0BD014" w:rsidR="001D4257" w:rsidRDefault="001D4257" w:rsidP="00806E2D">
          <w:pPr>
            <w:pStyle w:val="Header"/>
            <w:jc w:val="left"/>
            <w:rPr>
              <w:noProof/>
            </w:rPr>
          </w:pPr>
          <w:r w:rsidRPr="00806E2D">
            <w:rPr>
              <w:noProof/>
            </w:rPr>
            <w:t>gDoc</w:t>
          </w:r>
          <w:r>
            <w:rPr>
              <w:noProof/>
            </w:rPr>
            <w:t xml:space="preserve"> 260</w:t>
          </w:r>
          <w:r w:rsidR="004D26F3">
            <w:rPr>
              <w:noProof/>
            </w:rPr>
            <w:t>1150</w:t>
          </w:r>
        </w:p>
      </w:tc>
      <w:tc>
        <w:tcPr>
          <w:tcW w:w="8261" w:type="dxa"/>
        </w:tcPr>
        <w:p w14:paraId="00A37ABE" w14:textId="6A0016FC" w:rsidR="001D4257" w:rsidRPr="00E06FD5" w:rsidRDefault="001D4257" w:rsidP="004D26F3">
          <w:pPr>
            <w:pStyle w:val="Header"/>
            <w:tabs>
              <w:tab w:val="left" w:pos="6452"/>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28</w:t>
          </w:r>
          <w:r w:rsidR="004D26F3">
            <w:rPr>
              <w:bCs/>
            </w:rPr>
            <w:t>-</w:t>
          </w:r>
          <w:r>
            <w:rPr>
              <w:bCs/>
            </w:rPr>
            <w:t>(Rev.1)</w:t>
          </w:r>
          <w:r w:rsidRPr="00623AE3">
            <w:rPr>
              <w:bCs/>
            </w:rPr>
            <w:t>-</w:t>
          </w:r>
          <w:r>
            <w:rPr>
              <w:bCs/>
            </w:rPr>
            <w:t>S</w:t>
          </w:r>
          <w:r>
            <w:rPr>
              <w:bCs/>
            </w:rPr>
            <w:tab/>
          </w:r>
          <w:r>
            <w:fldChar w:fldCharType="begin"/>
          </w:r>
          <w:r>
            <w:instrText>PAGE</w:instrText>
          </w:r>
          <w:r>
            <w:fldChar w:fldCharType="separate"/>
          </w:r>
          <w:r w:rsidR="00C5533A">
            <w:rPr>
              <w:noProof/>
            </w:rPr>
            <w:t>2</w:t>
          </w:r>
          <w:r>
            <w:rPr>
              <w:noProof/>
            </w:rPr>
            <w:fldChar w:fldCharType="end"/>
          </w:r>
        </w:p>
      </w:tc>
    </w:tr>
  </w:tbl>
  <w:p w14:paraId="4AB11833" w14:textId="77777777" w:rsidR="001D4257" w:rsidRPr="00C97596" w:rsidRDefault="001D4257" w:rsidP="00A64F4F">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1D4257" w:rsidRPr="00B32397" w14:paraId="200E8046" w14:textId="77777777" w:rsidTr="00A64F4F">
      <w:trPr>
        <w:jc w:val="center"/>
      </w:trPr>
      <w:tc>
        <w:tcPr>
          <w:tcW w:w="1803" w:type="dxa"/>
          <w:vAlign w:val="center"/>
        </w:tcPr>
        <w:p w14:paraId="33BEF33E" w14:textId="77777777" w:rsidR="001D4257" w:rsidRPr="00B32397" w:rsidRDefault="001D4257" w:rsidP="00A64F4F">
          <w:pPr>
            <w:pStyle w:val="Header"/>
            <w:jc w:val="left"/>
          </w:pPr>
          <w:hyperlink r:id="rId1" w:history="1">
            <w:r w:rsidRPr="00B32397">
              <w:rPr>
                <w:rStyle w:val="Hyperlink"/>
              </w:rPr>
              <w:t>council.itu.int/2026</w:t>
            </w:r>
          </w:hyperlink>
        </w:p>
      </w:tc>
      <w:tc>
        <w:tcPr>
          <w:tcW w:w="8261" w:type="dxa"/>
        </w:tcPr>
        <w:p w14:paraId="3F8658EE" w14:textId="323C5A6C" w:rsidR="001D4257" w:rsidRPr="00B32397" w:rsidRDefault="001D4257" w:rsidP="004D26F3">
          <w:pPr>
            <w:pStyle w:val="Header"/>
            <w:tabs>
              <w:tab w:val="left" w:pos="6454"/>
              <w:tab w:val="right" w:pos="8505"/>
              <w:tab w:val="right" w:pos="9639"/>
            </w:tabs>
            <w:jc w:val="left"/>
            <w:rPr>
              <w:rFonts w:ascii="Arial" w:hAnsi="Arial" w:cs="Arial"/>
              <w:b/>
              <w:bCs/>
              <w:szCs w:val="18"/>
            </w:rPr>
          </w:pPr>
          <w:r w:rsidRPr="00B32397">
            <w:rPr>
              <w:bCs/>
            </w:rPr>
            <w:tab/>
            <w:t>C26/28</w:t>
          </w:r>
          <w:r w:rsidR="004D26F3">
            <w:rPr>
              <w:bCs/>
            </w:rPr>
            <w:t>-</w:t>
          </w:r>
          <w:r>
            <w:rPr>
              <w:bCs/>
            </w:rPr>
            <w:t>(Rev. 1)</w:t>
          </w:r>
          <w:r w:rsidRPr="00B32397">
            <w:rPr>
              <w:bCs/>
            </w:rPr>
            <w:t>-S</w:t>
          </w:r>
          <w:r w:rsidRPr="00B32397">
            <w:rPr>
              <w:bCs/>
            </w:rPr>
            <w:tab/>
          </w:r>
          <w:r w:rsidRPr="00B32397">
            <w:fldChar w:fldCharType="begin"/>
          </w:r>
          <w:r w:rsidRPr="00B32397">
            <w:instrText>PAGE</w:instrText>
          </w:r>
          <w:r w:rsidRPr="00B32397">
            <w:fldChar w:fldCharType="separate"/>
          </w:r>
          <w:r w:rsidR="00C5533A">
            <w:rPr>
              <w:noProof/>
            </w:rPr>
            <w:t>1</w:t>
          </w:r>
          <w:r w:rsidRPr="00B32397">
            <w:fldChar w:fldCharType="end"/>
          </w:r>
        </w:p>
      </w:tc>
    </w:tr>
  </w:tbl>
  <w:p w14:paraId="675BC0CA" w14:textId="77777777" w:rsidR="001D4257" w:rsidRPr="00B32397" w:rsidRDefault="001D4257" w:rsidP="00A64F4F">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671"/>
    </w:tblGrid>
    <w:tr w:rsidR="001D4257" w:rsidRPr="00B32397" w14:paraId="793AEFA5" w14:textId="77777777" w:rsidTr="00B509D2">
      <w:trPr>
        <w:jc w:val="center"/>
      </w:trPr>
      <w:tc>
        <w:tcPr>
          <w:tcW w:w="4071" w:type="dxa"/>
          <w:vAlign w:val="center"/>
        </w:tcPr>
        <w:p w14:paraId="348F6E55" w14:textId="089B0266" w:rsidR="001D4257" w:rsidRPr="00B32397" w:rsidRDefault="004D26F3" w:rsidP="00B509D2">
          <w:pPr>
            <w:pStyle w:val="Header"/>
            <w:jc w:val="left"/>
          </w:pPr>
          <w:r>
            <w:rPr>
              <w:noProof/>
            </w:rPr>
            <w:t>gDoc 2601150</w:t>
          </w:r>
        </w:p>
      </w:tc>
      <w:tc>
        <w:tcPr>
          <w:tcW w:w="10671" w:type="dxa"/>
        </w:tcPr>
        <w:p w14:paraId="7D8883F3" w14:textId="7888601E" w:rsidR="001D4257" w:rsidRPr="00B32397" w:rsidRDefault="001D4257" w:rsidP="004D26F3">
          <w:pPr>
            <w:pStyle w:val="Header"/>
            <w:tabs>
              <w:tab w:val="left" w:pos="8863"/>
              <w:tab w:val="right" w:pos="10421"/>
            </w:tabs>
            <w:jc w:val="left"/>
            <w:rPr>
              <w:rFonts w:ascii="Arial" w:hAnsi="Arial" w:cs="Arial"/>
              <w:b/>
              <w:bCs/>
              <w:szCs w:val="18"/>
            </w:rPr>
          </w:pPr>
          <w:r w:rsidRPr="00B32397">
            <w:rPr>
              <w:bCs/>
            </w:rPr>
            <w:tab/>
            <w:t>C26/28-</w:t>
          </w:r>
          <w:r w:rsidR="004D26F3">
            <w:rPr>
              <w:bCs/>
            </w:rPr>
            <w:t>(Rev.1)-</w:t>
          </w:r>
          <w:r w:rsidRPr="00B32397">
            <w:rPr>
              <w:bCs/>
            </w:rPr>
            <w:t>S</w:t>
          </w:r>
          <w:r w:rsidRPr="00B32397">
            <w:rPr>
              <w:bCs/>
            </w:rPr>
            <w:tab/>
          </w:r>
          <w:r w:rsidRPr="00B32397">
            <w:fldChar w:fldCharType="begin"/>
          </w:r>
          <w:r w:rsidRPr="00B32397">
            <w:instrText>PAGE</w:instrText>
          </w:r>
          <w:r w:rsidRPr="00B32397">
            <w:fldChar w:fldCharType="separate"/>
          </w:r>
          <w:r w:rsidR="00C5533A">
            <w:rPr>
              <w:noProof/>
            </w:rPr>
            <w:t>3</w:t>
          </w:r>
          <w:r w:rsidRPr="00B32397">
            <w:fldChar w:fldCharType="end"/>
          </w:r>
        </w:p>
      </w:tc>
    </w:tr>
  </w:tbl>
  <w:p w14:paraId="65087C35" w14:textId="77777777" w:rsidR="001D4257" w:rsidRPr="00B32397" w:rsidRDefault="001D4257" w:rsidP="00A64F4F">
    <w:pPr>
      <w:pStyle w:val="Header"/>
      <w:tabs>
        <w:tab w:val="left" w:pos="8080"/>
        <w:tab w:val="right" w:pos="9072"/>
      </w:tabs>
      <w:jc w:val="righ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D4257" w:rsidRPr="00784011" w14:paraId="65879BB6" w14:textId="77777777" w:rsidTr="00A64F4F">
      <w:trPr>
        <w:jc w:val="center"/>
      </w:trPr>
      <w:tc>
        <w:tcPr>
          <w:tcW w:w="1803" w:type="dxa"/>
          <w:vAlign w:val="center"/>
        </w:tcPr>
        <w:p w14:paraId="27341482" w14:textId="22E93AEC" w:rsidR="001D4257" w:rsidRDefault="001D4257" w:rsidP="00A34FDF">
          <w:pPr>
            <w:pStyle w:val="Header"/>
            <w:jc w:val="left"/>
            <w:rPr>
              <w:noProof/>
            </w:rPr>
          </w:pPr>
          <w:r w:rsidRPr="00806E2D">
            <w:rPr>
              <w:noProof/>
            </w:rPr>
            <w:t>gDoc</w:t>
          </w:r>
          <w:r>
            <w:rPr>
              <w:noProof/>
            </w:rPr>
            <w:t xml:space="preserve"> 260</w:t>
          </w:r>
          <w:r w:rsidR="004D26F3">
            <w:rPr>
              <w:noProof/>
            </w:rPr>
            <w:t>1150</w:t>
          </w:r>
        </w:p>
      </w:tc>
      <w:tc>
        <w:tcPr>
          <w:tcW w:w="8261" w:type="dxa"/>
        </w:tcPr>
        <w:p w14:paraId="14038164" w14:textId="686DD0B2" w:rsidR="001D4257" w:rsidRPr="00E06FD5" w:rsidRDefault="001D4257" w:rsidP="004D26F3">
          <w:pPr>
            <w:pStyle w:val="Header"/>
            <w:tabs>
              <w:tab w:val="left" w:pos="6454"/>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28</w:t>
          </w:r>
          <w:r w:rsidR="003F48BC">
            <w:rPr>
              <w:bCs/>
            </w:rPr>
            <w:t>-</w:t>
          </w:r>
          <w:r>
            <w:rPr>
              <w:bCs/>
            </w:rPr>
            <w:t>(Rev. 1)</w:t>
          </w:r>
          <w:r w:rsidRPr="00623AE3">
            <w:rPr>
              <w:bCs/>
            </w:rPr>
            <w:t>-</w:t>
          </w:r>
          <w:r>
            <w:rPr>
              <w:bCs/>
            </w:rPr>
            <w:t>S</w:t>
          </w:r>
          <w:r>
            <w:rPr>
              <w:bCs/>
            </w:rPr>
            <w:tab/>
          </w:r>
          <w:r>
            <w:fldChar w:fldCharType="begin"/>
          </w:r>
          <w:r>
            <w:instrText>PAGE</w:instrText>
          </w:r>
          <w:r>
            <w:fldChar w:fldCharType="separate"/>
          </w:r>
          <w:r w:rsidR="00C5533A">
            <w:rPr>
              <w:noProof/>
            </w:rPr>
            <w:t>6</w:t>
          </w:r>
          <w:r>
            <w:rPr>
              <w:noProof/>
            </w:rPr>
            <w:fldChar w:fldCharType="end"/>
          </w:r>
        </w:p>
      </w:tc>
    </w:tr>
  </w:tbl>
  <w:p w14:paraId="1E6D92C6" w14:textId="77777777" w:rsidR="001D4257" w:rsidRPr="00C97596" w:rsidRDefault="001D4257" w:rsidP="00A64F4F">
    <w:pPr>
      <w:pStyle w:val="Header"/>
      <w:tabs>
        <w:tab w:val="left" w:pos="8080"/>
        <w:tab w:val="right" w:pos="9072"/>
      </w:tabs>
      <w:jc w:val="left"/>
      <w:rPr>
        <w:bCs/>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1D4257" w:rsidRPr="00784011" w14:paraId="32447219" w14:textId="77777777" w:rsidTr="00A64F4F">
      <w:trPr>
        <w:jc w:val="center"/>
      </w:trPr>
      <w:tc>
        <w:tcPr>
          <w:tcW w:w="1803" w:type="dxa"/>
          <w:vAlign w:val="center"/>
        </w:tcPr>
        <w:p w14:paraId="30C57A0B" w14:textId="194E94DD" w:rsidR="001D4257" w:rsidRDefault="004D26F3" w:rsidP="00A34FDF">
          <w:pPr>
            <w:pStyle w:val="Header"/>
            <w:jc w:val="left"/>
            <w:rPr>
              <w:noProof/>
            </w:rPr>
          </w:pPr>
          <w:r>
            <w:rPr>
              <w:noProof/>
            </w:rPr>
            <w:t>gDoc 2601150</w:t>
          </w:r>
        </w:p>
      </w:tc>
      <w:tc>
        <w:tcPr>
          <w:tcW w:w="8261" w:type="dxa"/>
        </w:tcPr>
        <w:p w14:paraId="22E7D0DD" w14:textId="0307BDC7" w:rsidR="001D4257" w:rsidRPr="00E06FD5" w:rsidRDefault="004D26F3" w:rsidP="004D26F3">
          <w:pPr>
            <w:pStyle w:val="Header"/>
            <w:tabs>
              <w:tab w:val="left" w:pos="6454"/>
              <w:tab w:val="right" w:pos="8505"/>
              <w:tab w:val="right" w:pos="9639"/>
            </w:tabs>
            <w:jc w:val="left"/>
            <w:rPr>
              <w:rFonts w:ascii="Arial" w:hAnsi="Arial" w:cs="Arial"/>
              <w:b/>
              <w:bCs/>
              <w:szCs w:val="18"/>
            </w:rPr>
          </w:pPr>
          <w:r>
            <w:tab/>
            <w:t>C26/28-(Rev.1)-S</w:t>
          </w:r>
          <w:r>
            <w:tab/>
          </w:r>
        </w:p>
      </w:tc>
    </w:tr>
  </w:tbl>
  <w:p w14:paraId="06D9EB53" w14:textId="77777777" w:rsidR="001D4257" w:rsidRPr="00B32397" w:rsidRDefault="001D4257" w:rsidP="00A75AA2">
    <w:pPr>
      <w:pStyle w:val="Header"/>
      <w:jc w:val="left"/>
      <w:rPr>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671"/>
    </w:tblGrid>
    <w:tr w:rsidR="001D4257" w:rsidRPr="00784011" w14:paraId="3B1A63E1" w14:textId="77777777" w:rsidTr="00A64F4F">
      <w:trPr>
        <w:jc w:val="center"/>
      </w:trPr>
      <w:tc>
        <w:tcPr>
          <w:tcW w:w="4071" w:type="dxa"/>
          <w:vAlign w:val="center"/>
        </w:tcPr>
        <w:p w14:paraId="4498C89D" w14:textId="0B1ED685" w:rsidR="001D4257" w:rsidRDefault="001D4257" w:rsidP="00712FB0">
          <w:pPr>
            <w:pStyle w:val="Header"/>
            <w:jc w:val="left"/>
            <w:rPr>
              <w:noProof/>
            </w:rPr>
          </w:pPr>
          <w:r w:rsidRPr="00806E2D">
            <w:rPr>
              <w:noProof/>
            </w:rPr>
            <w:t>gDoc</w:t>
          </w:r>
          <w:r w:rsidRPr="00712FB0">
            <w:rPr>
              <w:noProof/>
            </w:rPr>
            <w:t xml:space="preserve"> </w:t>
          </w:r>
          <w:r w:rsidR="004D26F3">
            <w:rPr>
              <w:noProof/>
            </w:rPr>
            <w:t>2601150</w:t>
          </w:r>
        </w:p>
      </w:tc>
      <w:tc>
        <w:tcPr>
          <w:tcW w:w="10671" w:type="dxa"/>
        </w:tcPr>
        <w:p w14:paraId="3454FA7D" w14:textId="5AD17379" w:rsidR="001D4257" w:rsidRPr="00E06FD5" w:rsidRDefault="001D4257" w:rsidP="004D26F3">
          <w:pPr>
            <w:pStyle w:val="Header"/>
            <w:tabs>
              <w:tab w:val="left" w:pos="8722"/>
              <w:tab w:val="right" w:pos="10421"/>
            </w:tabs>
            <w:jc w:val="left"/>
            <w:rPr>
              <w:rFonts w:ascii="Arial" w:hAnsi="Arial" w:cs="Arial"/>
              <w:b/>
              <w:bCs/>
              <w:szCs w:val="18"/>
            </w:rPr>
          </w:pPr>
          <w:r>
            <w:rPr>
              <w:bCs/>
            </w:rPr>
            <w:tab/>
          </w:r>
          <w:r w:rsidRPr="00623AE3">
            <w:rPr>
              <w:bCs/>
            </w:rPr>
            <w:t>C</w:t>
          </w:r>
          <w:r>
            <w:rPr>
              <w:bCs/>
            </w:rPr>
            <w:t>26</w:t>
          </w:r>
          <w:r w:rsidRPr="00623AE3">
            <w:rPr>
              <w:bCs/>
            </w:rPr>
            <w:t>/</w:t>
          </w:r>
          <w:r>
            <w:rPr>
              <w:bCs/>
            </w:rPr>
            <w:t>28</w:t>
          </w:r>
          <w:r w:rsidR="003F48BC">
            <w:rPr>
              <w:bCs/>
            </w:rPr>
            <w:t>-</w:t>
          </w:r>
          <w:r>
            <w:rPr>
              <w:bCs/>
            </w:rPr>
            <w:t>(Rev. 1)</w:t>
          </w:r>
          <w:r w:rsidRPr="00623AE3">
            <w:rPr>
              <w:bCs/>
            </w:rPr>
            <w:t>-</w:t>
          </w:r>
          <w:r>
            <w:rPr>
              <w:bCs/>
            </w:rPr>
            <w:t>S</w:t>
          </w:r>
          <w:r>
            <w:rPr>
              <w:bCs/>
            </w:rPr>
            <w:tab/>
          </w:r>
          <w:r>
            <w:fldChar w:fldCharType="begin"/>
          </w:r>
          <w:r>
            <w:instrText>PAGE</w:instrText>
          </w:r>
          <w:r>
            <w:fldChar w:fldCharType="separate"/>
          </w:r>
          <w:r w:rsidR="00C5533A">
            <w:rPr>
              <w:noProof/>
            </w:rPr>
            <w:t>15</w:t>
          </w:r>
          <w:r>
            <w:rPr>
              <w:noProof/>
            </w:rPr>
            <w:fldChar w:fldCharType="end"/>
          </w:r>
        </w:p>
      </w:tc>
    </w:tr>
  </w:tbl>
  <w:p w14:paraId="7E7679BD" w14:textId="77777777" w:rsidR="001D4257" w:rsidRPr="00712FB0" w:rsidRDefault="001D4257" w:rsidP="00712FB0">
    <w:pPr>
      <w:pStyle w:val="Header"/>
      <w:jc w:val="left"/>
      <w:rPr>
        <w:rFonts w:eastAsiaTheme="minorHAnsi" w:cstheme="minorBidi"/>
        <w:noProof/>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671"/>
    </w:tblGrid>
    <w:tr w:rsidR="001D4257" w:rsidRPr="00784011" w14:paraId="2C26C877" w14:textId="77777777" w:rsidTr="00A64F4F">
      <w:trPr>
        <w:jc w:val="center"/>
      </w:trPr>
      <w:tc>
        <w:tcPr>
          <w:tcW w:w="4071" w:type="dxa"/>
          <w:vAlign w:val="center"/>
        </w:tcPr>
        <w:p w14:paraId="23B126BA" w14:textId="1AFF25D9" w:rsidR="001D4257" w:rsidRDefault="001D4257" w:rsidP="00A34FDF">
          <w:pPr>
            <w:pStyle w:val="Header"/>
            <w:jc w:val="left"/>
            <w:rPr>
              <w:noProof/>
            </w:rPr>
          </w:pPr>
          <w:r w:rsidRPr="00806E2D">
            <w:rPr>
              <w:noProof/>
            </w:rPr>
            <w:t>gDoc</w:t>
          </w:r>
          <w:r>
            <w:rPr>
              <w:noProof/>
            </w:rPr>
            <w:t xml:space="preserve"> 26</w:t>
          </w:r>
          <w:r w:rsidR="004D26F3">
            <w:rPr>
              <w:noProof/>
            </w:rPr>
            <w:t>01150</w:t>
          </w:r>
        </w:p>
      </w:tc>
      <w:tc>
        <w:tcPr>
          <w:tcW w:w="10671" w:type="dxa"/>
        </w:tcPr>
        <w:p w14:paraId="5E277E57" w14:textId="41441ED0" w:rsidR="001D4257" w:rsidRPr="00E06FD5" w:rsidRDefault="001D4257" w:rsidP="004D26F3">
          <w:pPr>
            <w:pStyle w:val="Header"/>
            <w:tabs>
              <w:tab w:val="left" w:pos="8863"/>
              <w:tab w:val="right" w:pos="10421"/>
            </w:tabs>
            <w:jc w:val="left"/>
            <w:rPr>
              <w:rFonts w:ascii="Arial" w:hAnsi="Arial" w:cs="Arial"/>
              <w:b/>
              <w:bCs/>
              <w:szCs w:val="18"/>
            </w:rPr>
          </w:pPr>
          <w:r>
            <w:rPr>
              <w:bCs/>
            </w:rPr>
            <w:tab/>
          </w:r>
          <w:r w:rsidRPr="00623AE3">
            <w:rPr>
              <w:bCs/>
            </w:rPr>
            <w:t>C</w:t>
          </w:r>
          <w:r>
            <w:rPr>
              <w:bCs/>
            </w:rPr>
            <w:t>26</w:t>
          </w:r>
          <w:r w:rsidRPr="00623AE3">
            <w:rPr>
              <w:bCs/>
            </w:rPr>
            <w:t>/</w:t>
          </w:r>
          <w:r>
            <w:rPr>
              <w:bCs/>
            </w:rPr>
            <w:t>28</w:t>
          </w:r>
          <w:r w:rsidRPr="00623AE3">
            <w:rPr>
              <w:bCs/>
            </w:rPr>
            <w:t>-</w:t>
          </w:r>
          <w:r w:rsidR="004D26F3">
            <w:rPr>
              <w:bCs/>
            </w:rPr>
            <w:t>(Rev.1)-</w:t>
          </w:r>
          <w:r>
            <w:rPr>
              <w:bCs/>
            </w:rPr>
            <w:t>S</w:t>
          </w:r>
          <w:r>
            <w:rPr>
              <w:bCs/>
            </w:rPr>
            <w:tab/>
          </w:r>
          <w:r>
            <w:fldChar w:fldCharType="begin"/>
          </w:r>
          <w:r>
            <w:instrText>PAGE</w:instrText>
          </w:r>
          <w:r>
            <w:fldChar w:fldCharType="separate"/>
          </w:r>
          <w:r w:rsidR="00C5533A">
            <w:rPr>
              <w:noProof/>
            </w:rPr>
            <w:t>7</w:t>
          </w:r>
          <w:r>
            <w:rPr>
              <w:noProof/>
            </w:rPr>
            <w:fldChar w:fldCharType="end"/>
          </w:r>
        </w:p>
      </w:tc>
    </w:tr>
  </w:tbl>
  <w:p w14:paraId="66E5568B" w14:textId="77777777" w:rsidR="001D4257" w:rsidRPr="00B32397" w:rsidRDefault="001D4257" w:rsidP="00A75AA2">
    <w:pPr>
      <w:pStyle w:val="Header"/>
      <w:jc w:val="left"/>
      <w:rPr>
        <w:bC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81F21B2" w14:textId="77777777" w:rsidTr="00E31DCE">
      <w:trPr>
        <w:jc w:val="center"/>
      </w:trPr>
      <w:tc>
        <w:tcPr>
          <w:tcW w:w="1803" w:type="dxa"/>
          <w:vAlign w:val="center"/>
        </w:tcPr>
        <w:p w14:paraId="6799F0B5" w14:textId="595D286B" w:rsidR="003273A4" w:rsidRDefault="002946E2" w:rsidP="003273A4">
          <w:pPr>
            <w:pStyle w:val="Header"/>
            <w:jc w:val="left"/>
            <w:rPr>
              <w:noProof/>
            </w:rPr>
          </w:pPr>
          <w:r>
            <w:rPr>
              <w:noProof/>
            </w:rPr>
            <w:t xml:space="preserve">gDoc </w:t>
          </w:r>
          <w:r w:rsidR="00485B19">
            <w:rPr>
              <w:noProof/>
            </w:rPr>
            <w:t>2601150</w:t>
          </w:r>
        </w:p>
      </w:tc>
      <w:tc>
        <w:tcPr>
          <w:tcW w:w="8261" w:type="dxa"/>
        </w:tcPr>
        <w:p w14:paraId="17B439EE" w14:textId="34726B30" w:rsidR="003273A4" w:rsidRPr="00E06FD5" w:rsidRDefault="003273A4" w:rsidP="00485B19">
          <w:pPr>
            <w:pStyle w:val="Header"/>
            <w:tabs>
              <w:tab w:val="left" w:pos="6452"/>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85B19">
            <w:rPr>
              <w:bCs/>
            </w:rPr>
            <w:t>28</w:t>
          </w:r>
          <w:r w:rsidRPr="00623AE3">
            <w:rPr>
              <w:bCs/>
            </w:rPr>
            <w:t>-</w:t>
          </w:r>
          <w:r w:rsidR="00485B19">
            <w:rPr>
              <w:bCs/>
            </w:rPr>
            <w:t>(Rev.1)-</w:t>
          </w:r>
          <w:r>
            <w:rPr>
              <w:bCs/>
            </w:rPr>
            <w:t>S</w:t>
          </w:r>
          <w:r>
            <w:rPr>
              <w:bCs/>
            </w:rPr>
            <w:tab/>
          </w:r>
          <w:r>
            <w:fldChar w:fldCharType="begin"/>
          </w:r>
          <w:r>
            <w:instrText>PAGE</w:instrText>
          </w:r>
          <w:r>
            <w:fldChar w:fldCharType="separate"/>
          </w:r>
          <w:r>
            <w:t>1</w:t>
          </w:r>
          <w:r>
            <w:rPr>
              <w:noProof/>
            </w:rPr>
            <w:fldChar w:fldCharType="end"/>
          </w:r>
        </w:p>
      </w:tc>
    </w:tr>
  </w:tbl>
  <w:p w14:paraId="50C23C75" w14:textId="77777777" w:rsidR="007B5EF0" w:rsidRDefault="007B5EF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ECB1FED" w14:textId="77777777" w:rsidTr="00E31DCE">
      <w:trPr>
        <w:jc w:val="center"/>
      </w:trPr>
      <w:tc>
        <w:tcPr>
          <w:tcW w:w="1803" w:type="dxa"/>
          <w:vAlign w:val="center"/>
        </w:tcPr>
        <w:p w14:paraId="6D2689F6" w14:textId="495259BD" w:rsidR="00F24B71" w:rsidRPr="002946E2" w:rsidRDefault="003F48BC" w:rsidP="00F24B71">
          <w:pPr>
            <w:pStyle w:val="Header"/>
            <w:jc w:val="left"/>
            <w:rPr>
              <w:noProof/>
            </w:rPr>
          </w:pPr>
          <w:proofErr w:type="spellStart"/>
          <w:r>
            <w:t>gDoc</w:t>
          </w:r>
          <w:proofErr w:type="spellEnd"/>
          <w:r>
            <w:t xml:space="preserve"> 2601150</w:t>
          </w:r>
        </w:p>
      </w:tc>
      <w:tc>
        <w:tcPr>
          <w:tcW w:w="8261" w:type="dxa"/>
        </w:tcPr>
        <w:p w14:paraId="7A87977A" w14:textId="5728BA3A" w:rsidR="00F24B71" w:rsidRPr="00E06FD5" w:rsidRDefault="00F24B71" w:rsidP="001D4257">
          <w:pPr>
            <w:pStyle w:val="Header"/>
            <w:tabs>
              <w:tab w:val="left" w:pos="6452"/>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1D4257">
            <w:rPr>
              <w:bCs/>
            </w:rPr>
            <w:t>28</w:t>
          </w:r>
          <w:r w:rsidRPr="00623AE3">
            <w:rPr>
              <w:bCs/>
            </w:rPr>
            <w:t>-</w:t>
          </w:r>
          <w:r w:rsidR="001D4257">
            <w:rPr>
              <w:bCs/>
            </w:rPr>
            <w:t>(Rev.1)-</w:t>
          </w:r>
          <w:r w:rsidR="003273A4">
            <w:rPr>
              <w:bCs/>
            </w:rPr>
            <w:t>S</w:t>
          </w:r>
          <w:r>
            <w:rPr>
              <w:bCs/>
            </w:rPr>
            <w:tab/>
          </w:r>
          <w:r>
            <w:fldChar w:fldCharType="begin"/>
          </w:r>
          <w:r>
            <w:instrText>PAGE</w:instrText>
          </w:r>
          <w:r>
            <w:fldChar w:fldCharType="separate"/>
          </w:r>
          <w:r w:rsidR="00C5533A">
            <w:rPr>
              <w:noProof/>
            </w:rPr>
            <w:t>16</w:t>
          </w:r>
          <w:r>
            <w:rPr>
              <w:noProof/>
            </w:rPr>
            <w:fldChar w:fldCharType="end"/>
          </w:r>
        </w:p>
      </w:tc>
    </w:tr>
  </w:tbl>
  <w:p w14:paraId="1A66251C" w14:textId="77777777" w:rsidR="007B5EF0" w:rsidRDefault="007B5EF0" w:rsidP="00E40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BFB8" w14:textId="77777777" w:rsidR="001418D1" w:rsidRDefault="001418D1">
      <w:r>
        <w:t>____________________</w:t>
      </w:r>
    </w:p>
  </w:footnote>
  <w:footnote w:type="continuationSeparator" w:id="0">
    <w:p w14:paraId="3FA7C6FC" w14:textId="77777777" w:rsidR="001418D1" w:rsidRDefault="0014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C166" w14:textId="7C460820" w:rsidR="001D4257" w:rsidRPr="00B32397" w:rsidRDefault="003F48BC" w:rsidP="00A64F4F">
    <w:pPr>
      <w:pStyle w:val="Header"/>
    </w:pPr>
    <w:r>
      <w:rPr>
        <w:noProof/>
        <w:lang w:val="en-US"/>
      </w:rPr>
      <w:drawing>
        <wp:inline distT="0" distB="0" distL="0" distR="0" wp14:anchorId="60A07F1F" wp14:editId="0928C624">
          <wp:extent cx="5761355" cy="841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41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6BDB" w14:textId="77777777" w:rsidR="001D4257" w:rsidRPr="00B32397" w:rsidRDefault="001D4257" w:rsidP="00A64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43F8" w14:textId="77777777" w:rsidR="001D4257" w:rsidRPr="00C97596" w:rsidRDefault="001D4257" w:rsidP="00C97596">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21A" w14:textId="4446FF0E" w:rsidR="001559F5" w:rsidRPr="00B1560D" w:rsidRDefault="001559F5" w:rsidP="00B1560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S">
    <w15:presenceInfo w15:providerId="None" w15:userId="G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19"/>
    <w:rsid w:val="000007D1"/>
    <w:rsid w:val="0006007D"/>
    <w:rsid w:val="00093EEB"/>
    <w:rsid w:val="000B0D00"/>
    <w:rsid w:val="000B7C15"/>
    <w:rsid w:val="000D1D0F"/>
    <w:rsid w:val="000E3F07"/>
    <w:rsid w:val="000F5290"/>
    <w:rsid w:val="000F5A95"/>
    <w:rsid w:val="0010165C"/>
    <w:rsid w:val="001418D1"/>
    <w:rsid w:val="00146BFB"/>
    <w:rsid w:val="001559F5"/>
    <w:rsid w:val="00157AC4"/>
    <w:rsid w:val="0016169C"/>
    <w:rsid w:val="001958F5"/>
    <w:rsid w:val="001B6E2B"/>
    <w:rsid w:val="001D4257"/>
    <w:rsid w:val="001F14A2"/>
    <w:rsid w:val="0027054F"/>
    <w:rsid w:val="00277DEA"/>
    <w:rsid w:val="002801AA"/>
    <w:rsid w:val="002946E2"/>
    <w:rsid w:val="002C3F32"/>
    <w:rsid w:val="002C4676"/>
    <w:rsid w:val="002C70B0"/>
    <w:rsid w:val="002F3CC4"/>
    <w:rsid w:val="003032E2"/>
    <w:rsid w:val="0031300A"/>
    <w:rsid w:val="003273A4"/>
    <w:rsid w:val="0034796E"/>
    <w:rsid w:val="003F48BC"/>
    <w:rsid w:val="004571B0"/>
    <w:rsid w:val="00465C35"/>
    <w:rsid w:val="00473962"/>
    <w:rsid w:val="00485B19"/>
    <w:rsid w:val="004B5D49"/>
    <w:rsid w:val="004D26F3"/>
    <w:rsid w:val="004D3A3C"/>
    <w:rsid w:val="00513630"/>
    <w:rsid w:val="00560125"/>
    <w:rsid w:val="00585553"/>
    <w:rsid w:val="005B34D9"/>
    <w:rsid w:val="005C2B20"/>
    <w:rsid w:val="005D0CCF"/>
    <w:rsid w:val="005F0915"/>
    <w:rsid w:val="005F3BCB"/>
    <w:rsid w:val="005F410F"/>
    <w:rsid w:val="0060149A"/>
    <w:rsid w:val="00601924"/>
    <w:rsid w:val="0064386A"/>
    <w:rsid w:val="006447EA"/>
    <w:rsid w:val="0064481D"/>
    <w:rsid w:val="0064731F"/>
    <w:rsid w:val="00664572"/>
    <w:rsid w:val="00666D09"/>
    <w:rsid w:val="00670579"/>
    <w:rsid w:val="006710F6"/>
    <w:rsid w:val="00677A97"/>
    <w:rsid w:val="006C1B56"/>
    <w:rsid w:val="006D4761"/>
    <w:rsid w:val="00726872"/>
    <w:rsid w:val="00760F1C"/>
    <w:rsid w:val="007611FB"/>
    <w:rsid w:val="007657F0"/>
    <w:rsid w:val="0077110E"/>
    <w:rsid w:val="0077252D"/>
    <w:rsid w:val="007955DA"/>
    <w:rsid w:val="007B5EF0"/>
    <w:rsid w:val="007E5DD3"/>
    <w:rsid w:val="007F350B"/>
    <w:rsid w:val="00820BE4"/>
    <w:rsid w:val="008451E8"/>
    <w:rsid w:val="0084546D"/>
    <w:rsid w:val="00885171"/>
    <w:rsid w:val="008F6ABC"/>
    <w:rsid w:val="00913B9C"/>
    <w:rsid w:val="00927F93"/>
    <w:rsid w:val="00956E77"/>
    <w:rsid w:val="009A338E"/>
    <w:rsid w:val="009A76A8"/>
    <w:rsid w:val="009F4811"/>
    <w:rsid w:val="00A01F4F"/>
    <w:rsid w:val="00A109AF"/>
    <w:rsid w:val="00A67AB7"/>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33A"/>
    <w:rsid w:val="00C55B1F"/>
    <w:rsid w:val="00C66A27"/>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40377"/>
    <w:rsid w:val="00E50D76"/>
    <w:rsid w:val="00E8018B"/>
    <w:rsid w:val="00E92DE8"/>
    <w:rsid w:val="00EB1212"/>
    <w:rsid w:val="00ED65AB"/>
    <w:rsid w:val="00F12850"/>
    <w:rsid w:val="00F24B71"/>
    <w:rsid w:val="00F33BF4"/>
    <w:rsid w:val="00F7105E"/>
    <w:rsid w:val="00F75F57"/>
    <w:rsid w:val="00F82FEE"/>
    <w:rsid w:val="00F85E5C"/>
    <w:rsid w:val="00F92BED"/>
    <w:rsid w:val="00FD2036"/>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B4C53E"/>
  <w15:docId w15:val="{4C514C19-D368-47B8-92F9-5539963D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aliases w:val="encabezado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table" w:customStyle="1" w:styleId="TableGrid1">
    <w:name w:val="Table Grid1"/>
    <w:basedOn w:val="TableNormal"/>
    <w:next w:val="TableGrid"/>
    <w:uiPriority w:val="39"/>
    <w:rsid w:val="001D4257"/>
    <w:pPr>
      <w:spacing w:before="200"/>
      <w:ind w:left="547" w:hanging="547"/>
      <w:jc w:val="both"/>
    </w:pPr>
    <w:rPr>
      <w:rFonts w:ascii="Aptos" w:eastAsia="Aptos" w:hAnsi="Apto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533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533A"/>
    <w:rPr>
      <w:rFonts w:ascii="Segoe UI" w:hAnsi="Segoe UI" w:cs="Segoe UI"/>
      <w:sz w:val="18"/>
      <w:szCs w:val="18"/>
      <w:lang w:val="fr-FR" w:eastAsia="en-US"/>
    </w:rPr>
  </w:style>
  <w:style w:type="paragraph" w:styleId="Revision">
    <w:name w:val="Revision"/>
    <w:hidden/>
    <w:uiPriority w:val="99"/>
    <w:semiHidden/>
    <w:rsid w:val="00FD2036"/>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4-CL-C-0102/es" TargetMode="External"/><Relationship Id="rId18" Type="http://schemas.openxmlformats.org/officeDocument/2006/relationships/footer" Target="footer5.xml"/><Relationship Id="rId26" Type="http://schemas.openxmlformats.org/officeDocument/2006/relationships/image" Target="media/image12.emf"/><Relationship Id="rId21" Type="http://schemas.openxmlformats.org/officeDocument/2006/relationships/image" Target="media/image7.emf"/><Relationship Id="rId34"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image" Target="media/image11.emf"/><Relationship Id="rId33"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image" Target="media/image6.emf"/><Relationship Id="rId29"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footer" Target="footer6.xml"/><Relationship Id="rId36" Type="http://schemas.microsoft.com/office/2011/relationships/people" Target="people.xml"/><Relationship Id="rId10" Type="http://schemas.openxmlformats.org/officeDocument/2006/relationships/image" Target="media/image3.emf"/><Relationship Id="rId19" Type="http://schemas.openxmlformats.org/officeDocument/2006/relationships/image" Target="media/image5.emf"/><Relationship Id="rId31" Type="http://schemas.openxmlformats.org/officeDocument/2006/relationships/hyperlink" Target="https://www.itu.int/md/S26-CL-C-0028/en"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itu.int/md/S14-CL-C-0102/en"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yperlink" Target="https://www.itu.int/md/S26-CL-C-0028/es"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16</Pages>
  <Words>1653</Words>
  <Characters>8978</Characters>
  <Application>Microsoft Office Word</Application>
  <DocSecurity>0</DocSecurity>
  <Lines>561</Lines>
  <Paragraphs>200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10431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operacional de la Unión para 2027</dc:title>
  <dc:subject>Consejo 2026 de la UIT</dc:subject>
  <dc:creator>GBS</dc:creator>
  <cp:keywords>C26; C2026; Council 2026; PP26</cp:keywords>
  <dc:description/>
  <cp:lastModifiedBy>GBS</cp:lastModifiedBy>
  <cp:revision>2</cp:revision>
  <cp:lastPrinted>2006-03-24T09:51:00Z</cp:lastPrinted>
  <dcterms:created xsi:type="dcterms:W3CDTF">2026-05-05T07:39:00Z</dcterms:created>
  <dcterms:modified xsi:type="dcterms:W3CDTF">2026-05-05T07:39:00Z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