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27019F64" w14:textId="77777777" w:rsidTr="00954C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1645E1B" w14:textId="713285D8" w:rsidR="00863692" w:rsidRPr="00C0458D" w:rsidRDefault="00863692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  <w:r>
              <w:rPr>
                <w:rFonts w:hint="eastAsia"/>
                <w:b/>
                <w:lang w:eastAsia="zh-CN"/>
              </w:rPr>
              <w:t>议项：</w:t>
            </w:r>
            <w:r w:rsidR="00455AC4" w:rsidRPr="00455AC4">
              <w:rPr>
                <w:b/>
                <w:lang w:eastAsia="zh-CN"/>
              </w:rPr>
              <w:t>ADM</w:t>
            </w:r>
          </w:p>
        </w:tc>
        <w:tc>
          <w:tcPr>
            <w:tcW w:w="5245" w:type="dxa"/>
          </w:tcPr>
          <w:p w14:paraId="627B15D6" w14:textId="282EEDD7" w:rsidR="00AD3606" w:rsidRPr="00C0458D" w:rsidRDefault="00863692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文件</w:t>
            </w:r>
            <w:r w:rsidR="00AD3606" w:rsidRPr="00C0458D">
              <w:rPr>
                <w:b/>
              </w:rPr>
              <w:t xml:space="preserve"> C2</w:t>
            </w:r>
            <w:r w:rsidR="00DE532B">
              <w:rPr>
                <w:b/>
              </w:rPr>
              <w:t>6</w:t>
            </w:r>
            <w:r w:rsidR="00AD3606" w:rsidRPr="00C0458D">
              <w:rPr>
                <w:b/>
              </w:rPr>
              <w:t>/</w:t>
            </w:r>
            <w:r w:rsidR="00107EAA">
              <w:rPr>
                <w:b/>
              </w:rPr>
              <w:t>28</w:t>
            </w:r>
            <w:r w:rsidR="00DF186A">
              <w:rPr>
                <w:rFonts w:hint="eastAsia"/>
                <w:b/>
                <w:lang w:eastAsia="zh-CN"/>
              </w:rPr>
              <w:t>(</w:t>
            </w:r>
            <w:r w:rsidR="00DF186A" w:rsidRPr="00DF186A">
              <w:rPr>
                <w:b/>
                <w:lang w:eastAsia="zh-CN"/>
              </w:rPr>
              <w:t>Rev</w:t>
            </w:r>
            <w:r w:rsidR="00DF186A">
              <w:rPr>
                <w:rFonts w:hint="eastAsia"/>
                <w:b/>
                <w:lang w:eastAsia="zh-CN"/>
              </w:rPr>
              <w:t>.</w:t>
            </w:r>
            <w:r w:rsidR="00DF186A" w:rsidRPr="00DF186A">
              <w:rPr>
                <w:b/>
                <w:lang w:eastAsia="zh-CN"/>
              </w:rPr>
              <w:t>1</w:t>
            </w:r>
            <w:r w:rsidR="00DF186A">
              <w:rPr>
                <w:rFonts w:hint="eastAsia"/>
                <w:b/>
                <w:lang w:eastAsia="zh-CN"/>
              </w:rPr>
              <w:t>)</w:t>
            </w:r>
            <w:r w:rsidR="00AD3606" w:rsidRPr="00C0458D">
              <w:rPr>
                <w:b/>
              </w:rPr>
              <w:t>-</w:t>
            </w:r>
            <w:r w:rsidR="00B653EC">
              <w:rPr>
                <w:rFonts w:hint="eastAsia"/>
                <w:b/>
                <w:lang w:eastAsia="zh-CN"/>
              </w:rPr>
              <w:t>C</w:t>
            </w:r>
          </w:p>
        </w:tc>
      </w:tr>
      <w:tr w:rsidR="00AD3606" w:rsidRPr="00C0458D" w14:paraId="65AB0567" w14:textId="77777777" w:rsidTr="00954C49">
        <w:trPr>
          <w:cantSplit/>
        </w:trPr>
        <w:tc>
          <w:tcPr>
            <w:tcW w:w="3969" w:type="dxa"/>
            <w:vMerge/>
          </w:tcPr>
          <w:p w14:paraId="044C8158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60AC16C" w14:textId="2A1BE613" w:rsidR="00AD3606" w:rsidRPr="00C0458D" w:rsidRDefault="00AE3B44" w:rsidP="00954C49">
            <w:pPr>
              <w:tabs>
                <w:tab w:val="left" w:pos="851"/>
              </w:tabs>
              <w:spacing w:before="0"/>
              <w:jc w:val="right"/>
              <w:rPr>
                <w:b/>
                <w:lang w:eastAsia="zh-CN"/>
              </w:rPr>
            </w:pPr>
            <w:r>
              <w:rPr>
                <w:b/>
              </w:rPr>
              <w:t>2026</w:t>
            </w:r>
            <w:r w:rsidR="00863692">
              <w:rPr>
                <w:rFonts w:hint="eastAsia"/>
                <w:b/>
                <w:lang w:eastAsia="zh-CN"/>
              </w:rPr>
              <w:t>年</w:t>
            </w:r>
            <w:r w:rsidR="00DF186A">
              <w:rPr>
                <w:rFonts w:hint="eastAsia"/>
                <w:b/>
                <w:lang w:eastAsia="zh-CN"/>
              </w:rPr>
              <w:t>4</w:t>
            </w:r>
            <w:r w:rsidR="00863692">
              <w:rPr>
                <w:rFonts w:hint="eastAsia"/>
                <w:b/>
                <w:lang w:eastAsia="zh-CN"/>
              </w:rPr>
              <w:t>月</w:t>
            </w:r>
            <w:r w:rsidR="00DF186A" w:rsidRPr="00DF186A">
              <w:rPr>
                <w:b/>
                <w:lang w:eastAsia="zh-CN"/>
              </w:rPr>
              <w:t>29</w:t>
            </w:r>
            <w:r w:rsidR="00863692">
              <w:rPr>
                <w:rFonts w:hint="eastAsia"/>
                <w:b/>
                <w:lang w:eastAsia="zh-CN"/>
              </w:rPr>
              <w:t>日</w:t>
            </w:r>
          </w:p>
        </w:tc>
      </w:tr>
      <w:tr w:rsidR="00AD3606" w:rsidRPr="00C0458D" w14:paraId="2FF439A4" w14:textId="77777777" w:rsidTr="00954C49">
        <w:trPr>
          <w:cantSplit/>
          <w:trHeight w:val="23"/>
        </w:trPr>
        <w:tc>
          <w:tcPr>
            <w:tcW w:w="3969" w:type="dxa"/>
            <w:vMerge/>
          </w:tcPr>
          <w:p w14:paraId="6CFB30F5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7B922076" w14:textId="1181008D" w:rsidR="00AD3606" w:rsidRPr="00C0458D" w:rsidRDefault="00863692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原文：英文</w:t>
            </w:r>
          </w:p>
        </w:tc>
      </w:tr>
      <w:tr w:rsidR="00472BAD" w:rsidRPr="00C0458D" w14:paraId="6693A6D9" w14:textId="77777777" w:rsidTr="00954C49">
        <w:trPr>
          <w:cantSplit/>
          <w:trHeight w:val="23"/>
        </w:trPr>
        <w:tc>
          <w:tcPr>
            <w:tcW w:w="3969" w:type="dxa"/>
          </w:tcPr>
          <w:p w14:paraId="47541C46" w14:textId="77777777" w:rsidR="00472BAD" w:rsidRPr="00C0458D" w:rsidRDefault="00472BAD" w:rsidP="00FD0096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0CD7F27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21388443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974CF10" w14:textId="439D7986" w:rsidR="00AD3606" w:rsidRPr="00C0458D" w:rsidRDefault="00863692" w:rsidP="00FD0096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>
              <w:rPr>
                <w:rFonts w:hint="eastAsia"/>
                <w:lang w:eastAsia="zh-CN"/>
              </w:rPr>
              <w:t>秘书长的报告</w:t>
            </w:r>
          </w:p>
        </w:tc>
      </w:tr>
      <w:tr w:rsidR="00AD3606" w:rsidRPr="00C0458D" w14:paraId="2008114E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036C3F4" w14:textId="3B4BEEAB" w:rsidR="00AD3606" w:rsidRPr="00E70BD0" w:rsidRDefault="00863692" w:rsidP="00FD0096">
            <w:pPr>
              <w:pStyle w:val="Subtitle"/>
              <w:framePr w:hSpace="0" w:wrap="auto" w:xAlign="left" w:yAlign="inline"/>
              <w:rPr>
                <w:sz w:val="34"/>
                <w:szCs w:val="34"/>
                <w:lang w:eastAsia="zh-CN"/>
              </w:rPr>
            </w:pPr>
            <w:bookmarkStart w:id="9" w:name="dtitle1" w:colFirst="0" w:colLast="0"/>
            <w:bookmarkEnd w:id="8"/>
            <w:r w:rsidRPr="00E70BD0">
              <w:rPr>
                <w:rFonts w:hint="eastAsia"/>
                <w:sz w:val="34"/>
                <w:szCs w:val="34"/>
                <w:lang w:eastAsia="zh-CN"/>
              </w:rPr>
              <w:t>国际电联</w:t>
            </w:r>
            <w:r w:rsidRPr="00E70BD0">
              <w:rPr>
                <w:sz w:val="34"/>
                <w:szCs w:val="34"/>
                <w:lang w:eastAsia="zh-CN"/>
              </w:rPr>
              <w:t>2027</w:t>
            </w:r>
            <w:r w:rsidRPr="00E70BD0">
              <w:rPr>
                <w:rFonts w:hint="eastAsia"/>
                <w:sz w:val="34"/>
                <w:szCs w:val="34"/>
                <w:lang w:eastAsia="zh-CN"/>
              </w:rPr>
              <w:t>年《运作规划》草案</w:t>
            </w:r>
          </w:p>
        </w:tc>
      </w:tr>
      <w:tr w:rsidR="00AD3606" w:rsidRPr="00C0458D" w14:paraId="58526C68" w14:textId="77777777" w:rsidTr="00954C4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08C9082" w14:textId="49201AC8" w:rsidR="00AD3606" w:rsidRPr="00C0458D" w:rsidRDefault="00863692" w:rsidP="00AE3B44">
            <w:pPr>
              <w:jc w:val="both"/>
              <w:rPr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eastAsia="zh-CN"/>
              </w:rPr>
              <w:t>目的</w:t>
            </w:r>
          </w:p>
          <w:p w14:paraId="3C354DAE" w14:textId="6B0FF427" w:rsidR="00863692" w:rsidRDefault="00863692" w:rsidP="00195FB9">
            <w:pPr>
              <w:tabs>
                <w:tab w:val="clear" w:pos="567"/>
                <w:tab w:val="clear" w:pos="1701"/>
                <w:tab w:val="clear" w:pos="2835"/>
                <w:tab w:val="left" w:pos="1871"/>
              </w:tabs>
              <w:spacing w:after="120"/>
              <w:ind w:firstLineChars="200" w:firstLine="480"/>
              <w:rPr>
                <w:lang w:eastAsia="zh-CN"/>
              </w:rPr>
            </w:pPr>
            <w:r w:rsidRPr="00863692">
              <w:rPr>
                <w:rFonts w:hint="eastAsia"/>
                <w:lang w:eastAsia="zh-CN"/>
              </w:rPr>
              <w:t>本文件</w:t>
            </w:r>
            <w:r>
              <w:rPr>
                <w:rFonts w:hint="eastAsia"/>
                <w:lang w:eastAsia="zh-CN"/>
              </w:rPr>
              <w:t>介绍</w:t>
            </w:r>
            <w:r w:rsidRPr="00863692">
              <w:rPr>
                <w:rFonts w:hint="eastAsia"/>
                <w:lang w:eastAsia="zh-CN"/>
              </w:rPr>
              <w:t>了国际电联</w:t>
            </w:r>
            <w:r w:rsidRPr="00863692">
              <w:rPr>
                <w:rFonts w:hint="eastAsia"/>
                <w:lang w:eastAsia="zh-CN"/>
              </w:rPr>
              <w:t>2027</w:t>
            </w:r>
            <w:r w:rsidRPr="00863692">
              <w:rPr>
                <w:rFonts w:hint="eastAsia"/>
                <w:lang w:eastAsia="zh-CN"/>
              </w:rPr>
              <w:t>年运作</w:t>
            </w:r>
            <w:r>
              <w:rPr>
                <w:rFonts w:hint="eastAsia"/>
                <w:lang w:eastAsia="zh-CN"/>
              </w:rPr>
              <w:t>规划</w:t>
            </w:r>
            <w:r w:rsidRPr="00863692">
              <w:rPr>
                <w:rFonts w:hint="eastAsia"/>
                <w:lang w:eastAsia="zh-CN"/>
              </w:rPr>
              <w:t>草案</w:t>
            </w:r>
            <w:r>
              <w:rPr>
                <w:rFonts w:hint="eastAsia"/>
                <w:lang w:eastAsia="zh-CN"/>
              </w:rPr>
              <w:t>，</w:t>
            </w:r>
            <w:r w:rsidRPr="00863692">
              <w:rPr>
                <w:rFonts w:hint="eastAsia"/>
                <w:lang w:eastAsia="zh-CN"/>
              </w:rPr>
              <w:t>该草案根据《国际电联公约》第</w:t>
            </w:r>
            <w:r w:rsidRPr="00863692">
              <w:rPr>
                <w:rFonts w:hint="eastAsia"/>
                <w:lang w:eastAsia="zh-CN"/>
              </w:rPr>
              <w:t>5</w:t>
            </w:r>
            <w:r w:rsidRPr="00863692">
              <w:rPr>
                <w:rFonts w:hint="eastAsia"/>
                <w:lang w:eastAsia="zh-CN"/>
              </w:rPr>
              <w:t>条第</w:t>
            </w:r>
            <w:r w:rsidRPr="00863692">
              <w:rPr>
                <w:rFonts w:hint="eastAsia"/>
                <w:lang w:eastAsia="zh-CN"/>
              </w:rPr>
              <w:t>87A</w:t>
            </w:r>
            <w:r w:rsidRPr="00863692">
              <w:rPr>
                <w:rFonts w:hint="eastAsia"/>
                <w:lang w:eastAsia="zh-CN"/>
              </w:rPr>
              <w:t>款编制</w:t>
            </w:r>
            <w:r w:rsidR="00B85101">
              <w:rPr>
                <w:rFonts w:hint="eastAsia"/>
                <w:lang w:eastAsia="zh-CN"/>
              </w:rPr>
              <w:t>，</w:t>
            </w:r>
            <w:r w:rsidRPr="00863692">
              <w:rPr>
                <w:rFonts w:hint="eastAsia"/>
                <w:lang w:eastAsia="zh-CN"/>
              </w:rPr>
              <w:t>其中包含了</w:t>
            </w:r>
            <w:r w:rsidR="00B85101" w:rsidRPr="00B85101">
              <w:rPr>
                <w:rFonts w:hint="eastAsia"/>
                <w:lang w:eastAsia="zh-CN"/>
              </w:rPr>
              <w:t>根据《</w:t>
            </w:r>
            <w:r w:rsidR="00D82D24" w:rsidRPr="00863692">
              <w:rPr>
                <w:rFonts w:hint="eastAsia"/>
                <w:lang w:eastAsia="zh-CN"/>
              </w:rPr>
              <w:t>国际电联公约</w:t>
            </w:r>
            <w:r w:rsidR="00B85101" w:rsidRPr="00B85101">
              <w:rPr>
                <w:rFonts w:hint="eastAsia"/>
                <w:lang w:eastAsia="zh-CN"/>
              </w:rPr>
              <w:t>》制定的</w:t>
            </w:r>
            <w:r w:rsidRPr="00863692">
              <w:rPr>
                <w:rFonts w:hint="eastAsia"/>
                <w:lang w:eastAsia="zh-CN"/>
              </w:rPr>
              <w:t>各局运作</w:t>
            </w:r>
            <w:r>
              <w:rPr>
                <w:rFonts w:hint="eastAsia"/>
                <w:lang w:eastAsia="zh-CN"/>
              </w:rPr>
              <w:t>规划</w:t>
            </w:r>
            <w:r w:rsidRPr="00863692">
              <w:rPr>
                <w:rFonts w:hint="eastAsia"/>
                <w:lang w:eastAsia="zh-CN"/>
              </w:rPr>
              <w:t>的链接。</w:t>
            </w:r>
            <w:r w:rsidR="000E14C3">
              <w:rPr>
                <w:rFonts w:hint="eastAsia"/>
                <w:lang w:eastAsia="zh-CN"/>
              </w:rPr>
              <w:t>电信标准化局（</w:t>
            </w:r>
            <w:r w:rsidRPr="00863692">
              <w:rPr>
                <w:rFonts w:hint="eastAsia"/>
                <w:lang w:eastAsia="zh-CN"/>
              </w:rPr>
              <w:t>TSB</w:t>
            </w:r>
            <w:r w:rsidR="000E14C3">
              <w:rPr>
                <w:rFonts w:hint="eastAsia"/>
                <w:lang w:eastAsia="zh-CN"/>
              </w:rPr>
              <w:t>）</w:t>
            </w:r>
            <w:r w:rsidRPr="00863692">
              <w:rPr>
                <w:rFonts w:hint="eastAsia"/>
                <w:lang w:eastAsia="zh-CN"/>
              </w:rPr>
              <w:t>和</w:t>
            </w:r>
            <w:r w:rsidR="000E14C3">
              <w:rPr>
                <w:rFonts w:hint="eastAsia"/>
                <w:lang w:eastAsia="zh-CN"/>
              </w:rPr>
              <w:t>无线电通信局（</w:t>
            </w:r>
            <w:r w:rsidRPr="00863692">
              <w:rPr>
                <w:rFonts w:hint="eastAsia"/>
                <w:lang w:eastAsia="zh-CN"/>
              </w:rPr>
              <w:t>BR</w:t>
            </w:r>
            <w:r w:rsidR="000E14C3">
              <w:rPr>
                <w:rFonts w:hint="eastAsia"/>
                <w:lang w:eastAsia="zh-CN"/>
              </w:rPr>
              <w:t>）</w:t>
            </w:r>
            <w:r w:rsidRPr="00863692">
              <w:rPr>
                <w:rFonts w:hint="eastAsia"/>
                <w:lang w:eastAsia="zh-CN"/>
              </w:rPr>
              <w:t>的</w:t>
            </w:r>
            <w:r w:rsidR="00584DAF">
              <w:rPr>
                <w:rFonts w:hint="eastAsia"/>
                <w:lang w:eastAsia="zh-CN"/>
              </w:rPr>
              <w:t>规划</w:t>
            </w:r>
            <w:r w:rsidRPr="00863692">
              <w:rPr>
                <w:rFonts w:hint="eastAsia"/>
                <w:lang w:eastAsia="zh-CN"/>
              </w:rPr>
              <w:t>已</w:t>
            </w:r>
            <w:r w:rsidR="00195FB9">
              <w:rPr>
                <w:rFonts w:hint="eastAsia"/>
                <w:lang w:eastAsia="zh-CN"/>
              </w:rPr>
              <w:t>向</w:t>
            </w:r>
            <w:r w:rsidRPr="00863692">
              <w:rPr>
                <w:rFonts w:hint="eastAsia"/>
                <w:lang w:eastAsia="zh-CN"/>
              </w:rPr>
              <w:t>相关</w:t>
            </w:r>
            <w:r w:rsidR="00584DAF">
              <w:rPr>
                <w:rFonts w:hint="eastAsia"/>
                <w:lang w:eastAsia="zh-CN"/>
              </w:rPr>
              <w:t>顾问组</w:t>
            </w:r>
            <w:r w:rsidR="00195FB9">
              <w:rPr>
                <w:rFonts w:hint="eastAsia"/>
                <w:lang w:eastAsia="zh-CN"/>
              </w:rPr>
              <w:t>做了介绍</w:t>
            </w:r>
            <w:r w:rsidRPr="00863692">
              <w:rPr>
                <w:rFonts w:hint="eastAsia"/>
                <w:lang w:eastAsia="zh-CN"/>
              </w:rPr>
              <w:t>，而</w:t>
            </w:r>
            <w:r w:rsidR="00E82AB2">
              <w:rPr>
                <w:rFonts w:hint="eastAsia"/>
                <w:lang w:eastAsia="zh-CN"/>
              </w:rPr>
              <w:t>电信发展局（</w:t>
            </w:r>
            <w:r w:rsidRPr="00863692">
              <w:rPr>
                <w:rFonts w:hint="eastAsia"/>
                <w:lang w:eastAsia="zh-CN"/>
              </w:rPr>
              <w:t>BDT</w:t>
            </w:r>
            <w:r w:rsidR="00E82AB2">
              <w:rPr>
                <w:rFonts w:hint="eastAsia"/>
                <w:lang w:eastAsia="zh-CN"/>
              </w:rPr>
              <w:t>）</w:t>
            </w:r>
            <w:r w:rsidRPr="00863692">
              <w:rPr>
                <w:rFonts w:hint="eastAsia"/>
                <w:lang w:eastAsia="zh-CN"/>
              </w:rPr>
              <w:t>的</w:t>
            </w:r>
            <w:r w:rsidR="00584DAF">
              <w:rPr>
                <w:rFonts w:hint="eastAsia"/>
                <w:lang w:eastAsia="zh-CN"/>
              </w:rPr>
              <w:t>规划</w:t>
            </w:r>
            <w:r w:rsidRPr="00863692">
              <w:rPr>
                <w:rFonts w:hint="eastAsia"/>
                <w:lang w:eastAsia="zh-CN"/>
              </w:rPr>
              <w:t>将提交即将召开的</w:t>
            </w:r>
            <w:r w:rsidR="00B16856">
              <w:rPr>
                <w:rFonts w:hint="eastAsia"/>
                <w:lang w:eastAsia="zh-CN"/>
              </w:rPr>
              <w:t>电信发展顾问组（</w:t>
            </w:r>
            <w:r w:rsidRPr="00863692">
              <w:rPr>
                <w:rFonts w:hint="eastAsia"/>
                <w:lang w:eastAsia="zh-CN"/>
              </w:rPr>
              <w:t>TDAG</w:t>
            </w:r>
            <w:r w:rsidR="00B16856">
              <w:rPr>
                <w:rFonts w:hint="eastAsia"/>
                <w:lang w:eastAsia="zh-CN"/>
              </w:rPr>
              <w:t>）</w:t>
            </w:r>
            <w:r w:rsidRPr="00863692">
              <w:rPr>
                <w:rFonts w:hint="eastAsia"/>
                <w:lang w:eastAsia="zh-CN"/>
              </w:rPr>
              <w:t>会议。</w:t>
            </w:r>
          </w:p>
          <w:p w14:paraId="221BEE3D" w14:textId="5B1C8630" w:rsidR="00863692" w:rsidRPr="00C0458D" w:rsidRDefault="00863692" w:rsidP="00261E2C">
            <w:pPr>
              <w:tabs>
                <w:tab w:val="clear" w:pos="567"/>
                <w:tab w:val="clear" w:pos="1701"/>
                <w:tab w:val="clear" w:pos="2835"/>
                <w:tab w:val="left" w:pos="1871"/>
              </w:tabs>
              <w:spacing w:after="120"/>
              <w:ind w:firstLineChars="200" w:firstLine="480"/>
              <w:rPr>
                <w:lang w:eastAsia="zh-CN"/>
              </w:rPr>
            </w:pPr>
            <w:r w:rsidRPr="00863692">
              <w:rPr>
                <w:rFonts w:hint="eastAsia"/>
                <w:lang w:eastAsia="zh-CN"/>
              </w:rPr>
              <w:t>国际电联</w:t>
            </w:r>
            <w:r w:rsidRPr="00863692">
              <w:rPr>
                <w:rFonts w:hint="eastAsia"/>
                <w:lang w:eastAsia="zh-CN"/>
              </w:rPr>
              <w:t>2024-2027</w:t>
            </w:r>
            <w:r w:rsidRPr="00863692">
              <w:rPr>
                <w:rFonts w:hint="eastAsia"/>
                <w:lang w:eastAsia="zh-CN"/>
              </w:rPr>
              <w:t>年</w:t>
            </w:r>
            <w:r w:rsidR="00681F7A">
              <w:rPr>
                <w:rFonts w:hint="eastAsia"/>
                <w:lang w:eastAsia="zh-CN"/>
              </w:rPr>
              <w:t>《</w:t>
            </w:r>
            <w:r w:rsidR="00681F7A" w:rsidRPr="00863692">
              <w:rPr>
                <w:rFonts w:hint="eastAsia"/>
                <w:lang w:eastAsia="zh-CN"/>
              </w:rPr>
              <w:t>战略</w:t>
            </w:r>
            <w:r w:rsidR="00681F7A">
              <w:rPr>
                <w:rFonts w:hint="eastAsia"/>
                <w:lang w:eastAsia="zh-CN"/>
              </w:rPr>
              <w:t>规划》和《</w:t>
            </w:r>
            <w:r w:rsidR="00681F7A" w:rsidRPr="00863692">
              <w:rPr>
                <w:rFonts w:hint="eastAsia"/>
                <w:lang w:eastAsia="zh-CN"/>
              </w:rPr>
              <w:t>财务</w:t>
            </w:r>
            <w:r w:rsidR="00681F7A">
              <w:rPr>
                <w:rFonts w:hint="eastAsia"/>
                <w:lang w:eastAsia="zh-CN"/>
              </w:rPr>
              <w:t>规划》</w:t>
            </w:r>
            <w:r w:rsidRPr="00863692">
              <w:rPr>
                <w:rFonts w:hint="eastAsia"/>
                <w:lang w:eastAsia="zh-CN"/>
              </w:rPr>
              <w:t>已获国际电联</w:t>
            </w:r>
            <w:r w:rsidRPr="00863692">
              <w:rPr>
                <w:rFonts w:hint="eastAsia"/>
                <w:lang w:eastAsia="zh-CN"/>
              </w:rPr>
              <w:t>2022</w:t>
            </w:r>
            <w:r w:rsidRPr="00863692">
              <w:rPr>
                <w:rFonts w:hint="eastAsia"/>
                <w:lang w:eastAsia="zh-CN"/>
              </w:rPr>
              <w:t>年全权代表大会（</w:t>
            </w:r>
            <w:r w:rsidRPr="00863692">
              <w:rPr>
                <w:rFonts w:hint="eastAsia"/>
                <w:lang w:eastAsia="zh-CN"/>
              </w:rPr>
              <w:t>PP-22</w:t>
            </w:r>
            <w:r w:rsidRPr="00863692">
              <w:rPr>
                <w:rFonts w:hint="eastAsia"/>
                <w:lang w:eastAsia="zh-CN"/>
              </w:rPr>
              <w:t>）批准，</w:t>
            </w:r>
            <w:r w:rsidRPr="00863692">
              <w:rPr>
                <w:rFonts w:hint="eastAsia"/>
                <w:lang w:eastAsia="zh-CN"/>
              </w:rPr>
              <w:t>2027</w:t>
            </w:r>
            <w:r w:rsidRPr="00863692">
              <w:rPr>
                <w:rFonts w:hint="eastAsia"/>
                <w:lang w:eastAsia="zh-CN"/>
              </w:rPr>
              <w:t>年将是国际电联</w:t>
            </w:r>
            <w:r w:rsidR="005A4B43">
              <w:rPr>
                <w:rFonts w:hint="eastAsia"/>
                <w:lang w:eastAsia="zh-CN"/>
              </w:rPr>
              <w:t>执行</w:t>
            </w:r>
            <w:r w:rsidRPr="00863692">
              <w:rPr>
                <w:rFonts w:hint="eastAsia"/>
                <w:lang w:eastAsia="zh-CN"/>
              </w:rPr>
              <w:t>该</w:t>
            </w:r>
            <w:r w:rsidR="00681F7A">
              <w:rPr>
                <w:rFonts w:hint="eastAsia"/>
                <w:lang w:eastAsia="zh-CN"/>
              </w:rPr>
              <w:t>《</w:t>
            </w:r>
            <w:r w:rsidR="00681F7A" w:rsidRPr="00863692">
              <w:rPr>
                <w:rFonts w:hint="eastAsia"/>
                <w:lang w:eastAsia="zh-CN"/>
              </w:rPr>
              <w:t>战略</w:t>
            </w:r>
            <w:r w:rsidR="00681F7A">
              <w:rPr>
                <w:rFonts w:hint="eastAsia"/>
                <w:lang w:eastAsia="zh-CN"/>
              </w:rPr>
              <w:t>规划》和《</w:t>
            </w:r>
            <w:r w:rsidR="00681F7A" w:rsidRPr="00863692">
              <w:rPr>
                <w:rFonts w:hint="eastAsia"/>
                <w:lang w:eastAsia="zh-CN"/>
              </w:rPr>
              <w:t>财务</w:t>
            </w:r>
            <w:r w:rsidR="00681F7A">
              <w:rPr>
                <w:rFonts w:hint="eastAsia"/>
                <w:lang w:eastAsia="zh-CN"/>
              </w:rPr>
              <w:t>规划》</w:t>
            </w:r>
            <w:r w:rsidRPr="00863692">
              <w:rPr>
                <w:rFonts w:hint="eastAsia"/>
                <w:lang w:eastAsia="zh-CN"/>
              </w:rPr>
              <w:t>的最后一年。国际电联尚未批准</w:t>
            </w:r>
            <w:r w:rsidRPr="00863692">
              <w:rPr>
                <w:rFonts w:hint="eastAsia"/>
                <w:lang w:eastAsia="zh-CN"/>
              </w:rPr>
              <w:t>2028-2031</w:t>
            </w:r>
            <w:r w:rsidRPr="00863692">
              <w:rPr>
                <w:rFonts w:hint="eastAsia"/>
                <w:lang w:eastAsia="zh-CN"/>
              </w:rPr>
              <w:t>年</w:t>
            </w:r>
            <w:r w:rsidR="00681F7A">
              <w:rPr>
                <w:rFonts w:hint="eastAsia"/>
                <w:lang w:eastAsia="zh-CN"/>
              </w:rPr>
              <w:t>《</w:t>
            </w:r>
            <w:r w:rsidR="00681F7A" w:rsidRPr="00863692">
              <w:rPr>
                <w:rFonts w:hint="eastAsia"/>
                <w:lang w:eastAsia="zh-CN"/>
              </w:rPr>
              <w:t>战略</w:t>
            </w:r>
            <w:r w:rsidR="00681F7A">
              <w:rPr>
                <w:rFonts w:hint="eastAsia"/>
                <w:lang w:eastAsia="zh-CN"/>
              </w:rPr>
              <w:t>规划》和《</w:t>
            </w:r>
            <w:r w:rsidR="00681F7A" w:rsidRPr="00863692">
              <w:rPr>
                <w:rFonts w:hint="eastAsia"/>
                <w:lang w:eastAsia="zh-CN"/>
              </w:rPr>
              <w:t>财务</w:t>
            </w:r>
            <w:r w:rsidR="00681F7A">
              <w:rPr>
                <w:rFonts w:hint="eastAsia"/>
                <w:lang w:eastAsia="zh-CN"/>
              </w:rPr>
              <w:t>规划》</w:t>
            </w:r>
            <w:r w:rsidRPr="00863692">
              <w:rPr>
                <w:rFonts w:hint="eastAsia"/>
                <w:lang w:eastAsia="zh-CN"/>
              </w:rPr>
              <w:t>，而</w:t>
            </w:r>
            <w:r w:rsidRPr="00863692">
              <w:rPr>
                <w:rFonts w:hint="eastAsia"/>
                <w:lang w:eastAsia="zh-CN"/>
              </w:rPr>
              <w:t>2028-2030</w:t>
            </w:r>
            <w:r w:rsidRPr="00863692">
              <w:rPr>
                <w:rFonts w:hint="eastAsia"/>
                <w:lang w:eastAsia="zh-CN"/>
              </w:rPr>
              <w:t>年的</w:t>
            </w:r>
            <w:r w:rsidR="00681F7A">
              <w:rPr>
                <w:rFonts w:hint="eastAsia"/>
                <w:lang w:eastAsia="zh-CN"/>
              </w:rPr>
              <w:t>运作规划</w:t>
            </w:r>
            <w:r w:rsidR="00261E2C">
              <w:rPr>
                <w:rFonts w:hint="eastAsia"/>
                <w:lang w:eastAsia="zh-CN"/>
              </w:rPr>
              <w:t>将</w:t>
            </w:r>
            <w:r w:rsidRPr="00863692">
              <w:rPr>
                <w:rFonts w:hint="eastAsia"/>
                <w:lang w:eastAsia="zh-CN"/>
              </w:rPr>
              <w:t>依据</w:t>
            </w:r>
            <w:r w:rsidR="005A4B43">
              <w:rPr>
                <w:rFonts w:hint="eastAsia"/>
                <w:lang w:eastAsia="zh-CN"/>
              </w:rPr>
              <w:t>上述</w:t>
            </w:r>
            <w:r w:rsidR="00681F7A">
              <w:rPr>
                <w:rFonts w:hint="eastAsia"/>
                <w:lang w:eastAsia="zh-CN"/>
              </w:rPr>
              <w:t>规划</w:t>
            </w:r>
            <w:r w:rsidRPr="00863692">
              <w:rPr>
                <w:rFonts w:hint="eastAsia"/>
                <w:lang w:eastAsia="zh-CN"/>
              </w:rPr>
              <w:t>制定。因此，本</w:t>
            </w:r>
            <w:r w:rsidR="00681F7A">
              <w:rPr>
                <w:rFonts w:hint="eastAsia"/>
                <w:lang w:eastAsia="zh-CN"/>
              </w:rPr>
              <w:t>规划</w:t>
            </w:r>
            <w:r w:rsidRPr="00863692">
              <w:rPr>
                <w:rFonts w:hint="eastAsia"/>
                <w:lang w:eastAsia="zh-CN"/>
              </w:rPr>
              <w:t>提供了</w:t>
            </w:r>
            <w:r w:rsidRPr="00863692">
              <w:rPr>
                <w:rFonts w:hint="eastAsia"/>
                <w:lang w:eastAsia="zh-CN"/>
              </w:rPr>
              <w:t>2027</w:t>
            </w:r>
            <w:r w:rsidRPr="00863692">
              <w:rPr>
                <w:rFonts w:hint="eastAsia"/>
                <w:lang w:eastAsia="zh-CN"/>
              </w:rPr>
              <w:t>年的详细</w:t>
            </w:r>
            <w:r w:rsidR="00681F7A">
              <w:rPr>
                <w:rFonts w:hint="eastAsia"/>
                <w:lang w:eastAsia="zh-CN"/>
              </w:rPr>
              <w:t>运作</w:t>
            </w:r>
            <w:r w:rsidRPr="00863692">
              <w:rPr>
                <w:rFonts w:hint="eastAsia"/>
                <w:lang w:eastAsia="zh-CN"/>
              </w:rPr>
              <w:t>信息。</w:t>
            </w:r>
          </w:p>
          <w:p w14:paraId="5D3228C6" w14:textId="047B55AE" w:rsidR="00AD3606" w:rsidRDefault="00DE781C" w:rsidP="00AE3B44">
            <w:pPr>
              <w:spacing w:before="160"/>
              <w:jc w:val="both"/>
              <w:rPr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eastAsia="zh-CN"/>
              </w:rPr>
              <w:t>理事会需采取的行动</w:t>
            </w:r>
          </w:p>
          <w:p w14:paraId="48331A89" w14:textId="2BBE3940" w:rsidR="00DE781C" w:rsidRDefault="00DE781C" w:rsidP="00F95438">
            <w:pPr>
              <w:tabs>
                <w:tab w:val="clear" w:pos="567"/>
                <w:tab w:val="clear" w:pos="1701"/>
                <w:tab w:val="clear" w:pos="2835"/>
                <w:tab w:val="left" w:pos="1871"/>
              </w:tabs>
              <w:spacing w:after="120"/>
              <w:ind w:firstLineChars="200" w:firstLine="480"/>
              <w:rPr>
                <w:lang w:eastAsia="zh-CN"/>
              </w:rPr>
            </w:pPr>
            <w:r w:rsidRPr="00DE781C">
              <w:rPr>
                <w:rFonts w:hint="eastAsia"/>
                <w:lang w:eastAsia="zh-CN"/>
              </w:rPr>
              <w:t>请理事会</w:t>
            </w:r>
            <w:r w:rsidRPr="00DE781C">
              <w:rPr>
                <w:rFonts w:hint="eastAsia"/>
                <w:b/>
                <w:bCs/>
                <w:lang w:eastAsia="zh-CN"/>
              </w:rPr>
              <w:t>审议</w:t>
            </w:r>
            <w:r w:rsidR="00DF186A" w:rsidRPr="00070398">
              <w:rPr>
                <w:lang w:eastAsia="zh-CN"/>
              </w:rPr>
              <w:t>C26/28 (Rev.1)</w:t>
            </w:r>
            <w:r w:rsidR="00DF186A">
              <w:rPr>
                <w:rFonts w:hint="eastAsia"/>
                <w:lang w:eastAsia="zh-CN"/>
              </w:rPr>
              <w:t>号文件</w:t>
            </w:r>
            <w:r w:rsidR="00455AC4">
              <w:rPr>
                <w:rFonts w:hint="eastAsia"/>
                <w:lang w:eastAsia="zh-CN"/>
              </w:rPr>
              <w:t>，</w:t>
            </w:r>
            <w:r w:rsidRPr="00DE781C">
              <w:rPr>
                <w:rFonts w:hint="eastAsia"/>
                <w:lang w:eastAsia="zh-CN"/>
              </w:rPr>
              <w:t>并</w:t>
            </w:r>
            <w:r w:rsidRPr="00DE781C">
              <w:rPr>
                <w:rFonts w:hint="eastAsia"/>
                <w:b/>
                <w:bCs/>
                <w:lang w:eastAsia="zh-CN"/>
              </w:rPr>
              <w:t>批准</w:t>
            </w:r>
            <w:r w:rsidR="00DF186A" w:rsidRPr="00DE781C">
              <w:rPr>
                <w:rFonts w:hint="eastAsia"/>
                <w:lang w:eastAsia="zh-CN"/>
              </w:rPr>
              <w:t>本文件附件</w:t>
            </w:r>
            <w:r w:rsidR="00DF186A" w:rsidRPr="00DF186A">
              <w:rPr>
                <w:lang w:eastAsia="zh-CN"/>
              </w:rPr>
              <w:t>1</w:t>
            </w:r>
            <w:r w:rsidR="00DF186A">
              <w:rPr>
                <w:rFonts w:hint="eastAsia"/>
                <w:lang w:eastAsia="zh-CN"/>
              </w:rPr>
              <w:t>中关于</w:t>
            </w:r>
            <w:r w:rsidRPr="00DE781C">
              <w:rPr>
                <w:rFonts w:hint="eastAsia"/>
                <w:lang w:eastAsia="zh-CN"/>
              </w:rPr>
              <w:t>国际电联</w:t>
            </w:r>
            <w:r w:rsidRPr="00DE781C">
              <w:rPr>
                <w:rFonts w:hint="eastAsia"/>
                <w:lang w:eastAsia="zh-CN"/>
              </w:rPr>
              <w:t>2027</w:t>
            </w:r>
            <w:r w:rsidRPr="00DE781C"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运作规划</w:t>
            </w:r>
            <w:r w:rsidRPr="00DE781C">
              <w:rPr>
                <w:rFonts w:hint="eastAsia"/>
                <w:lang w:eastAsia="zh-CN"/>
              </w:rPr>
              <w:t>的</w:t>
            </w:r>
            <w:r w:rsidRPr="00070398">
              <w:rPr>
                <w:rFonts w:hint="eastAsia"/>
                <w:b/>
                <w:bCs/>
                <w:lang w:eastAsia="zh-CN"/>
              </w:rPr>
              <w:t>决议草案</w:t>
            </w:r>
            <w:r w:rsidRPr="00DE781C">
              <w:rPr>
                <w:rFonts w:hint="eastAsia"/>
                <w:lang w:eastAsia="zh-CN"/>
              </w:rPr>
              <w:t>。</w:t>
            </w:r>
          </w:p>
          <w:p w14:paraId="5563AED1" w14:textId="5D347A7B" w:rsidR="00722551" w:rsidRDefault="00DE781C" w:rsidP="00AE3B44">
            <w:pPr>
              <w:spacing w:before="160"/>
              <w:jc w:val="both"/>
              <w:rPr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eastAsia="zh-CN"/>
              </w:rPr>
              <w:t>与《战略规划》的关联</w:t>
            </w:r>
          </w:p>
          <w:p w14:paraId="6510085E" w14:textId="379CC34C" w:rsidR="00DE781C" w:rsidRPr="009E2853" w:rsidRDefault="00DE781C" w:rsidP="00F95438">
            <w:pPr>
              <w:tabs>
                <w:tab w:val="clear" w:pos="567"/>
                <w:tab w:val="clear" w:pos="1701"/>
                <w:tab w:val="clear" w:pos="2835"/>
                <w:tab w:val="left" w:pos="1871"/>
              </w:tabs>
              <w:spacing w:after="120"/>
              <w:ind w:firstLineChars="200" w:firstLine="480"/>
              <w:rPr>
                <w:szCs w:val="24"/>
                <w:lang w:eastAsia="zh-CN"/>
              </w:rPr>
            </w:pPr>
            <w:r w:rsidRPr="009E2853">
              <w:rPr>
                <w:rFonts w:hint="eastAsia"/>
                <w:szCs w:val="24"/>
                <w:lang w:eastAsia="zh-CN"/>
              </w:rPr>
              <w:t>2027</w:t>
            </w:r>
            <w:r w:rsidRPr="009E2853">
              <w:rPr>
                <w:rFonts w:hint="eastAsia"/>
                <w:szCs w:val="24"/>
                <w:lang w:eastAsia="zh-CN"/>
              </w:rPr>
              <w:t>年</w:t>
            </w:r>
            <w:r w:rsidR="00001178" w:rsidRPr="009E2853">
              <w:rPr>
                <w:rFonts w:hint="eastAsia"/>
                <w:szCs w:val="24"/>
                <w:lang w:eastAsia="zh-CN"/>
              </w:rPr>
              <w:t>运作规划</w:t>
            </w:r>
            <w:r w:rsidRPr="009E2853">
              <w:rPr>
                <w:rFonts w:hint="eastAsia"/>
                <w:szCs w:val="24"/>
                <w:lang w:eastAsia="zh-CN"/>
              </w:rPr>
              <w:t>详细阐述了《</w:t>
            </w:r>
            <w:r w:rsidRPr="009E2853">
              <w:rPr>
                <w:rFonts w:hint="eastAsia"/>
                <w:szCs w:val="24"/>
                <w:lang w:eastAsia="zh-CN"/>
              </w:rPr>
              <w:t>2024-2027</w:t>
            </w:r>
            <w:r w:rsidRPr="009E2853">
              <w:rPr>
                <w:rFonts w:hint="eastAsia"/>
                <w:szCs w:val="24"/>
                <w:lang w:eastAsia="zh-CN"/>
              </w:rPr>
              <w:t>年战略</w:t>
            </w:r>
            <w:r w:rsidR="00001178" w:rsidRPr="009E2853">
              <w:rPr>
                <w:rFonts w:hint="eastAsia"/>
                <w:szCs w:val="24"/>
                <w:lang w:eastAsia="zh-CN"/>
              </w:rPr>
              <w:t>规划</w:t>
            </w:r>
            <w:r w:rsidRPr="009E2853">
              <w:rPr>
                <w:rFonts w:hint="eastAsia"/>
                <w:szCs w:val="24"/>
                <w:lang w:eastAsia="zh-CN"/>
              </w:rPr>
              <w:t>》中规定的</w:t>
            </w:r>
            <w:r w:rsidR="00001178" w:rsidRPr="009E2853">
              <w:rPr>
                <w:rFonts w:hint="eastAsia"/>
                <w:szCs w:val="24"/>
                <w:lang w:eastAsia="zh-CN"/>
              </w:rPr>
              <w:t>五项</w:t>
            </w:r>
            <w:r w:rsidRPr="009E2853">
              <w:rPr>
                <w:rFonts w:hint="eastAsia"/>
                <w:szCs w:val="24"/>
                <w:lang w:eastAsia="zh-CN"/>
              </w:rPr>
              <w:t>主题</w:t>
            </w:r>
            <w:r w:rsidR="00001178" w:rsidRPr="009E2853">
              <w:rPr>
                <w:rFonts w:hint="eastAsia"/>
                <w:szCs w:val="24"/>
                <w:lang w:eastAsia="zh-CN"/>
              </w:rPr>
              <w:t>重点和国际电联</w:t>
            </w:r>
            <w:r w:rsidRPr="009E2853">
              <w:rPr>
                <w:rFonts w:hint="eastAsia"/>
                <w:szCs w:val="24"/>
                <w:lang w:eastAsia="zh-CN"/>
              </w:rPr>
              <w:t>的</w:t>
            </w:r>
            <w:r w:rsidRPr="009E2853">
              <w:rPr>
                <w:rFonts w:hint="eastAsia"/>
                <w:szCs w:val="24"/>
                <w:lang w:eastAsia="zh-CN"/>
              </w:rPr>
              <w:t>43</w:t>
            </w:r>
            <w:r w:rsidRPr="009E2853">
              <w:rPr>
                <w:rFonts w:hint="eastAsia"/>
                <w:szCs w:val="24"/>
                <w:lang w:eastAsia="zh-CN"/>
              </w:rPr>
              <w:t>项</w:t>
            </w:r>
            <w:r w:rsidR="00001178" w:rsidRPr="009E2853">
              <w:rPr>
                <w:rFonts w:hint="eastAsia"/>
                <w:szCs w:val="24"/>
                <w:lang w:eastAsia="zh-CN"/>
              </w:rPr>
              <w:t>输出成果</w:t>
            </w:r>
            <w:r w:rsidRPr="009E2853">
              <w:rPr>
                <w:rFonts w:hint="eastAsia"/>
                <w:szCs w:val="24"/>
                <w:lang w:eastAsia="zh-CN"/>
              </w:rPr>
              <w:t>。</w:t>
            </w:r>
          </w:p>
          <w:p w14:paraId="7C34DAAD" w14:textId="09A02AD5" w:rsidR="00722551" w:rsidRDefault="00F9262A" w:rsidP="00AE3B44">
            <w:pPr>
              <w:spacing w:before="160"/>
              <w:jc w:val="both"/>
              <w:rPr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eastAsia="zh-CN"/>
              </w:rPr>
              <w:t>财务影响</w:t>
            </w:r>
          </w:p>
          <w:p w14:paraId="3D46CEFF" w14:textId="0D0A5B13" w:rsidR="00F9262A" w:rsidRPr="009E2853" w:rsidRDefault="00F9262A" w:rsidP="009E2853">
            <w:pPr>
              <w:tabs>
                <w:tab w:val="clear" w:pos="567"/>
                <w:tab w:val="clear" w:pos="1701"/>
                <w:tab w:val="clear" w:pos="2835"/>
                <w:tab w:val="left" w:pos="1871"/>
              </w:tabs>
              <w:spacing w:after="120"/>
              <w:ind w:firstLineChars="200" w:firstLine="480"/>
              <w:rPr>
                <w:szCs w:val="24"/>
                <w:lang w:eastAsia="zh-CN"/>
              </w:rPr>
            </w:pPr>
            <w:r w:rsidRPr="009E2853">
              <w:rPr>
                <w:rFonts w:hint="eastAsia"/>
                <w:szCs w:val="24"/>
                <w:lang w:eastAsia="zh-CN"/>
              </w:rPr>
              <w:t>2027</w:t>
            </w:r>
            <w:r w:rsidRPr="009E2853">
              <w:rPr>
                <w:rFonts w:hint="eastAsia"/>
                <w:szCs w:val="24"/>
                <w:lang w:eastAsia="zh-CN"/>
              </w:rPr>
              <w:t>年运作规划符合全权代表大会在第</w:t>
            </w:r>
            <w:r w:rsidRPr="009E2853">
              <w:rPr>
                <w:rFonts w:hint="eastAsia"/>
                <w:szCs w:val="24"/>
                <w:lang w:eastAsia="zh-CN"/>
              </w:rPr>
              <w:t>5</w:t>
            </w:r>
            <w:r w:rsidRPr="009E2853">
              <w:rPr>
                <w:rFonts w:hint="eastAsia"/>
                <w:szCs w:val="24"/>
                <w:lang w:eastAsia="zh-CN"/>
              </w:rPr>
              <w:t>号决定（</w:t>
            </w:r>
            <w:r w:rsidRPr="009E2853">
              <w:rPr>
                <w:rFonts w:hint="eastAsia"/>
                <w:szCs w:val="24"/>
                <w:lang w:eastAsia="zh-CN"/>
              </w:rPr>
              <w:t>2022</w:t>
            </w:r>
            <w:r w:rsidRPr="009E2853">
              <w:rPr>
                <w:rFonts w:hint="eastAsia"/>
                <w:szCs w:val="24"/>
                <w:lang w:eastAsia="zh-CN"/>
              </w:rPr>
              <w:t>年，布加勒斯特，修订版）</w:t>
            </w:r>
            <w:r w:rsidR="009E2853" w:rsidRPr="009E2853">
              <w:rPr>
                <w:rFonts w:hint="eastAsia"/>
                <w:szCs w:val="24"/>
                <w:lang w:eastAsia="zh-CN"/>
              </w:rPr>
              <w:t>确定</w:t>
            </w:r>
            <w:r w:rsidRPr="009E2853">
              <w:rPr>
                <w:rFonts w:hint="eastAsia"/>
                <w:szCs w:val="24"/>
                <w:lang w:eastAsia="zh-CN"/>
              </w:rPr>
              <w:t>的财务限额。</w:t>
            </w:r>
          </w:p>
          <w:p w14:paraId="6DAA204C" w14:textId="77777777" w:rsidR="00C0458D" w:rsidRDefault="00C0458D" w:rsidP="00AE3B44">
            <w:pPr>
              <w:spacing w:before="80"/>
              <w:jc w:val="both"/>
              <w:rPr>
                <w:lang w:eastAsia="zh-CN"/>
              </w:rPr>
            </w:pPr>
            <w:r>
              <w:rPr>
                <w:lang w:eastAsia="zh-CN"/>
              </w:rPr>
              <w:t>_______________</w:t>
            </w:r>
          </w:p>
          <w:p w14:paraId="32A5FBF2" w14:textId="0649F8F7" w:rsidR="00AD3606" w:rsidRPr="00C0458D" w:rsidRDefault="00543F9C" w:rsidP="00AE3B44">
            <w:pPr>
              <w:jc w:val="both"/>
              <w:rPr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eastAsia="zh-CN"/>
              </w:rPr>
              <w:t>参考文件</w:t>
            </w:r>
          </w:p>
          <w:p w14:paraId="24BF41F7" w14:textId="161B4457" w:rsidR="00AD3606" w:rsidRPr="00FD0096" w:rsidRDefault="00543F9C" w:rsidP="00E663F9">
            <w:pPr>
              <w:tabs>
                <w:tab w:val="clear" w:pos="567"/>
                <w:tab w:val="clear" w:pos="1701"/>
                <w:tab w:val="clear" w:pos="2835"/>
                <w:tab w:val="left" w:pos="1871"/>
              </w:tabs>
              <w:spacing w:after="120"/>
              <w:ind w:firstLineChars="200" w:firstLine="480"/>
              <w:rPr>
                <w:rFonts w:asciiTheme="minorHAnsi" w:hAnsiTheme="minorHAnsi" w:cstheme="minorHAnsi"/>
                <w:i/>
                <w:iCs/>
                <w:szCs w:val="24"/>
                <w:lang w:eastAsia="zh-CN"/>
              </w:rPr>
            </w:pPr>
            <w:hyperlink r:id="rId11" w:history="1">
              <w:r w:rsidRPr="00FD0096">
                <w:rPr>
                  <w:rStyle w:val="Hyperlink"/>
                  <w:rFonts w:asciiTheme="minorHAnsi" w:eastAsia="STKaiti" w:hAnsiTheme="minorHAnsi" w:cstheme="minorHAnsi"/>
                  <w:szCs w:val="24"/>
                  <w:lang w:eastAsia="zh-CN"/>
                </w:rPr>
                <w:t>第</w:t>
              </w:r>
              <w:r w:rsidR="00AE3B44" w:rsidRPr="00FD0096">
                <w:rPr>
                  <w:rStyle w:val="Hyperlink"/>
                  <w:rFonts w:asciiTheme="minorHAnsi" w:eastAsia="STKaiti" w:hAnsiTheme="minorHAnsi" w:cstheme="minorHAnsi"/>
                  <w:szCs w:val="24"/>
                  <w:lang w:eastAsia="zh-CN"/>
                </w:rPr>
                <w:t>71</w:t>
              </w:r>
              <w:r w:rsidRPr="00FD0096">
                <w:rPr>
                  <w:rStyle w:val="Hyperlink"/>
                  <w:rFonts w:asciiTheme="minorHAnsi" w:eastAsia="STKaiti" w:hAnsiTheme="minorHAnsi" w:cstheme="minorHAnsi"/>
                  <w:szCs w:val="24"/>
                  <w:lang w:eastAsia="zh-CN"/>
                </w:rPr>
                <w:t>号决议（</w:t>
              </w:r>
              <w:r w:rsidRPr="00FD0096">
                <w:rPr>
                  <w:rStyle w:val="Hyperlink"/>
                  <w:rFonts w:asciiTheme="minorHAnsi" w:eastAsia="STKaiti" w:hAnsiTheme="minorHAnsi" w:cstheme="minorHAnsi"/>
                  <w:szCs w:val="24"/>
                  <w:lang w:eastAsia="zh-CN"/>
                </w:rPr>
                <w:t>2022</w:t>
              </w:r>
              <w:r w:rsidRPr="00FD0096">
                <w:rPr>
                  <w:rStyle w:val="Hyperlink"/>
                  <w:rFonts w:asciiTheme="minorHAnsi" w:eastAsia="STKaiti" w:hAnsiTheme="minorHAnsi" w:cstheme="minorHAnsi"/>
                  <w:szCs w:val="24"/>
                  <w:lang w:eastAsia="zh-CN"/>
                </w:rPr>
                <w:t>年，布加勒斯特，修订版）</w:t>
              </w:r>
            </w:hyperlink>
            <w:r w:rsidR="00FD0096" w:rsidRPr="00FD0096">
              <w:rPr>
                <w:rFonts w:asciiTheme="minorHAnsi" w:hAnsiTheme="minorHAnsi" w:cstheme="minorHAnsi" w:hint="eastAsia"/>
                <w:szCs w:val="24"/>
                <w:lang w:eastAsia="zh-CN"/>
              </w:rPr>
              <w:t>，</w:t>
            </w:r>
            <w:hyperlink r:id="rId12" w:history="1">
              <w:r w:rsidRPr="00FD0096">
                <w:rPr>
                  <w:rStyle w:val="Hyperlink"/>
                  <w:rFonts w:asciiTheme="minorHAnsi" w:eastAsia="STKaiti" w:hAnsiTheme="minorHAnsi" w:cstheme="minorHAnsi"/>
                  <w:szCs w:val="24"/>
                  <w:lang w:eastAsia="zh-CN"/>
                </w:rPr>
                <w:t>《公约》第</w:t>
              </w:r>
              <w:r w:rsidR="00AE3B44" w:rsidRPr="00FD0096">
                <w:rPr>
                  <w:rStyle w:val="Hyperlink"/>
                  <w:rFonts w:asciiTheme="minorHAnsi" w:eastAsia="STKaiti" w:hAnsiTheme="minorHAnsi" w:cstheme="minorHAnsi"/>
                  <w:szCs w:val="24"/>
                  <w:lang w:eastAsia="zh-CN"/>
                </w:rPr>
                <w:t>87A</w:t>
              </w:r>
              <w:r w:rsidRPr="00FD0096">
                <w:rPr>
                  <w:rStyle w:val="Hyperlink"/>
                  <w:rFonts w:asciiTheme="minorHAnsi" w:eastAsia="STKaiti" w:hAnsiTheme="minorHAnsi" w:cstheme="minorHAnsi"/>
                  <w:szCs w:val="24"/>
                  <w:lang w:eastAsia="zh-CN"/>
                </w:rPr>
                <w:t>、</w:t>
              </w:r>
              <w:r w:rsidR="00AE3B44" w:rsidRPr="00FD0096">
                <w:rPr>
                  <w:rStyle w:val="Hyperlink"/>
                  <w:rFonts w:asciiTheme="minorHAnsi" w:eastAsia="STKaiti" w:hAnsiTheme="minorHAnsi" w:cstheme="minorHAnsi"/>
                  <w:szCs w:val="24"/>
                  <w:lang w:eastAsia="zh-CN"/>
                </w:rPr>
                <w:t>181A</w:t>
              </w:r>
              <w:r w:rsidRPr="00FD0096">
                <w:rPr>
                  <w:rStyle w:val="Hyperlink"/>
                  <w:rFonts w:asciiTheme="minorHAnsi" w:eastAsia="STKaiti" w:hAnsiTheme="minorHAnsi" w:cstheme="minorHAnsi"/>
                  <w:szCs w:val="24"/>
                  <w:lang w:eastAsia="zh-CN"/>
                </w:rPr>
                <w:t>、</w:t>
              </w:r>
              <w:r w:rsidR="00AE3B44" w:rsidRPr="00FD0096">
                <w:rPr>
                  <w:rStyle w:val="Hyperlink"/>
                  <w:rFonts w:asciiTheme="minorHAnsi" w:eastAsia="STKaiti" w:hAnsiTheme="minorHAnsi" w:cstheme="minorHAnsi"/>
                  <w:szCs w:val="24"/>
                  <w:lang w:eastAsia="zh-CN"/>
                </w:rPr>
                <w:t>205A</w:t>
              </w:r>
              <w:r w:rsidRPr="00FD0096">
                <w:rPr>
                  <w:rStyle w:val="Hyperlink"/>
                  <w:rFonts w:asciiTheme="minorHAnsi" w:eastAsia="STKaiti" w:hAnsiTheme="minorHAnsi" w:cstheme="minorHAnsi"/>
                  <w:szCs w:val="24"/>
                  <w:lang w:eastAsia="zh-CN"/>
                </w:rPr>
                <w:t>、</w:t>
              </w:r>
              <w:r w:rsidR="00AE3B44" w:rsidRPr="00FD0096">
                <w:rPr>
                  <w:rStyle w:val="Hyperlink"/>
                  <w:rFonts w:asciiTheme="minorHAnsi" w:eastAsia="STKaiti" w:hAnsiTheme="minorHAnsi" w:cstheme="minorHAnsi"/>
                  <w:szCs w:val="24"/>
                  <w:lang w:eastAsia="zh-CN"/>
                </w:rPr>
                <w:t>223</w:t>
              </w:r>
              <w:r w:rsidRPr="00FD0096">
                <w:rPr>
                  <w:rStyle w:val="Hyperlink"/>
                  <w:rFonts w:asciiTheme="minorHAnsi" w:eastAsia="STKaiti" w:hAnsiTheme="minorHAnsi" w:cstheme="minorHAnsi"/>
                  <w:szCs w:val="24"/>
                  <w:lang w:eastAsia="zh-CN"/>
                </w:rPr>
                <w:t>A</w:t>
              </w:r>
              <w:r w:rsidRPr="00FD0096">
                <w:rPr>
                  <w:rStyle w:val="Hyperlink"/>
                  <w:rFonts w:asciiTheme="minorHAnsi" w:eastAsia="STKaiti" w:hAnsiTheme="minorHAnsi" w:cstheme="minorHAnsi"/>
                  <w:szCs w:val="24"/>
                  <w:lang w:eastAsia="zh-CN"/>
                </w:rPr>
                <w:t>款</w:t>
              </w:r>
            </w:hyperlink>
          </w:p>
        </w:tc>
      </w:tr>
    </w:tbl>
    <w:p w14:paraId="7606662B" w14:textId="77777777" w:rsidR="0090147A" w:rsidRPr="00C0458D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eastAsia="zh-CN"/>
        </w:rPr>
      </w:pPr>
      <w:bookmarkStart w:id="10" w:name="_Hlk133421428"/>
      <w:bookmarkEnd w:id="2"/>
      <w:bookmarkEnd w:id="3"/>
      <w:bookmarkEnd w:id="4"/>
      <w:bookmarkEnd w:id="9"/>
      <w:r w:rsidRPr="00C0458D">
        <w:rPr>
          <w:lang w:eastAsia="zh-CN"/>
        </w:rPr>
        <w:br w:type="page"/>
      </w:r>
    </w:p>
    <w:bookmarkEnd w:id="5"/>
    <w:bookmarkEnd w:id="10"/>
    <w:p w14:paraId="4B0EA2E9" w14:textId="5E231ADC" w:rsidR="00DF186A" w:rsidRDefault="00DF186A" w:rsidP="00070398">
      <w:pPr>
        <w:pStyle w:val="AnnexNo"/>
        <w:rPr>
          <w:lang w:eastAsia="zh-CN"/>
        </w:rPr>
      </w:pPr>
      <w:r>
        <w:rPr>
          <w:rFonts w:hint="eastAsia"/>
          <w:lang w:eastAsia="zh-CN"/>
        </w:rPr>
        <w:lastRenderedPageBreak/>
        <w:t>附件</w:t>
      </w:r>
      <w:r w:rsidRPr="00DF186A">
        <w:rPr>
          <w:lang w:eastAsia="zh-CN"/>
        </w:rPr>
        <w:t>1</w:t>
      </w:r>
    </w:p>
    <w:p w14:paraId="5429B774" w14:textId="61F9E68D" w:rsidR="00AE3B44" w:rsidRPr="005E3AF2" w:rsidRDefault="00A13547" w:rsidP="002D61CD">
      <w:pPr>
        <w:pStyle w:val="Heading1"/>
        <w:rPr>
          <w:rFonts w:asciiTheme="minorHAnsi" w:hAnsiTheme="minorHAnsi" w:cstheme="minorHAnsi"/>
          <w:b w:val="0"/>
          <w:bCs/>
          <w:lang w:eastAsia="zh-CN"/>
        </w:rPr>
      </w:pPr>
      <w:r w:rsidRPr="005E3AF2">
        <w:rPr>
          <w:szCs w:val="24"/>
          <w:lang w:eastAsia="zh-CN"/>
        </w:rPr>
        <w:t>1</w:t>
      </w:r>
      <w:r w:rsidRPr="005E3AF2">
        <w:rPr>
          <w:szCs w:val="24"/>
          <w:lang w:eastAsia="zh-CN"/>
        </w:rPr>
        <w:tab/>
      </w:r>
      <w:r w:rsidR="00C470BB">
        <w:rPr>
          <w:rFonts w:asciiTheme="minorHAnsi" w:hAnsiTheme="minorHAnsi" w:cstheme="minorHAnsi" w:hint="eastAsia"/>
          <w:lang w:eastAsia="zh-CN"/>
        </w:rPr>
        <w:t>按主题重点、输出成果和部门</w:t>
      </w:r>
      <w:r w:rsidR="00566BDE">
        <w:rPr>
          <w:rFonts w:asciiTheme="minorHAnsi" w:hAnsiTheme="minorHAnsi" w:cstheme="minorHAnsi" w:hint="eastAsia"/>
          <w:lang w:eastAsia="zh-CN"/>
        </w:rPr>
        <w:t>分列</w:t>
      </w:r>
      <w:r w:rsidR="00C470BB">
        <w:rPr>
          <w:rFonts w:asciiTheme="minorHAnsi" w:hAnsiTheme="minorHAnsi" w:cstheme="minorHAnsi" w:hint="eastAsia"/>
          <w:lang w:eastAsia="zh-CN"/>
        </w:rPr>
        <w:t>的</w:t>
      </w:r>
      <w:r w:rsidR="00566BDE">
        <w:rPr>
          <w:rFonts w:asciiTheme="minorHAnsi" w:hAnsiTheme="minorHAnsi" w:cstheme="minorHAnsi" w:hint="eastAsia"/>
          <w:lang w:eastAsia="zh-CN"/>
        </w:rPr>
        <w:t>2027</w:t>
      </w:r>
      <w:r w:rsidR="00566BDE">
        <w:rPr>
          <w:rFonts w:asciiTheme="minorHAnsi" w:hAnsiTheme="minorHAnsi" w:cstheme="minorHAnsi" w:hint="eastAsia"/>
          <w:lang w:eastAsia="zh-CN"/>
        </w:rPr>
        <w:t>年</w:t>
      </w:r>
      <w:r w:rsidR="00C470BB">
        <w:rPr>
          <w:rFonts w:asciiTheme="minorHAnsi" w:hAnsiTheme="minorHAnsi" w:cstheme="minorHAnsi" w:hint="eastAsia"/>
          <w:lang w:eastAsia="zh-CN"/>
        </w:rPr>
        <w:t>运作规划概述</w:t>
      </w:r>
    </w:p>
    <w:p w14:paraId="5F6FB315" w14:textId="3DF75E56" w:rsidR="00AE3B44" w:rsidRPr="005E3AF2" w:rsidRDefault="00A13547" w:rsidP="002D61CD">
      <w:pPr>
        <w:jc w:val="both"/>
        <w:rPr>
          <w:lang w:eastAsia="zh-CN"/>
        </w:rPr>
      </w:pPr>
      <w:r w:rsidRPr="005E3AF2">
        <w:rPr>
          <w:lang w:eastAsia="zh-CN"/>
        </w:rPr>
        <w:t>1.1</w:t>
      </w:r>
      <w:r w:rsidRPr="005E3AF2">
        <w:rPr>
          <w:lang w:eastAsia="zh-CN"/>
        </w:rPr>
        <w:tab/>
      </w:r>
      <w:r w:rsidR="00C470BB" w:rsidRPr="00C470BB">
        <w:rPr>
          <w:rFonts w:hint="eastAsia"/>
          <w:lang w:eastAsia="zh-CN"/>
        </w:rPr>
        <w:t>2027</w:t>
      </w:r>
      <w:r w:rsidR="00C470BB" w:rsidRPr="00C470BB">
        <w:rPr>
          <w:rFonts w:hint="eastAsia"/>
          <w:lang w:eastAsia="zh-CN"/>
        </w:rPr>
        <w:t>年</w:t>
      </w:r>
      <w:r w:rsidR="00C470BB">
        <w:rPr>
          <w:rFonts w:hint="eastAsia"/>
          <w:lang w:eastAsia="zh-CN"/>
        </w:rPr>
        <w:t>运作规划</w:t>
      </w:r>
      <w:r w:rsidR="00C470BB" w:rsidRPr="00C470BB">
        <w:rPr>
          <w:rFonts w:hint="eastAsia"/>
          <w:lang w:eastAsia="zh-CN"/>
        </w:rPr>
        <w:t>草案旨在落实</w:t>
      </w:r>
      <w:r w:rsidR="00C470BB" w:rsidRPr="00C470BB">
        <w:rPr>
          <w:rFonts w:hint="eastAsia"/>
          <w:lang w:eastAsia="zh-CN"/>
        </w:rPr>
        <w:t>2022</w:t>
      </w:r>
      <w:r w:rsidR="00C470BB" w:rsidRPr="00C470BB">
        <w:rPr>
          <w:rFonts w:hint="eastAsia"/>
          <w:lang w:eastAsia="zh-CN"/>
        </w:rPr>
        <w:t>年全权代表大会批准的</w:t>
      </w:r>
      <w:r w:rsidR="00C470BB" w:rsidRPr="00C470BB">
        <w:rPr>
          <w:rFonts w:hint="eastAsia"/>
          <w:lang w:eastAsia="zh-CN"/>
        </w:rPr>
        <w:t>2024-2027</w:t>
      </w:r>
      <w:r w:rsidR="00C470BB" w:rsidRPr="00C470BB">
        <w:rPr>
          <w:rFonts w:hint="eastAsia"/>
          <w:lang w:eastAsia="zh-CN"/>
        </w:rPr>
        <w:t>年《战略</w:t>
      </w:r>
      <w:r w:rsidR="00C470BB">
        <w:rPr>
          <w:rFonts w:hint="eastAsia"/>
          <w:lang w:eastAsia="zh-CN"/>
        </w:rPr>
        <w:t>规划</w:t>
      </w:r>
      <w:r w:rsidR="00C470BB" w:rsidRPr="00C470BB">
        <w:rPr>
          <w:rFonts w:hint="eastAsia"/>
          <w:lang w:eastAsia="zh-CN"/>
        </w:rPr>
        <w:t>》</w:t>
      </w:r>
      <w:r w:rsidR="00C470BB">
        <w:rPr>
          <w:rFonts w:hint="eastAsia"/>
          <w:lang w:eastAsia="zh-CN"/>
        </w:rPr>
        <w:t>和《财务规划》</w:t>
      </w:r>
      <w:r w:rsidR="00C470BB" w:rsidRPr="00C470BB">
        <w:rPr>
          <w:rFonts w:hint="eastAsia"/>
          <w:lang w:eastAsia="zh-CN"/>
        </w:rPr>
        <w:t>中确定的五</w:t>
      </w:r>
      <w:r w:rsidR="00C470BB">
        <w:rPr>
          <w:rFonts w:hint="eastAsia"/>
          <w:lang w:eastAsia="zh-CN"/>
        </w:rPr>
        <w:t>项</w:t>
      </w:r>
      <w:r w:rsidR="00C470BB" w:rsidRPr="00C470BB">
        <w:rPr>
          <w:rFonts w:hint="eastAsia"/>
          <w:lang w:eastAsia="zh-CN"/>
        </w:rPr>
        <w:t>主题</w:t>
      </w:r>
      <w:r w:rsidR="00C470BB">
        <w:rPr>
          <w:rFonts w:hint="eastAsia"/>
          <w:lang w:eastAsia="zh-CN"/>
        </w:rPr>
        <w:t>重点</w:t>
      </w:r>
      <w:r w:rsidR="00C470BB" w:rsidRPr="00C470BB">
        <w:rPr>
          <w:rFonts w:hint="eastAsia"/>
          <w:lang w:eastAsia="zh-CN"/>
        </w:rPr>
        <w:t>和四十三项</w:t>
      </w:r>
      <w:r w:rsidR="00C470BB">
        <w:rPr>
          <w:rFonts w:hint="eastAsia"/>
          <w:lang w:eastAsia="zh-CN"/>
        </w:rPr>
        <w:t>输出成果</w:t>
      </w:r>
      <w:r w:rsidR="00C470BB" w:rsidRPr="00C470BB">
        <w:rPr>
          <w:rFonts w:hint="eastAsia"/>
          <w:lang w:eastAsia="zh-CN"/>
        </w:rPr>
        <w:t>。该草案详细分析了总秘书处及各部门在落实</w:t>
      </w:r>
      <w:r w:rsidR="00C470BB" w:rsidRPr="00C470BB">
        <w:rPr>
          <w:rFonts w:hint="eastAsia"/>
          <w:lang w:eastAsia="zh-CN"/>
        </w:rPr>
        <w:t>2027</w:t>
      </w:r>
      <w:r w:rsidR="00C470BB" w:rsidRPr="00C470BB">
        <w:rPr>
          <w:rFonts w:hint="eastAsia"/>
          <w:lang w:eastAsia="zh-CN"/>
        </w:rPr>
        <w:t>年这些主题</w:t>
      </w:r>
      <w:r w:rsidR="00C470BB">
        <w:rPr>
          <w:rFonts w:hint="eastAsia"/>
          <w:lang w:eastAsia="zh-CN"/>
        </w:rPr>
        <w:t>重点</w:t>
      </w:r>
      <w:r w:rsidR="00C470BB" w:rsidRPr="00C470BB">
        <w:rPr>
          <w:rFonts w:hint="eastAsia"/>
          <w:lang w:eastAsia="zh-CN"/>
        </w:rPr>
        <w:t>和</w:t>
      </w:r>
      <w:r w:rsidR="00C470BB">
        <w:rPr>
          <w:rFonts w:hint="eastAsia"/>
          <w:lang w:eastAsia="zh-CN"/>
        </w:rPr>
        <w:t>输出成果</w:t>
      </w:r>
      <w:r w:rsidR="00C470BB" w:rsidRPr="00C470BB">
        <w:rPr>
          <w:rFonts w:hint="eastAsia"/>
          <w:lang w:eastAsia="zh-CN"/>
        </w:rPr>
        <w:t>过程中对</w:t>
      </w:r>
      <w:r w:rsidR="00C470BB">
        <w:rPr>
          <w:rFonts w:hint="eastAsia"/>
          <w:lang w:eastAsia="zh-CN"/>
        </w:rPr>
        <w:t>国际电联</w:t>
      </w:r>
      <w:r w:rsidR="00C470BB" w:rsidRPr="00C470BB">
        <w:rPr>
          <w:rFonts w:hint="eastAsia"/>
          <w:lang w:eastAsia="zh-CN"/>
        </w:rPr>
        <w:t>资源的使用情况。</w:t>
      </w:r>
    </w:p>
    <w:p w14:paraId="5B361394" w14:textId="55EAD392" w:rsidR="00AE3B44" w:rsidRDefault="00AE3B44" w:rsidP="002D61CD">
      <w:pPr>
        <w:jc w:val="both"/>
        <w:rPr>
          <w:lang w:eastAsia="zh-CN"/>
        </w:rPr>
      </w:pPr>
      <w:r>
        <w:rPr>
          <w:lang w:eastAsia="zh-CN"/>
        </w:rPr>
        <w:t>1.2</w:t>
      </w:r>
      <w:r>
        <w:rPr>
          <w:lang w:eastAsia="zh-CN"/>
        </w:rPr>
        <w:tab/>
      </w:r>
      <w:r w:rsidR="000727DA">
        <w:rPr>
          <w:lang w:eastAsia="zh-CN"/>
        </w:rPr>
        <w:t>2027</w:t>
      </w:r>
      <w:r w:rsidR="000727DA">
        <w:rPr>
          <w:rFonts w:hint="eastAsia"/>
          <w:lang w:eastAsia="zh-CN"/>
        </w:rPr>
        <w:t>年运作规划草案的结构如下：</w:t>
      </w:r>
    </w:p>
    <w:p w14:paraId="449A04A2" w14:textId="2CC36913" w:rsidR="00AE3B44" w:rsidRDefault="000727DA" w:rsidP="0098711D">
      <w:pPr>
        <w:pStyle w:val="FigureNo"/>
        <w:ind w:left="567"/>
        <w:rPr>
          <w:lang w:eastAsia="zh-CN"/>
        </w:rPr>
      </w:pPr>
      <w:r>
        <w:rPr>
          <w:rFonts w:hint="eastAsia"/>
          <w:lang w:eastAsia="zh-CN"/>
        </w:rPr>
        <w:t>图</w:t>
      </w:r>
      <w:r>
        <w:rPr>
          <w:lang w:eastAsia="zh-CN"/>
        </w:rPr>
        <w:t>1</w:t>
      </w:r>
    </w:p>
    <w:p w14:paraId="63B09BF5" w14:textId="2E67E5A4" w:rsidR="00AE3B44" w:rsidRPr="00A46F8E" w:rsidRDefault="000727DA" w:rsidP="002D61CD">
      <w:pPr>
        <w:pStyle w:val="Figuretitle"/>
        <w:rPr>
          <w:rFonts w:asciiTheme="minorHAnsi" w:hAnsiTheme="minorHAnsi" w:cstheme="minorHAnsi"/>
          <w:b w:val="0"/>
          <w:bCs/>
          <w:lang w:eastAsia="zh-CN"/>
        </w:rPr>
      </w:pPr>
      <w:r w:rsidRPr="00A46F8E">
        <w:rPr>
          <w:rFonts w:asciiTheme="minorHAnsi" w:hAnsiTheme="minorHAnsi" w:cstheme="minorHAnsi"/>
          <w:b w:val="0"/>
          <w:bCs/>
          <w:lang w:eastAsia="zh-CN"/>
        </w:rPr>
        <w:t>2027</w:t>
      </w:r>
      <w:r>
        <w:rPr>
          <w:rFonts w:asciiTheme="minorHAnsi" w:hAnsiTheme="minorHAnsi" w:cstheme="minorHAnsi" w:hint="eastAsia"/>
          <w:b w:val="0"/>
          <w:bCs/>
          <w:lang w:eastAsia="zh-CN"/>
        </w:rPr>
        <w:t>年运作规划</w:t>
      </w:r>
      <w:r w:rsidRPr="00500963">
        <w:rPr>
          <w:rFonts w:asciiTheme="minorHAnsi" w:hAnsiTheme="minorHAnsi" w:cstheme="minorHAnsi" w:hint="eastAsia"/>
          <w:lang w:eastAsia="zh-CN"/>
        </w:rPr>
        <w:t>草案</w:t>
      </w:r>
      <w:r>
        <w:rPr>
          <w:rFonts w:asciiTheme="minorHAnsi" w:hAnsiTheme="minorHAnsi" w:cstheme="minorHAnsi" w:hint="eastAsia"/>
          <w:b w:val="0"/>
          <w:bCs/>
          <w:lang w:eastAsia="zh-CN"/>
        </w:rPr>
        <w:t>结构</w:t>
      </w:r>
    </w:p>
    <w:p w14:paraId="095BEF6F" w14:textId="702D419B" w:rsidR="00AE3B44" w:rsidRPr="003614DF" w:rsidRDefault="0053628F" w:rsidP="0098711D">
      <w:pPr>
        <w:pStyle w:val="Figure"/>
        <w:jc w:val="both"/>
      </w:pPr>
      <w:r>
        <w:rPr>
          <w:noProof/>
        </w:rPr>
        <w:drawing>
          <wp:inline distT="0" distB="0" distL="0" distR="0" wp14:anchorId="010D41C2" wp14:editId="14734B41">
            <wp:extent cx="6203214" cy="1942400"/>
            <wp:effectExtent l="0" t="0" r="0" b="1270"/>
            <wp:docPr id="739827188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119" cy="1958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97CEB9" w14:textId="591864A0" w:rsidR="00AE3B44" w:rsidRPr="00AD5A7C" w:rsidRDefault="00AE3B44" w:rsidP="00226ADA">
      <w:pPr>
        <w:pStyle w:val="Heading1"/>
        <w:spacing w:before="600"/>
        <w:rPr>
          <w:rFonts w:asciiTheme="minorHAnsi" w:hAnsiTheme="minorHAnsi" w:cstheme="minorHAnsi"/>
          <w:b w:val="0"/>
          <w:sz w:val="24"/>
          <w:szCs w:val="24"/>
          <w:lang w:eastAsia="zh-CN"/>
        </w:rPr>
      </w:pPr>
      <w:r w:rsidRPr="00AD5A7C">
        <w:rPr>
          <w:lang w:eastAsia="zh-CN"/>
        </w:rPr>
        <w:t>2</w:t>
      </w:r>
      <w:r w:rsidRPr="00AD5A7C">
        <w:rPr>
          <w:lang w:eastAsia="zh-CN"/>
        </w:rPr>
        <w:tab/>
      </w:r>
      <w:r w:rsidR="000727DA">
        <w:rPr>
          <w:rFonts w:hint="eastAsia"/>
          <w:lang w:eastAsia="zh-CN"/>
        </w:rPr>
        <w:t>主题重点和输出成果</w:t>
      </w:r>
    </w:p>
    <w:p w14:paraId="217A20CD" w14:textId="5FC8ABB6" w:rsidR="007A3FCD" w:rsidRDefault="00AE3B44" w:rsidP="002D61CD">
      <w:pPr>
        <w:rPr>
          <w:lang w:eastAsia="zh-CN"/>
        </w:rPr>
      </w:pPr>
      <w:r w:rsidRPr="00AD5A7C">
        <w:rPr>
          <w:lang w:eastAsia="zh-CN"/>
        </w:rPr>
        <w:t>2.1</w:t>
      </w:r>
      <w:r w:rsidRPr="00AD5A7C">
        <w:rPr>
          <w:lang w:eastAsia="zh-CN"/>
        </w:rPr>
        <w:tab/>
      </w:r>
      <w:r w:rsidR="000727DA">
        <w:rPr>
          <w:rFonts w:hint="eastAsia"/>
          <w:lang w:eastAsia="zh-CN"/>
        </w:rPr>
        <w:t>表</w:t>
      </w:r>
      <w:r w:rsidR="000727DA">
        <w:rPr>
          <w:rFonts w:hint="eastAsia"/>
          <w:lang w:eastAsia="zh-CN"/>
        </w:rPr>
        <w:t>1</w:t>
      </w:r>
      <w:r w:rsidR="000727DA">
        <w:rPr>
          <w:rFonts w:hint="eastAsia"/>
          <w:lang w:eastAsia="zh-CN"/>
        </w:rPr>
        <w:t>提供了</w:t>
      </w:r>
      <w:r w:rsidR="00500963">
        <w:rPr>
          <w:rFonts w:hint="eastAsia"/>
          <w:lang w:eastAsia="zh-CN"/>
        </w:rPr>
        <w:t>按</w:t>
      </w:r>
      <w:r w:rsidR="000727DA">
        <w:rPr>
          <w:rFonts w:hint="eastAsia"/>
          <w:lang w:eastAsia="zh-CN"/>
        </w:rPr>
        <w:t>主题重点和部门分列的</w:t>
      </w:r>
      <w:r w:rsidR="000727DA">
        <w:rPr>
          <w:rFonts w:hint="eastAsia"/>
          <w:lang w:eastAsia="zh-CN"/>
        </w:rPr>
        <w:t>2027</w:t>
      </w:r>
      <w:r w:rsidR="000727DA">
        <w:rPr>
          <w:rFonts w:hint="eastAsia"/>
          <w:lang w:eastAsia="zh-CN"/>
        </w:rPr>
        <w:t>年成本明细</w:t>
      </w:r>
      <w:r w:rsidR="008C4661">
        <w:rPr>
          <w:rFonts w:hint="eastAsia"/>
          <w:lang w:eastAsia="zh-CN"/>
        </w:rPr>
        <w:t>。</w:t>
      </w:r>
    </w:p>
    <w:p w14:paraId="0E175D06" w14:textId="7E07152A" w:rsidR="00AE3B44" w:rsidRDefault="00AE3B4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4"/>
          <w:lang w:eastAsia="zh-CN"/>
        </w:rPr>
      </w:pPr>
    </w:p>
    <w:p w14:paraId="06DFB193" w14:textId="77777777" w:rsidR="00AE3B44" w:rsidRDefault="00AE3B44" w:rsidP="00AE3B44">
      <w:pPr>
        <w:rPr>
          <w:lang w:eastAsia="zh-CN"/>
        </w:rPr>
        <w:sectPr w:rsidR="00AE3B44" w:rsidSect="00A22A6E">
          <w:footerReference w:type="default" r:id="rId14"/>
          <w:headerReference w:type="first" r:id="rId15"/>
          <w:footerReference w:type="first" r:id="rId16"/>
          <w:pgSz w:w="11907" w:h="16834"/>
          <w:pgMar w:top="1418" w:right="1418" w:bottom="1418" w:left="1418" w:header="720" w:footer="720" w:gutter="0"/>
          <w:cols w:space="720"/>
          <w:titlePg/>
        </w:sectPr>
      </w:pPr>
    </w:p>
    <w:p w14:paraId="298C89E7" w14:textId="493D9B2A" w:rsidR="00AE3B44" w:rsidRPr="00AD5A7C" w:rsidRDefault="000727DA" w:rsidP="00AE3B44">
      <w:pPr>
        <w:pStyle w:val="TableNo"/>
        <w:rPr>
          <w:lang w:eastAsia="zh-CN"/>
        </w:rPr>
      </w:pPr>
      <w:r>
        <w:rPr>
          <w:rFonts w:hint="eastAsia"/>
          <w:lang w:eastAsia="zh-CN"/>
        </w:rPr>
        <w:lastRenderedPageBreak/>
        <w:t>表</w:t>
      </w:r>
      <w:r>
        <w:rPr>
          <w:rFonts w:hint="eastAsia"/>
          <w:lang w:eastAsia="zh-CN"/>
        </w:rPr>
        <w:t>1</w:t>
      </w:r>
    </w:p>
    <w:p w14:paraId="0F932CBA" w14:textId="22F8FC5B" w:rsidR="00AE3B44" w:rsidRPr="00AD5A7C" w:rsidRDefault="008C4661" w:rsidP="00AE3B44">
      <w:pPr>
        <w:pStyle w:val="Tabletitle"/>
        <w:rPr>
          <w:lang w:eastAsia="zh-CN"/>
        </w:rPr>
      </w:pPr>
      <w:r>
        <w:rPr>
          <w:rFonts w:hint="eastAsia"/>
          <w:lang w:eastAsia="zh-CN"/>
        </w:rPr>
        <w:t>按</w:t>
      </w:r>
      <w:r w:rsidR="000727DA">
        <w:rPr>
          <w:rFonts w:hint="eastAsia"/>
          <w:lang w:eastAsia="zh-CN"/>
        </w:rPr>
        <w:t>主题重点和部门分列的</w:t>
      </w:r>
      <w:r w:rsidR="000727DA">
        <w:rPr>
          <w:rFonts w:hint="eastAsia"/>
          <w:lang w:eastAsia="zh-CN"/>
        </w:rPr>
        <w:t>2027</w:t>
      </w:r>
      <w:r w:rsidR="000727DA">
        <w:rPr>
          <w:rFonts w:hint="eastAsia"/>
          <w:lang w:eastAsia="zh-CN"/>
        </w:rPr>
        <w:t>年成本明细</w:t>
      </w:r>
    </w:p>
    <w:p w14:paraId="4445E3AB" w14:textId="2224EE20" w:rsidR="00AE3B44" w:rsidRDefault="0098711D" w:rsidP="002D61CD">
      <w:pPr>
        <w:pStyle w:val="Figure"/>
        <w:rPr>
          <w:rFonts w:asciiTheme="minorHAnsi" w:hAnsiTheme="minorHAnsi" w:cstheme="minorBidi"/>
          <w:szCs w:val="24"/>
        </w:rPr>
      </w:pPr>
      <w:r w:rsidRPr="0098711D">
        <w:rPr>
          <w:noProof/>
        </w:rPr>
        <w:drawing>
          <wp:inline distT="0" distB="0" distL="0" distR="0" wp14:anchorId="0006CA5E" wp14:editId="68B7B042">
            <wp:extent cx="8888730" cy="1657350"/>
            <wp:effectExtent l="0" t="0" r="7620" b="0"/>
            <wp:docPr id="1893740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1AD66" w14:textId="18BAADD7" w:rsidR="00AE3B44" w:rsidRDefault="00AE3B4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760A2A69" w14:textId="77777777" w:rsidR="00AE3B44" w:rsidRDefault="00AE3B44" w:rsidP="00AE3B44">
      <w:pPr>
        <w:rPr>
          <w:lang w:eastAsia="zh-CN"/>
        </w:rPr>
        <w:sectPr w:rsidR="00AE3B44" w:rsidSect="00C97351">
          <w:headerReference w:type="first" r:id="rId18"/>
          <w:footerReference w:type="first" r:id="rId19"/>
          <w:pgSz w:w="16834" w:h="11907" w:orient="landscape"/>
          <w:pgMar w:top="1418" w:right="1418" w:bottom="1418" w:left="1418" w:header="720" w:footer="720" w:gutter="0"/>
          <w:cols w:space="720"/>
          <w:titlePg/>
        </w:sectPr>
      </w:pPr>
    </w:p>
    <w:p w14:paraId="6170B66C" w14:textId="5EBCC161" w:rsidR="00AE3B44" w:rsidRPr="00AD5A7C" w:rsidRDefault="00AE3B44" w:rsidP="002D61CD">
      <w:pPr>
        <w:rPr>
          <w:rFonts w:asciiTheme="minorHAnsi" w:hAnsiTheme="minorHAnsi" w:cstheme="minorHAnsi"/>
          <w:szCs w:val="24"/>
          <w:lang w:eastAsia="zh-CN"/>
        </w:rPr>
      </w:pPr>
      <w:r w:rsidRPr="00AD5A7C">
        <w:rPr>
          <w:lang w:eastAsia="zh-CN"/>
        </w:rPr>
        <w:lastRenderedPageBreak/>
        <w:t>2.2</w:t>
      </w:r>
      <w:r w:rsidRPr="00AD5A7C">
        <w:rPr>
          <w:lang w:eastAsia="zh-CN"/>
        </w:rPr>
        <w:tab/>
      </w:r>
      <w:r w:rsidR="000727DA">
        <w:rPr>
          <w:rFonts w:hint="eastAsia"/>
          <w:lang w:eastAsia="zh-CN"/>
        </w:rPr>
        <w:t>表</w:t>
      </w:r>
      <w:r w:rsidR="000727DA">
        <w:rPr>
          <w:rFonts w:hint="eastAsia"/>
          <w:lang w:eastAsia="zh-CN"/>
        </w:rPr>
        <w:t>2</w:t>
      </w:r>
      <w:r w:rsidR="000727DA">
        <w:rPr>
          <w:rFonts w:hint="eastAsia"/>
          <w:lang w:eastAsia="zh-CN"/>
        </w:rPr>
        <w:t>按输出成果列出了</w:t>
      </w:r>
      <w:r w:rsidR="000727DA">
        <w:rPr>
          <w:rFonts w:hint="eastAsia"/>
          <w:lang w:eastAsia="zh-CN"/>
        </w:rPr>
        <w:t>2027</w:t>
      </w:r>
      <w:r w:rsidR="000727DA">
        <w:rPr>
          <w:rFonts w:hint="eastAsia"/>
          <w:lang w:eastAsia="zh-CN"/>
        </w:rPr>
        <w:t>年的全部成本明细。</w:t>
      </w:r>
    </w:p>
    <w:p w14:paraId="3C132C3E" w14:textId="0A539C54" w:rsidR="00AE3B44" w:rsidRPr="002924B1" w:rsidRDefault="000727DA" w:rsidP="002D61CD">
      <w:pPr>
        <w:pStyle w:val="TableNo"/>
        <w:spacing w:before="120"/>
        <w:rPr>
          <w:rFonts w:asciiTheme="minorHAnsi" w:hAnsiTheme="minorHAnsi" w:cstheme="minorHAnsi"/>
          <w:color w:val="000000" w:themeColor="text1"/>
          <w:szCs w:val="24"/>
          <w:lang w:eastAsia="zh-CN"/>
        </w:rPr>
      </w:pPr>
      <w:r>
        <w:rPr>
          <w:rFonts w:asciiTheme="minorHAnsi" w:hAnsiTheme="minorHAnsi" w:cstheme="minorHAnsi" w:hint="eastAsia"/>
          <w:color w:val="000000" w:themeColor="text1"/>
          <w:szCs w:val="24"/>
          <w:lang w:eastAsia="zh-CN"/>
        </w:rPr>
        <w:t>表</w:t>
      </w:r>
      <w:r>
        <w:rPr>
          <w:rFonts w:asciiTheme="minorHAnsi" w:hAnsiTheme="minorHAnsi" w:cstheme="minorHAnsi" w:hint="eastAsia"/>
          <w:color w:val="000000" w:themeColor="text1"/>
          <w:szCs w:val="24"/>
          <w:lang w:eastAsia="zh-CN"/>
        </w:rPr>
        <w:t>2</w:t>
      </w:r>
    </w:p>
    <w:p w14:paraId="6D4CA9D6" w14:textId="39A09BB8" w:rsidR="003134BB" w:rsidRPr="003134BB" w:rsidRDefault="000727DA" w:rsidP="009A4560">
      <w:pPr>
        <w:pStyle w:val="Tabletitle"/>
        <w:rPr>
          <w:lang w:eastAsia="zh-CN"/>
        </w:rPr>
      </w:pPr>
      <w:r>
        <w:rPr>
          <w:rFonts w:hint="eastAsia"/>
          <w:lang w:eastAsia="zh-CN"/>
        </w:rPr>
        <w:t>按输出成果列出的</w:t>
      </w:r>
      <w:r>
        <w:rPr>
          <w:rFonts w:hint="eastAsia"/>
          <w:lang w:eastAsia="zh-CN"/>
        </w:rPr>
        <w:t>2027</w:t>
      </w:r>
      <w:r>
        <w:rPr>
          <w:rFonts w:hint="eastAsia"/>
          <w:lang w:eastAsia="zh-CN"/>
        </w:rPr>
        <w:t>年全部成本明细</w:t>
      </w:r>
    </w:p>
    <w:tbl>
      <w:tblPr>
        <w:tblW w:w="0" w:type="auto"/>
        <w:tblInd w:w="-630" w:type="dxa"/>
        <w:tblLook w:val="06A0" w:firstRow="1" w:lastRow="0" w:firstColumn="1" w:lastColumn="0" w:noHBand="1" w:noVBand="1"/>
      </w:tblPr>
      <w:tblGrid>
        <w:gridCol w:w="7260"/>
        <w:gridCol w:w="2431"/>
      </w:tblGrid>
      <w:tr w:rsidR="00A650A4" w:rsidRPr="002E45C9" w14:paraId="6700162A" w14:textId="77777777" w:rsidTr="653F4005">
        <w:trPr>
          <w:trHeight w:val="585"/>
        </w:trPr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2D5"/>
            <w:vAlign w:val="center"/>
          </w:tcPr>
          <w:p w14:paraId="29F65050" w14:textId="7D2FDE06" w:rsidR="653F4005" w:rsidRPr="002E45C9" w:rsidRDefault="000727DA" w:rsidP="002E45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E45C9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输出成果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2D5"/>
            <w:vAlign w:val="center"/>
          </w:tcPr>
          <w:p w14:paraId="36BA3E00" w14:textId="70D80F41" w:rsidR="653F4005" w:rsidRPr="002E45C9" w:rsidRDefault="000727DA" w:rsidP="002E45C9">
            <w:pPr>
              <w:spacing w:before="40" w:after="40"/>
              <w:jc w:val="center"/>
              <w:rPr>
                <w:sz w:val="22"/>
                <w:szCs w:val="22"/>
                <w:lang w:eastAsia="zh-CN"/>
              </w:rPr>
            </w:pPr>
            <w:r w:rsidRPr="002E45C9">
              <w:rPr>
                <w:rFonts w:ascii="Aptos Narrow" w:eastAsia="Aptos Narrow" w:hAnsi="Aptos Narrow" w:cs="Aptos Narrow" w:hint="eastAsia"/>
                <w:b/>
                <w:bCs/>
                <w:color w:val="000000" w:themeColor="text1"/>
                <w:sz w:val="22"/>
                <w:szCs w:val="22"/>
              </w:rPr>
              <w:t>2027</w:t>
            </w:r>
            <w:r w:rsidRPr="002E45C9">
              <w:rPr>
                <w:rFonts w:ascii="Aptos Narrow" w:hAnsi="Aptos Narrow" w:cs="Aptos Narrow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年全部成本</w:t>
            </w:r>
            <w:r w:rsidR="002E45C9">
              <w:rPr>
                <w:rFonts w:ascii="Aptos Narrow" w:hAnsi="Aptos Narrow" w:cs="Aptos Narrow"/>
                <w:b/>
                <w:bCs/>
                <w:color w:val="000000" w:themeColor="text1"/>
                <w:sz w:val="22"/>
                <w:szCs w:val="22"/>
                <w:lang w:eastAsia="zh-CN"/>
              </w:rPr>
              <w:br/>
            </w:r>
            <w:r w:rsidRPr="002E45C9">
              <w:rPr>
                <w:rFonts w:ascii="Aptos Narrow" w:hAnsi="Aptos Narrow" w:cs="Aptos Narrow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（</w:t>
            </w:r>
            <w:r w:rsidR="00F82223" w:rsidRPr="002E45C9">
              <w:rPr>
                <w:rFonts w:ascii="Aptos Narrow" w:hAnsi="Aptos Narrow" w:cs="Aptos Narrow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千</w:t>
            </w:r>
            <w:r w:rsidR="00FD22D5" w:rsidRPr="002E45C9">
              <w:rPr>
                <w:rFonts w:ascii="Aptos Narrow" w:hAnsi="Aptos Narrow" w:cs="Aptos Narrow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瑞郎</w:t>
            </w:r>
            <w:r w:rsidRPr="002E45C9">
              <w:rPr>
                <w:rFonts w:ascii="Aptos Narrow" w:hAnsi="Aptos Narrow" w:cs="Aptos Narrow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）</w:t>
            </w:r>
          </w:p>
        </w:tc>
      </w:tr>
      <w:tr w:rsidR="00A650A4" w:rsidRPr="002E45C9" w14:paraId="6F1E3A0E" w14:textId="77777777" w:rsidTr="653F4005">
        <w:trPr>
          <w:trHeight w:val="315"/>
        </w:trPr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vAlign w:val="bottom"/>
          </w:tcPr>
          <w:p w14:paraId="04B3FCF1" w14:textId="5E5E9298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I1 - PP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vAlign w:val="bottom"/>
          </w:tcPr>
          <w:p w14:paraId="5EE8B7F0" w14:textId="7718B255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4 089</w:t>
            </w:r>
          </w:p>
        </w:tc>
      </w:tr>
      <w:tr w:rsidR="00A650A4" w:rsidRPr="002E45C9" w14:paraId="08A30CFF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vAlign w:val="bottom"/>
          </w:tcPr>
          <w:p w14:paraId="5C638D12" w14:textId="68F55196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I2</w:t>
            </w:r>
            <w:r w:rsidR="00F82223"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 xml:space="preserve"> -</w:t>
            </w:r>
            <w:r w:rsidR="00F82223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0727DA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</w:rPr>
              <w:t>理事会和工作组</w:t>
            </w:r>
            <w:proofErr w:type="spellEnd"/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vAlign w:val="bottom"/>
          </w:tcPr>
          <w:p w14:paraId="0EC2FA10" w14:textId="5D0A1CD5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5 619</w:t>
            </w:r>
          </w:p>
        </w:tc>
      </w:tr>
      <w:tr w:rsidR="00A650A4" w:rsidRPr="002E45C9" w14:paraId="072ABB44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vAlign w:val="bottom"/>
          </w:tcPr>
          <w:p w14:paraId="73270B6C" w14:textId="63A0251E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I3 - WTPF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vAlign w:val="bottom"/>
          </w:tcPr>
          <w:p w14:paraId="73E646F1" w14:textId="20B77085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779</w:t>
            </w:r>
          </w:p>
        </w:tc>
      </w:tr>
      <w:tr w:rsidR="00A650A4" w:rsidRPr="002E45C9" w14:paraId="598FE56E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vAlign w:val="bottom"/>
          </w:tcPr>
          <w:p w14:paraId="0E61A1C5" w14:textId="55E3E523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I4 - WSIS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vAlign w:val="bottom"/>
          </w:tcPr>
          <w:p w14:paraId="476612AE" w14:textId="15FFD848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1 751</w:t>
            </w:r>
          </w:p>
        </w:tc>
      </w:tr>
      <w:tr w:rsidR="00A650A4" w:rsidRPr="002E45C9" w14:paraId="28E3E92D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vAlign w:val="bottom"/>
          </w:tcPr>
          <w:p w14:paraId="596BB4EA" w14:textId="16C769FB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I5 -</w:t>
            </w:r>
            <w:r w:rsidR="00F82223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青年和性别平等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vAlign w:val="bottom"/>
          </w:tcPr>
          <w:p w14:paraId="1F292F40" w14:textId="4282CA10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1 921</w:t>
            </w:r>
          </w:p>
        </w:tc>
      </w:tr>
      <w:tr w:rsidR="00A650A4" w:rsidRPr="002E45C9" w14:paraId="10BEC97E" w14:textId="77777777" w:rsidTr="653F4005">
        <w:trPr>
          <w:trHeight w:val="420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vAlign w:val="bottom"/>
          </w:tcPr>
          <w:p w14:paraId="0DC91ED1" w14:textId="40C9A2D8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  <w:lang w:eastAsia="zh-CN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eastAsia="zh-CN"/>
              </w:rPr>
              <w:t>I6 -</w:t>
            </w:r>
            <w:r w:rsidR="00F82223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对环境可持续性的承诺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vAlign w:val="bottom"/>
          </w:tcPr>
          <w:p w14:paraId="743A317E" w14:textId="1D395382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1 535</w:t>
            </w:r>
          </w:p>
        </w:tc>
      </w:tr>
      <w:tr w:rsidR="00A650A4" w:rsidRPr="002E45C9" w14:paraId="7F798111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vAlign w:val="bottom"/>
          </w:tcPr>
          <w:p w14:paraId="2B74F024" w14:textId="386A4CA5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I7 -</w:t>
            </w:r>
            <w:r w:rsidR="00F82223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伙伴关系和内部合作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vAlign w:val="bottom"/>
          </w:tcPr>
          <w:p w14:paraId="4450E4DE" w14:textId="6CF0EBF1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5 837</w:t>
            </w:r>
          </w:p>
        </w:tc>
      </w:tr>
      <w:tr w:rsidR="00A650A4" w:rsidRPr="002E45C9" w14:paraId="3DFB0E64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vAlign w:val="bottom"/>
          </w:tcPr>
          <w:p w14:paraId="25A5FE4E" w14:textId="3B753FDB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I8 -</w:t>
            </w:r>
            <w:r w:rsidR="004067F0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资源筹措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vAlign w:val="bottom"/>
          </w:tcPr>
          <w:p w14:paraId="57541054" w14:textId="7471702B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2 507</w:t>
            </w:r>
          </w:p>
        </w:tc>
      </w:tr>
      <w:tr w:rsidR="00A650A4" w:rsidRPr="002E45C9" w14:paraId="022D3094" w14:textId="77777777" w:rsidTr="653F4005">
        <w:trPr>
          <w:trHeight w:val="420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vAlign w:val="bottom"/>
          </w:tcPr>
          <w:p w14:paraId="2F4F82BD" w14:textId="03F8AB8F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  <w:lang w:eastAsia="zh-CN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eastAsia="zh-CN"/>
              </w:rPr>
              <w:t>I9 -</w:t>
            </w:r>
            <w:r w:rsidR="00F82223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组织和人力资源卓越和创新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vAlign w:val="bottom"/>
          </w:tcPr>
          <w:p w14:paraId="47E2EA6F" w14:textId="6A313385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2 763</w:t>
            </w:r>
          </w:p>
        </w:tc>
      </w:tr>
      <w:tr w:rsidR="00A650A4" w:rsidRPr="002E45C9" w14:paraId="7BA4502D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389A5747" w14:textId="11D31132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  <w:lang w:eastAsia="zh-CN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R1 -</w:t>
            </w:r>
            <w:r w:rsidR="00F82223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空间通知的处理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0501D37B" w14:textId="71A56F0C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20 995</w:t>
            </w:r>
          </w:p>
        </w:tc>
      </w:tr>
      <w:tr w:rsidR="00A650A4" w:rsidRPr="002E45C9" w14:paraId="7E3D0909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7419A77D" w14:textId="1E933E8B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R2 -</w:t>
            </w:r>
            <w:r w:rsidR="00F82223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地面通知的处理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3C2A62EA" w14:textId="5F5E2B87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9 094</w:t>
            </w:r>
          </w:p>
        </w:tc>
      </w:tr>
      <w:tr w:rsidR="00A650A4" w:rsidRPr="002E45C9" w14:paraId="21E467BB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11C214BE" w14:textId="7E03B5B1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 xml:space="preserve">R3 - </w:t>
            </w:r>
            <w:r w:rsidR="007A2D8E"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WRC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的输出成果（最后</w:t>
            </w:r>
            <w:r w:rsidR="004067F0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文件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21CCB2A8" w14:textId="7C255D19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11 005</w:t>
            </w:r>
          </w:p>
        </w:tc>
      </w:tr>
      <w:tr w:rsidR="00A650A4" w:rsidRPr="002E45C9" w14:paraId="223FDBFD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67E452E7" w14:textId="440F0DAF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  <w:lang w:eastAsia="zh-CN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R4 - </w:t>
            </w:r>
            <w:r w:rsidR="007A2D8E"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eastAsia="zh-CN"/>
              </w:rPr>
              <w:t>CPM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的输出成果（</w:t>
            </w:r>
            <w:r w:rsidR="007A2D8E"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eastAsia="zh-CN"/>
              </w:rPr>
              <w:t>CPM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报告）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43AB88A9" w14:textId="23DA6A97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5 859</w:t>
            </w:r>
          </w:p>
        </w:tc>
      </w:tr>
      <w:tr w:rsidR="00A650A4" w:rsidRPr="002E45C9" w14:paraId="407DCE80" w14:textId="77777777" w:rsidTr="653F4005">
        <w:trPr>
          <w:trHeight w:val="420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51E85FD3" w14:textId="6B9F3D4A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  <w:lang w:eastAsia="zh-CN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R5 - </w:t>
            </w:r>
            <w:r w:rsidR="007A2D8E"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eastAsia="zh-CN"/>
              </w:rPr>
              <w:t>RRB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的输出成果（程序规则和决定）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60A6D522" w14:textId="27F6EB97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3 020</w:t>
            </w:r>
          </w:p>
        </w:tc>
      </w:tr>
      <w:tr w:rsidR="00A650A4" w:rsidRPr="002E45C9" w14:paraId="3FC485BB" w14:textId="77777777" w:rsidTr="653F4005">
        <w:trPr>
          <w:trHeight w:val="420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3F46D51A" w14:textId="1120487C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R6</w:t>
            </w:r>
            <w:r w:rsidR="009400D0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9400D0"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-</w:t>
            </w:r>
            <w:r w:rsidR="009400D0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软件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3FA9379B" w14:textId="651C4BEC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1 119</w:t>
            </w:r>
          </w:p>
        </w:tc>
      </w:tr>
      <w:tr w:rsidR="00A650A4" w:rsidRPr="002E45C9" w14:paraId="7BF37007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1FEBD325" w14:textId="1E8976BE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 xml:space="preserve">R7 - </w:t>
            </w:r>
            <w:r w:rsidR="007A2D8E"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ITU-R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出版物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5F73BD19" w14:textId="145038BD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4 620</w:t>
            </w:r>
          </w:p>
        </w:tc>
      </w:tr>
      <w:tr w:rsidR="00A650A4" w:rsidRPr="002E45C9" w14:paraId="5AF2F0D2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42452A6C" w14:textId="1A9D2B9F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  <w:lang w:eastAsia="zh-CN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R8 - </w:t>
            </w:r>
            <w:r w:rsidR="007A2D8E"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eastAsia="zh-CN"/>
              </w:rPr>
              <w:t>ITU-R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研究组的输出成果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2BE2CF63" w14:textId="5BF62022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4 006</w:t>
            </w:r>
          </w:p>
        </w:tc>
      </w:tr>
      <w:tr w:rsidR="00A650A4" w:rsidRPr="002E45C9" w14:paraId="384C9E45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23DD563B" w14:textId="1A9F2903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 xml:space="preserve">R9 - </w:t>
            </w:r>
            <w:r w:rsidR="007A2D8E"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RA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的输出成果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5C0B6ACB" w14:textId="723B3608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3 322</w:t>
            </w:r>
          </w:p>
        </w:tc>
      </w:tr>
      <w:tr w:rsidR="00A650A4" w:rsidRPr="002E45C9" w14:paraId="294829A8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2D134510" w14:textId="66F51F0B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 xml:space="preserve">R10 - </w:t>
            </w:r>
            <w:r w:rsidR="007A2D8E"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RAG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的输出成果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384CA2CB" w14:textId="0D1C89B5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1 193</w:t>
            </w:r>
          </w:p>
        </w:tc>
      </w:tr>
      <w:tr w:rsidR="00A650A4" w:rsidRPr="002E45C9" w14:paraId="7EFB0FFC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750F5DE9" w14:textId="369818FD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R11 -</w:t>
            </w:r>
            <w:r w:rsidR="007B73D0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技术援助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3047DA67" w14:textId="2A57D4FA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2 392</w:t>
            </w:r>
          </w:p>
        </w:tc>
      </w:tr>
      <w:tr w:rsidR="00A650A4" w:rsidRPr="002E45C9" w14:paraId="358F9540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4954CF59" w14:textId="0B773A4C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 xml:space="preserve">R12 - </w:t>
            </w:r>
            <w:r w:rsidR="007A2D8E"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ITU-R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研讨会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73B78700" w14:textId="2F094391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3 514</w:t>
            </w:r>
          </w:p>
        </w:tc>
      </w:tr>
      <w:tr w:rsidR="00A650A4" w:rsidRPr="002E45C9" w14:paraId="58454FE4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vAlign w:val="bottom"/>
          </w:tcPr>
          <w:p w14:paraId="5978DC7B" w14:textId="25CCA9E0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T1 - WTSA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vAlign w:val="bottom"/>
          </w:tcPr>
          <w:p w14:paraId="6C7D4B99" w14:textId="0EE6E29B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553</w:t>
            </w:r>
          </w:p>
        </w:tc>
      </w:tr>
      <w:tr w:rsidR="00A650A4" w:rsidRPr="002E45C9" w14:paraId="47D11136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vAlign w:val="bottom"/>
          </w:tcPr>
          <w:p w14:paraId="0018F253" w14:textId="78043226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  <w:lang w:val="fr-CH" w:eastAsia="zh-CN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val="fr-CH" w:eastAsia="zh-CN"/>
              </w:rPr>
              <w:t xml:space="preserve">T2 - </w:t>
            </w:r>
            <w:r w:rsidR="007A2D8E"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val="fr-CH" w:eastAsia="zh-CN"/>
              </w:rPr>
              <w:t>WTSA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val="fr-CH" w:eastAsia="zh-CN"/>
              </w:rPr>
              <w:t>区域磋商会议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vAlign w:val="bottom"/>
          </w:tcPr>
          <w:p w14:paraId="53874F78" w14:textId="6E34D8E8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219</w:t>
            </w:r>
          </w:p>
        </w:tc>
      </w:tr>
      <w:tr w:rsidR="00A650A4" w:rsidRPr="002E45C9" w14:paraId="4D2DAD23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vAlign w:val="bottom"/>
          </w:tcPr>
          <w:p w14:paraId="4F737D96" w14:textId="3FA13C67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T3 - TSAG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vAlign w:val="bottom"/>
          </w:tcPr>
          <w:p w14:paraId="532C4041" w14:textId="2CA249CD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1 703</w:t>
            </w:r>
          </w:p>
        </w:tc>
      </w:tr>
      <w:tr w:rsidR="00A650A4" w:rsidRPr="002E45C9" w14:paraId="2CA494CB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vAlign w:val="bottom"/>
          </w:tcPr>
          <w:p w14:paraId="10FFE11E" w14:textId="5404D304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  <w:lang w:val="fr-CH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val="fr-CH"/>
              </w:rPr>
              <w:t xml:space="preserve">T4 - </w:t>
            </w:r>
            <w:r w:rsidR="007A2D8E"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val="fr-CH"/>
              </w:rPr>
              <w:t>ITU-T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的一般性援助与合作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vAlign w:val="bottom"/>
          </w:tcPr>
          <w:p w14:paraId="063769E9" w14:textId="6648C73C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1 631</w:t>
            </w:r>
          </w:p>
        </w:tc>
      </w:tr>
      <w:tr w:rsidR="00A650A4" w:rsidRPr="002E45C9" w14:paraId="55A53FEE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vAlign w:val="bottom"/>
          </w:tcPr>
          <w:p w14:paraId="67C42EC4" w14:textId="582019FE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  <w:lang w:val="fr-CH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val="fr-CH"/>
              </w:rPr>
              <w:t xml:space="preserve">T5 - </w:t>
            </w:r>
            <w:r w:rsidR="007A2D8E"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ITU-T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研究组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vAlign w:val="bottom"/>
          </w:tcPr>
          <w:p w14:paraId="285BA2FF" w14:textId="4B8E5B60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13 030</w:t>
            </w:r>
          </w:p>
        </w:tc>
      </w:tr>
      <w:tr w:rsidR="00A650A4" w:rsidRPr="002E45C9" w14:paraId="1B4333A3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vAlign w:val="bottom"/>
          </w:tcPr>
          <w:p w14:paraId="1848BF5D" w14:textId="164DE933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T6 -</w:t>
            </w:r>
            <w:r w:rsidR="009400D0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弥合标准化鸿沟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vAlign w:val="bottom"/>
          </w:tcPr>
          <w:p w14:paraId="5C8A072E" w14:textId="45766785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2 881</w:t>
            </w:r>
          </w:p>
        </w:tc>
      </w:tr>
      <w:tr w:rsidR="00A650A4" w:rsidRPr="002E45C9" w14:paraId="5632D7E1" w14:textId="77777777" w:rsidTr="653F4005">
        <w:trPr>
          <w:trHeight w:val="420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vAlign w:val="bottom"/>
          </w:tcPr>
          <w:p w14:paraId="4ACC6709" w14:textId="597A9573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  <w:lang w:eastAsia="zh-CN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eastAsia="zh-CN"/>
              </w:rPr>
              <w:t>T7 -</w:t>
            </w:r>
            <w:r w:rsidR="009400D0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包括讲习班和研讨会在内的培训活动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vAlign w:val="bottom"/>
          </w:tcPr>
          <w:p w14:paraId="298F936A" w14:textId="523D07A6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4 275</w:t>
            </w:r>
          </w:p>
        </w:tc>
      </w:tr>
      <w:tr w:rsidR="00A650A4" w:rsidRPr="002E45C9" w14:paraId="6B6E5E67" w14:textId="77777777" w:rsidTr="653F4005">
        <w:trPr>
          <w:trHeight w:val="420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vAlign w:val="bottom"/>
          </w:tcPr>
          <w:p w14:paraId="64FD4048" w14:textId="4EC454D0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  <w:lang w:val="fr-CH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val="fr-CH"/>
              </w:rPr>
              <w:t xml:space="preserve">T8 - </w:t>
            </w:r>
            <w:r w:rsidR="007A2D8E"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val="fr-CH"/>
              </w:rPr>
              <w:t>ITU-T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val="fr-CH" w:eastAsia="zh-CN"/>
              </w:rPr>
              <w:t>出版物和数据库出版物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vAlign w:val="bottom"/>
          </w:tcPr>
          <w:p w14:paraId="1E92E113" w14:textId="3B35CB4D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3 156</w:t>
            </w:r>
          </w:p>
        </w:tc>
      </w:tr>
      <w:tr w:rsidR="00A650A4" w:rsidRPr="002E45C9" w14:paraId="4E3E3052" w14:textId="77777777" w:rsidTr="653F4005">
        <w:trPr>
          <w:trHeight w:val="420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vAlign w:val="bottom"/>
          </w:tcPr>
          <w:p w14:paraId="65B7D2E6" w14:textId="78F0C6DD" w:rsidR="653F4005" w:rsidRPr="00DA6474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  <w:lang w:val="fr-CH" w:eastAsia="zh-CN"/>
              </w:rPr>
            </w:pPr>
            <w:r w:rsidRPr="00DA6474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val="fr-CH" w:eastAsia="zh-CN"/>
              </w:rPr>
              <w:t>T9 -</w:t>
            </w:r>
            <w:r w:rsidR="009400D0" w:rsidRPr="00DA6474">
              <w:rPr>
                <w:rFonts w:ascii="Aptos Narrow" w:hAnsi="Aptos Narrow" w:cs="Arial"/>
                <w:color w:val="000000" w:themeColor="text1"/>
                <w:sz w:val="22"/>
                <w:szCs w:val="22"/>
                <w:lang w:val="fr-CH" w:eastAsia="zh-CN"/>
              </w:rPr>
              <w:t xml:space="preserve"> </w:t>
            </w:r>
            <w:r w:rsidR="007A2D8E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分配和管理国际电信码号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vAlign w:val="bottom"/>
          </w:tcPr>
          <w:p w14:paraId="75ADF7B0" w14:textId="63B8246B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1 217</w:t>
            </w:r>
          </w:p>
        </w:tc>
      </w:tr>
      <w:tr w:rsidR="00A650A4" w:rsidRPr="002E45C9" w14:paraId="333503A0" w14:textId="77777777" w:rsidTr="653F4005">
        <w:trPr>
          <w:trHeight w:val="420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715F5C15" w14:textId="4809FE67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  <w:lang w:eastAsia="zh-CN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eastAsia="zh-CN"/>
              </w:rPr>
              <w:lastRenderedPageBreak/>
              <w:t xml:space="preserve">D1 - </w:t>
            </w:r>
            <w:r w:rsidR="00A650A4"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eastAsia="zh-CN"/>
              </w:rPr>
              <w:t>WTDC</w:t>
            </w:r>
            <w:r w:rsidR="00A650A4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和区域性筹备会议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35CB9E82" w14:textId="72D6A8EE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2 241</w:t>
            </w:r>
          </w:p>
        </w:tc>
      </w:tr>
      <w:tr w:rsidR="00A650A4" w:rsidRPr="002E45C9" w14:paraId="6E7D2415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52853E26" w14:textId="372C4B1C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D2 - TDAG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60B72D0C" w14:textId="1E672463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2 511</w:t>
            </w:r>
          </w:p>
        </w:tc>
      </w:tr>
      <w:tr w:rsidR="00A650A4" w:rsidRPr="002E45C9" w14:paraId="6AE4625E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7AA6274F" w14:textId="42718178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 xml:space="preserve">D3 - </w:t>
            </w:r>
            <w:r w:rsidR="00A650A4"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ITU-D</w:t>
            </w:r>
            <w:r w:rsidR="00A650A4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研究组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5A4B1829" w14:textId="0891574B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4 582</w:t>
            </w:r>
          </w:p>
        </w:tc>
      </w:tr>
      <w:tr w:rsidR="00A650A4" w:rsidRPr="002E45C9" w14:paraId="4AFA149F" w14:textId="77777777" w:rsidTr="653F4005">
        <w:trPr>
          <w:trHeight w:val="420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37394F15" w14:textId="055305B0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  <w:lang w:eastAsia="zh-CN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eastAsia="zh-CN"/>
              </w:rPr>
              <w:t>D4 -</w:t>
            </w:r>
            <w:r w:rsidR="009400D0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A650A4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资源筹措和伙伴关系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29A97AD4" w14:textId="3C24589A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5 311</w:t>
            </w:r>
          </w:p>
        </w:tc>
      </w:tr>
      <w:tr w:rsidR="00A650A4" w:rsidRPr="002E45C9" w14:paraId="5236EA48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4264FB5F" w14:textId="26DCF295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  <w:lang w:eastAsia="zh-CN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eastAsia="zh-CN"/>
              </w:rPr>
              <w:t>D5 -</w:t>
            </w:r>
            <w:r w:rsidR="009400D0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A650A4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开发新产品和新服务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4B0EE423" w14:textId="27B7CB13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5 964</w:t>
            </w:r>
          </w:p>
        </w:tc>
      </w:tr>
      <w:tr w:rsidR="00A650A4" w:rsidRPr="002E45C9" w14:paraId="4041CE72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1B890C63" w14:textId="1735DB84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D6</w:t>
            </w:r>
            <w:r w:rsidR="009400D0"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-</w:t>
            </w:r>
            <w:r w:rsidR="009400D0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A650A4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联络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0A2AB5CB" w14:textId="09022111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3 097</w:t>
            </w:r>
          </w:p>
        </w:tc>
      </w:tr>
      <w:tr w:rsidR="00A650A4" w:rsidRPr="002E45C9" w14:paraId="1E0B76A0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00F6D14A" w14:textId="2A1564C5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D7 -</w:t>
            </w:r>
            <w:r w:rsidR="009400D0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A650A4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能力开发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745CADC4" w14:textId="78EB34FD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3 783</w:t>
            </w:r>
          </w:p>
        </w:tc>
      </w:tr>
      <w:tr w:rsidR="00A650A4" w:rsidRPr="002E45C9" w14:paraId="7E26493F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3B21B609" w14:textId="3506B0C8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D8 -</w:t>
            </w:r>
            <w:r w:rsidR="009400D0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A650A4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产品和服务的交付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1C21A24A" w14:textId="15BDA0C9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2 499</w:t>
            </w:r>
          </w:p>
        </w:tc>
      </w:tr>
      <w:tr w:rsidR="00A650A4" w:rsidRPr="002E45C9" w14:paraId="11CC43A6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4AC35817" w14:textId="0494D453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D9</w:t>
            </w:r>
            <w:r w:rsidR="009400D0"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 xml:space="preserve"> -</w:t>
            </w:r>
            <w:r w:rsidR="009400D0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A650A4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统计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0A46EE81" w14:textId="4972203B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1 707</w:t>
            </w:r>
          </w:p>
        </w:tc>
      </w:tr>
      <w:tr w:rsidR="00A650A4" w:rsidRPr="002E45C9" w14:paraId="411E456F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31C9CF4F" w14:textId="552A4DE6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D10 -</w:t>
            </w:r>
            <w:r w:rsidR="009400D0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A650A4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出版物（旗舰）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24B7D395" w14:textId="5601ACED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3 003</w:t>
            </w:r>
          </w:p>
        </w:tc>
      </w:tr>
      <w:tr w:rsidR="00A650A4" w:rsidRPr="002E45C9" w14:paraId="57510AB0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0B13EED1" w14:textId="0F2DC1AD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D11 -</w:t>
            </w:r>
            <w:r w:rsidR="009400D0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A650A4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宣传和代表性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12AD1BC3" w14:textId="40AC7FF1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3 129</w:t>
            </w:r>
          </w:p>
        </w:tc>
      </w:tr>
      <w:tr w:rsidR="00A650A4" w:rsidRPr="002E45C9" w14:paraId="03F0ED24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6F627F72" w14:textId="6425B803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D12 -</w:t>
            </w:r>
            <w:r w:rsidR="009400D0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A650A4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参与联合国活动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19D1656F" w14:textId="3463EFF2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3 710</w:t>
            </w:r>
          </w:p>
        </w:tc>
      </w:tr>
      <w:tr w:rsidR="00A650A4" w:rsidRPr="002E45C9" w14:paraId="640D1071" w14:textId="77777777" w:rsidTr="653F4005">
        <w:trPr>
          <w:trHeight w:val="315"/>
        </w:trPr>
        <w:tc>
          <w:tcPr>
            <w:tcW w:w="83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7553497A" w14:textId="3031D18A" w:rsidR="653F4005" w:rsidRPr="002E45C9" w:rsidRDefault="653F4005" w:rsidP="002E45C9">
            <w:pPr>
              <w:spacing w:before="40" w:after="40"/>
              <w:rPr>
                <w:rFonts w:ascii="Aptos Narrow" w:hAnsi="Aptos Narrow" w:cs="Arial"/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D13 -</w:t>
            </w:r>
            <w:r w:rsidR="009400D0" w:rsidRPr="002E45C9">
              <w:rPr>
                <w:rFonts w:ascii="Aptos Narrow" w:hAnsi="Aptos Narrow" w:cs="Arial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A650A4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（</w:t>
            </w:r>
            <w:r w:rsidR="00A650A4"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GSR</w:t>
            </w:r>
            <w:r w:rsidR="00A650A4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val="fr-CH" w:eastAsia="zh-CN"/>
              </w:rPr>
              <w:t>、</w:t>
            </w:r>
            <w:r w:rsidR="00A650A4"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WTIS</w:t>
            </w:r>
            <w:r w:rsidR="00A650A4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val="fr-CH" w:eastAsia="zh-CN"/>
              </w:rPr>
              <w:t>、</w:t>
            </w:r>
            <w:r w:rsidR="00A650A4" w:rsidRPr="002E45C9">
              <w:rPr>
                <w:rFonts w:ascii="Aptos Narrow" w:eastAsia="Aptos Narrow" w:hAnsi="Aptos Narrow" w:cs="Arial"/>
                <w:color w:val="000000" w:themeColor="text1"/>
                <w:sz w:val="22"/>
                <w:szCs w:val="22"/>
              </w:rPr>
              <w:t>RDF</w:t>
            </w:r>
            <w:r w:rsidR="00A650A4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val="fr-CH" w:eastAsia="zh-CN"/>
              </w:rPr>
              <w:t>等</w:t>
            </w:r>
            <w:r w:rsidR="00A650A4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eastAsia="zh-CN"/>
              </w:rPr>
              <w:t>）</w:t>
            </w:r>
            <w:r w:rsidR="00A650A4" w:rsidRPr="002E45C9">
              <w:rPr>
                <w:rFonts w:ascii="Aptos Narrow" w:eastAsia="SimSun" w:hAnsi="Aptos Narrow" w:cs="Arial"/>
                <w:color w:val="000000" w:themeColor="text1"/>
                <w:sz w:val="22"/>
                <w:szCs w:val="22"/>
                <w:lang w:val="fr-CH" w:eastAsia="zh-CN"/>
              </w:rPr>
              <w:t>平台</w:t>
            </w: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bottom"/>
          </w:tcPr>
          <w:p w14:paraId="69BD4EE5" w14:textId="39BB297F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2 970</w:t>
            </w:r>
          </w:p>
        </w:tc>
      </w:tr>
      <w:tr w:rsidR="00A650A4" w:rsidRPr="002E45C9" w14:paraId="31A8152D" w14:textId="77777777" w:rsidTr="653F4005">
        <w:trPr>
          <w:trHeight w:val="360"/>
        </w:trPr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7D2CD8A9" w14:textId="024074D3" w:rsidR="653F4005" w:rsidRPr="002E45C9" w:rsidRDefault="00A650A4" w:rsidP="002E45C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E45C9">
              <w:rPr>
                <w:rFonts w:ascii="Arial" w:eastAsia="SimSun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  <w:t>合计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5"/>
            <w:vAlign w:val="bottom"/>
          </w:tcPr>
          <w:p w14:paraId="546F52F5" w14:textId="34C7882C" w:rsidR="653F4005" w:rsidRPr="002E45C9" w:rsidRDefault="653F4005" w:rsidP="002E45C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2E45C9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170 112</w:t>
            </w:r>
          </w:p>
        </w:tc>
      </w:tr>
    </w:tbl>
    <w:p w14:paraId="6E58DBA5" w14:textId="6FC12C36" w:rsidR="00AE3B44" w:rsidRDefault="00AE3B44" w:rsidP="00E06714">
      <w:pPr>
        <w:pStyle w:val="Heading1"/>
        <w:rPr>
          <w:rFonts w:asciiTheme="minorHAnsi" w:hAnsiTheme="minorHAnsi" w:cstheme="minorHAnsi"/>
          <w:b w:val="0"/>
          <w:bCs/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A650A4">
        <w:rPr>
          <w:rFonts w:asciiTheme="minorHAnsi" w:hAnsiTheme="minorHAnsi" w:cstheme="minorHAnsi" w:hint="eastAsia"/>
          <w:lang w:eastAsia="zh-CN"/>
        </w:rPr>
        <w:t>成本结构和成本分配方法</w:t>
      </w:r>
    </w:p>
    <w:p w14:paraId="61EF312A" w14:textId="309793B6" w:rsidR="00AE3B44" w:rsidRPr="00AD5A7C" w:rsidRDefault="00AE3B44" w:rsidP="00E06714">
      <w:pPr>
        <w:jc w:val="both"/>
        <w:rPr>
          <w:lang w:eastAsia="zh-CN"/>
        </w:rPr>
      </w:pPr>
      <w:r>
        <w:rPr>
          <w:lang w:eastAsia="zh-CN"/>
        </w:rPr>
        <w:t>3</w:t>
      </w:r>
      <w:r w:rsidRPr="00AD5A7C">
        <w:rPr>
          <w:lang w:eastAsia="zh-CN"/>
        </w:rPr>
        <w:t>.1</w:t>
      </w:r>
      <w:r w:rsidRPr="00AD5A7C">
        <w:rPr>
          <w:lang w:eastAsia="zh-CN"/>
        </w:rPr>
        <w:tab/>
      </w:r>
      <w:r w:rsidR="00A650A4">
        <w:rPr>
          <w:rFonts w:hint="eastAsia"/>
          <w:lang w:eastAsia="zh-CN"/>
        </w:rPr>
        <w:t>对每个基于结果的预算组成部分（即主题重点和输出成果）的全部成本分配基于理事会</w:t>
      </w:r>
      <w:hyperlink r:id="rId20" w:history="1">
        <w:r w:rsidR="00A650A4">
          <w:rPr>
            <w:rStyle w:val="Hyperlink"/>
            <w:rFonts w:asciiTheme="minorHAnsi" w:hAnsiTheme="minorHAnsi" w:cstheme="minorHAnsi" w:hint="eastAsia"/>
            <w:szCs w:val="24"/>
            <w:lang w:eastAsia="zh-CN"/>
          </w:rPr>
          <w:t>第</w:t>
        </w:r>
        <w:r w:rsidR="00A650A4" w:rsidRPr="00A650A4">
          <w:rPr>
            <w:rStyle w:val="Hyperlink"/>
            <w:rFonts w:asciiTheme="minorHAnsi" w:hAnsiTheme="minorHAnsi" w:cstheme="minorHAnsi"/>
            <w:szCs w:val="24"/>
            <w:lang w:eastAsia="zh-CN"/>
          </w:rPr>
          <w:t>535</w:t>
        </w:r>
        <w:r w:rsidR="00A650A4">
          <w:rPr>
            <w:rStyle w:val="Hyperlink"/>
            <w:rFonts w:asciiTheme="minorHAnsi" w:hAnsiTheme="minorHAnsi" w:cstheme="minorHAnsi" w:hint="eastAsia"/>
            <w:szCs w:val="24"/>
            <w:lang w:eastAsia="zh-CN"/>
          </w:rPr>
          <w:t>号决定</w:t>
        </w:r>
      </w:hyperlink>
      <w:r w:rsidR="00A650A4">
        <w:rPr>
          <w:rFonts w:hint="eastAsia"/>
          <w:lang w:eastAsia="zh-CN"/>
        </w:rPr>
        <w:t>中描述的成本分配方法。</w:t>
      </w:r>
    </w:p>
    <w:p w14:paraId="303E0B93" w14:textId="1A266F66" w:rsidR="00AE3B44" w:rsidRPr="00AD5A7C" w:rsidRDefault="00AE3B44" w:rsidP="00E06714">
      <w:pPr>
        <w:jc w:val="both"/>
        <w:rPr>
          <w:lang w:eastAsia="zh-CN"/>
        </w:rPr>
      </w:pPr>
      <w:r w:rsidRPr="00AD5A7C">
        <w:rPr>
          <w:lang w:eastAsia="zh-CN"/>
        </w:rPr>
        <w:t>3.2</w:t>
      </w:r>
      <w:r w:rsidRPr="00AD5A7C">
        <w:rPr>
          <w:lang w:eastAsia="zh-CN"/>
        </w:rPr>
        <w:tab/>
      </w:r>
      <w:r w:rsidR="00A650A4">
        <w:rPr>
          <w:rFonts w:hint="eastAsia"/>
          <w:lang w:eastAsia="zh-CN"/>
        </w:rPr>
        <w:t>完整的成本结构如下：</w:t>
      </w:r>
    </w:p>
    <w:p w14:paraId="574ECEC8" w14:textId="42505DA8" w:rsidR="00AE3B44" w:rsidRDefault="00BD5C63" w:rsidP="00E06714">
      <w:pPr>
        <w:pStyle w:val="FigureNo"/>
        <w:rPr>
          <w:lang w:eastAsia="zh-CN"/>
        </w:rPr>
      </w:pPr>
      <w:r>
        <w:rPr>
          <w:rFonts w:hint="eastAsia"/>
          <w:lang w:eastAsia="zh-CN"/>
        </w:rPr>
        <w:t>图</w:t>
      </w:r>
      <w:r>
        <w:rPr>
          <w:rFonts w:hint="eastAsia"/>
          <w:lang w:eastAsia="zh-CN"/>
        </w:rPr>
        <w:t>2</w:t>
      </w:r>
    </w:p>
    <w:p w14:paraId="055FBA55" w14:textId="2025C71B" w:rsidR="00AE3B44" w:rsidRPr="00665F61" w:rsidRDefault="00BD5C63" w:rsidP="00E06714">
      <w:pPr>
        <w:pStyle w:val="Figuretitle"/>
        <w:rPr>
          <w:rFonts w:asciiTheme="minorHAnsi" w:hAnsiTheme="minorHAnsi" w:cstheme="minorHAnsi"/>
          <w:b w:val="0"/>
          <w:bCs/>
          <w:color w:val="000000" w:themeColor="text1"/>
          <w:szCs w:val="24"/>
        </w:rPr>
      </w:pPr>
      <w:r>
        <w:rPr>
          <w:rFonts w:hint="eastAsia"/>
          <w:lang w:eastAsia="zh-CN"/>
        </w:rPr>
        <w:t>完整的成本结构</w:t>
      </w:r>
    </w:p>
    <w:p w14:paraId="447C0307" w14:textId="66DFB34B" w:rsidR="00AE3B44" w:rsidRPr="00505F53" w:rsidRDefault="00CA463C" w:rsidP="00C1434F">
      <w:pPr>
        <w:pStyle w:val="Figure"/>
      </w:pPr>
      <w:r>
        <w:rPr>
          <w:noProof/>
          <w:lang w:val="en-US" w:eastAsia="zh-CN"/>
        </w:rPr>
        <w:drawing>
          <wp:inline distT="0" distB="0" distL="0" distR="0" wp14:anchorId="2EEE3491" wp14:editId="03635CDF">
            <wp:extent cx="3548380" cy="2737485"/>
            <wp:effectExtent l="0" t="0" r="0" b="5715"/>
            <wp:docPr id="98347209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8D0D91" w14:textId="49EC20E4" w:rsidR="00AE3B44" w:rsidRPr="00505F53" w:rsidRDefault="00AE3B44" w:rsidP="002E45C9">
      <w:pPr>
        <w:keepNext/>
        <w:keepLines/>
        <w:jc w:val="both"/>
        <w:rPr>
          <w:lang w:eastAsia="zh-CN"/>
        </w:rPr>
      </w:pPr>
      <w:r>
        <w:rPr>
          <w:lang w:eastAsia="zh-CN"/>
        </w:rPr>
        <w:lastRenderedPageBreak/>
        <w:t>3.3</w:t>
      </w:r>
      <w:r w:rsidRPr="00505F53">
        <w:rPr>
          <w:lang w:eastAsia="zh-CN"/>
        </w:rPr>
        <w:tab/>
      </w:r>
      <w:r w:rsidR="00A626A3">
        <w:rPr>
          <w:rFonts w:hint="eastAsia"/>
          <w:lang w:eastAsia="zh-CN"/>
        </w:rPr>
        <w:t>计划支出（财务预算）采用以下支出类别表示：</w:t>
      </w:r>
    </w:p>
    <w:p w14:paraId="124E4E58" w14:textId="02B6A2DF" w:rsidR="00AE3B44" w:rsidRPr="00505F53" w:rsidRDefault="00AA7946" w:rsidP="00C1434F">
      <w:pPr>
        <w:pStyle w:val="Headingb"/>
        <w:rPr>
          <w:lang w:eastAsia="zh-CN"/>
        </w:rPr>
      </w:pPr>
      <w:r>
        <w:rPr>
          <w:rFonts w:hint="eastAsia"/>
          <w:lang w:eastAsia="zh-CN"/>
        </w:rPr>
        <w:t>人员费用</w:t>
      </w:r>
    </w:p>
    <w:p w14:paraId="61203133" w14:textId="339308E6" w:rsidR="00AE3B44" w:rsidRPr="00A13547" w:rsidRDefault="00C1434F" w:rsidP="00C1434F">
      <w:pPr>
        <w:pStyle w:val="enumlev1"/>
        <w:rPr>
          <w:lang w:eastAsia="zh-CN"/>
        </w:rPr>
      </w:pPr>
      <w:r>
        <w:rPr>
          <w:lang w:eastAsia="zh-CN"/>
        </w:rPr>
        <w:t>–</w:t>
      </w:r>
      <w:r w:rsidRPr="00E775B7">
        <w:rPr>
          <w:rFonts w:cs="Calibri"/>
          <w:lang w:eastAsia="zh-CN"/>
        </w:rPr>
        <w:tab/>
      </w:r>
      <w:r w:rsidR="00AA7946">
        <w:rPr>
          <w:rFonts w:hint="eastAsia"/>
          <w:lang w:eastAsia="zh-CN"/>
        </w:rPr>
        <w:t>类别</w:t>
      </w:r>
      <w:r w:rsidR="00AA7946">
        <w:rPr>
          <w:rFonts w:hint="eastAsia"/>
          <w:lang w:eastAsia="zh-CN"/>
        </w:rPr>
        <w:t xml:space="preserve">1 </w:t>
      </w:r>
      <w:r w:rsidR="00AA7946">
        <w:rPr>
          <w:rFonts w:hint="eastAsia"/>
          <w:lang w:eastAsia="zh-CN"/>
        </w:rPr>
        <w:t>人员费用（薪金和补贴等）；</w:t>
      </w:r>
    </w:p>
    <w:p w14:paraId="2B0C6A50" w14:textId="2AC928C3" w:rsidR="00AE3B44" w:rsidRPr="00A13547" w:rsidRDefault="00C1434F" w:rsidP="00C1434F">
      <w:pPr>
        <w:pStyle w:val="enumlev1"/>
        <w:rPr>
          <w:lang w:eastAsia="zh-CN"/>
        </w:rPr>
      </w:pPr>
      <w:r>
        <w:rPr>
          <w:lang w:eastAsia="zh-CN"/>
        </w:rPr>
        <w:t>–</w:t>
      </w:r>
      <w:r w:rsidRPr="00E775B7">
        <w:rPr>
          <w:rFonts w:cs="Calibri"/>
          <w:lang w:eastAsia="zh-CN"/>
        </w:rPr>
        <w:tab/>
      </w:r>
      <w:r w:rsidR="00AA7946">
        <w:rPr>
          <w:rFonts w:hint="eastAsia"/>
          <w:lang w:eastAsia="zh-CN"/>
        </w:rPr>
        <w:t>类别</w:t>
      </w:r>
      <w:r w:rsidR="00AA7946">
        <w:rPr>
          <w:rFonts w:hint="eastAsia"/>
          <w:lang w:eastAsia="zh-CN"/>
        </w:rPr>
        <w:t xml:space="preserve">2 </w:t>
      </w:r>
      <w:r w:rsidR="00AA7946">
        <w:rPr>
          <w:rFonts w:hint="eastAsia"/>
          <w:lang w:eastAsia="zh-CN"/>
        </w:rPr>
        <w:t>其他人员费用（养恤金、医疗保险、人力资源开发等）。</w:t>
      </w:r>
    </w:p>
    <w:p w14:paraId="16575169" w14:textId="022D9D15" w:rsidR="00AE3B44" w:rsidRPr="00505F53" w:rsidRDefault="00AA7946" w:rsidP="00CA463C">
      <w:pPr>
        <w:pStyle w:val="Headingb"/>
        <w:rPr>
          <w:lang w:eastAsia="zh-CN"/>
        </w:rPr>
      </w:pPr>
      <w:r>
        <w:rPr>
          <w:rFonts w:hint="eastAsia"/>
          <w:lang w:eastAsia="zh-CN"/>
        </w:rPr>
        <w:t>非人员费用</w:t>
      </w:r>
    </w:p>
    <w:p w14:paraId="2EDAF486" w14:textId="4D74B1FE" w:rsidR="00AE3B44" w:rsidRPr="00A13547" w:rsidRDefault="00C1434F" w:rsidP="00CA463C">
      <w:pPr>
        <w:pStyle w:val="enumlev1"/>
        <w:keepNext/>
        <w:keepLines/>
        <w:rPr>
          <w:lang w:eastAsia="zh-CN"/>
        </w:rPr>
      </w:pPr>
      <w:r>
        <w:rPr>
          <w:lang w:eastAsia="zh-CN"/>
        </w:rPr>
        <w:t>–</w:t>
      </w:r>
      <w:r w:rsidRPr="00505F53">
        <w:rPr>
          <w:rFonts w:cs="Calibri"/>
          <w:lang w:eastAsia="zh-CN"/>
        </w:rPr>
        <w:tab/>
      </w:r>
      <w:r w:rsidR="00AA7946">
        <w:rPr>
          <w:rFonts w:hint="eastAsia"/>
          <w:lang w:eastAsia="zh-CN"/>
        </w:rPr>
        <w:t>类别</w:t>
      </w:r>
      <w:r w:rsidR="00AA7946">
        <w:rPr>
          <w:rFonts w:hint="eastAsia"/>
          <w:lang w:eastAsia="zh-CN"/>
        </w:rPr>
        <w:t xml:space="preserve">3 </w:t>
      </w:r>
      <w:r w:rsidR="00AA7946">
        <w:rPr>
          <w:rFonts w:hint="eastAsia"/>
          <w:lang w:eastAsia="zh-CN"/>
        </w:rPr>
        <w:t>公务差旅</w:t>
      </w:r>
      <w:r w:rsidR="00C03AF1">
        <w:rPr>
          <w:rFonts w:hint="eastAsia"/>
          <w:lang w:eastAsia="zh-CN"/>
        </w:rPr>
        <w:t>；</w:t>
      </w:r>
    </w:p>
    <w:p w14:paraId="55C51EBA" w14:textId="4B76B66E" w:rsidR="00AA7946" w:rsidRPr="000237B7" w:rsidRDefault="00AA7946" w:rsidP="00AA7946">
      <w:pPr>
        <w:pStyle w:val="enumlev1"/>
        <w:rPr>
          <w:lang w:eastAsia="zh-CN"/>
        </w:rPr>
      </w:pPr>
      <w:r>
        <w:rPr>
          <w:lang w:eastAsia="zh-CN"/>
        </w:rPr>
        <w:t>–</w:t>
      </w:r>
      <w:r w:rsidRPr="000237B7">
        <w:rPr>
          <w:lang w:eastAsia="zh-CN"/>
        </w:rPr>
        <w:tab/>
      </w:r>
      <w:r w:rsidRPr="000237B7">
        <w:rPr>
          <w:rFonts w:hint="eastAsia"/>
          <w:lang w:eastAsia="zh-CN"/>
        </w:rPr>
        <w:t>类别</w:t>
      </w:r>
      <w:r w:rsidRPr="000237B7">
        <w:rPr>
          <w:lang w:eastAsia="zh-CN"/>
        </w:rPr>
        <w:t>4</w:t>
      </w:r>
      <w:r w:rsidR="00C03AF1">
        <w:rPr>
          <w:rFonts w:hint="eastAsia"/>
          <w:lang w:eastAsia="zh-CN"/>
        </w:rPr>
        <w:t xml:space="preserve"> </w:t>
      </w:r>
      <w:r w:rsidRPr="000237B7">
        <w:rPr>
          <w:rFonts w:hint="eastAsia"/>
          <w:lang w:eastAsia="zh-CN"/>
        </w:rPr>
        <w:t>合同服务；</w:t>
      </w:r>
    </w:p>
    <w:p w14:paraId="0638B4EB" w14:textId="7DF8D1A9" w:rsidR="00AA7946" w:rsidRPr="000237B7" w:rsidRDefault="00AA7946" w:rsidP="00AA7946">
      <w:pPr>
        <w:pStyle w:val="enumlev1"/>
        <w:rPr>
          <w:lang w:eastAsia="zh-CN"/>
        </w:rPr>
      </w:pPr>
      <w:r>
        <w:rPr>
          <w:lang w:eastAsia="zh-CN"/>
        </w:rPr>
        <w:t>–</w:t>
      </w:r>
      <w:r w:rsidRPr="000237B7">
        <w:rPr>
          <w:lang w:eastAsia="zh-CN"/>
        </w:rPr>
        <w:tab/>
      </w:r>
      <w:r w:rsidRPr="000237B7">
        <w:rPr>
          <w:rFonts w:hint="eastAsia"/>
          <w:lang w:eastAsia="zh-CN"/>
        </w:rPr>
        <w:t>类别</w:t>
      </w:r>
      <w:r w:rsidRPr="000237B7">
        <w:rPr>
          <w:lang w:eastAsia="zh-CN"/>
        </w:rPr>
        <w:t>5</w:t>
      </w:r>
      <w:r w:rsidR="00C03AF1">
        <w:rPr>
          <w:rFonts w:hint="eastAsia"/>
          <w:lang w:eastAsia="zh-CN"/>
        </w:rPr>
        <w:t xml:space="preserve"> </w:t>
      </w:r>
      <w:r w:rsidRPr="000237B7">
        <w:rPr>
          <w:rFonts w:hint="eastAsia"/>
          <w:lang w:eastAsia="zh-CN"/>
        </w:rPr>
        <w:t>房屋设施和设备的租用与维护；</w:t>
      </w:r>
    </w:p>
    <w:p w14:paraId="48814BB3" w14:textId="2EB265DF" w:rsidR="00AA7946" w:rsidRPr="000237B7" w:rsidRDefault="00AA7946" w:rsidP="00AA7946">
      <w:pPr>
        <w:pStyle w:val="enumlev1"/>
        <w:rPr>
          <w:lang w:eastAsia="zh-CN"/>
        </w:rPr>
      </w:pPr>
      <w:r>
        <w:rPr>
          <w:lang w:eastAsia="zh-CN"/>
        </w:rPr>
        <w:t>–</w:t>
      </w:r>
      <w:r w:rsidRPr="000237B7">
        <w:rPr>
          <w:lang w:eastAsia="zh-CN"/>
        </w:rPr>
        <w:tab/>
      </w:r>
      <w:r w:rsidRPr="000237B7">
        <w:rPr>
          <w:rFonts w:hint="eastAsia"/>
          <w:lang w:eastAsia="zh-CN"/>
        </w:rPr>
        <w:t>类别</w:t>
      </w:r>
      <w:r w:rsidRPr="000237B7">
        <w:rPr>
          <w:lang w:eastAsia="zh-CN"/>
        </w:rPr>
        <w:t>6</w:t>
      </w:r>
      <w:r w:rsidR="00C03AF1">
        <w:rPr>
          <w:rFonts w:hint="eastAsia"/>
          <w:lang w:eastAsia="zh-CN"/>
        </w:rPr>
        <w:t xml:space="preserve"> </w:t>
      </w:r>
      <w:r w:rsidRPr="000237B7">
        <w:rPr>
          <w:rFonts w:hint="eastAsia"/>
          <w:lang w:eastAsia="zh-CN"/>
        </w:rPr>
        <w:t>材料和办公用品；</w:t>
      </w:r>
    </w:p>
    <w:p w14:paraId="2341F1F0" w14:textId="0E02140F" w:rsidR="00AA7946" w:rsidRPr="000237B7" w:rsidRDefault="00AA7946" w:rsidP="00AA7946">
      <w:pPr>
        <w:pStyle w:val="enumlev1"/>
        <w:rPr>
          <w:lang w:eastAsia="zh-CN"/>
        </w:rPr>
      </w:pPr>
      <w:r>
        <w:rPr>
          <w:lang w:eastAsia="zh-CN"/>
        </w:rPr>
        <w:t>–</w:t>
      </w:r>
      <w:r w:rsidRPr="000237B7">
        <w:rPr>
          <w:lang w:eastAsia="zh-CN"/>
        </w:rPr>
        <w:tab/>
      </w:r>
      <w:r w:rsidRPr="000237B7">
        <w:rPr>
          <w:rFonts w:hint="eastAsia"/>
          <w:lang w:eastAsia="zh-CN"/>
        </w:rPr>
        <w:t>类别</w:t>
      </w:r>
      <w:r w:rsidRPr="000237B7">
        <w:rPr>
          <w:lang w:eastAsia="zh-CN"/>
        </w:rPr>
        <w:t>7</w:t>
      </w:r>
      <w:r w:rsidR="00C03AF1">
        <w:rPr>
          <w:rFonts w:hint="eastAsia"/>
          <w:lang w:eastAsia="zh-CN"/>
        </w:rPr>
        <w:t xml:space="preserve"> </w:t>
      </w:r>
      <w:r w:rsidRPr="000237B7">
        <w:rPr>
          <w:rFonts w:hint="eastAsia"/>
          <w:lang w:eastAsia="zh-CN"/>
        </w:rPr>
        <w:t>房屋设施、家具和设备的采购；</w:t>
      </w:r>
    </w:p>
    <w:p w14:paraId="33EB4AD9" w14:textId="1BED13E7" w:rsidR="00AA7946" w:rsidRPr="000237B7" w:rsidRDefault="00AA7946" w:rsidP="00AA7946">
      <w:pPr>
        <w:pStyle w:val="enumlev1"/>
        <w:rPr>
          <w:lang w:eastAsia="zh-CN"/>
        </w:rPr>
      </w:pPr>
      <w:r>
        <w:rPr>
          <w:lang w:eastAsia="zh-CN"/>
        </w:rPr>
        <w:t>–</w:t>
      </w:r>
      <w:r w:rsidRPr="000237B7">
        <w:rPr>
          <w:lang w:eastAsia="zh-CN"/>
        </w:rPr>
        <w:tab/>
      </w:r>
      <w:r w:rsidRPr="000237B7">
        <w:rPr>
          <w:rFonts w:hint="eastAsia"/>
          <w:lang w:eastAsia="zh-CN"/>
        </w:rPr>
        <w:t>类别</w:t>
      </w:r>
      <w:r w:rsidRPr="000237B7">
        <w:rPr>
          <w:lang w:eastAsia="zh-CN"/>
        </w:rPr>
        <w:t>8</w:t>
      </w:r>
      <w:r w:rsidR="00C03AF1">
        <w:rPr>
          <w:rFonts w:hint="eastAsia"/>
          <w:lang w:eastAsia="zh-CN"/>
        </w:rPr>
        <w:t xml:space="preserve"> </w:t>
      </w:r>
      <w:r w:rsidRPr="000237B7">
        <w:rPr>
          <w:rFonts w:hint="eastAsia"/>
          <w:lang w:eastAsia="zh-CN"/>
        </w:rPr>
        <w:t>公共和内部服务设施；</w:t>
      </w:r>
    </w:p>
    <w:p w14:paraId="67800DC1" w14:textId="011E0DCF" w:rsidR="00AA7946" w:rsidRPr="00AA7946" w:rsidRDefault="00AA7946" w:rsidP="006F4118">
      <w:pPr>
        <w:pStyle w:val="enumlev1"/>
        <w:rPr>
          <w:lang w:eastAsia="zh-CN"/>
        </w:rPr>
      </w:pPr>
      <w:r>
        <w:rPr>
          <w:lang w:eastAsia="zh-CN"/>
        </w:rPr>
        <w:t>–</w:t>
      </w:r>
      <w:r w:rsidRPr="000237B7">
        <w:rPr>
          <w:lang w:eastAsia="zh-CN"/>
        </w:rPr>
        <w:tab/>
      </w:r>
      <w:r w:rsidRPr="000237B7">
        <w:rPr>
          <w:rFonts w:hint="eastAsia"/>
          <w:lang w:eastAsia="zh-CN"/>
        </w:rPr>
        <w:t>类别</w:t>
      </w:r>
      <w:r w:rsidRPr="000237B7">
        <w:rPr>
          <w:lang w:eastAsia="zh-CN"/>
        </w:rPr>
        <w:t>9</w:t>
      </w:r>
      <w:r w:rsidR="00C03AF1">
        <w:rPr>
          <w:rFonts w:hint="eastAsia"/>
          <w:lang w:eastAsia="zh-CN"/>
        </w:rPr>
        <w:t xml:space="preserve"> </w:t>
      </w:r>
      <w:r w:rsidRPr="000237B7">
        <w:rPr>
          <w:rFonts w:hint="eastAsia"/>
          <w:lang w:eastAsia="zh-CN"/>
        </w:rPr>
        <w:t>审计和机构间的费用及</w:t>
      </w:r>
      <w:r>
        <w:rPr>
          <w:rFonts w:hint="eastAsia"/>
          <w:lang w:eastAsia="zh-CN"/>
        </w:rPr>
        <w:t>其它</w:t>
      </w:r>
      <w:r w:rsidRPr="000237B7">
        <w:rPr>
          <w:rFonts w:hint="eastAsia"/>
          <w:lang w:eastAsia="zh-CN"/>
        </w:rPr>
        <w:t>。</w:t>
      </w:r>
    </w:p>
    <w:p w14:paraId="0B04B1CC" w14:textId="756A4A2F" w:rsidR="00AE3B44" w:rsidRPr="00505F53" w:rsidRDefault="00AE3B44" w:rsidP="00C1434F">
      <w:pPr>
        <w:jc w:val="both"/>
        <w:rPr>
          <w:lang w:eastAsia="zh-CN"/>
        </w:rPr>
      </w:pPr>
      <w:r>
        <w:rPr>
          <w:lang w:eastAsia="zh-CN"/>
        </w:rPr>
        <w:t>3.4</w:t>
      </w:r>
      <w:r w:rsidRPr="00505F53">
        <w:rPr>
          <w:lang w:eastAsia="zh-CN"/>
        </w:rPr>
        <w:tab/>
      </w:r>
      <w:r w:rsidR="00B44C1D">
        <w:rPr>
          <w:rFonts w:hint="eastAsia"/>
          <w:lang w:eastAsia="zh-CN"/>
        </w:rPr>
        <w:t>文件</w:t>
      </w:r>
      <w:r w:rsidR="00B44C1D" w:rsidRPr="00B44C1D">
        <w:rPr>
          <w:rFonts w:hint="eastAsia"/>
          <w:lang w:eastAsia="zh-CN"/>
        </w:rPr>
        <w:t>制作费用</w:t>
      </w:r>
      <w:r w:rsidR="00B44C1D">
        <w:rPr>
          <w:rFonts w:hint="eastAsia"/>
          <w:lang w:eastAsia="zh-CN"/>
        </w:rPr>
        <w:t>代表</w:t>
      </w:r>
      <w:r w:rsidR="00B44C1D" w:rsidRPr="00B44C1D">
        <w:rPr>
          <w:rFonts w:hint="eastAsia"/>
          <w:lang w:eastAsia="zh-CN"/>
        </w:rPr>
        <w:t>大会和出版部提供的、可直接按页数向一项输出成果直接收费的服务。这些服务包括：</w:t>
      </w:r>
    </w:p>
    <w:p w14:paraId="396E17EF" w14:textId="77777777" w:rsidR="00B44C1D" w:rsidRPr="000237B7" w:rsidRDefault="00B44C1D" w:rsidP="00B44C1D">
      <w:pPr>
        <w:pStyle w:val="enumlev1"/>
        <w:rPr>
          <w:lang w:eastAsia="zh-CN"/>
        </w:rPr>
      </w:pPr>
      <w:r>
        <w:rPr>
          <w:lang w:eastAsia="zh-CN"/>
        </w:rPr>
        <w:t>–</w:t>
      </w:r>
      <w:r w:rsidRPr="000237B7">
        <w:rPr>
          <w:lang w:eastAsia="zh-CN"/>
        </w:rPr>
        <w:tab/>
      </w:r>
      <w:r w:rsidRPr="000237B7">
        <w:rPr>
          <w:rFonts w:hint="eastAsia"/>
          <w:lang w:eastAsia="zh-CN"/>
        </w:rPr>
        <w:t>笔译（国际电联</w:t>
      </w:r>
      <w:r>
        <w:rPr>
          <w:rFonts w:hint="eastAsia"/>
          <w:lang w:eastAsia="zh-CN"/>
        </w:rPr>
        <w:t>六</w:t>
      </w:r>
      <w:r w:rsidRPr="000237B7">
        <w:rPr>
          <w:rFonts w:hint="eastAsia"/>
          <w:lang w:eastAsia="zh-CN"/>
        </w:rPr>
        <w:t>种正式语文）；</w:t>
      </w:r>
    </w:p>
    <w:p w14:paraId="164F172C" w14:textId="74D4815D" w:rsidR="00B44C1D" w:rsidRPr="00B44C1D" w:rsidRDefault="00B44C1D" w:rsidP="00B44C1D">
      <w:pPr>
        <w:pStyle w:val="enumlev1"/>
        <w:rPr>
          <w:lang w:eastAsia="zh-CN"/>
        </w:rPr>
      </w:pPr>
      <w:r>
        <w:rPr>
          <w:lang w:eastAsia="zh-CN"/>
        </w:rPr>
        <w:t>–</w:t>
      </w:r>
      <w:r w:rsidRPr="000237B7">
        <w:rPr>
          <w:lang w:eastAsia="zh-CN"/>
        </w:rPr>
        <w:tab/>
      </w:r>
      <w:r w:rsidRPr="000237B7">
        <w:rPr>
          <w:rFonts w:hint="eastAsia"/>
          <w:lang w:eastAsia="zh-CN"/>
        </w:rPr>
        <w:t>文字处理（国际电联</w:t>
      </w:r>
      <w:r>
        <w:rPr>
          <w:rFonts w:hint="eastAsia"/>
          <w:lang w:eastAsia="zh-CN"/>
        </w:rPr>
        <w:t>六</w:t>
      </w:r>
      <w:r w:rsidRPr="000237B7">
        <w:rPr>
          <w:rFonts w:hint="eastAsia"/>
          <w:lang w:eastAsia="zh-CN"/>
        </w:rPr>
        <w:t>种正式语文）。</w:t>
      </w:r>
    </w:p>
    <w:p w14:paraId="194871D1" w14:textId="43EAE9D7" w:rsidR="00AE3B44" w:rsidRPr="00505F53" w:rsidRDefault="00AE3B44" w:rsidP="00C1434F">
      <w:pPr>
        <w:rPr>
          <w:lang w:eastAsia="zh-CN"/>
        </w:rPr>
      </w:pPr>
      <w:r>
        <w:rPr>
          <w:lang w:eastAsia="zh-CN"/>
        </w:rPr>
        <w:t>3.5</w:t>
      </w:r>
      <w:r>
        <w:rPr>
          <w:lang w:eastAsia="zh-CN"/>
        </w:rPr>
        <w:tab/>
      </w:r>
      <w:r w:rsidR="00B44C1D" w:rsidRPr="00B44C1D">
        <w:rPr>
          <w:rFonts w:hint="eastAsia"/>
          <w:lang w:eastAsia="zh-CN"/>
        </w:rPr>
        <w:t>各局</w:t>
      </w:r>
      <w:r w:rsidR="00B44C1D" w:rsidRPr="00B44C1D">
        <w:rPr>
          <w:rFonts w:hint="eastAsia"/>
          <w:lang w:eastAsia="zh-CN"/>
        </w:rPr>
        <w:t>/</w:t>
      </w:r>
      <w:r w:rsidR="00B44C1D" w:rsidRPr="00B44C1D">
        <w:rPr>
          <w:rFonts w:hint="eastAsia"/>
          <w:lang w:eastAsia="zh-CN"/>
        </w:rPr>
        <w:t>总秘书处支持成本</w:t>
      </w:r>
      <w:r w:rsidR="00B44C1D">
        <w:rPr>
          <w:rFonts w:hint="eastAsia"/>
          <w:lang w:eastAsia="zh-CN"/>
        </w:rPr>
        <w:t>代表</w:t>
      </w:r>
      <w:r w:rsidR="00B44C1D" w:rsidRPr="00B44C1D">
        <w:rPr>
          <w:rFonts w:hint="eastAsia"/>
          <w:lang w:eastAsia="zh-CN"/>
        </w:rPr>
        <w:t>各局（包括主任办公室）和总秘书处（战略规划和成员部）的人员成本和相关支出，这些费用根据衡量的工作量（时间统计调查）</w:t>
      </w:r>
      <w:r w:rsidR="00352E57">
        <w:rPr>
          <w:rFonts w:hint="eastAsia"/>
          <w:lang w:eastAsia="zh-CN"/>
        </w:rPr>
        <w:t>再</w:t>
      </w:r>
      <w:r w:rsidR="00B44C1D" w:rsidRPr="00B44C1D">
        <w:rPr>
          <w:rFonts w:hint="eastAsia"/>
          <w:lang w:eastAsia="zh-CN"/>
        </w:rPr>
        <w:t>分配到各主题重点和输出成果。</w:t>
      </w:r>
    </w:p>
    <w:p w14:paraId="0B4318B3" w14:textId="2DA27DBD" w:rsidR="00AE3B44" w:rsidRPr="00505F53" w:rsidRDefault="00AE3B44" w:rsidP="00C1434F">
      <w:pPr>
        <w:rPr>
          <w:lang w:eastAsia="zh-CN"/>
        </w:rPr>
      </w:pPr>
      <w:r w:rsidRPr="1A256B47">
        <w:rPr>
          <w:lang w:eastAsia="zh-CN"/>
        </w:rPr>
        <w:t>3.6</w:t>
      </w:r>
      <w:r>
        <w:rPr>
          <w:lang w:eastAsia="zh-CN"/>
        </w:rPr>
        <w:tab/>
      </w:r>
      <w:r w:rsidR="00B44C1D" w:rsidRPr="00B44C1D">
        <w:rPr>
          <w:rFonts w:hint="eastAsia"/>
          <w:lang w:eastAsia="zh-CN"/>
        </w:rPr>
        <w:t>集中行政服务费用代表以下各方面的人员费用和相关支出</w:t>
      </w:r>
      <w:r w:rsidR="00B44C1D">
        <w:rPr>
          <w:rFonts w:hint="eastAsia"/>
          <w:lang w:eastAsia="zh-CN"/>
        </w:rPr>
        <w:t>：</w:t>
      </w:r>
    </w:p>
    <w:p w14:paraId="24F56DC7" w14:textId="77777777" w:rsidR="00C42E7E" w:rsidRDefault="00B44C1D" w:rsidP="00C42E7E">
      <w:pPr>
        <w:pStyle w:val="enumlev1"/>
        <w:rPr>
          <w:lang w:eastAsia="zh-CN"/>
        </w:rPr>
      </w:pPr>
      <w:r>
        <w:rPr>
          <w:lang w:eastAsia="zh-CN"/>
        </w:rPr>
        <w:t>–</w:t>
      </w:r>
      <w:r w:rsidRPr="00C42E7E">
        <w:rPr>
          <w:lang w:eastAsia="zh-CN"/>
        </w:rPr>
        <w:tab/>
      </w:r>
      <w:r w:rsidRPr="00C42E7E">
        <w:rPr>
          <w:rFonts w:hint="eastAsia"/>
          <w:lang w:eastAsia="zh-CN"/>
        </w:rPr>
        <w:t>秘书长和副秘书长办公室；</w:t>
      </w:r>
    </w:p>
    <w:p w14:paraId="4D3EEFDE" w14:textId="77777777" w:rsidR="00C42E7E" w:rsidRDefault="00B44C1D" w:rsidP="00C42E7E">
      <w:pPr>
        <w:pStyle w:val="enumlev1"/>
        <w:rPr>
          <w:lang w:eastAsia="zh-CN"/>
        </w:rPr>
      </w:pPr>
      <w:r>
        <w:rPr>
          <w:lang w:eastAsia="zh-CN"/>
        </w:rPr>
        <w:t>–</w:t>
      </w:r>
      <w:r w:rsidRPr="00C42E7E">
        <w:rPr>
          <w:lang w:eastAsia="zh-CN"/>
        </w:rPr>
        <w:tab/>
      </w:r>
      <w:r w:rsidRPr="00C42E7E">
        <w:rPr>
          <w:rFonts w:hint="eastAsia"/>
          <w:lang w:eastAsia="zh-CN"/>
        </w:rPr>
        <w:t>人力资源管理部；</w:t>
      </w:r>
    </w:p>
    <w:p w14:paraId="1E685A34" w14:textId="557A3B39" w:rsidR="00C42E7E" w:rsidRPr="00C42E7E" w:rsidRDefault="00B44C1D" w:rsidP="00C42E7E">
      <w:pPr>
        <w:pStyle w:val="enumlev1"/>
        <w:rPr>
          <w:lang w:eastAsia="zh-CN"/>
        </w:rPr>
      </w:pPr>
      <w:r>
        <w:rPr>
          <w:lang w:eastAsia="zh-CN"/>
        </w:rPr>
        <w:t>–</w:t>
      </w:r>
      <w:r w:rsidRPr="00C42E7E">
        <w:rPr>
          <w:lang w:eastAsia="zh-CN"/>
        </w:rPr>
        <w:tab/>
      </w:r>
      <w:r w:rsidRPr="00C42E7E">
        <w:rPr>
          <w:rFonts w:hint="eastAsia"/>
          <w:lang w:eastAsia="zh-CN"/>
        </w:rPr>
        <w:t>财务资源管理部。</w:t>
      </w:r>
    </w:p>
    <w:p w14:paraId="356B5965" w14:textId="26296DDC" w:rsidR="00B44C1D" w:rsidRPr="00505F53" w:rsidRDefault="00B44C1D" w:rsidP="00C42E7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snapToGrid w:val="0"/>
        <w:spacing w:after="120"/>
        <w:ind w:firstLineChars="200" w:firstLine="480"/>
        <w:jc w:val="both"/>
        <w:rPr>
          <w:rFonts w:asciiTheme="minorHAnsi" w:hAnsiTheme="minorHAnsi" w:cstheme="minorHAnsi"/>
          <w:lang w:eastAsia="zh-CN"/>
        </w:rPr>
      </w:pPr>
      <w:r w:rsidRPr="00B44C1D">
        <w:rPr>
          <w:rFonts w:asciiTheme="minorHAnsi" w:hAnsiTheme="minorHAnsi" w:cstheme="minorHAnsi" w:hint="eastAsia"/>
          <w:lang w:eastAsia="zh-CN"/>
        </w:rPr>
        <w:t>它们为国际电联的所有主题重点和输出成果提供一般性行政支持。这些费用基于再分配驱动因素再分配至各项输出成果。</w:t>
      </w:r>
    </w:p>
    <w:p w14:paraId="76879680" w14:textId="03065B49" w:rsidR="00AE3B44" w:rsidRPr="00505F53" w:rsidRDefault="00AE3B44" w:rsidP="00735209">
      <w:pPr>
        <w:jc w:val="both"/>
        <w:rPr>
          <w:lang w:eastAsia="zh-CN"/>
        </w:rPr>
      </w:pPr>
      <w:r>
        <w:rPr>
          <w:lang w:eastAsia="zh-CN"/>
        </w:rPr>
        <w:t>3.7</w:t>
      </w:r>
      <w:r w:rsidRPr="00505F53">
        <w:rPr>
          <w:lang w:eastAsia="zh-CN"/>
        </w:rPr>
        <w:tab/>
      </w:r>
      <w:r w:rsidR="00FF4D8C" w:rsidRPr="00513841">
        <w:rPr>
          <w:rFonts w:hint="eastAsia"/>
          <w:lang w:eastAsia="zh-CN"/>
        </w:rPr>
        <w:t>集中支持服务费用</w:t>
      </w:r>
      <w:r w:rsidR="00FF4D8C" w:rsidRPr="000237B7">
        <w:rPr>
          <w:rFonts w:hint="eastAsia"/>
          <w:lang w:eastAsia="zh-CN"/>
        </w:rPr>
        <w:t>代表以下各方面的人员费用和相关支出</w:t>
      </w:r>
      <w:r w:rsidR="00FF4D8C">
        <w:rPr>
          <w:rFonts w:hint="eastAsia"/>
          <w:lang w:eastAsia="zh-CN"/>
        </w:rPr>
        <w:t>：</w:t>
      </w:r>
    </w:p>
    <w:p w14:paraId="6DA08F50" w14:textId="77777777" w:rsidR="003A3BB7" w:rsidRDefault="00FF4D8C" w:rsidP="00735209">
      <w:pPr>
        <w:jc w:val="both"/>
        <w:rPr>
          <w:lang w:eastAsia="zh-CN"/>
        </w:rPr>
      </w:pPr>
      <w:r>
        <w:rPr>
          <w:lang w:eastAsia="zh-CN"/>
        </w:rPr>
        <w:t>–</w:t>
      </w:r>
      <w:r w:rsidRPr="003A3BB7">
        <w:rPr>
          <w:lang w:eastAsia="zh-CN"/>
        </w:rPr>
        <w:tab/>
      </w:r>
      <w:r w:rsidRPr="00FF4D8C">
        <w:rPr>
          <w:rFonts w:hint="eastAsia"/>
          <w:lang w:eastAsia="zh-CN"/>
        </w:rPr>
        <w:t>大会和出版部（不包括文件制作费用）；</w:t>
      </w:r>
    </w:p>
    <w:p w14:paraId="44155FBB" w14:textId="77777777" w:rsidR="003A3BB7" w:rsidRDefault="00FF4D8C" w:rsidP="00735209">
      <w:pPr>
        <w:jc w:val="both"/>
        <w:rPr>
          <w:lang w:eastAsia="zh-CN"/>
        </w:rPr>
      </w:pPr>
      <w:r>
        <w:rPr>
          <w:lang w:eastAsia="zh-CN"/>
        </w:rPr>
        <w:t>–</w:t>
      </w:r>
      <w:r w:rsidRPr="003A3BB7">
        <w:rPr>
          <w:lang w:eastAsia="zh-CN"/>
        </w:rPr>
        <w:tab/>
      </w:r>
      <w:r w:rsidRPr="00FF4D8C">
        <w:rPr>
          <w:rFonts w:hint="eastAsia"/>
          <w:lang w:eastAsia="zh-CN"/>
        </w:rPr>
        <w:t>信息服务部；</w:t>
      </w:r>
    </w:p>
    <w:p w14:paraId="49DA9C32" w14:textId="77777777" w:rsidR="003A3BB7" w:rsidRDefault="00FF4D8C" w:rsidP="00735209">
      <w:pPr>
        <w:jc w:val="both"/>
        <w:rPr>
          <w:lang w:eastAsia="zh-CN"/>
        </w:rPr>
      </w:pPr>
      <w:r>
        <w:rPr>
          <w:lang w:eastAsia="zh-CN"/>
        </w:rPr>
        <w:t>–</w:t>
      </w:r>
      <w:r w:rsidRPr="003A3BB7">
        <w:rPr>
          <w:lang w:eastAsia="zh-CN"/>
        </w:rPr>
        <w:tab/>
      </w:r>
      <w:r w:rsidRPr="00FF4D8C">
        <w:rPr>
          <w:rFonts w:hint="eastAsia"/>
          <w:lang w:eastAsia="zh-CN"/>
        </w:rPr>
        <w:t>国际电联共同支出。</w:t>
      </w:r>
    </w:p>
    <w:p w14:paraId="6D5D557E" w14:textId="5D52222F" w:rsidR="00FF4D8C" w:rsidRDefault="00FF4D8C" w:rsidP="003A3BB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snapToGrid w:val="0"/>
        <w:spacing w:after="120"/>
        <w:ind w:firstLineChars="200" w:firstLine="480"/>
        <w:jc w:val="both"/>
        <w:rPr>
          <w:lang w:eastAsia="zh-CN"/>
        </w:rPr>
      </w:pPr>
      <w:r w:rsidRPr="00FF4D8C">
        <w:rPr>
          <w:rFonts w:hint="eastAsia"/>
          <w:lang w:eastAsia="zh-CN"/>
        </w:rPr>
        <w:t>它们为国际电联的主题重点和输出成果提供一般性支持。这些费用基于再分配驱动因素</w:t>
      </w:r>
      <w:r w:rsidR="00352E57">
        <w:rPr>
          <w:rFonts w:hint="eastAsia"/>
          <w:lang w:eastAsia="zh-CN"/>
        </w:rPr>
        <w:t>再</w:t>
      </w:r>
      <w:r w:rsidRPr="00FF4D8C">
        <w:rPr>
          <w:rFonts w:hint="eastAsia"/>
          <w:lang w:eastAsia="zh-CN"/>
        </w:rPr>
        <w:t>分配至各项输出成果。</w:t>
      </w:r>
    </w:p>
    <w:p w14:paraId="13EB20E1" w14:textId="7025DFDD" w:rsidR="00AE3B44" w:rsidRPr="004308F0" w:rsidRDefault="00AE3B44" w:rsidP="00735209">
      <w:pPr>
        <w:pStyle w:val="Heading1"/>
        <w:rPr>
          <w:lang w:eastAsia="zh-CN"/>
        </w:rPr>
      </w:pPr>
      <w:r>
        <w:rPr>
          <w:lang w:eastAsia="zh-CN"/>
        </w:rPr>
        <w:lastRenderedPageBreak/>
        <w:t>4</w:t>
      </w:r>
      <w:r w:rsidRPr="004308F0">
        <w:rPr>
          <w:rFonts w:asciiTheme="minorHAnsi" w:hAnsiTheme="minorHAnsi" w:cstheme="minorHAnsi"/>
          <w:b w:val="0"/>
          <w:bCs/>
          <w:lang w:eastAsia="zh-CN"/>
        </w:rPr>
        <w:tab/>
      </w:r>
      <w:r w:rsidR="00FF4D8C" w:rsidRPr="00735209">
        <w:rPr>
          <w:rFonts w:asciiTheme="minorHAnsi" w:hAnsiTheme="minorHAnsi" w:cstheme="minorHAnsi"/>
          <w:lang w:eastAsia="zh-CN"/>
        </w:rPr>
        <w:t>2027</w:t>
      </w:r>
      <w:r w:rsidR="00FF4D8C">
        <w:rPr>
          <w:rFonts w:asciiTheme="minorHAnsi" w:hAnsiTheme="minorHAnsi" w:cstheme="minorHAnsi" w:hint="eastAsia"/>
          <w:lang w:eastAsia="zh-CN"/>
        </w:rPr>
        <w:t>年主题重点和输出成果的</w:t>
      </w:r>
      <w:r w:rsidR="009355C5">
        <w:rPr>
          <w:rFonts w:asciiTheme="minorHAnsi" w:hAnsiTheme="minorHAnsi" w:cstheme="minorHAnsi" w:hint="eastAsia"/>
          <w:lang w:eastAsia="zh-CN"/>
        </w:rPr>
        <w:t>成本</w:t>
      </w:r>
      <w:r w:rsidR="00FF4D8C">
        <w:rPr>
          <w:rFonts w:asciiTheme="minorHAnsi" w:hAnsiTheme="minorHAnsi" w:cstheme="minorHAnsi" w:hint="eastAsia"/>
          <w:lang w:eastAsia="zh-CN"/>
        </w:rPr>
        <w:t>分配</w:t>
      </w:r>
    </w:p>
    <w:p w14:paraId="3E591721" w14:textId="520BDEFE" w:rsidR="00AE3B44" w:rsidRDefault="00AE3B44" w:rsidP="00735209">
      <w:pPr>
        <w:keepNext/>
        <w:keepLines/>
        <w:jc w:val="both"/>
        <w:rPr>
          <w:rFonts w:asciiTheme="minorHAnsi" w:hAnsi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4</w:t>
      </w:r>
      <w:r w:rsidRPr="004308F0">
        <w:rPr>
          <w:rFonts w:asciiTheme="minorHAnsi" w:hAnsiTheme="minorHAnsi" w:cstheme="minorHAnsi"/>
          <w:lang w:eastAsia="zh-CN"/>
        </w:rPr>
        <w:t>.1</w:t>
      </w:r>
      <w:r w:rsidRPr="004308F0">
        <w:rPr>
          <w:rFonts w:asciiTheme="minorHAnsi" w:hAnsiTheme="minorHAnsi" w:cstheme="minorHAnsi"/>
          <w:lang w:eastAsia="zh-CN"/>
        </w:rPr>
        <w:tab/>
      </w:r>
      <w:r w:rsidR="006503B5">
        <w:rPr>
          <w:rFonts w:asciiTheme="minorHAnsi" w:hAnsiTheme="minorHAnsi" w:hint="eastAsia"/>
          <w:lang w:eastAsia="zh-CN"/>
        </w:rPr>
        <w:t>该</w:t>
      </w:r>
      <w:r w:rsidR="00372E0B">
        <w:rPr>
          <w:rFonts w:asciiTheme="minorHAnsi" w:hAnsiTheme="minorHAnsi" w:hint="eastAsia"/>
          <w:lang w:eastAsia="zh-CN"/>
        </w:rPr>
        <w:t>运作规划草案为实施</w:t>
      </w:r>
      <w:r w:rsidR="006503B5">
        <w:rPr>
          <w:rFonts w:asciiTheme="minorHAnsi" w:hAnsiTheme="minorHAnsi" w:hint="eastAsia"/>
          <w:lang w:eastAsia="zh-CN"/>
        </w:rPr>
        <w:t>正在进行中的</w:t>
      </w:r>
      <w:r w:rsidR="00372E0B">
        <w:rPr>
          <w:rFonts w:asciiTheme="minorHAnsi" w:hAnsiTheme="minorHAnsi" w:hint="eastAsia"/>
          <w:lang w:eastAsia="zh-CN"/>
        </w:rPr>
        <w:t>五项主题重点和</w:t>
      </w:r>
      <w:r w:rsidR="00372E0B">
        <w:rPr>
          <w:rFonts w:asciiTheme="minorHAnsi" w:hAnsiTheme="minorHAnsi" w:hint="eastAsia"/>
          <w:lang w:eastAsia="zh-CN"/>
        </w:rPr>
        <w:t>43</w:t>
      </w:r>
      <w:r w:rsidR="00372E0B">
        <w:rPr>
          <w:rFonts w:asciiTheme="minorHAnsi" w:hAnsiTheme="minorHAnsi" w:hint="eastAsia"/>
          <w:lang w:eastAsia="zh-CN"/>
        </w:rPr>
        <w:t>项输出成果提供了信息：</w:t>
      </w:r>
    </w:p>
    <w:p w14:paraId="484CF52C" w14:textId="2F23B29C" w:rsidR="00372E0B" w:rsidRDefault="00372E0B" w:rsidP="00735209">
      <w:pPr>
        <w:pStyle w:val="enumlev1"/>
        <w:keepNext/>
        <w:keepLines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  <w:t>9</w:t>
      </w:r>
      <w:r w:rsidRPr="000237B7">
        <w:rPr>
          <w:rFonts w:hint="eastAsia"/>
          <w:lang w:eastAsia="zh-CN"/>
        </w:rPr>
        <w:t>项跨部门</w:t>
      </w:r>
      <w:r>
        <w:rPr>
          <w:rFonts w:hint="eastAsia"/>
          <w:lang w:eastAsia="zh-CN"/>
        </w:rPr>
        <w:t>输出成果</w:t>
      </w:r>
    </w:p>
    <w:p w14:paraId="1EA7CC29" w14:textId="0787DDFF" w:rsidR="00372E0B" w:rsidRDefault="00372E0B" w:rsidP="00735209">
      <w:pPr>
        <w:pStyle w:val="enumlev1"/>
        <w:keepNext/>
        <w:keepLines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372E0B">
        <w:rPr>
          <w:rFonts w:hint="eastAsia"/>
          <w:lang w:eastAsia="zh-CN"/>
        </w:rPr>
        <w:t>12</w:t>
      </w:r>
      <w:r w:rsidRPr="00372E0B">
        <w:rPr>
          <w:rFonts w:hint="eastAsia"/>
          <w:lang w:eastAsia="zh-CN"/>
        </w:rPr>
        <w:t>项无线电通信部门输出成果</w:t>
      </w:r>
    </w:p>
    <w:p w14:paraId="4652B6FE" w14:textId="025C3284" w:rsidR="00372E0B" w:rsidRDefault="00372E0B" w:rsidP="00735209">
      <w:pPr>
        <w:pStyle w:val="enumlev1"/>
        <w:keepNext/>
        <w:keepLines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372E0B">
        <w:rPr>
          <w:rFonts w:hint="eastAsia"/>
          <w:lang w:eastAsia="zh-CN"/>
        </w:rPr>
        <w:t>9</w:t>
      </w:r>
      <w:r w:rsidRPr="00372E0B">
        <w:rPr>
          <w:rFonts w:hint="eastAsia"/>
          <w:lang w:eastAsia="zh-CN"/>
        </w:rPr>
        <w:t>项电信标准化部门输出成果</w:t>
      </w:r>
    </w:p>
    <w:p w14:paraId="41AEFD7E" w14:textId="5CBF3A12" w:rsidR="00372E0B" w:rsidRPr="00FA27F0" w:rsidRDefault="00372E0B" w:rsidP="00735209">
      <w:pPr>
        <w:pStyle w:val="enumlev1"/>
        <w:keepNext/>
        <w:keepLines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372E0B">
        <w:rPr>
          <w:rFonts w:hint="eastAsia"/>
          <w:lang w:eastAsia="zh-CN"/>
        </w:rPr>
        <w:t>13</w:t>
      </w:r>
      <w:r w:rsidRPr="00372E0B">
        <w:rPr>
          <w:rFonts w:hint="eastAsia"/>
          <w:lang w:eastAsia="zh-CN"/>
        </w:rPr>
        <w:t>项电信发展部门输出成果</w:t>
      </w:r>
    </w:p>
    <w:p w14:paraId="236172F0" w14:textId="2C769848" w:rsidR="00AE3B44" w:rsidRDefault="00AE3B44" w:rsidP="00CA463C">
      <w:pPr>
        <w:keepNext/>
        <w:keepLines/>
        <w:jc w:val="both"/>
        <w:rPr>
          <w:rFonts w:asciiTheme="minorHAnsi" w:hAnsiTheme="minorHAnsi"/>
          <w:lang w:eastAsia="zh-CN"/>
        </w:rPr>
      </w:pPr>
      <w:r w:rsidRPr="62EE206A">
        <w:rPr>
          <w:rFonts w:asciiTheme="minorHAnsi" w:hAnsiTheme="minorHAnsi"/>
          <w:lang w:eastAsia="zh-CN"/>
        </w:rPr>
        <w:t>4.2</w:t>
      </w:r>
      <w:r>
        <w:rPr>
          <w:lang w:eastAsia="zh-CN"/>
        </w:rPr>
        <w:tab/>
      </w:r>
      <w:r w:rsidR="00372E0B" w:rsidRPr="00372E0B">
        <w:rPr>
          <w:rFonts w:asciiTheme="minorHAnsi" w:hAnsiTheme="minorHAnsi" w:hint="eastAsia"/>
          <w:lang w:eastAsia="zh-CN"/>
        </w:rPr>
        <w:t>对于各项主题重点，提供了下述信息</w:t>
      </w:r>
      <w:r w:rsidR="00372E0B">
        <w:rPr>
          <w:rFonts w:asciiTheme="minorHAnsi" w:hAnsiTheme="minorHAnsi" w:hint="eastAsia"/>
          <w:lang w:eastAsia="zh-CN"/>
        </w:rPr>
        <w:t>：</w:t>
      </w:r>
    </w:p>
    <w:p w14:paraId="540C96F0" w14:textId="0ABD31F0" w:rsidR="00372E0B" w:rsidRDefault="00372E0B" w:rsidP="00CA463C">
      <w:pPr>
        <w:pStyle w:val="enumlev1"/>
        <w:keepNext/>
        <w:keepLines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主题重点说明</w:t>
      </w:r>
    </w:p>
    <w:p w14:paraId="4B68FB3D" w14:textId="37A940D8" w:rsidR="00372E0B" w:rsidRDefault="00372E0B" w:rsidP="00766750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2027</w:t>
      </w:r>
      <w:r>
        <w:rPr>
          <w:rFonts w:hint="eastAsia"/>
          <w:lang w:eastAsia="zh-CN"/>
        </w:rPr>
        <w:t>年成本分配摘要</w:t>
      </w:r>
    </w:p>
    <w:p w14:paraId="0D88FBDE" w14:textId="552F2D1A" w:rsidR="00372E0B" w:rsidRDefault="00372E0B" w:rsidP="00766750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成果、成果指标的主要</w:t>
      </w:r>
      <w:r w:rsidR="0086267F">
        <w:rPr>
          <w:rFonts w:hint="eastAsia"/>
          <w:lang w:eastAsia="zh-CN"/>
        </w:rPr>
        <w:t>概述</w:t>
      </w:r>
    </w:p>
    <w:p w14:paraId="00554864" w14:textId="6079DA44" w:rsidR="00372E0B" w:rsidRDefault="00372E0B" w:rsidP="00766750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2027</w:t>
      </w:r>
      <w:r>
        <w:rPr>
          <w:rFonts w:hint="eastAsia"/>
          <w:lang w:eastAsia="zh-CN"/>
        </w:rPr>
        <w:t>年的关键风险</w:t>
      </w:r>
      <w:r w:rsidR="006503B5">
        <w:rPr>
          <w:rFonts w:hint="eastAsia"/>
          <w:lang w:eastAsia="zh-CN"/>
        </w:rPr>
        <w:t>因素</w:t>
      </w:r>
    </w:p>
    <w:p w14:paraId="03DDBCF3" w14:textId="34BE6A6A" w:rsidR="00372E0B" w:rsidRPr="00533C63" w:rsidRDefault="00372E0B" w:rsidP="00766750">
      <w:pPr>
        <w:pStyle w:val="enumlev1"/>
        <w:rPr>
          <w:lang w:eastAsia="zh-CN"/>
        </w:rPr>
      </w:pPr>
      <w:r w:rsidRPr="00533C63">
        <w:rPr>
          <w:lang w:eastAsia="zh-CN"/>
        </w:rPr>
        <w:t>–</w:t>
      </w:r>
      <w:r w:rsidRPr="00533C63">
        <w:rPr>
          <w:lang w:eastAsia="zh-CN"/>
        </w:rPr>
        <w:tab/>
      </w:r>
      <w:r w:rsidR="006503B5" w:rsidRPr="00533C63">
        <w:rPr>
          <w:rFonts w:hint="eastAsia"/>
          <w:lang w:eastAsia="zh-CN"/>
        </w:rPr>
        <w:t>2027</w:t>
      </w:r>
      <w:r w:rsidR="006503B5" w:rsidRPr="00533C63">
        <w:rPr>
          <w:rFonts w:hint="eastAsia"/>
          <w:lang w:eastAsia="zh-CN"/>
        </w:rPr>
        <w:t>年</w:t>
      </w:r>
      <w:r w:rsidR="006503B5" w:rsidRPr="00533C63">
        <w:rPr>
          <w:lang w:eastAsia="zh-CN"/>
        </w:rPr>
        <w:t>助力实现</w:t>
      </w:r>
      <w:r w:rsidR="006503B5" w:rsidRPr="00533C63">
        <w:rPr>
          <w:rFonts w:hint="eastAsia"/>
          <w:lang w:eastAsia="zh-CN"/>
        </w:rPr>
        <w:t>各</w:t>
      </w:r>
      <w:r w:rsidR="006503B5" w:rsidRPr="00533C63">
        <w:rPr>
          <w:lang w:eastAsia="zh-CN"/>
        </w:rPr>
        <w:t>主题</w:t>
      </w:r>
      <w:r w:rsidR="006503B5" w:rsidRPr="00533C63">
        <w:rPr>
          <w:rFonts w:hint="eastAsia"/>
          <w:lang w:eastAsia="zh-CN"/>
        </w:rPr>
        <w:t>重点</w:t>
      </w:r>
      <w:r w:rsidR="006503B5" w:rsidRPr="00533C63">
        <w:rPr>
          <w:lang w:eastAsia="zh-CN"/>
        </w:rPr>
        <w:t>的各项</w:t>
      </w:r>
      <w:r w:rsidR="006503B5" w:rsidRPr="00533C63">
        <w:rPr>
          <w:rFonts w:hint="eastAsia"/>
          <w:lang w:eastAsia="zh-CN"/>
        </w:rPr>
        <w:t>输出</w:t>
      </w:r>
      <w:r w:rsidR="006503B5" w:rsidRPr="00533C63">
        <w:rPr>
          <w:lang w:eastAsia="zh-CN"/>
        </w:rPr>
        <w:t>成果</w:t>
      </w:r>
      <w:r w:rsidR="006503B5" w:rsidRPr="00533C63">
        <w:rPr>
          <w:rFonts w:hint="eastAsia"/>
          <w:lang w:eastAsia="zh-CN"/>
        </w:rPr>
        <w:t>的</w:t>
      </w:r>
      <w:r w:rsidR="006503B5" w:rsidRPr="00533C63">
        <w:rPr>
          <w:lang w:eastAsia="zh-CN"/>
        </w:rPr>
        <w:t>成本</w:t>
      </w:r>
    </w:p>
    <w:p w14:paraId="171DE44F" w14:textId="32822520" w:rsidR="00AE3B44" w:rsidRDefault="00AE3B4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lang w:eastAsia="zh-CN"/>
        </w:rPr>
      </w:pPr>
    </w:p>
    <w:p w14:paraId="1CD33603" w14:textId="77777777" w:rsidR="00AE3B44" w:rsidRDefault="00AE3B44" w:rsidP="00AE3B4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spacing w:before="0"/>
        <w:ind w:left="426"/>
        <w:textAlignment w:val="auto"/>
        <w:rPr>
          <w:rFonts w:asciiTheme="minorHAnsi" w:hAnsiTheme="minorHAnsi"/>
          <w:lang w:eastAsia="zh-CN"/>
        </w:rPr>
        <w:sectPr w:rsidR="00AE3B44" w:rsidSect="00C97351">
          <w:headerReference w:type="first" r:id="rId22"/>
          <w:pgSz w:w="11907" w:h="16834"/>
          <w:pgMar w:top="1418" w:right="1418" w:bottom="1418" w:left="1418" w:header="720" w:footer="720" w:gutter="0"/>
          <w:cols w:space="720"/>
          <w:titlePg/>
        </w:sectPr>
      </w:pPr>
    </w:p>
    <w:p w14:paraId="4DEA7EAC" w14:textId="2F418654" w:rsidR="00AE3B44" w:rsidRDefault="00CF4A39" w:rsidP="00DB6B5B">
      <w:pPr>
        <w:pStyle w:val="FigureNo"/>
        <w:spacing w:before="240"/>
        <w:rPr>
          <w:lang w:eastAsia="zh-CN"/>
        </w:rPr>
      </w:pPr>
      <w:r>
        <w:rPr>
          <w:rFonts w:hint="eastAsia"/>
          <w:lang w:eastAsia="zh-CN"/>
        </w:rPr>
        <w:lastRenderedPageBreak/>
        <w:t>图</w:t>
      </w:r>
      <w:r>
        <w:rPr>
          <w:rFonts w:hint="eastAsia"/>
          <w:lang w:eastAsia="zh-CN"/>
        </w:rPr>
        <w:t>3</w:t>
      </w:r>
    </w:p>
    <w:p w14:paraId="158B51F1" w14:textId="33D6E9E2" w:rsidR="00AE3B44" w:rsidRDefault="00CF4A39" w:rsidP="00FA27F0">
      <w:pPr>
        <w:pStyle w:val="Figuretitle"/>
        <w:rPr>
          <w:lang w:eastAsia="zh-CN"/>
        </w:rPr>
      </w:pPr>
      <w:r>
        <w:rPr>
          <w:rFonts w:hint="eastAsia"/>
          <w:lang w:eastAsia="zh-CN"/>
        </w:rPr>
        <w:t>2027</w:t>
      </w:r>
      <w:r>
        <w:rPr>
          <w:rFonts w:hint="eastAsia"/>
          <w:lang w:eastAsia="zh-CN"/>
        </w:rPr>
        <w:t>年主题重点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的</w:t>
      </w:r>
      <w:r w:rsidR="00DD2F70">
        <w:rPr>
          <w:rFonts w:hint="eastAsia"/>
          <w:lang w:eastAsia="zh-CN"/>
        </w:rPr>
        <w:t>成本</w:t>
      </w:r>
      <w:r>
        <w:rPr>
          <w:rFonts w:hint="eastAsia"/>
          <w:lang w:eastAsia="zh-CN"/>
        </w:rPr>
        <w:t>分配</w:t>
      </w:r>
    </w:p>
    <w:p w14:paraId="55987E94" w14:textId="079150B8" w:rsidR="003921E0" w:rsidRDefault="0053628F" w:rsidP="0037487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ind w:left="-567"/>
        <w:textAlignment w:val="auto"/>
        <w:rPr>
          <w:lang w:eastAsia="zh-CN"/>
        </w:rPr>
      </w:pPr>
      <w:r w:rsidRPr="0053628F">
        <w:rPr>
          <w:noProof/>
        </w:rPr>
        <w:drawing>
          <wp:inline distT="0" distB="0" distL="0" distR="0" wp14:anchorId="6710B98A" wp14:editId="46FD242A">
            <wp:extent cx="9714310" cy="5179161"/>
            <wp:effectExtent l="0" t="0" r="1270" b="2540"/>
            <wp:docPr id="210920058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412" cy="518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1E0">
        <w:rPr>
          <w:lang w:eastAsia="zh-CN"/>
        </w:rPr>
        <w:br w:type="page"/>
      </w:r>
    </w:p>
    <w:p w14:paraId="77C825B1" w14:textId="5F25611C" w:rsidR="00AE3B44" w:rsidRPr="00AE3B44" w:rsidRDefault="00CF4A39" w:rsidP="003921E0">
      <w:pPr>
        <w:pStyle w:val="FigureNo"/>
        <w:keepNext w:val="0"/>
        <w:keepLines w:val="0"/>
        <w:rPr>
          <w:lang w:eastAsia="zh-CN"/>
        </w:rPr>
      </w:pPr>
      <w:r>
        <w:rPr>
          <w:rFonts w:hint="eastAsia"/>
          <w:lang w:eastAsia="zh-CN"/>
        </w:rPr>
        <w:lastRenderedPageBreak/>
        <w:t>图</w:t>
      </w:r>
      <w:r>
        <w:rPr>
          <w:rFonts w:hint="eastAsia"/>
          <w:lang w:eastAsia="zh-CN"/>
        </w:rPr>
        <w:t>4</w:t>
      </w:r>
    </w:p>
    <w:p w14:paraId="317306BE" w14:textId="6120BEEA" w:rsidR="00AE3B44" w:rsidRDefault="00CF4A39" w:rsidP="003921E0">
      <w:pPr>
        <w:pStyle w:val="Figuretitle"/>
        <w:keepNext w:val="0"/>
        <w:rPr>
          <w:rFonts w:asciiTheme="minorHAnsi" w:hAnsiTheme="minorHAnsi"/>
          <w:b w:val="0"/>
          <w:bCs/>
          <w:lang w:eastAsia="zh-CN"/>
        </w:rPr>
      </w:pPr>
      <w:r>
        <w:rPr>
          <w:rFonts w:hint="eastAsia"/>
          <w:lang w:eastAsia="zh-CN"/>
        </w:rPr>
        <w:t>2027</w:t>
      </w:r>
      <w:r>
        <w:rPr>
          <w:rFonts w:hint="eastAsia"/>
          <w:lang w:eastAsia="zh-CN"/>
        </w:rPr>
        <w:t>年主题重点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的</w:t>
      </w:r>
      <w:r w:rsidR="008D67D0">
        <w:rPr>
          <w:rFonts w:hint="eastAsia"/>
          <w:lang w:eastAsia="zh-CN"/>
        </w:rPr>
        <w:t>成本</w:t>
      </w:r>
      <w:r>
        <w:rPr>
          <w:rFonts w:hint="eastAsia"/>
          <w:lang w:eastAsia="zh-CN"/>
        </w:rPr>
        <w:t>分配</w:t>
      </w:r>
    </w:p>
    <w:p w14:paraId="62EF1281" w14:textId="0AE702B9" w:rsidR="003921E0" w:rsidRDefault="003F30E0" w:rsidP="005C4311">
      <w:pPr>
        <w:pStyle w:val="Figure"/>
        <w:ind w:left="-567"/>
        <w:rPr>
          <w:b/>
          <w:lang w:eastAsia="zh-CN"/>
        </w:rPr>
      </w:pPr>
      <w:r w:rsidRPr="003F30E0">
        <w:rPr>
          <w:noProof/>
        </w:rPr>
        <w:drawing>
          <wp:inline distT="0" distB="0" distL="0" distR="0" wp14:anchorId="06DF37CE" wp14:editId="7A96EA57">
            <wp:extent cx="9684884" cy="5362041"/>
            <wp:effectExtent l="0" t="0" r="0" b="0"/>
            <wp:docPr id="167969403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1117" cy="536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1E0">
        <w:rPr>
          <w:lang w:eastAsia="zh-CN"/>
        </w:rPr>
        <w:br w:type="page"/>
      </w:r>
    </w:p>
    <w:p w14:paraId="39003D86" w14:textId="4048FFE8" w:rsidR="00AE3B44" w:rsidRPr="00AE3B44" w:rsidRDefault="00CF4A39" w:rsidP="003921E0">
      <w:pPr>
        <w:pStyle w:val="FigureNo"/>
        <w:keepNext w:val="0"/>
        <w:keepLines w:val="0"/>
        <w:rPr>
          <w:lang w:eastAsia="zh-CN"/>
        </w:rPr>
      </w:pPr>
      <w:r>
        <w:rPr>
          <w:rFonts w:hint="eastAsia"/>
          <w:lang w:eastAsia="zh-CN"/>
        </w:rPr>
        <w:lastRenderedPageBreak/>
        <w:t>图</w:t>
      </w:r>
      <w:r>
        <w:rPr>
          <w:rFonts w:hint="eastAsia"/>
          <w:lang w:eastAsia="zh-CN"/>
        </w:rPr>
        <w:t>5</w:t>
      </w:r>
    </w:p>
    <w:p w14:paraId="27A7426E" w14:textId="2555CE5C" w:rsidR="00AE3B44" w:rsidRDefault="00CF4A39" w:rsidP="00FA27F0">
      <w:pPr>
        <w:pStyle w:val="Figuretitle"/>
        <w:rPr>
          <w:rFonts w:asciiTheme="minorHAnsi" w:hAnsiTheme="minorHAnsi"/>
          <w:b w:val="0"/>
          <w:bCs/>
          <w:lang w:eastAsia="zh-CN"/>
        </w:rPr>
      </w:pPr>
      <w:r>
        <w:rPr>
          <w:rFonts w:hint="eastAsia"/>
          <w:lang w:eastAsia="zh-CN"/>
        </w:rPr>
        <w:t>2027</w:t>
      </w:r>
      <w:r>
        <w:rPr>
          <w:rFonts w:hint="eastAsia"/>
          <w:lang w:eastAsia="zh-CN"/>
        </w:rPr>
        <w:t>年主题重点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的</w:t>
      </w:r>
      <w:r w:rsidR="008D67D0">
        <w:rPr>
          <w:rFonts w:hint="eastAsia"/>
          <w:lang w:eastAsia="zh-CN"/>
        </w:rPr>
        <w:t>成本</w:t>
      </w:r>
      <w:r>
        <w:rPr>
          <w:rFonts w:hint="eastAsia"/>
          <w:lang w:eastAsia="zh-CN"/>
        </w:rPr>
        <w:t>分配</w:t>
      </w:r>
    </w:p>
    <w:p w14:paraId="1345F14B" w14:textId="3271AA82" w:rsidR="00860412" w:rsidRDefault="001E6A65" w:rsidP="0037487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ind w:left="-567"/>
        <w:textAlignment w:val="auto"/>
        <w:rPr>
          <w:lang w:eastAsia="zh-CN"/>
        </w:rPr>
      </w:pPr>
      <w:r w:rsidRPr="001E6A65">
        <w:rPr>
          <w:noProof/>
        </w:rPr>
        <w:drawing>
          <wp:inline distT="0" distB="0" distL="0" distR="0" wp14:anchorId="63220925" wp14:editId="0621713D">
            <wp:extent cx="9540202" cy="5266944"/>
            <wp:effectExtent l="0" t="0" r="4445" b="0"/>
            <wp:docPr id="602330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694" cy="526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412">
        <w:rPr>
          <w:lang w:eastAsia="zh-CN"/>
        </w:rPr>
        <w:br w:type="page"/>
      </w:r>
    </w:p>
    <w:p w14:paraId="2C2E3CA6" w14:textId="66AABC7B" w:rsidR="00AE3B44" w:rsidRPr="00AE3B44" w:rsidRDefault="00CF4A39" w:rsidP="00FA27F0">
      <w:pPr>
        <w:pStyle w:val="FigureNo"/>
        <w:rPr>
          <w:lang w:eastAsia="zh-CN"/>
        </w:rPr>
      </w:pPr>
      <w:r>
        <w:rPr>
          <w:rFonts w:hint="eastAsia"/>
          <w:lang w:eastAsia="zh-CN"/>
        </w:rPr>
        <w:lastRenderedPageBreak/>
        <w:t>图</w:t>
      </w:r>
      <w:r>
        <w:rPr>
          <w:rFonts w:hint="eastAsia"/>
          <w:lang w:eastAsia="zh-CN"/>
        </w:rPr>
        <w:t>6</w:t>
      </w:r>
    </w:p>
    <w:p w14:paraId="76ED7C2C" w14:textId="7BB1467B" w:rsidR="00AE3B44" w:rsidRDefault="00CF4A39" w:rsidP="00FA27F0">
      <w:pPr>
        <w:pStyle w:val="Figuretitle"/>
        <w:rPr>
          <w:rFonts w:asciiTheme="minorHAnsi" w:hAnsiTheme="minorHAnsi"/>
          <w:b w:val="0"/>
          <w:bCs/>
          <w:lang w:eastAsia="zh-CN"/>
        </w:rPr>
      </w:pPr>
      <w:r>
        <w:rPr>
          <w:rFonts w:hint="eastAsia"/>
          <w:lang w:eastAsia="zh-CN"/>
        </w:rPr>
        <w:t>2027</w:t>
      </w:r>
      <w:r>
        <w:rPr>
          <w:rFonts w:hint="eastAsia"/>
          <w:lang w:eastAsia="zh-CN"/>
        </w:rPr>
        <w:t>年主题重点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的</w:t>
      </w:r>
      <w:r w:rsidR="008D67D0">
        <w:rPr>
          <w:rFonts w:hint="eastAsia"/>
          <w:lang w:eastAsia="zh-CN"/>
        </w:rPr>
        <w:t>成本</w:t>
      </w:r>
      <w:r>
        <w:rPr>
          <w:rFonts w:hint="eastAsia"/>
          <w:lang w:eastAsia="zh-CN"/>
        </w:rPr>
        <w:t>分配</w:t>
      </w:r>
    </w:p>
    <w:p w14:paraId="47C7AF0B" w14:textId="36641A71" w:rsidR="00860412" w:rsidRDefault="003F30E0" w:rsidP="00485DD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ind w:left="-567"/>
        <w:textAlignment w:val="auto"/>
        <w:rPr>
          <w:noProof/>
          <w:lang w:eastAsia="zh-CN"/>
        </w:rPr>
      </w:pPr>
      <w:r w:rsidRPr="003F30E0">
        <w:rPr>
          <w:noProof/>
        </w:rPr>
        <w:drawing>
          <wp:inline distT="0" distB="0" distL="0" distR="0" wp14:anchorId="3868B10B" wp14:editId="7E1D4BFB">
            <wp:extent cx="9597642" cy="5018227"/>
            <wp:effectExtent l="0" t="0" r="3810" b="0"/>
            <wp:docPr id="53976637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3853" cy="502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412">
        <w:rPr>
          <w:noProof/>
          <w:lang w:eastAsia="zh-CN"/>
        </w:rPr>
        <w:br w:type="page"/>
      </w:r>
    </w:p>
    <w:p w14:paraId="24A0863C" w14:textId="5AE9E20E" w:rsidR="00AE3B44" w:rsidRPr="00AE3B44" w:rsidRDefault="00CF4A39" w:rsidP="00FA27F0">
      <w:pPr>
        <w:pStyle w:val="FigureNo"/>
        <w:rPr>
          <w:lang w:eastAsia="zh-CN"/>
        </w:rPr>
      </w:pPr>
      <w:r>
        <w:rPr>
          <w:rFonts w:hint="eastAsia"/>
          <w:lang w:eastAsia="zh-CN"/>
        </w:rPr>
        <w:lastRenderedPageBreak/>
        <w:t>图</w:t>
      </w:r>
      <w:r>
        <w:rPr>
          <w:rFonts w:hint="eastAsia"/>
          <w:lang w:eastAsia="zh-CN"/>
        </w:rPr>
        <w:t>7</w:t>
      </w:r>
    </w:p>
    <w:p w14:paraId="49A9BCE2" w14:textId="18C231AD" w:rsidR="00AE3B44" w:rsidRDefault="00CF4A39" w:rsidP="00FA27F0">
      <w:pPr>
        <w:pStyle w:val="Figuretitle"/>
        <w:rPr>
          <w:rFonts w:asciiTheme="minorHAnsi" w:hAnsiTheme="minorHAnsi"/>
          <w:b w:val="0"/>
          <w:bCs/>
          <w:lang w:eastAsia="zh-CN"/>
        </w:rPr>
      </w:pPr>
      <w:r>
        <w:rPr>
          <w:rFonts w:hint="eastAsia"/>
          <w:lang w:eastAsia="zh-CN"/>
        </w:rPr>
        <w:t>2027</w:t>
      </w:r>
      <w:r>
        <w:rPr>
          <w:rFonts w:hint="eastAsia"/>
          <w:lang w:eastAsia="zh-CN"/>
        </w:rPr>
        <w:t>年主题重点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的</w:t>
      </w:r>
      <w:r w:rsidR="008D67D0">
        <w:rPr>
          <w:rFonts w:hint="eastAsia"/>
          <w:lang w:eastAsia="zh-CN"/>
        </w:rPr>
        <w:t>成本</w:t>
      </w:r>
      <w:r>
        <w:rPr>
          <w:rFonts w:hint="eastAsia"/>
          <w:lang w:eastAsia="zh-CN"/>
        </w:rPr>
        <w:t>分配</w:t>
      </w:r>
    </w:p>
    <w:p w14:paraId="7120BDA1" w14:textId="1AFEC7FA" w:rsidR="00860412" w:rsidRDefault="00F30469" w:rsidP="00C04C1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ind w:left="-567"/>
        <w:textAlignment w:val="auto"/>
        <w:rPr>
          <w:noProof/>
          <w:lang w:eastAsia="zh-CN"/>
        </w:rPr>
      </w:pPr>
      <w:r w:rsidRPr="00F30469">
        <w:rPr>
          <w:noProof/>
        </w:rPr>
        <w:drawing>
          <wp:inline distT="0" distB="0" distL="0" distR="0" wp14:anchorId="3DF95795" wp14:editId="1A6D698D">
            <wp:extent cx="9555689" cy="5404514"/>
            <wp:effectExtent l="0" t="0" r="7620" b="5715"/>
            <wp:docPr id="165370989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7961" cy="54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412">
        <w:rPr>
          <w:noProof/>
          <w:lang w:eastAsia="zh-CN"/>
        </w:rPr>
        <w:br w:type="page"/>
      </w:r>
    </w:p>
    <w:p w14:paraId="7CBC89D6" w14:textId="62A8D512" w:rsidR="00AE3B44" w:rsidRPr="00AE3B44" w:rsidRDefault="00CF4A39" w:rsidP="00F9012F">
      <w:pPr>
        <w:pStyle w:val="TableNo"/>
        <w:rPr>
          <w:lang w:eastAsia="zh-CN"/>
        </w:rPr>
      </w:pPr>
      <w:r>
        <w:rPr>
          <w:rFonts w:hint="eastAsia"/>
          <w:lang w:eastAsia="zh-CN"/>
        </w:rPr>
        <w:lastRenderedPageBreak/>
        <w:t>表</w:t>
      </w:r>
      <w:r>
        <w:rPr>
          <w:rFonts w:hint="eastAsia"/>
          <w:lang w:eastAsia="zh-CN"/>
        </w:rPr>
        <w:t>3</w:t>
      </w:r>
    </w:p>
    <w:p w14:paraId="7A0B7C46" w14:textId="6E8EC59A" w:rsidR="00AE3B44" w:rsidRDefault="00CF4A39" w:rsidP="00F9012F">
      <w:pPr>
        <w:pStyle w:val="Tabletitle"/>
        <w:rPr>
          <w:lang w:eastAsia="zh-CN"/>
        </w:rPr>
      </w:pPr>
      <w:r>
        <w:rPr>
          <w:rFonts w:hint="eastAsia"/>
          <w:lang w:eastAsia="zh-CN"/>
        </w:rPr>
        <w:t>2027</w:t>
      </w:r>
      <w:r>
        <w:rPr>
          <w:rFonts w:hint="eastAsia"/>
          <w:lang w:eastAsia="zh-CN"/>
        </w:rPr>
        <w:t>年跨部门输出成果</w:t>
      </w:r>
    </w:p>
    <w:p w14:paraId="5D2C04BB" w14:textId="0B47C2CF" w:rsidR="00D5392D" w:rsidRDefault="00C04C1F" w:rsidP="00D5392D">
      <w:pPr>
        <w:pStyle w:val="Tabletext"/>
      </w:pPr>
      <w:r w:rsidRPr="00C04C1F">
        <w:rPr>
          <w:noProof/>
        </w:rPr>
        <w:drawing>
          <wp:inline distT="0" distB="0" distL="0" distR="0" wp14:anchorId="23A8137D" wp14:editId="678DE117">
            <wp:extent cx="8888730" cy="2545715"/>
            <wp:effectExtent l="0" t="0" r="7620" b="6985"/>
            <wp:docPr id="944344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254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A51C7" w14:textId="1B4F73E4" w:rsidR="000C3522" w:rsidRDefault="000C352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sz w:val="22"/>
        </w:rPr>
      </w:pPr>
      <w:r>
        <w:br w:type="page"/>
      </w:r>
    </w:p>
    <w:p w14:paraId="353C960E" w14:textId="4673273C" w:rsidR="00A22A6E" w:rsidRPr="00A22A6E" w:rsidRDefault="00CF4A39" w:rsidP="00B421D6">
      <w:pPr>
        <w:pStyle w:val="TableNo"/>
        <w:rPr>
          <w:lang w:eastAsia="zh-CN"/>
        </w:rPr>
      </w:pPr>
      <w:r>
        <w:rPr>
          <w:rFonts w:hint="eastAsia"/>
          <w:lang w:eastAsia="zh-CN"/>
        </w:rPr>
        <w:lastRenderedPageBreak/>
        <w:t>表</w:t>
      </w:r>
      <w:r>
        <w:rPr>
          <w:rFonts w:hint="eastAsia"/>
          <w:lang w:eastAsia="zh-CN"/>
        </w:rPr>
        <w:t>4</w:t>
      </w:r>
    </w:p>
    <w:p w14:paraId="210D8DA6" w14:textId="3C0B7B0F" w:rsidR="00AE3B44" w:rsidRDefault="00CF4A39" w:rsidP="00F9012F">
      <w:pPr>
        <w:pStyle w:val="Tabletitle"/>
        <w:rPr>
          <w:lang w:eastAsia="zh-CN"/>
        </w:rPr>
      </w:pPr>
      <w:r>
        <w:rPr>
          <w:rFonts w:hint="eastAsia"/>
          <w:lang w:eastAsia="zh-CN"/>
        </w:rPr>
        <w:t>2027</w:t>
      </w:r>
      <w:r>
        <w:rPr>
          <w:rFonts w:hint="eastAsia"/>
          <w:lang w:eastAsia="zh-CN"/>
        </w:rPr>
        <w:t>年无线电通信部门</w:t>
      </w:r>
      <w:r w:rsidR="00533C63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输出成果</w:t>
      </w:r>
    </w:p>
    <w:p w14:paraId="1921B900" w14:textId="1ADF3BF5" w:rsidR="000C3522" w:rsidRPr="000C3522" w:rsidRDefault="00C04C1F" w:rsidP="000C3522">
      <w:pPr>
        <w:pStyle w:val="Tabletext"/>
      </w:pPr>
      <w:r w:rsidRPr="00C04C1F">
        <w:rPr>
          <w:noProof/>
        </w:rPr>
        <w:drawing>
          <wp:inline distT="0" distB="0" distL="0" distR="0" wp14:anchorId="6DD7A3D8" wp14:editId="22952207">
            <wp:extent cx="8888730" cy="3171825"/>
            <wp:effectExtent l="0" t="0" r="7620" b="9525"/>
            <wp:docPr id="160039570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AE50E" w14:textId="45F21923" w:rsidR="000C3522" w:rsidRDefault="000C352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sz w:val="22"/>
        </w:rPr>
      </w:pPr>
      <w:r>
        <w:br w:type="page"/>
      </w:r>
    </w:p>
    <w:p w14:paraId="190E339A" w14:textId="1FD9715F" w:rsidR="00A22A6E" w:rsidRPr="00A22A6E" w:rsidRDefault="00CF4A39" w:rsidP="00B421D6">
      <w:pPr>
        <w:pStyle w:val="TableNo"/>
        <w:rPr>
          <w:lang w:eastAsia="zh-CN"/>
        </w:rPr>
      </w:pPr>
      <w:r>
        <w:rPr>
          <w:rFonts w:hint="eastAsia"/>
          <w:lang w:eastAsia="zh-CN"/>
        </w:rPr>
        <w:lastRenderedPageBreak/>
        <w:t>表</w:t>
      </w:r>
      <w:r>
        <w:rPr>
          <w:rFonts w:hint="eastAsia"/>
          <w:lang w:eastAsia="zh-CN"/>
        </w:rPr>
        <w:t>5</w:t>
      </w:r>
    </w:p>
    <w:p w14:paraId="61926528" w14:textId="4FDB767F" w:rsidR="00A22A6E" w:rsidRDefault="00CF4A39" w:rsidP="001369F7">
      <w:pPr>
        <w:pStyle w:val="Tabletitle"/>
        <w:rPr>
          <w:lang w:eastAsia="zh-CN"/>
        </w:rPr>
      </w:pPr>
      <w:r>
        <w:rPr>
          <w:rFonts w:hint="eastAsia"/>
          <w:lang w:eastAsia="zh-CN"/>
        </w:rPr>
        <w:t>电信标准</w:t>
      </w:r>
      <w:r w:rsidR="00EC6AF0">
        <w:rPr>
          <w:rFonts w:hint="eastAsia"/>
          <w:lang w:eastAsia="zh-CN"/>
        </w:rPr>
        <w:t>化</w:t>
      </w:r>
      <w:r>
        <w:rPr>
          <w:rFonts w:hint="eastAsia"/>
          <w:lang w:eastAsia="zh-CN"/>
        </w:rPr>
        <w:t>部门</w:t>
      </w:r>
      <w:r w:rsidR="00533C63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输出成果</w:t>
      </w:r>
    </w:p>
    <w:p w14:paraId="7065208A" w14:textId="6C1F3323" w:rsidR="000C3522" w:rsidRPr="000C3522" w:rsidRDefault="00C04C1F" w:rsidP="000C3522">
      <w:pPr>
        <w:pStyle w:val="Tabletext"/>
      </w:pPr>
      <w:r w:rsidRPr="00C04C1F">
        <w:rPr>
          <w:noProof/>
        </w:rPr>
        <w:drawing>
          <wp:inline distT="0" distB="0" distL="0" distR="0" wp14:anchorId="73C6CB54" wp14:editId="103911CA">
            <wp:extent cx="8888730" cy="2466340"/>
            <wp:effectExtent l="0" t="0" r="7620" b="0"/>
            <wp:docPr id="64816419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FAC4A" w14:textId="1F94DA61" w:rsidR="000C3522" w:rsidRDefault="000C352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noProof/>
        </w:rPr>
      </w:pPr>
      <w:r>
        <w:rPr>
          <w:noProof/>
        </w:rPr>
        <w:br w:type="page"/>
      </w:r>
    </w:p>
    <w:p w14:paraId="159BD062" w14:textId="2CB40468" w:rsidR="00A22A6E" w:rsidRPr="00A22A6E" w:rsidRDefault="00CF4A39" w:rsidP="001369F7">
      <w:pPr>
        <w:pStyle w:val="TableNo"/>
        <w:rPr>
          <w:lang w:eastAsia="zh-CN"/>
        </w:rPr>
      </w:pPr>
      <w:r>
        <w:rPr>
          <w:rFonts w:hint="eastAsia"/>
          <w:lang w:eastAsia="zh-CN"/>
        </w:rPr>
        <w:lastRenderedPageBreak/>
        <w:t>表</w:t>
      </w:r>
      <w:r>
        <w:rPr>
          <w:rFonts w:hint="eastAsia"/>
          <w:lang w:eastAsia="zh-CN"/>
        </w:rPr>
        <w:t>6</w:t>
      </w:r>
    </w:p>
    <w:p w14:paraId="0981A547" w14:textId="358E968F" w:rsidR="00A22A6E" w:rsidRDefault="00CF4A39" w:rsidP="001369F7">
      <w:pPr>
        <w:pStyle w:val="Tabletitle"/>
        <w:rPr>
          <w:rFonts w:asciiTheme="minorHAnsi" w:hAnsiTheme="minorHAnsi"/>
          <w:b w:val="0"/>
          <w:lang w:eastAsia="zh-CN"/>
        </w:rPr>
      </w:pPr>
      <w:r>
        <w:rPr>
          <w:rFonts w:hint="eastAsia"/>
          <w:lang w:eastAsia="zh-CN"/>
        </w:rPr>
        <w:t>电信发展部门</w:t>
      </w:r>
      <w:r w:rsidR="00533C63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输出成果</w:t>
      </w:r>
    </w:p>
    <w:p w14:paraId="1F20610C" w14:textId="1CCE70BE" w:rsidR="00A22A6E" w:rsidRDefault="00C04C1F" w:rsidP="0024764A">
      <w:pPr>
        <w:pStyle w:val="Figure"/>
      </w:pPr>
      <w:r w:rsidRPr="00C04C1F">
        <w:rPr>
          <w:noProof/>
        </w:rPr>
        <w:drawing>
          <wp:inline distT="0" distB="0" distL="0" distR="0" wp14:anchorId="19F48DA3" wp14:editId="2E6F1037">
            <wp:extent cx="8888730" cy="3380105"/>
            <wp:effectExtent l="0" t="0" r="7620" b="0"/>
            <wp:docPr id="105686544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338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3C56E" w14:textId="0EB9E2E8" w:rsidR="00A22A6E" w:rsidRDefault="00A22A6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4AB1B393" w14:textId="77777777" w:rsidR="00A82CC5" w:rsidRDefault="00A82CC5" w:rsidP="00A22A6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40" w:after="120"/>
        <w:jc w:val="both"/>
        <w:rPr>
          <w:rFonts w:asciiTheme="minorHAnsi" w:hAnsiTheme="minorHAnsi" w:cstheme="minorHAnsi"/>
          <w:b/>
          <w:bCs/>
        </w:rPr>
        <w:sectPr w:rsidR="00A82CC5" w:rsidSect="00DB6B5B">
          <w:pgSz w:w="16834" w:h="11907" w:orient="landscape"/>
          <w:pgMar w:top="1134" w:right="1418" w:bottom="1134" w:left="1418" w:header="720" w:footer="720" w:gutter="0"/>
          <w:cols w:space="720"/>
          <w:titlePg/>
        </w:sectPr>
      </w:pPr>
    </w:p>
    <w:p w14:paraId="44C39A79" w14:textId="5B7456C5" w:rsidR="00A22A6E" w:rsidRPr="00A22A6E" w:rsidRDefault="002E7DC0" w:rsidP="00D53E27">
      <w:pPr>
        <w:pStyle w:val="ResNo"/>
        <w:rPr>
          <w:szCs w:val="24"/>
          <w:lang w:eastAsia="zh-CN"/>
        </w:rPr>
      </w:pPr>
      <w:r>
        <w:rPr>
          <w:rFonts w:hint="eastAsia"/>
          <w:lang w:eastAsia="zh-CN"/>
        </w:rPr>
        <w:lastRenderedPageBreak/>
        <w:t>第</w:t>
      </w:r>
      <w:r w:rsidRPr="00A22A6E">
        <w:rPr>
          <w:lang w:eastAsia="zh-CN"/>
        </w:rPr>
        <w:t>[...]</w:t>
      </w:r>
      <w:r>
        <w:rPr>
          <w:rFonts w:hint="eastAsia"/>
          <w:lang w:eastAsia="zh-CN"/>
        </w:rPr>
        <w:t>号决议草案</w:t>
      </w:r>
    </w:p>
    <w:p w14:paraId="1F09F0B8" w14:textId="5E167ACC" w:rsidR="00A22A6E" w:rsidRPr="00A22A6E" w:rsidRDefault="002E7DC0" w:rsidP="00D53E27">
      <w:pPr>
        <w:pStyle w:val="Restitle"/>
        <w:rPr>
          <w:szCs w:val="24"/>
          <w:lang w:eastAsia="zh-CN"/>
        </w:rPr>
      </w:pPr>
      <w:r>
        <w:rPr>
          <w:rFonts w:hint="eastAsia"/>
          <w:lang w:eastAsia="zh-CN"/>
        </w:rPr>
        <w:t>国际电联</w:t>
      </w:r>
      <w:r>
        <w:rPr>
          <w:rFonts w:hint="eastAsia"/>
          <w:lang w:eastAsia="zh-CN"/>
        </w:rPr>
        <w:t>2027</w:t>
      </w:r>
      <w:r>
        <w:rPr>
          <w:rFonts w:hint="eastAsia"/>
          <w:lang w:eastAsia="zh-CN"/>
        </w:rPr>
        <w:t>年运作规划</w:t>
      </w:r>
    </w:p>
    <w:p w14:paraId="5B6497BC" w14:textId="0C0BBAA2" w:rsidR="00A22A6E" w:rsidRPr="00A22A6E" w:rsidRDefault="002E7DC0" w:rsidP="00B8335A">
      <w:pPr>
        <w:pStyle w:val="Normalaftertitle"/>
        <w:rPr>
          <w:lang w:eastAsia="zh-CN"/>
        </w:rPr>
      </w:pPr>
      <w:r>
        <w:rPr>
          <w:rFonts w:hint="eastAsia"/>
          <w:lang w:eastAsia="zh-CN"/>
        </w:rPr>
        <w:t>国际电联理事会，</w:t>
      </w:r>
    </w:p>
    <w:p w14:paraId="3D1DFFC8" w14:textId="4F12B2B9" w:rsidR="00A22A6E" w:rsidRPr="00A22A6E" w:rsidRDefault="002E7DC0" w:rsidP="009834D4">
      <w:pPr>
        <w:pStyle w:val="Call"/>
        <w:rPr>
          <w:lang w:eastAsia="zh-CN"/>
        </w:rPr>
      </w:pPr>
      <w:r w:rsidRPr="009834D4">
        <w:rPr>
          <w:rFonts w:hint="eastAsia"/>
          <w:lang w:eastAsia="zh-CN"/>
        </w:rPr>
        <w:t>认识到</w:t>
      </w:r>
    </w:p>
    <w:p w14:paraId="42EA787E" w14:textId="01F54457" w:rsidR="00A22A6E" w:rsidRPr="00A22A6E" w:rsidRDefault="002E7DC0" w:rsidP="0078771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topLinePunct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国际电联《公约》第</w:t>
      </w:r>
      <w:r w:rsidRPr="002E7DC0">
        <w:rPr>
          <w:lang w:eastAsia="zh-CN"/>
        </w:rPr>
        <w:t>5</w:t>
      </w:r>
      <w:r>
        <w:rPr>
          <w:rFonts w:hint="eastAsia"/>
          <w:lang w:eastAsia="zh-CN"/>
        </w:rPr>
        <w:t>、</w:t>
      </w:r>
      <w:r w:rsidRPr="002E7DC0">
        <w:rPr>
          <w:lang w:eastAsia="zh-CN"/>
        </w:rPr>
        <w:t>11A</w:t>
      </w:r>
      <w:r>
        <w:rPr>
          <w:rFonts w:hint="eastAsia"/>
          <w:lang w:eastAsia="zh-CN"/>
        </w:rPr>
        <w:t>、</w:t>
      </w:r>
      <w:r w:rsidRPr="002E7DC0">
        <w:rPr>
          <w:lang w:eastAsia="zh-CN"/>
        </w:rPr>
        <w:t>12</w:t>
      </w:r>
      <w:r>
        <w:rPr>
          <w:rFonts w:hint="eastAsia"/>
          <w:lang w:eastAsia="zh-CN"/>
        </w:rPr>
        <w:t>、</w:t>
      </w:r>
      <w:r w:rsidRPr="002E7DC0">
        <w:rPr>
          <w:lang w:eastAsia="zh-CN"/>
        </w:rPr>
        <w:t>14A</w:t>
      </w:r>
      <w:r>
        <w:rPr>
          <w:rFonts w:hint="eastAsia"/>
          <w:lang w:eastAsia="zh-CN"/>
        </w:rPr>
        <w:t>、</w:t>
      </w:r>
      <w:r w:rsidRPr="002E7DC0">
        <w:rPr>
          <w:lang w:eastAsia="zh-CN"/>
        </w:rPr>
        <w:t>15</w:t>
      </w:r>
      <w:r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18</w:t>
      </w:r>
      <w:r>
        <w:rPr>
          <w:rFonts w:hint="eastAsia"/>
          <w:lang w:eastAsia="zh-CN"/>
        </w:rPr>
        <w:t>条的规定，</w:t>
      </w:r>
    </w:p>
    <w:p w14:paraId="381D55A3" w14:textId="6B44F25C" w:rsidR="00A22A6E" w:rsidRPr="00A22A6E" w:rsidRDefault="002E7DC0" w:rsidP="009834D4">
      <w:pPr>
        <w:pStyle w:val="Call"/>
        <w:rPr>
          <w:lang w:eastAsia="zh-CN"/>
        </w:rPr>
      </w:pPr>
      <w:r w:rsidRPr="009834D4">
        <w:rPr>
          <w:rFonts w:hint="eastAsia"/>
          <w:lang w:eastAsia="zh-CN"/>
        </w:rPr>
        <w:t>忆及</w:t>
      </w:r>
    </w:p>
    <w:p w14:paraId="586B1C37" w14:textId="17801090" w:rsidR="00A22A6E" w:rsidRPr="00A22A6E" w:rsidRDefault="002E7DC0" w:rsidP="0078771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topLinePunct/>
        <w:ind w:firstLineChars="200" w:firstLine="480"/>
        <w:rPr>
          <w:lang w:eastAsia="zh-CN"/>
        </w:rPr>
      </w:pPr>
      <w:r w:rsidRPr="002E7DC0">
        <w:rPr>
          <w:rFonts w:hint="eastAsia"/>
          <w:lang w:eastAsia="zh-CN"/>
        </w:rPr>
        <w:t>国际电联</w:t>
      </w:r>
      <w:r w:rsidR="00787716">
        <w:rPr>
          <w:rFonts w:hint="eastAsia"/>
          <w:lang w:eastAsia="zh-CN"/>
        </w:rPr>
        <w:t>关于</w:t>
      </w:r>
      <w:r w:rsidRPr="002E7DC0">
        <w:rPr>
          <w:rFonts w:hint="eastAsia"/>
          <w:lang w:eastAsia="zh-CN"/>
        </w:rPr>
        <w:t>2024-2027</w:t>
      </w:r>
      <w:r w:rsidRPr="002E7DC0">
        <w:rPr>
          <w:rFonts w:hint="eastAsia"/>
          <w:lang w:eastAsia="zh-CN"/>
        </w:rPr>
        <w:t>年战略规划的第</w:t>
      </w:r>
      <w:r w:rsidRPr="002E7DC0">
        <w:rPr>
          <w:rFonts w:hint="eastAsia"/>
          <w:lang w:eastAsia="zh-CN"/>
        </w:rPr>
        <w:t>71</w:t>
      </w:r>
      <w:r w:rsidRPr="002E7DC0">
        <w:rPr>
          <w:rFonts w:hint="eastAsia"/>
          <w:lang w:eastAsia="zh-CN"/>
        </w:rPr>
        <w:t>号决议（</w:t>
      </w:r>
      <w:r w:rsidRPr="002E7DC0">
        <w:rPr>
          <w:rFonts w:hint="eastAsia"/>
          <w:lang w:eastAsia="zh-CN"/>
        </w:rPr>
        <w:t>2022</w:t>
      </w:r>
      <w:r w:rsidRPr="002E7DC0">
        <w:rPr>
          <w:rFonts w:hint="eastAsia"/>
          <w:lang w:eastAsia="zh-CN"/>
        </w:rPr>
        <w:t>年，布加勒斯特，修订版）</w:t>
      </w:r>
      <w:r w:rsidR="00787716">
        <w:rPr>
          <w:rFonts w:hint="eastAsia"/>
          <w:lang w:eastAsia="zh-CN"/>
        </w:rPr>
        <w:t>和关于</w:t>
      </w:r>
      <w:r w:rsidRPr="002E7DC0">
        <w:rPr>
          <w:rFonts w:hint="eastAsia"/>
          <w:lang w:eastAsia="zh-CN"/>
        </w:rPr>
        <w:t>实施基于结果的管理方式的第</w:t>
      </w:r>
      <w:r w:rsidRPr="002E7DC0">
        <w:rPr>
          <w:rFonts w:hint="eastAsia"/>
          <w:lang w:eastAsia="zh-CN"/>
        </w:rPr>
        <w:t>151</w:t>
      </w:r>
      <w:r w:rsidRPr="002E7DC0">
        <w:rPr>
          <w:rFonts w:hint="eastAsia"/>
          <w:lang w:eastAsia="zh-CN"/>
        </w:rPr>
        <w:t>号决议（</w:t>
      </w:r>
      <w:r w:rsidRPr="002E7DC0">
        <w:rPr>
          <w:rFonts w:hint="eastAsia"/>
          <w:lang w:eastAsia="zh-CN"/>
        </w:rPr>
        <w:t>2022</w:t>
      </w:r>
      <w:r w:rsidRPr="002E7DC0">
        <w:rPr>
          <w:rFonts w:hint="eastAsia"/>
          <w:lang w:eastAsia="zh-CN"/>
        </w:rPr>
        <w:t>年，布加勒斯特，修订版）</w:t>
      </w:r>
      <w:r>
        <w:rPr>
          <w:rFonts w:hint="eastAsia"/>
          <w:lang w:eastAsia="zh-CN"/>
        </w:rPr>
        <w:t>，</w:t>
      </w:r>
    </w:p>
    <w:p w14:paraId="20264732" w14:textId="58FD3920" w:rsidR="00A22A6E" w:rsidRPr="00A22A6E" w:rsidRDefault="002E7DC0" w:rsidP="009834D4">
      <w:pPr>
        <w:pStyle w:val="Call"/>
        <w:rPr>
          <w:lang w:eastAsia="zh-CN"/>
        </w:rPr>
      </w:pPr>
      <w:r w:rsidRPr="009834D4">
        <w:rPr>
          <w:rFonts w:hint="eastAsia"/>
          <w:lang w:eastAsia="zh-CN"/>
        </w:rPr>
        <w:t>考虑到</w:t>
      </w:r>
    </w:p>
    <w:p w14:paraId="7785FB23" w14:textId="37455348" w:rsidR="00A22A6E" w:rsidRPr="00A22A6E" w:rsidRDefault="00901A27" w:rsidP="0078771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topLinePunct/>
        <w:ind w:firstLineChars="200" w:firstLine="480"/>
        <w:rPr>
          <w:rFonts w:asciiTheme="minorHAnsi" w:hAnsiTheme="minorHAnsi" w:cstheme="minorHAnsi"/>
          <w:lang w:eastAsia="zh-CN"/>
        </w:rPr>
      </w:pPr>
      <w:hyperlink r:id="rId32" w:history="1">
        <w:r w:rsidRPr="00901A27">
          <w:rPr>
            <w:rStyle w:val="Hyperlink"/>
            <w:rFonts w:asciiTheme="minorHAnsi" w:hAnsiTheme="minorHAnsi" w:cstheme="minorHAnsi"/>
            <w:lang w:eastAsia="zh-CN"/>
          </w:rPr>
          <w:t>C26/28(Rev.1)</w:t>
        </w:r>
      </w:hyperlink>
      <w:r>
        <w:rPr>
          <w:rFonts w:asciiTheme="minorHAnsi" w:hAnsiTheme="minorHAnsi" w:cstheme="minorHAnsi" w:hint="eastAsia"/>
          <w:lang w:eastAsia="zh-CN"/>
        </w:rPr>
        <w:t>号文件附件</w:t>
      </w:r>
      <w:r w:rsidRPr="00901A27">
        <w:rPr>
          <w:rFonts w:asciiTheme="minorHAnsi" w:hAnsiTheme="minorHAnsi" w:cstheme="minorHAnsi"/>
          <w:lang w:eastAsia="zh-CN"/>
        </w:rPr>
        <w:t>1</w:t>
      </w:r>
      <w:r>
        <w:rPr>
          <w:rFonts w:asciiTheme="minorHAnsi" w:hAnsiTheme="minorHAnsi" w:cstheme="minorHAnsi" w:hint="eastAsia"/>
          <w:lang w:eastAsia="zh-CN"/>
        </w:rPr>
        <w:t>中的国际</w:t>
      </w:r>
      <w:r w:rsidR="00613E15">
        <w:rPr>
          <w:rFonts w:asciiTheme="minorHAnsi" w:hAnsiTheme="minorHAnsi" w:cstheme="minorHAnsi" w:hint="eastAsia"/>
          <w:lang w:eastAsia="zh-CN"/>
        </w:rPr>
        <w:t>电联</w:t>
      </w:r>
      <w:r w:rsidR="00613E15">
        <w:rPr>
          <w:rFonts w:asciiTheme="minorHAnsi" w:hAnsiTheme="minorHAnsi" w:cstheme="minorHAnsi" w:hint="eastAsia"/>
          <w:lang w:eastAsia="zh-CN"/>
        </w:rPr>
        <w:t>2027</w:t>
      </w:r>
      <w:r w:rsidR="00613E15">
        <w:rPr>
          <w:rFonts w:asciiTheme="minorHAnsi" w:hAnsiTheme="minorHAnsi" w:cstheme="minorHAnsi" w:hint="eastAsia"/>
          <w:lang w:eastAsia="zh-CN"/>
        </w:rPr>
        <w:t>年运作规划</w:t>
      </w:r>
      <w:r>
        <w:rPr>
          <w:rFonts w:asciiTheme="minorHAnsi" w:hAnsiTheme="minorHAnsi" w:cstheme="minorHAnsi" w:hint="eastAsia"/>
          <w:lang w:eastAsia="zh-CN"/>
        </w:rPr>
        <w:t>，</w:t>
      </w:r>
    </w:p>
    <w:p w14:paraId="6A0073D6" w14:textId="058570CC" w:rsidR="00A22A6E" w:rsidRPr="00A22A6E" w:rsidRDefault="00613E15" w:rsidP="009834D4">
      <w:pPr>
        <w:pStyle w:val="Call"/>
        <w:rPr>
          <w:lang w:eastAsia="zh-CN"/>
        </w:rPr>
      </w:pPr>
      <w:r w:rsidRPr="009834D4">
        <w:rPr>
          <w:rFonts w:hint="eastAsia"/>
          <w:lang w:eastAsia="zh-CN"/>
        </w:rPr>
        <w:t>亦考虑到</w:t>
      </w:r>
    </w:p>
    <w:p w14:paraId="2E68B7FA" w14:textId="0AD62904" w:rsidR="00A22A6E" w:rsidRPr="00A22A6E" w:rsidRDefault="00613E15" w:rsidP="0078771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topLinePunct/>
        <w:ind w:firstLineChars="200" w:firstLine="480"/>
        <w:rPr>
          <w:rFonts w:asciiTheme="minorHAnsi" w:hAnsiTheme="minorHAnsi" w:cstheme="minorHAnsi"/>
          <w:lang w:eastAsia="zh-CN"/>
        </w:rPr>
      </w:pPr>
      <w:r w:rsidRPr="00613E15">
        <w:rPr>
          <w:rFonts w:asciiTheme="minorHAnsi" w:hAnsiTheme="minorHAnsi" w:cstheme="minorHAnsi" w:hint="eastAsia"/>
          <w:lang w:eastAsia="zh-CN"/>
        </w:rPr>
        <w:t>秘书长和各局主任在实施运作规划的相应内容时需有一定的灵活性，以便应对两届理事会之间可能发生的变化</w:t>
      </w:r>
      <w:r>
        <w:rPr>
          <w:rFonts w:asciiTheme="minorHAnsi" w:hAnsiTheme="minorHAnsi" w:cstheme="minorHAnsi" w:hint="eastAsia"/>
          <w:lang w:eastAsia="zh-CN"/>
        </w:rPr>
        <w:t>，</w:t>
      </w:r>
    </w:p>
    <w:p w14:paraId="0266C67E" w14:textId="1B5F546D" w:rsidR="00A22A6E" w:rsidRPr="00A22A6E" w:rsidRDefault="00613E15" w:rsidP="009834D4">
      <w:pPr>
        <w:pStyle w:val="Call"/>
        <w:rPr>
          <w:lang w:eastAsia="zh-CN"/>
        </w:rPr>
      </w:pPr>
      <w:r w:rsidRPr="009834D4">
        <w:rPr>
          <w:rFonts w:hint="eastAsia"/>
          <w:lang w:eastAsia="zh-CN"/>
        </w:rPr>
        <w:t>做出</w:t>
      </w:r>
      <w:r w:rsidRPr="00613E15">
        <w:rPr>
          <w:rFonts w:hint="eastAsia"/>
          <w:lang w:eastAsia="zh-CN"/>
        </w:rPr>
        <w:t>决议</w:t>
      </w:r>
    </w:p>
    <w:p w14:paraId="3BD98CFE" w14:textId="310CA985" w:rsidR="00A22A6E" w:rsidRPr="00A22A6E" w:rsidRDefault="00A22A6E" w:rsidP="009834D4">
      <w:pPr>
        <w:rPr>
          <w:rFonts w:asciiTheme="minorHAnsi" w:hAnsiTheme="minorHAnsi" w:cstheme="minorHAnsi"/>
          <w:lang w:eastAsia="zh-CN"/>
        </w:rPr>
      </w:pPr>
      <w:r w:rsidRPr="00A22A6E">
        <w:rPr>
          <w:rFonts w:asciiTheme="minorHAnsi" w:hAnsiTheme="minorHAnsi" w:cstheme="minorHAnsi"/>
          <w:lang w:eastAsia="zh-CN"/>
        </w:rPr>
        <w:t>1</w:t>
      </w:r>
      <w:r w:rsidRPr="00A22A6E">
        <w:rPr>
          <w:rFonts w:asciiTheme="minorHAnsi" w:hAnsiTheme="minorHAnsi" w:cstheme="minorHAnsi"/>
          <w:lang w:eastAsia="zh-CN"/>
        </w:rPr>
        <w:tab/>
      </w:r>
      <w:r w:rsidR="00613E15" w:rsidRPr="009834D4">
        <w:rPr>
          <w:rFonts w:hint="eastAsia"/>
          <w:lang w:eastAsia="zh-CN"/>
        </w:rPr>
        <w:t>批准</w:t>
      </w:r>
      <w:r w:rsidR="00613E15">
        <w:rPr>
          <w:rFonts w:asciiTheme="minorHAnsi" w:hAnsiTheme="minorHAnsi" w:cstheme="minorHAnsi" w:hint="eastAsia"/>
          <w:lang w:eastAsia="zh-CN"/>
        </w:rPr>
        <w:t>国际电联</w:t>
      </w:r>
      <w:r w:rsidR="00613E15">
        <w:rPr>
          <w:rFonts w:asciiTheme="minorHAnsi" w:hAnsiTheme="minorHAnsi" w:cstheme="minorHAnsi" w:hint="eastAsia"/>
          <w:lang w:eastAsia="zh-CN"/>
        </w:rPr>
        <w:t>2027</w:t>
      </w:r>
      <w:r w:rsidR="00613E15">
        <w:rPr>
          <w:rFonts w:asciiTheme="minorHAnsi" w:hAnsiTheme="minorHAnsi" w:cstheme="minorHAnsi" w:hint="eastAsia"/>
          <w:lang w:eastAsia="zh-CN"/>
        </w:rPr>
        <w:t>年运作规划；且</w:t>
      </w:r>
    </w:p>
    <w:p w14:paraId="2402AF1D" w14:textId="4DD0151A" w:rsidR="00A22A6E" w:rsidRPr="00A22A6E" w:rsidRDefault="00A22A6E" w:rsidP="00B8335A">
      <w:pPr>
        <w:jc w:val="both"/>
        <w:rPr>
          <w:rFonts w:asciiTheme="minorHAnsi" w:hAnsiTheme="minorHAnsi" w:cstheme="minorHAnsi"/>
          <w:lang w:eastAsia="zh-CN"/>
        </w:rPr>
      </w:pPr>
      <w:r w:rsidRPr="00A22A6E">
        <w:rPr>
          <w:rFonts w:asciiTheme="minorHAnsi" w:hAnsiTheme="minorHAnsi" w:cstheme="minorHAnsi"/>
          <w:lang w:eastAsia="zh-CN"/>
        </w:rPr>
        <w:t>2</w:t>
      </w:r>
      <w:r w:rsidRPr="00A22A6E">
        <w:rPr>
          <w:rFonts w:asciiTheme="minorHAnsi" w:hAnsiTheme="minorHAnsi" w:cstheme="minorHAnsi"/>
          <w:lang w:eastAsia="zh-CN"/>
        </w:rPr>
        <w:tab/>
      </w:r>
      <w:r w:rsidR="00613E15" w:rsidRPr="00613E15">
        <w:rPr>
          <w:rFonts w:asciiTheme="minorHAnsi" w:hAnsiTheme="minorHAnsi" w:cstheme="minorHAnsi" w:hint="eastAsia"/>
          <w:lang w:eastAsia="zh-CN"/>
        </w:rPr>
        <w:t>在实施国际电联</w:t>
      </w:r>
      <w:r w:rsidR="00613E15" w:rsidRPr="00613E15">
        <w:rPr>
          <w:rFonts w:asciiTheme="minorHAnsi" w:hAnsiTheme="minorHAnsi" w:cstheme="minorHAnsi" w:hint="eastAsia"/>
          <w:lang w:eastAsia="zh-CN"/>
        </w:rPr>
        <w:t>202</w:t>
      </w:r>
      <w:r w:rsidR="00613E15">
        <w:rPr>
          <w:rFonts w:asciiTheme="minorHAnsi" w:hAnsiTheme="minorHAnsi" w:cstheme="minorHAnsi" w:hint="eastAsia"/>
          <w:lang w:eastAsia="zh-CN"/>
        </w:rPr>
        <w:t>7</w:t>
      </w:r>
      <w:r w:rsidR="00613E15" w:rsidRPr="00613E15">
        <w:rPr>
          <w:rFonts w:asciiTheme="minorHAnsi" w:hAnsiTheme="minorHAnsi" w:cstheme="minorHAnsi" w:hint="eastAsia"/>
          <w:lang w:eastAsia="zh-CN"/>
        </w:rPr>
        <w:t>年运作规划的相应内容时，给予秘书长和各局主任必要的灵活性</w:t>
      </w:r>
      <w:r w:rsidR="00613E15">
        <w:rPr>
          <w:rFonts w:asciiTheme="minorHAnsi" w:hAnsiTheme="minorHAnsi" w:cstheme="minorHAnsi" w:hint="eastAsia"/>
          <w:lang w:eastAsia="zh-CN"/>
        </w:rPr>
        <w:t>。</w:t>
      </w:r>
    </w:p>
    <w:p w14:paraId="39DF07FD" w14:textId="77777777" w:rsidR="00070398" w:rsidRPr="00DA721B" w:rsidRDefault="00070398" w:rsidP="00070398">
      <w:pPr>
        <w:rPr>
          <w:lang w:val="en-US" w:eastAsia="zh-CN"/>
        </w:rPr>
      </w:pPr>
    </w:p>
    <w:p w14:paraId="080821DF" w14:textId="0C17193B" w:rsidR="00A82CC5" w:rsidRPr="00634C2F" w:rsidRDefault="00070398" w:rsidP="00070398">
      <w:pPr>
        <w:jc w:val="center"/>
        <w:rPr>
          <w:lang w:eastAsia="zh-CN"/>
        </w:rPr>
      </w:pPr>
      <w:r>
        <w:t>______________</w:t>
      </w:r>
    </w:p>
    <w:sectPr w:rsidR="00A82CC5" w:rsidRPr="00634C2F" w:rsidSect="00070398">
      <w:pgSz w:w="11907" w:h="16834"/>
      <w:pgMar w:top="1418" w:right="1418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5EBA" w14:textId="77777777" w:rsidR="005F50AD" w:rsidRDefault="005F50AD">
      <w:r>
        <w:separator/>
      </w:r>
    </w:p>
  </w:endnote>
  <w:endnote w:type="continuationSeparator" w:id="0">
    <w:p w14:paraId="10F857DC" w14:textId="77777777" w:rsidR="005F50AD" w:rsidRDefault="005F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3F43724F" w14:textId="77777777" w:rsidTr="00E47D74">
      <w:trPr>
        <w:jc w:val="center"/>
      </w:trPr>
      <w:tc>
        <w:tcPr>
          <w:tcW w:w="1803" w:type="dxa"/>
          <w:vAlign w:val="center"/>
        </w:tcPr>
        <w:p w14:paraId="6595CA0F" w14:textId="5A4514D3" w:rsidR="00EE49E8" w:rsidRDefault="00F43058" w:rsidP="00EE49E8">
          <w:pPr>
            <w:pStyle w:val="Header"/>
            <w:jc w:val="left"/>
            <w:rPr>
              <w:noProof/>
            </w:rPr>
          </w:pPr>
          <w:r w:rsidRPr="00F43058">
            <w:rPr>
              <w:noProof/>
            </w:rPr>
            <w:t>gDoc 2601150</w:t>
          </w:r>
        </w:p>
      </w:tc>
      <w:tc>
        <w:tcPr>
          <w:tcW w:w="8261" w:type="dxa"/>
        </w:tcPr>
        <w:p w14:paraId="3E7590DE" w14:textId="0D5B6C43" w:rsidR="00EE49E8" w:rsidRPr="00E06FD5" w:rsidRDefault="00EE49E8" w:rsidP="00897DD8">
          <w:pPr>
            <w:pStyle w:val="Header"/>
            <w:tabs>
              <w:tab w:val="left" w:pos="6595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A82CC5">
            <w:rPr>
              <w:bCs/>
            </w:rPr>
            <w:t>28</w:t>
          </w:r>
          <w:r w:rsidR="00285262">
            <w:rPr>
              <w:bCs/>
            </w:rPr>
            <w:t>(Rev.1)</w:t>
          </w:r>
          <w:r w:rsidRPr="00623AE3">
            <w:rPr>
              <w:bCs/>
            </w:rPr>
            <w:t>-</w:t>
          </w:r>
          <w:r w:rsidR="005C4DC6">
            <w:rPr>
              <w:bCs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9851C7D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26FC2068" w14:textId="77777777" w:rsidTr="006B77F1">
      <w:trPr>
        <w:jc w:val="center"/>
      </w:trPr>
      <w:tc>
        <w:tcPr>
          <w:tcW w:w="1803" w:type="dxa"/>
          <w:vAlign w:val="center"/>
        </w:tcPr>
        <w:p w14:paraId="7478A3BA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532E017E" w14:textId="333BDE5D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A82CC5">
            <w:rPr>
              <w:bCs/>
            </w:rPr>
            <w:t>28</w:t>
          </w:r>
          <w:r w:rsidR="00285262">
            <w:rPr>
              <w:bCs/>
            </w:rPr>
            <w:t>(Rev.1)</w:t>
          </w:r>
          <w:r w:rsidRPr="00623AE3">
            <w:rPr>
              <w:bCs/>
            </w:rPr>
            <w:t>-</w:t>
          </w:r>
          <w:r w:rsidR="009E2853" w:rsidRPr="009E2853">
            <w:rPr>
              <w:rFonts w:hint="eastAsia"/>
              <w:bCs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1740342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E3B44" w:rsidRPr="00784011" w14:paraId="76488604" w14:textId="77777777" w:rsidTr="00AE3B44">
      <w:trPr>
        <w:jc w:val="center"/>
      </w:trPr>
      <w:tc>
        <w:tcPr>
          <w:tcW w:w="1803" w:type="dxa"/>
          <w:vAlign w:val="center"/>
        </w:tcPr>
        <w:p w14:paraId="2787A073" w14:textId="0CFCC508" w:rsidR="00AE3B44" w:rsidRDefault="00F43058" w:rsidP="00AE3B44">
          <w:pPr>
            <w:pStyle w:val="Header"/>
            <w:jc w:val="left"/>
            <w:rPr>
              <w:noProof/>
            </w:rPr>
          </w:pPr>
          <w:r w:rsidRPr="00F43058">
            <w:rPr>
              <w:noProof/>
            </w:rPr>
            <w:t>gDoc 2601150</w:t>
          </w:r>
        </w:p>
      </w:tc>
      <w:tc>
        <w:tcPr>
          <w:tcW w:w="8261" w:type="dxa"/>
        </w:tcPr>
        <w:p w14:paraId="1923322C" w14:textId="63070AC4" w:rsidR="00AE3B44" w:rsidRPr="00E06FD5" w:rsidRDefault="00AE3B44" w:rsidP="00E46F74">
          <w:pPr>
            <w:pStyle w:val="Header"/>
            <w:tabs>
              <w:tab w:val="left" w:pos="6593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26</w:t>
          </w:r>
          <w:r w:rsidRPr="00623AE3">
            <w:rPr>
              <w:bCs/>
            </w:rPr>
            <w:t>/</w:t>
          </w:r>
          <w:r w:rsidR="00A82CC5">
            <w:rPr>
              <w:bCs/>
            </w:rPr>
            <w:t>28</w:t>
          </w:r>
          <w:r w:rsidR="00286C2E">
            <w:rPr>
              <w:bCs/>
            </w:rPr>
            <w:t>(Rev.1)</w:t>
          </w:r>
          <w:r w:rsidRPr="00623AE3">
            <w:rPr>
              <w:bCs/>
            </w:rPr>
            <w:t>-</w:t>
          </w:r>
          <w:r w:rsidR="00B618FB">
            <w:rPr>
              <w:rFonts w:eastAsiaTheme="minorEastAsia" w:hint="eastAsia"/>
              <w:bCs/>
              <w:lang w:eastAsia="zh-CN"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F4FC9AC" w14:textId="77777777" w:rsidR="00AE3B44" w:rsidRPr="00623AE3" w:rsidRDefault="00AE3B4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5BB48" w14:textId="77777777" w:rsidR="005F50AD" w:rsidRDefault="005F50AD">
      <w:r>
        <w:t>____________________</w:t>
      </w:r>
    </w:p>
  </w:footnote>
  <w:footnote w:type="continuationSeparator" w:id="0">
    <w:p w14:paraId="286374C4" w14:textId="77777777" w:rsidR="005F50AD" w:rsidRDefault="005F5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68EF" w14:textId="7615C282" w:rsidR="00AD3606" w:rsidRPr="00512087" w:rsidRDefault="00FD0096" w:rsidP="0049369C">
    <w:pPr>
      <w:pStyle w:val="Header"/>
    </w:pPr>
    <w:r>
      <w:rPr>
        <w:noProof/>
      </w:rPr>
      <w:drawing>
        <wp:inline distT="0" distB="0" distL="0" distR="0" wp14:anchorId="3BD3E5EB" wp14:editId="40B87776">
          <wp:extent cx="5760085" cy="840740"/>
          <wp:effectExtent l="0" t="0" r="0" b="0"/>
          <wp:docPr id="3930506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74FE" w14:textId="02F879F2" w:rsidR="00AE3B44" w:rsidRPr="00512087" w:rsidRDefault="00AE3B44" w:rsidP="004936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B5E9" w14:textId="77777777" w:rsidR="00AE3B44" w:rsidRPr="00512087" w:rsidRDefault="00AE3B44" w:rsidP="004936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25CFF"/>
    <w:multiLevelType w:val="hybridMultilevel"/>
    <w:tmpl w:val="1CB4A968"/>
    <w:lvl w:ilvl="0" w:tplc="304ACEC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C1464"/>
    <w:multiLevelType w:val="hybridMultilevel"/>
    <w:tmpl w:val="F0266B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67032"/>
    <w:multiLevelType w:val="hybridMultilevel"/>
    <w:tmpl w:val="74EE31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28B8"/>
    <w:multiLevelType w:val="hybridMultilevel"/>
    <w:tmpl w:val="BDB2DD3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7048"/>
    <w:multiLevelType w:val="hybridMultilevel"/>
    <w:tmpl w:val="8F5C5A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A4830"/>
    <w:multiLevelType w:val="hybridMultilevel"/>
    <w:tmpl w:val="B29ED6F8"/>
    <w:lvl w:ilvl="0" w:tplc="8EA25D1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D40B0"/>
    <w:multiLevelType w:val="hybridMultilevel"/>
    <w:tmpl w:val="379A652A"/>
    <w:lvl w:ilvl="0" w:tplc="413E3D02">
      <w:start w:val="7"/>
      <w:numFmt w:val="bullet"/>
      <w:lvlText w:val="-"/>
      <w:lvlJc w:val="left"/>
      <w:pPr>
        <w:ind w:left="924" w:hanging="564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95F44"/>
    <w:multiLevelType w:val="hybridMultilevel"/>
    <w:tmpl w:val="0018E2DC"/>
    <w:lvl w:ilvl="0" w:tplc="413E3D0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D6EC8"/>
    <w:multiLevelType w:val="hybridMultilevel"/>
    <w:tmpl w:val="84147C80"/>
    <w:lvl w:ilvl="0" w:tplc="413E3D0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51DE3"/>
    <w:multiLevelType w:val="hybridMultilevel"/>
    <w:tmpl w:val="25D01D16"/>
    <w:lvl w:ilvl="0" w:tplc="8EA25D18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714F4E"/>
    <w:multiLevelType w:val="hybridMultilevel"/>
    <w:tmpl w:val="3D32005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0569B"/>
    <w:multiLevelType w:val="hybridMultilevel"/>
    <w:tmpl w:val="C996F744"/>
    <w:lvl w:ilvl="0" w:tplc="8EA25D1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17248"/>
    <w:multiLevelType w:val="multilevel"/>
    <w:tmpl w:val="02188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219DB"/>
    <w:multiLevelType w:val="hybridMultilevel"/>
    <w:tmpl w:val="F2CAC032"/>
    <w:lvl w:ilvl="0" w:tplc="8EA25D1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D4C6D"/>
    <w:multiLevelType w:val="hybridMultilevel"/>
    <w:tmpl w:val="9012760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E1D39"/>
    <w:multiLevelType w:val="hybridMultilevel"/>
    <w:tmpl w:val="77C0A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25512"/>
    <w:multiLevelType w:val="hybridMultilevel"/>
    <w:tmpl w:val="ACB666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9AECBB90">
      <w:numFmt w:val="bullet"/>
      <w:lvlText w:val="•"/>
      <w:lvlJc w:val="left"/>
      <w:pPr>
        <w:ind w:left="2544" w:hanging="564"/>
      </w:pPr>
      <w:rPr>
        <w:rFonts w:ascii="Aptos" w:eastAsia="Times New Roman" w:hAnsi="Aptos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B10FF"/>
    <w:multiLevelType w:val="hybridMultilevel"/>
    <w:tmpl w:val="7A64D2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85B23"/>
    <w:multiLevelType w:val="hybridMultilevel"/>
    <w:tmpl w:val="A3C2F5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51894"/>
    <w:multiLevelType w:val="multilevel"/>
    <w:tmpl w:val="CEBEEC1E"/>
    <w:lvl w:ilvl="0">
      <w:start w:val="1"/>
      <w:numFmt w:val="decimal"/>
      <w:lvlText w:val="%1"/>
      <w:lvlJc w:val="left"/>
      <w:pPr>
        <w:ind w:left="1848" w:hanging="360"/>
      </w:pPr>
      <w:rPr>
        <w:rFonts w:cs="Times New Roman" w:hint="default"/>
        <w:b/>
        <w:b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2103" w:hanging="61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0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0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9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9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88" w:hanging="1800"/>
      </w:pPr>
      <w:rPr>
        <w:rFonts w:cs="Times New Roman" w:hint="default"/>
      </w:rPr>
    </w:lvl>
  </w:abstractNum>
  <w:abstractNum w:abstractNumId="21" w15:restartNumberingAfterBreak="0">
    <w:nsid w:val="5C3A58F2"/>
    <w:multiLevelType w:val="hybridMultilevel"/>
    <w:tmpl w:val="EF8435D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5457E"/>
    <w:multiLevelType w:val="hybridMultilevel"/>
    <w:tmpl w:val="726CF36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70889"/>
    <w:multiLevelType w:val="hybridMultilevel"/>
    <w:tmpl w:val="592209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65F46"/>
    <w:multiLevelType w:val="hybridMultilevel"/>
    <w:tmpl w:val="96FA63F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E6CF1"/>
    <w:multiLevelType w:val="hybridMultilevel"/>
    <w:tmpl w:val="432C6C1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D40D5"/>
    <w:multiLevelType w:val="hybridMultilevel"/>
    <w:tmpl w:val="B0DC59CE"/>
    <w:lvl w:ilvl="0" w:tplc="8EA25D1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90C7D"/>
    <w:multiLevelType w:val="hybridMultilevel"/>
    <w:tmpl w:val="7768617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90EE5"/>
    <w:multiLevelType w:val="hybridMultilevel"/>
    <w:tmpl w:val="1992371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74758"/>
    <w:multiLevelType w:val="hybridMultilevel"/>
    <w:tmpl w:val="71C0658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16267">
    <w:abstractNumId w:val="0"/>
  </w:num>
  <w:num w:numId="2" w16cid:durableId="296762178">
    <w:abstractNumId w:val="20"/>
  </w:num>
  <w:num w:numId="3" w16cid:durableId="388042345">
    <w:abstractNumId w:val="1"/>
  </w:num>
  <w:num w:numId="4" w16cid:durableId="1146970298">
    <w:abstractNumId w:val="10"/>
  </w:num>
  <w:num w:numId="5" w16cid:durableId="212468438">
    <w:abstractNumId w:val="14"/>
  </w:num>
  <w:num w:numId="6" w16cid:durableId="790827644">
    <w:abstractNumId w:val="12"/>
  </w:num>
  <w:num w:numId="7" w16cid:durableId="1653365284">
    <w:abstractNumId w:val="26"/>
  </w:num>
  <w:num w:numId="8" w16cid:durableId="751464637">
    <w:abstractNumId w:val="6"/>
  </w:num>
  <w:num w:numId="9" w16cid:durableId="1830944929">
    <w:abstractNumId w:val="16"/>
  </w:num>
  <w:num w:numId="10" w16cid:durableId="1752314204">
    <w:abstractNumId w:val="19"/>
  </w:num>
  <w:num w:numId="11" w16cid:durableId="1800605344">
    <w:abstractNumId w:val="17"/>
  </w:num>
  <w:num w:numId="12" w16cid:durableId="1567257891">
    <w:abstractNumId w:val="7"/>
  </w:num>
  <w:num w:numId="13" w16cid:durableId="2136482044">
    <w:abstractNumId w:val="8"/>
  </w:num>
  <w:num w:numId="14" w16cid:durableId="88740088">
    <w:abstractNumId w:val="9"/>
  </w:num>
  <w:num w:numId="15" w16cid:durableId="1340963277">
    <w:abstractNumId w:val="29"/>
  </w:num>
  <w:num w:numId="16" w16cid:durableId="1439596352">
    <w:abstractNumId w:val="4"/>
  </w:num>
  <w:num w:numId="17" w16cid:durableId="950555019">
    <w:abstractNumId w:val="27"/>
  </w:num>
  <w:num w:numId="18" w16cid:durableId="922109385">
    <w:abstractNumId w:val="25"/>
  </w:num>
  <w:num w:numId="19" w16cid:durableId="1660420798">
    <w:abstractNumId w:val="21"/>
  </w:num>
  <w:num w:numId="20" w16cid:durableId="1686319779">
    <w:abstractNumId w:val="18"/>
  </w:num>
  <w:num w:numId="21" w16cid:durableId="1326981958">
    <w:abstractNumId w:val="22"/>
  </w:num>
  <w:num w:numId="22" w16cid:durableId="1930383904">
    <w:abstractNumId w:val="15"/>
  </w:num>
  <w:num w:numId="23" w16cid:durableId="1687290262">
    <w:abstractNumId w:val="5"/>
  </w:num>
  <w:num w:numId="24" w16cid:durableId="1286083197">
    <w:abstractNumId w:val="2"/>
  </w:num>
  <w:num w:numId="25" w16cid:durableId="1010522836">
    <w:abstractNumId w:val="11"/>
  </w:num>
  <w:num w:numId="26" w16cid:durableId="47799160">
    <w:abstractNumId w:val="23"/>
  </w:num>
  <w:num w:numId="27" w16cid:durableId="768433844">
    <w:abstractNumId w:val="28"/>
  </w:num>
  <w:num w:numId="28" w16cid:durableId="1663659281">
    <w:abstractNumId w:val="24"/>
  </w:num>
  <w:num w:numId="29" w16cid:durableId="1015615052">
    <w:abstractNumId w:val="3"/>
  </w:num>
  <w:num w:numId="30" w16cid:durableId="13559566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28"/>
    <w:rsid w:val="00001178"/>
    <w:rsid w:val="00001FB2"/>
    <w:rsid w:val="00005096"/>
    <w:rsid w:val="000076FC"/>
    <w:rsid w:val="000210D4"/>
    <w:rsid w:val="00021488"/>
    <w:rsid w:val="000215DF"/>
    <w:rsid w:val="0004235A"/>
    <w:rsid w:val="000532CB"/>
    <w:rsid w:val="00053BB0"/>
    <w:rsid w:val="0005524E"/>
    <w:rsid w:val="00056AC2"/>
    <w:rsid w:val="000578BC"/>
    <w:rsid w:val="0006007D"/>
    <w:rsid w:val="00062A04"/>
    <w:rsid w:val="00063016"/>
    <w:rsid w:val="00066795"/>
    <w:rsid w:val="00070398"/>
    <w:rsid w:val="000727DA"/>
    <w:rsid w:val="00075546"/>
    <w:rsid w:val="00076AF6"/>
    <w:rsid w:val="000774A6"/>
    <w:rsid w:val="00084709"/>
    <w:rsid w:val="00085CF2"/>
    <w:rsid w:val="00092A66"/>
    <w:rsid w:val="000A12B7"/>
    <w:rsid w:val="000A36D1"/>
    <w:rsid w:val="000B1705"/>
    <w:rsid w:val="000B2297"/>
    <w:rsid w:val="000B2BE9"/>
    <w:rsid w:val="000C3522"/>
    <w:rsid w:val="000C4FA4"/>
    <w:rsid w:val="000C6BD9"/>
    <w:rsid w:val="000D0E44"/>
    <w:rsid w:val="000D75B2"/>
    <w:rsid w:val="000E14C3"/>
    <w:rsid w:val="000E2D97"/>
    <w:rsid w:val="000E3607"/>
    <w:rsid w:val="000E372C"/>
    <w:rsid w:val="000F40ED"/>
    <w:rsid w:val="000F5DDB"/>
    <w:rsid w:val="000F6221"/>
    <w:rsid w:val="000F7D73"/>
    <w:rsid w:val="00107EAA"/>
    <w:rsid w:val="00111178"/>
    <w:rsid w:val="00111770"/>
    <w:rsid w:val="001121F5"/>
    <w:rsid w:val="00114241"/>
    <w:rsid w:val="00120710"/>
    <w:rsid w:val="001340EB"/>
    <w:rsid w:val="001369F7"/>
    <w:rsid w:val="00137868"/>
    <w:rsid w:val="001400DC"/>
    <w:rsid w:val="00140CE1"/>
    <w:rsid w:val="00145626"/>
    <w:rsid w:val="001464B9"/>
    <w:rsid w:val="0015189A"/>
    <w:rsid w:val="00160630"/>
    <w:rsid w:val="0016212A"/>
    <w:rsid w:val="0016293D"/>
    <w:rsid w:val="001648AF"/>
    <w:rsid w:val="00166D72"/>
    <w:rsid w:val="00171004"/>
    <w:rsid w:val="00171884"/>
    <w:rsid w:val="0017539C"/>
    <w:rsid w:val="00175AC2"/>
    <w:rsid w:val="0017609F"/>
    <w:rsid w:val="001766BC"/>
    <w:rsid w:val="00176F47"/>
    <w:rsid w:val="001876E0"/>
    <w:rsid w:val="00195E25"/>
    <w:rsid w:val="00195FB9"/>
    <w:rsid w:val="001976F2"/>
    <w:rsid w:val="00197D63"/>
    <w:rsid w:val="001A3154"/>
    <w:rsid w:val="001A7D1D"/>
    <w:rsid w:val="001B03A4"/>
    <w:rsid w:val="001B2748"/>
    <w:rsid w:val="001B31AC"/>
    <w:rsid w:val="001B388B"/>
    <w:rsid w:val="001B51DD"/>
    <w:rsid w:val="001B6AD0"/>
    <w:rsid w:val="001C593C"/>
    <w:rsid w:val="001C628E"/>
    <w:rsid w:val="001E0D45"/>
    <w:rsid w:val="001E0F7B"/>
    <w:rsid w:val="001E1AE7"/>
    <w:rsid w:val="001E6A65"/>
    <w:rsid w:val="001F20BD"/>
    <w:rsid w:val="001F5569"/>
    <w:rsid w:val="002025A9"/>
    <w:rsid w:val="0020487B"/>
    <w:rsid w:val="00210BA1"/>
    <w:rsid w:val="00210BAE"/>
    <w:rsid w:val="002119FD"/>
    <w:rsid w:val="002130E0"/>
    <w:rsid w:val="00214E87"/>
    <w:rsid w:val="00220597"/>
    <w:rsid w:val="00221F46"/>
    <w:rsid w:val="00224C28"/>
    <w:rsid w:val="00226ADA"/>
    <w:rsid w:val="002313BF"/>
    <w:rsid w:val="00232899"/>
    <w:rsid w:val="002347A7"/>
    <w:rsid w:val="00241BA9"/>
    <w:rsid w:val="002469EA"/>
    <w:rsid w:val="0024764A"/>
    <w:rsid w:val="00252D22"/>
    <w:rsid w:val="00260D2E"/>
    <w:rsid w:val="00261E2C"/>
    <w:rsid w:val="002623DF"/>
    <w:rsid w:val="00264425"/>
    <w:rsid w:val="00265875"/>
    <w:rsid w:val="00266704"/>
    <w:rsid w:val="00266B6B"/>
    <w:rsid w:val="00270410"/>
    <w:rsid w:val="0027303B"/>
    <w:rsid w:val="00274337"/>
    <w:rsid w:val="00277DEA"/>
    <w:rsid w:val="0028109B"/>
    <w:rsid w:val="00282230"/>
    <w:rsid w:val="002828A8"/>
    <w:rsid w:val="00285262"/>
    <w:rsid w:val="00286C2E"/>
    <w:rsid w:val="002916B4"/>
    <w:rsid w:val="002919AD"/>
    <w:rsid w:val="00294110"/>
    <w:rsid w:val="00294BA7"/>
    <w:rsid w:val="00295D29"/>
    <w:rsid w:val="002961EF"/>
    <w:rsid w:val="002963EB"/>
    <w:rsid w:val="002A0615"/>
    <w:rsid w:val="002A133E"/>
    <w:rsid w:val="002A1B27"/>
    <w:rsid w:val="002A1DEC"/>
    <w:rsid w:val="002A2188"/>
    <w:rsid w:val="002B1F58"/>
    <w:rsid w:val="002B2AE6"/>
    <w:rsid w:val="002B46C3"/>
    <w:rsid w:val="002B56F8"/>
    <w:rsid w:val="002C1C7A"/>
    <w:rsid w:val="002C3F32"/>
    <w:rsid w:val="002C54E2"/>
    <w:rsid w:val="002D06B8"/>
    <w:rsid w:val="002D3EA0"/>
    <w:rsid w:val="002D61CD"/>
    <w:rsid w:val="002E45C9"/>
    <w:rsid w:val="002E4BEE"/>
    <w:rsid w:val="002E7D77"/>
    <w:rsid w:val="002E7DC0"/>
    <w:rsid w:val="002F2482"/>
    <w:rsid w:val="0030160F"/>
    <w:rsid w:val="003058D5"/>
    <w:rsid w:val="00311AB9"/>
    <w:rsid w:val="00311B2F"/>
    <w:rsid w:val="003134BB"/>
    <w:rsid w:val="003134CF"/>
    <w:rsid w:val="003137B6"/>
    <w:rsid w:val="00314610"/>
    <w:rsid w:val="00320223"/>
    <w:rsid w:val="00322D0D"/>
    <w:rsid w:val="00330D3C"/>
    <w:rsid w:val="003415BA"/>
    <w:rsid w:val="00341DE0"/>
    <w:rsid w:val="003526E0"/>
    <w:rsid w:val="00352E57"/>
    <w:rsid w:val="003566C3"/>
    <w:rsid w:val="00361465"/>
    <w:rsid w:val="003627BE"/>
    <w:rsid w:val="00372E0B"/>
    <w:rsid w:val="003740C5"/>
    <w:rsid w:val="00374873"/>
    <w:rsid w:val="00377D7D"/>
    <w:rsid w:val="003877F5"/>
    <w:rsid w:val="003921E0"/>
    <w:rsid w:val="003936D3"/>
    <w:rsid w:val="003942D4"/>
    <w:rsid w:val="003958A8"/>
    <w:rsid w:val="003A3555"/>
    <w:rsid w:val="003A3BB7"/>
    <w:rsid w:val="003B0342"/>
    <w:rsid w:val="003B2463"/>
    <w:rsid w:val="003B29C2"/>
    <w:rsid w:val="003B4FAF"/>
    <w:rsid w:val="003C1163"/>
    <w:rsid w:val="003C2533"/>
    <w:rsid w:val="003D401B"/>
    <w:rsid w:val="003D5A7F"/>
    <w:rsid w:val="003D5B0E"/>
    <w:rsid w:val="003E119A"/>
    <w:rsid w:val="003E2390"/>
    <w:rsid w:val="003E5801"/>
    <w:rsid w:val="003E6381"/>
    <w:rsid w:val="003F0228"/>
    <w:rsid w:val="003F10C3"/>
    <w:rsid w:val="003F30E0"/>
    <w:rsid w:val="003F6938"/>
    <w:rsid w:val="004000C8"/>
    <w:rsid w:val="00403B95"/>
    <w:rsid w:val="0040435A"/>
    <w:rsid w:val="004067ED"/>
    <w:rsid w:val="004067F0"/>
    <w:rsid w:val="00411BA6"/>
    <w:rsid w:val="004130DB"/>
    <w:rsid w:val="00416A24"/>
    <w:rsid w:val="00416E42"/>
    <w:rsid w:val="00430442"/>
    <w:rsid w:val="00431D9E"/>
    <w:rsid w:val="00433713"/>
    <w:rsid w:val="00433CE8"/>
    <w:rsid w:val="00434A5C"/>
    <w:rsid w:val="00437648"/>
    <w:rsid w:val="00442681"/>
    <w:rsid w:val="00443EFE"/>
    <w:rsid w:val="00446ACF"/>
    <w:rsid w:val="00447166"/>
    <w:rsid w:val="00453079"/>
    <w:rsid w:val="004544D9"/>
    <w:rsid w:val="00455AC4"/>
    <w:rsid w:val="004631CB"/>
    <w:rsid w:val="00466F9C"/>
    <w:rsid w:val="00472289"/>
    <w:rsid w:val="00472BAD"/>
    <w:rsid w:val="004771B5"/>
    <w:rsid w:val="0047749B"/>
    <w:rsid w:val="00482F79"/>
    <w:rsid w:val="00484009"/>
    <w:rsid w:val="00485DDC"/>
    <w:rsid w:val="00490E72"/>
    <w:rsid w:val="00491157"/>
    <w:rsid w:val="00491BA9"/>
    <w:rsid w:val="004921C8"/>
    <w:rsid w:val="0049223B"/>
    <w:rsid w:val="0049291D"/>
    <w:rsid w:val="0049343E"/>
    <w:rsid w:val="0049369C"/>
    <w:rsid w:val="00495615"/>
    <w:rsid w:val="00495B0B"/>
    <w:rsid w:val="00495DB3"/>
    <w:rsid w:val="00497C70"/>
    <w:rsid w:val="004A1B8B"/>
    <w:rsid w:val="004C3003"/>
    <w:rsid w:val="004C3314"/>
    <w:rsid w:val="004C6D85"/>
    <w:rsid w:val="004C753B"/>
    <w:rsid w:val="004D1851"/>
    <w:rsid w:val="004D4569"/>
    <w:rsid w:val="004D599D"/>
    <w:rsid w:val="004D6499"/>
    <w:rsid w:val="004E16C2"/>
    <w:rsid w:val="004E2EA5"/>
    <w:rsid w:val="004E3AEB"/>
    <w:rsid w:val="004E5E3A"/>
    <w:rsid w:val="00500963"/>
    <w:rsid w:val="005016F9"/>
    <w:rsid w:val="0050223C"/>
    <w:rsid w:val="005025FD"/>
    <w:rsid w:val="00512087"/>
    <w:rsid w:val="005151A3"/>
    <w:rsid w:val="00521F51"/>
    <w:rsid w:val="00522213"/>
    <w:rsid w:val="0052363D"/>
    <w:rsid w:val="005243FF"/>
    <w:rsid w:val="00530689"/>
    <w:rsid w:val="00531562"/>
    <w:rsid w:val="00533C63"/>
    <w:rsid w:val="0053628F"/>
    <w:rsid w:val="00543F9C"/>
    <w:rsid w:val="00545E16"/>
    <w:rsid w:val="00551AA4"/>
    <w:rsid w:val="00562D3F"/>
    <w:rsid w:val="00564FBC"/>
    <w:rsid w:val="00566BDE"/>
    <w:rsid w:val="00566C2B"/>
    <w:rsid w:val="005800BC"/>
    <w:rsid w:val="00582442"/>
    <w:rsid w:val="00582A9B"/>
    <w:rsid w:val="00583949"/>
    <w:rsid w:val="00584DAF"/>
    <w:rsid w:val="00586369"/>
    <w:rsid w:val="00595247"/>
    <w:rsid w:val="005A3819"/>
    <w:rsid w:val="005A4725"/>
    <w:rsid w:val="005A4967"/>
    <w:rsid w:val="005A4B43"/>
    <w:rsid w:val="005A5038"/>
    <w:rsid w:val="005A5067"/>
    <w:rsid w:val="005C2B20"/>
    <w:rsid w:val="005C4311"/>
    <w:rsid w:val="005C46E5"/>
    <w:rsid w:val="005C4DC6"/>
    <w:rsid w:val="005D24FA"/>
    <w:rsid w:val="005D661A"/>
    <w:rsid w:val="005E2763"/>
    <w:rsid w:val="005F3269"/>
    <w:rsid w:val="005F50AD"/>
    <w:rsid w:val="00604E11"/>
    <w:rsid w:val="0061071E"/>
    <w:rsid w:val="00613E15"/>
    <w:rsid w:val="0061649C"/>
    <w:rsid w:val="00620113"/>
    <w:rsid w:val="00623AE3"/>
    <w:rsid w:val="00624B13"/>
    <w:rsid w:val="0063009B"/>
    <w:rsid w:val="00630F84"/>
    <w:rsid w:val="0063197A"/>
    <w:rsid w:val="00634C2F"/>
    <w:rsid w:val="0064335B"/>
    <w:rsid w:val="0064737F"/>
    <w:rsid w:val="006503B5"/>
    <w:rsid w:val="006535F1"/>
    <w:rsid w:val="0065557D"/>
    <w:rsid w:val="00657DF7"/>
    <w:rsid w:val="00660D50"/>
    <w:rsid w:val="00662984"/>
    <w:rsid w:val="00663621"/>
    <w:rsid w:val="00664009"/>
    <w:rsid w:val="0066639F"/>
    <w:rsid w:val="006702C2"/>
    <w:rsid w:val="006716BB"/>
    <w:rsid w:val="00671E29"/>
    <w:rsid w:val="00677D5F"/>
    <w:rsid w:val="00681E0C"/>
    <w:rsid w:val="00681F7A"/>
    <w:rsid w:val="00683364"/>
    <w:rsid w:val="0068776C"/>
    <w:rsid w:val="00690D17"/>
    <w:rsid w:val="006933D3"/>
    <w:rsid w:val="00696F73"/>
    <w:rsid w:val="006A2F4B"/>
    <w:rsid w:val="006A5A5B"/>
    <w:rsid w:val="006A7130"/>
    <w:rsid w:val="006A795A"/>
    <w:rsid w:val="006B1859"/>
    <w:rsid w:val="006B6680"/>
    <w:rsid w:val="006B6DCC"/>
    <w:rsid w:val="006B77F1"/>
    <w:rsid w:val="006C5E4B"/>
    <w:rsid w:val="006D1BD2"/>
    <w:rsid w:val="006D7B31"/>
    <w:rsid w:val="006E7A3C"/>
    <w:rsid w:val="006F0DB4"/>
    <w:rsid w:val="006F11DE"/>
    <w:rsid w:val="006F4118"/>
    <w:rsid w:val="00702DEF"/>
    <w:rsid w:val="00702F8B"/>
    <w:rsid w:val="00706861"/>
    <w:rsid w:val="007136B3"/>
    <w:rsid w:val="00713DA6"/>
    <w:rsid w:val="00720951"/>
    <w:rsid w:val="00722551"/>
    <w:rsid w:val="00726B95"/>
    <w:rsid w:val="00727795"/>
    <w:rsid w:val="00735209"/>
    <w:rsid w:val="00742C67"/>
    <w:rsid w:val="0075051B"/>
    <w:rsid w:val="00756A14"/>
    <w:rsid w:val="00761C56"/>
    <w:rsid w:val="00765C89"/>
    <w:rsid w:val="00766750"/>
    <w:rsid w:val="00766D59"/>
    <w:rsid w:val="0077110E"/>
    <w:rsid w:val="00772968"/>
    <w:rsid w:val="00772F35"/>
    <w:rsid w:val="00780CFE"/>
    <w:rsid w:val="00782A9B"/>
    <w:rsid w:val="00784747"/>
    <w:rsid w:val="00787716"/>
    <w:rsid w:val="00793188"/>
    <w:rsid w:val="007943A1"/>
    <w:rsid w:val="00794D34"/>
    <w:rsid w:val="007A2D8E"/>
    <w:rsid w:val="007A3FCD"/>
    <w:rsid w:val="007B19CF"/>
    <w:rsid w:val="007B73D0"/>
    <w:rsid w:val="007C50F7"/>
    <w:rsid w:val="007C64B2"/>
    <w:rsid w:val="007C6C83"/>
    <w:rsid w:val="007D01AF"/>
    <w:rsid w:val="007D08F7"/>
    <w:rsid w:val="007E1559"/>
    <w:rsid w:val="007E4286"/>
    <w:rsid w:val="007F7EF1"/>
    <w:rsid w:val="00807C55"/>
    <w:rsid w:val="008108DE"/>
    <w:rsid w:val="00813E5E"/>
    <w:rsid w:val="00814FE2"/>
    <w:rsid w:val="00815315"/>
    <w:rsid w:val="00822C32"/>
    <w:rsid w:val="00827164"/>
    <w:rsid w:val="0083581B"/>
    <w:rsid w:val="00840283"/>
    <w:rsid w:val="008438B3"/>
    <w:rsid w:val="0084546D"/>
    <w:rsid w:val="00847315"/>
    <w:rsid w:val="00860412"/>
    <w:rsid w:val="0086267F"/>
    <w:rsid w:val="00863692"/>
    <w:rsid w:val="00863874"/>
    <w:rsid w:val="00864AFF"/>
    <w:rsid w:val="00865925"/>
    <w:rsid w:val="00865C72"/>
    <w:rsid w:val="00873C11"/>
    <w:rsid w:val="0088225B"/>
    <w:rsid w:val="00887185"/>
    <w:rsid w:val="00897659"/>
    <w:rsid w:val="00897B28"/>
    <w:rsid w:val="00897DD8"/>
    <w:rsid w:val="008A0FA6"/>
    <w:rsid w:val="008A634B"/>
    <w:rsid w:val="008A7F30"/>
    <w:rsid w:val="008B0F00"/>
    <w:rsid w:val="008B1041"/>
    <w:rsid w:val="008B4A6A"/>
    <w:rsid w:val="008B6BC2"/>
    <w:rsid w:val="008C4179"/>
    <w:rsid w:val="008C4661"/>
    <w:rsid w:val="008C7E27"/>
    <w:rsid w:val="008D67D0"/>
    <w:rsid w:val="008F5217"/>
    <w:rsid w:val="008F7448"/>
    <w:rsid w:val="0090147A"/>
    <w:rsid w:val="00901A27"/>
    <w:rsid w:val="00912041"/>
    <w:rsid w:val="009173EF"/>
    <w:rsid w:val="00921E22"/>
    <w:rsid w:val="00930195"/>
    <w:rsid w:val="00930363"/>
    <w:rsid w:val="00932906"/>
    <w:rsid w:val="009350CA"/>
    <w:rsid w:val="009355C5"/>
    <w:rsid w:val="009400D0"/>
    <w:rsid w:val="009502A3"/>
    <w:rsid w:val="0095197D"/>
    <w:rsid w:val="009519DC"/>
    <w:rsid w:val="00953F01"/>
    <w:rsid w:val="00954C49"/>
    <w:rsid w:val="00961B0B"/>
    <w:rsid w:val="00962D33"/>
    <w:rsid w:val="0096581A"/>
    <w:rsid w:val="009806E2"/>
    <w:rsid w:val="009834D4"/>
    <w:rsid w:val="009842A1"/>
    <w:rsid w:val="0098711D"/>
    <w:rsid w:val="009930EC"/>
    <w:rsid w:val="0099385A"/>
    <w:rsid w:val="00996B8B"/>
    <w:rsid w:val="009A3072"/>
    <w:rsid w:val="009A4560"/>
    <w:rsid w:val="009A5B86"/>
    <w:rsid w:val="009A76A8"/>
    <w:rsid w:val="009B38C3"/>
    <w:rsid w:val="009B64C7"/>
    <w:rsid w:val="009C3375"/>
    <w:rsid w:val="009D241D"/>
    <w:rsid w:val="009D478C"/>
    <w:rsid w:val="009E17BD"/>
    <w:rsid w:val="009E1B30"/>
    <w:rsid w:val="009E2853"/>
    <w:rsid w:val="009E485A"/>
    <w:rsid w:val="009E5B2B"/>
    <w:rsid w:val="00A04CEC"/>
    <w:rsid w:val="00A103E3"/>
    <w:rsid w:val="00A103E6"/>
    <w:rsid w:val="00A107DA"/>
    <w:rsid w:val="00A109AF"/>
    <w:rsid w:val="00A12C1C"/>
    <w:rsid w:val="00A13547"/>
    <w:rsid w:val="00A13D22"/>
    <w:rsid w:val="00A16CF9"/>
    <w:rsid w:val="00A22A6E"/>
    <w:rsid w:val="00A27F92"/>
    <w:rsid w:val="00A32257"/>
    <w:rsid w:val="00A36D20"/>
    <w:rsid w:val="00A418FC"/>
    <w:rsid w:val="00A42516"/>
    <w:rsid w:val="00A514A4"/>
    <w:rsid w:val="00A53AFF"/>
    <w:rsid w:val="00A55622"/>
    <w:rsid w:val="00A57E84"/>
    <w:rsid w:val="00A60B83"/>
    <w:rsid w:val="00A626A3"/>
    <w:rsid w:val="00A63FDF"/>
    <w:rsid w:val="00A650A4"/>
    <w:rsid w:val="00A6734A"/>
    <w:rsid w:val="00A67B07"/>
    <w:rsid w:val="00A72DB1"/>
    <w:rsid w:val="00A74327"/>
    <w:rsid w:val="00A82CC5"/>
    <w:rsid w:val="00A83502"/>
    <w:rsid w:val="00A90EE5"/>
    <w:rsid w:val="00A91E7E"/>
    <w:rsid w:val="00A94BAB"/>
    <w:rsid w:val="00A94E3C"/>
    <w:rsid w:val="00A978D7"/>
    <w:rsid w:val="00A97DE0"/>
    <w:rsid w:val="00AA039B"/>
    <w:rsid w:val="00AA2907"/>
    <w:rsid w:val="00AA5F7E"/>
    <w:rsid w:val="00AA7946"/>
    <w:rsid w:val="00AB5ECD"/>
    <w:rsid w:val="00AC25DC"/>
    <w:rsid w:val="00AC7F8E"/>
    <w:rsid w:val="00AD15B3"/>
    <w:rsid w:val="00AD336F"/>
    <w:rsid w:val="00AD3606"/>
    <w:rsid w:val="00AD4A3D"/>
    <w:rsid w:val="00AD4F83"/>
    <w:rsid w:val="00AD65EB"/>
    <w:rsid w:val="00AD684D"/>
    <w:rsid w:val="00AD7C17"/>
    <w:rsid w:val="00AE3B44"/>
    <w:rsid w:val="00AE44C3"/>
    <w:rsid w:val="00AE4A35"/>
    <w:rsid w:val="00AF50E6"/>
    <w:rsid w:val="00AF6E49"/>
    <w:rsid w:val="00B04A67"/>
    <w:rsid w:val="00B0583C"/>
    <w:rsid w:val="00B06F89"/>
    <w:rsid w:val="00B16856"/>
    <w:rsid w:val="00B17D3B"/>
    <w:rsid w:val="00B2153B"/>
    <w:rsid w:val="00B23309"/>
    <w:rsid w:val="00B24C30"/>
    <w:rsid w:val="00B30C00"/>
    <w:rsid w:val="00B34827"/>
    <w:rsid w:val="00B35B4B"/>
    <w:rsid w:val="00B35F0C"/>
    <w:rsid w:val="00B40A81"/>
    <w:rsid w:val="00B421D6"/>
    <w:rsid w:val="00B423DD"/>
    <w:rsid w:val="00B44910"/>
    <w:rsid w:val="00B44C1D"/>
    <w:rsid w:val="00B5636F"/>
    <w:rsid w:val="00B56EE5"/>
    <w:rsid w:val="00B618FB"/>
    <w:rsid w:val="00B635F5"/>
    <w:rsid w:val="00B64BC8"/>
    <w:rsid w:val="00B653EC"/>
    <w:rsid w:val="00B72267"/>
    <w:rsid w:val="00B76EB6"/>
    <w:rsid w:val="00B7737B"/>
    <w:rsid w:val="00B824C8"/>
    <w:rsid w:val="00B8335A"/>
    <w:rsid w:val="00B84B9D"/>
    <w:rsid w:val="00B850E1"/>
    <w:rsid w:val="00B85101"/>
    <w:rsid w:val="00B9131F"/>
    <w:rsid w:val="00BB0646"/>
    <w:rsid w:val="00BC251A"/>
    <w:rsid w:val="00BC4A20"/>
    <w:rsid w:val="00BD032B"/>
    <w:rsid w:val="00BD3235"/>
    <w:rsid w:val="00BD40CE"/>
    <w:rsid w:val="00BD5C63"/>
    <w:rsid w:val="00BE01C6"/>
    <w:rsid w:val="00BE2139"/>
    <w:rsid w:val="00BE2640"/>
    <w:rsid w:val="00BE5718"/>
    <w:rsid w:val="00BF1FDE"/>
    <w:rsid w:val="00C01189"/>
    <w:rsid w:val="00C01991"/>
    <w:rsid w:val="00C03AF1"/>
    <w:rsid w:val="00C0458D"/>
    <w:rsid w:val="00C04C1F"/>
    <w:rsid w:val="00C058FE"/>
    <w:rsid w:val="00C073DD"/>
    <w:rsid w:val="00C11BF3"/>
    <w:rsid w:val="00C1434F"/>
    <w:rsid w:val="00C2000D"/>
    <w:rsid w:val="00C22E57"/>
    <w:rsid w:val="00C33983"/>
    <w:rsid w:val="00C374DE"/>
    <w:rsid w:val="00C42E7E"/>
    <w:rsid w:val="00C45DE3"/>
    <w:rsid w:val="00C470BB"/>
    <w:rsid w:val="00C47AD4"/>
    <w:rsid w:val="00C52D81"/>
    <w:rsid w:val="00C55198"/>
    <w:rsid w:val="00C55C7D"/>
    <w:rsid w:val="00C55D35"/>
    <w:rsid w:val="00C57234"/>
    <w:rsid w:val="00C600A0"/>
    <w:rsid w:val="00C61129"/>
    <w:rsid w:val="00C6520B"/>
    <w:rsid w:val="00C663E8"/>
    <w:rsid w:val="00C70EF8"/>
    <w:rsid w:val="00C81514"/>
    <w:rsid w:val="00C94F6F"/>
    <w:rsid w:val="00C97351"/>
    <w:rsid w:val="00C97D25"/>
    <w:rsid w:val="00CA19ED"/>
    <w:rsid w:val="00CA19FB"/>
    <w:rsid w:val="00CA2810"/>
    <w:rsid w:val="00CA463C"/>
    <w:rsid w:val="00CA6393"/>
    <w:rsid w:val="00CA6B9E"/>
    <w:rsid w:val="00CA70A8"/>
    <w:rsid w:val="00CA7995"/>
    <w:rsid w:val="00CB18FF"/>
    <w:rsid w:val="00CB7CBB"/>
    <w:rsid w:val="00CC5224"/>
    <w:rsid w:val="00CC6F63"/>
    <w:rsid w:val="00CC78FD"/>
    <w:rsid w:val="00CD0C08"/>
    <w:rsid w:val="00CD4759"/>
    <w:rsid w:val="00CE03FB"/>
    <w:rsid w:val="00CE433C"/>
    <w:rsid w:val="00CE7E7A"/>
    <w:rsid w:val="00CF0161"/>
    <w:rsid w:val="00CF20F1"/>
    <w:rsid w:val="00CF33F3"/>
    <w:rsid w:val="00CF4A2B"/>
    <w:rsid w:val="00CF4A39"/>
    <w:rsid w:val="00CF7858"/>
    <w:rsid w:val="00CF7EF1"/>
    <w:rsid w:val="00D021DC"/>
    <w:rsid w:val="00D02309"/>
    <w:rsid w:val="00D024CA"/>
    <w:rsid w:val="00D06183"/>
    <w:rsid w:val="00D0638E"/>
    <w:rsid w:val="00D11765"/>
    <w:rsid w:val="00D11F10"/>
    <w:rsid w:val="00D168F4"/>
    <w:rsid w:val="00D20857"/>
    <w:rsid w:val="00D22C42"/>
    <w:rsid w:val="00D32E9D"/>
    <w:rsid w:val="00D364D0"/>
    <w:rsid w:val="00D476FB"/>
    <w:rsid w:val="00D5073A"/>
    <w:rsid w:val="00D50FDF"/>
    <w:rsid w:val="00D5392D"/>
    <w:rsid w:val="00D53E27"/>
    <w:rsid w:val="00D56FAA"/>
    <w:rsid w:val="00D61827"/>
    <w:rsid w:val="00D65041"/>
    <w:rsid w:val="00D654BF"/>
    <w:rsid w:val="00D662C9"/>
    <w:rsid w:val="00D6692D"/>
    <w:rsid w:val="00D762D3"/>
    <w:rsid w:val="00D8274F"/>
    <w:rsid w:val="00D82D24"/>
    <w:rsid w:val="00D865A2"/>
    <w:rsid w:val="00D9600E"/>
    <w:rsid w:val="00DA5FD2"/>
    <w:rsid w:val="00DA6474"/>
    <w:rsid w:val="00DA7189"/>
    <w:rsid w:val="00DA721B"/>
    <w:rsid w:val="00DB1936"/>
    <w:rsid w:val="00DB384B"/>
    <w:rsid w:val="00DB6B5B"/>
    <w:rsid w:val="00DC6B33"/>
    <w:rsid w:val="00DD2F70"/>
    <w:rsid w:val="00DD3D1A"/>
    <w:rsid w:val="00DD74D5"/>
    <w:rsid w:val="00DE532B"/>
    <w:rsid w:val="00DE562C"/>
    <w:rsid w:val="00DE781C"/>
    <w:rsid w:val="00DF0189"/>
    <w:rsid w:val="00DF186A"/>
    <w:rsid w:val="00DF3A7A"/>
    <w:rsid w:val="00DF6DCB"/>
    <w:rsid w:val="00DF7529"/>
    <w:rsid w:val="00E038EC"/>
    <w:rsid w:val="00E041F3"/>
    <w:rsid w:val="00E06714"/>
    <w:rsid w:val="00E06FD5"/>
    <w:rsid w:val="00E077F6"/>
    <w:rsid w:val="00E07B96"/>
    <w:rsid w:val="00E10E80"/>
    <w:rsid w:val="00E11CA3"/>
    <w:rsid w:val="00E124F0"/>
    <w:rsid w:val="00E14D47"/>
    <w:rsid w:val="00E20BFF"/>
    <w:rsid w:val="00E227F3"/>
    <w:rsid w:val="00E23884"/>
    <w:rsid w:val="00E24E6D"/>
    <w:rsid w:val="00E40DA5"/>
    <w:rsid w:val="00E46F74"/>
    <w:rsid w:val="00E47055"/>
    <w:rsid w:val="00E47D74"/>
    <w:rsid w:val="00E53AAF"/>
    <w:rsid w:val="00E545C6"/>
    <w:rsid w:val="00E60F04"/>
    <w:rsid w:val="00E65B24"/>
    <w:rsid w:val="00E663F9"/>
    <w:rsid w:val="00E70BD0"/>
    <w:rsid w:val="00E82AB2"/>
    <w:rsid w:val="00E84031"/>
    <w:rsid w:val="00E854E4"/>
    <w:rsid w:val="00E86DBF"/>
    <w:rsid w:val="00E9332E"/>
    <w:rsid w:val="00E947B5"/>
    <w:rsid w:val="00E94892"/>
    <w:rsid w:val="00E969AF"/>
    <w:rsid w:val="00EA267F"/>
    <w:rsid w:val="00EA3455"/>
    <w:rsid w:val="00EB0D6F"/>
    <w:rsid w:val="00EB2232"/>
    <w:rsid w:val="00EC5337"/>
    <w:rsid w:val="00EC6AF0"/>
    <w:rsid w:val="00ED6AAE"/>
    <w:rsid w:val="00EE0B17"/>
    <w:rsid w:val="00EE396C"/>
    <w:rsid w:val="00EE49E8"/>
    <w:rsid w:val="00EF0DD5"/>
    <w:rsid w:val="00EF2469"/>
    <w:rsid w:val="00F108C2"/>
    <w:rsid w:val="00F135C6"/>
    <w:rsid w:val="00F13C34"/>
    <w:rsid w:val="00F16BAB"/>
    <w:rsid w:val="00F17474"/>
    <w:rsid w:val="00F17CEC"/>
    <w:rsid w:val="00F21382"/>
    <w:rsid w:val="00F2150A"/>
    <w:rsid w:val="00F231D8"/>
    <w:rsid w:val="00F27BDC"/>
    <w:rsid w:val="00F30469"/>
    <w:rsid w:val="00F31ADD"/>
    <w:rsid w:val="00F32CD7"/>
    <w:rsid w:val="00F374BE"/>
    <w:rsid w:val="00F40E8A"/>
    <w:rsid w:val="00F43058"/>
    <w:rsid w:val="00F44C00"/>
    <w:rsid w:val="00F45D2C"/>
    <w:rsid w:val="00F46C5F"/>
    <w:rsid w:val="00F55894"/>
    <w:rsid w:val="00F6088F"/>
    <w:rsid w:val="00F632C0"/>
    <w:rsid w:val="00F641E1"/>
    <w:rsid w:val="00F82223"/>
    <w:rsid w:val="00F9012F"/>
    <w:rsid w:val="00F90B6F"/>
    <w:rsid w:val="00F9262A"/>
    <w:rsid w:val="00F94A63"/>
    <w:rsid w:val="00F95438"/>
    <w:rsid w:val="00FA1C28"/>
    <w:rsid w:val="00FA206F"/>
    <w:rsid w:val="00FA27F0"/>
    <w:rsid w:val="00FA4243"/>
    <w:rsid w:val="00FB1279"/>
    <w:rsid w:val="00FB165D"/>
    <w:rsid w:val="00FB6B76"/>
    <w:rsid w:val="00FB7596"/>
    <w:rsid w:val="00FC1514"/>
    <w:rsid w:val="00FC5593"/>
    <w:rsid w:val="00FD0096"/>
    <w:rsid w:val="00FD2183"/>
    <w:rsid w:val="00FD22D5"/>
    <w:rsid w:val="00FE4077"/>
    <w:rsid w:val="00FE4D07"/>
    <w:rsid w:val="00FE500D"/>
    <w:rsid w:val="00FE77D2"/>
    <w:rsid w:val="00FF2815"/>
    <w:rsid w:val="00FF2947"/>
    <w:rsid w:val="00FF39B1"/>
    <w:rsid w:val="00FF4D8C"/>
    <w:rsid w:val="00FF7DAF"/>
    <w:rsid w:val="0160CE86"/>
    <w:rsid w:val="05B4BC69"/>
    <w:rsid w:val="100F31E1"/>
    <w:rsid w:val="12FF0EE5"/>
    <w:rsid w:val="1F88C3CD"/>
    <w:rsid w:val="2213A177"/>
    <w:rsid w:val="22321DEF"/>
    <w:rsid w:val="23B39902"/>
    <w:rsid w:val="267924CC"/>
    <w:rsid w:val="28894F50"/>
    <w:rsid w:val="28988442"/>
    <w:rsid w:val="31EF43C0"/>
    <w:rsid w:val="366A6825"/>
    <w:rsid w:val="39E402BC"/>
    <w:rsid w:val="3C403DF5"/>
    <w:rsid w:val="3D8EFD70"/>
    <w:rsid w:val="455F3BCC"/>
    <w:rsid w:val="4594E850"/>
    <w:rsid w:val="46313BE7"/>
    <w:rsid w:val="4EE5D6D0"/>
    <w:rsid w:val="4F0521D4"/>
    <w:rsid w:val="4F99528A"/>
    <w:rsid w:val="5466F38A"/>
    <w:rsid w:val="58271BC0"/>
    <w:rsid w:val="60267455"/>
    <w:rsid w:val="606409A1"/>
    <w:rsid w:val="65046449"/>
    <w:rsid w:val="653F4005"/>
    <w:rsid w:val="68138C4D"/>
    <w:rsid w:val="6BE926E2"/>
    <w:rsid w:val="6E28C2F6"/>
    <w:rsid w:val="6ECFBDED"/>
    <w:rsid w:val="6F3EB77D"/>
    <w:rsid w:val="71440C73"/>
    <w:rsid w:val="7223E671"/>
    <w:rsid w:val="7B8F9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9DA2C7"/>
  <w15:docId w15:val="{2465CBCA-45D2-41B8-BDE2-9EF3FDA2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aliases w:val="encabezado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link w:val="enumlev1Char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aliases w:val="encabezado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FD0096"/>
    <w:pPr>
      <w:framePr w:hSpace="181" w:wrap="around" w:vAnchor="page" w:hAnchor="page" w:x="1589" w:y="2314"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link w:val="CallChar"/>
    <w:qFormat/>
    <w:rsid w:val="009834D4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rFonts w:eastAsia="STKaiti"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text" w:x="1821" w:y="2317"/>
      <w:spacing w:before="120" w:after="120"/>
    </w:pPr>
    <w:rPr>
      <w:sz w:val="32"/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ListParagraph">
    <w:name w:val="List Paragraph"/>
    <w:basedOn w:val="Normal"/>
    <w:uiPriority w:val="34"/>
    <w:qFormat/>
    <w:rsid w:val="00AE3B4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22A6E"/>
    <w:pPr>
      <w:spacing w:before="200"/>
      <w:ind w:left="547" w:hanging="547"/>
      <w:jc w:val="both"/>
    </w:pPr>
    <w:rPr>
      <w:rFonts w:ascii="Aptos" w:eastAsia="Aptos" w:hAnsi="Aptos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nhideWhenUsed/>
    <w:rsid w:val="00A13D2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13D22"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A13D2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2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225B"/>
    <w:rPr>
      <w:rFonts w:ascii="Calibri" w:hAnsi="Calibri"/>
      <w:b/>
      <w:bCs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88225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865A2"/>
    <w:rPr>
      <w:rFonts w:ascii="Calibri" w:hAnsi="Calibri"/>
      <w:sz w:val="24"/>
      <w:lang w:val="en-GB" w:eastAsia="en-US"/>
    </w:rPr>
  </w:style>
  <w:style w:type="character" w:customStyle="1" w:styleId="enumlev1Char">
    <w:name w:val="enumlev1 Char"/>
    <w:link w:val="enumlev1"/>
    <w:qFormat/>
    <w:locked/>
    <w:rsid w:val="00AA7946"/>
    <w:rPr>
      <w:rFonts w:ascii="Calibri" w:hAnsi="Calibri"/>
      <w:sz w:val="24"/>
      <w:lang w:val="en-GB" w:eastAsia="en-US"/>
    </w:rPr>
  </w:style>
  <w:style w:type="paragraph" w:styleId="NormalWeb">
    <w:name w:val="Normal (Web)"/>
    <w:basedOn w:val="Normal"/>
    <w:semiHidden/>
    <w:unhideWhenUsed/>
    <w:rsid w:val="00CF4A39"/>
    <w:rPr>
      <w:rFonts w:ascii="Times New Roman" w:hAnsi="Times New Roman"/>
      <w:szCs w:val="24"/>
    </w:rPr>
  </w:style>
  <w:style w:type="character" w:customStyle="1" w:styleId="CallChar">
    <w:name w:val="Call Char"/>
    <w:basedOn w:val="DefaultParagraphFont"/>
    <w:link w:val="Call"/>
    <w:rsid w:val="009834D4"/>
    <w:rPr>
      <w:rFonts w:ascii="Calibri" w:eastAsia="STKait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26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tu.int/en/council/Documents/basic-texts/Convention-C.pdf" TargetMode="External"/><Relationship Id="rId17" Type="http://schemas.openxmlformats.org/officeDocument/2006/relationships/image" Target="media/image3.emf"/><Relationship Id="rId25" Type="http://schemas.openxmlformats.org/officeDocument/2006/relationships/image" Target="media/image7.em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itu.int/md/S14-CL-C-0102/en" TargetMode="External"/><Relationship Id="rId29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council/Documents/basic-texts-2023/RES-071-C.pdf" TargetMode="External"/><Relationship Id="rId24" Type="http://schemas.openxmlformats.org/officeDocument/2006/relationships/image" Target="media/image6.emf"/><Relationship Id="rId32" Type="http://schemas.openxmlformats.org/officeDocument/2006/relationships/hyperlink" Target="https://www.itu.int/md/S26-CL-C-0028/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5.emf"/><Relationship Id="rId28" Type="http://schemas.openxmlformats.org/officeDocument/2006/relationships/image" Target="media/image10.emf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image" Target="media/image13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3.xml"/><Relationship Id="rId27" Type="http://schemas.openxmlformats.org/officeDocument/2006/relationships/image" Target="media/image9.emf"/><Relationship Id="rId30" Type="http://schemas.openxmlformats.org/officeDocument/2006/relationships/image" Target="media/image12.emf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4" ma:contentTypeDescription="Create a new document." ma:contentTypeScope="" ma:versionID="9be68409d3c2ab4dff34705b6aa0e722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985c4305570bd1295e0dfd082e17e564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obereviewedatCo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bereviewedatCoCo" ma:index="11" nillable="true" ma:displayName="CoCo" ma:format="Dropdown" ma:internalName="TobereviewedatCoC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reviewedatCoCo xmlns="a4c22657-7647-457b-a399-8471255bb166" xsi:nil="true"/>
  </documentManagement>
</p:properties>
</file>

<file path=customXml/itemProps1.xml><?xml version="1.0" encoding="utf-8"?>
<ds:datastoreItem xmlns:ds="http://schemas.openxmlformats.org/officeDocument/2006/customXml" ds:itemID="{A6A06296-4FA6-4023-A137-1FF8991AA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EC7D7-985E-4097-8CA2-8062B15C4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4C9FF1-6AEC-472E-8B81-79A97BAB74B2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a4c22657-7647-457b-a399-8471255bb166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577</Words>
  <Characters>3136</Characters>
  <Application>Microsoft Office Word</Application>
  <DocSecurity>0</DocSecurity>
  <Lines>196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four-year rolling operational plan for the Union for 2027-2030</vt:lpstr>
    </vt:vector>
  </TitlesOfParts>
  <Manager>General Secretariat</Manager>
  <Company>International Telecommunication Union (ITU)</Company>
  <LinksUpToDate>false</LinksUpToDate>
  <CharactersWithSpaces>3643</CharactersWithSpaces>
  <SharedDoc>false</SharedDoc>
  <HLinks>
    <vt:vector size="48" baseType="variant">
      <vt:variant>
        <vt:i4>8126526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https://www.itu.int/md/S26-CL-C-0028/en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https://www.itu.int/md/D26-TDAG33-C-0017/en</vt:lpwstr>
      </vt:variant>
      <vt:variant>
        <vt:lpwstr/>
      </vt:variant>
      <vt:variant>
        <vt:i4>7667775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https://www.itu.int/md/S14-CL-C-0102/en</vt:lpwstr>
      </vt:variant>
      <vt:variant>
        <vt:lpwstr/>
      </vt:variant>
      <vt:variant>
        <vt:i4>4849686</vt:i4>
      </vt:variant>
      <vt:variant>
        <vt:i4>3</vt:i4>
      </vt:variant>
      <vt:variant>
        <vt:i4>0</vt:i4>
      </vt:variant>
      <vt:variant>
        <vt:i4>5</vt:i4>
      </vt:variant>
      <vt:variant>
        <vt:lpwstr>https://www.itu.int/en/council/Documents/basic-texts/Convention-E.pdf</vt:lpwstr>
      </vt:variant>
      <vt:variant>
        <vt:lpwstr/>
      </vt:variant>
      <vt:variant>
        <vt:i4>6881383</vt:i4>
      </vt:variant>
      <vt:variant>
        <vt:i4>0</vt:i4>
      </vt:variant>
      <vt:variant>
        <vt:i4>0</vt:i4>
      </vt:variant>
      <vt:variant>
        <vt:i4>5</vt:i4>
      </vt:variant>
      <vt:variant>
        <vt:lpwstr>https://www.itu.int/en/council/Documents/basic-texts-2023/RES-071-E.pdf</vt:lpwstr>
      </vt:variant>
      <vt:variant>
        <vt:lpwstr/>
      </vt:variant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https://council.itu.int/2026/en/</vt:lpwstr>
      </vt:variant>
      <vt:variant>
        <vt:lpwstr/>
      </vt:variant>
      <vt:variant>
        <vt:i4>3211335</vt:i4>
      </vt:variant>
      <vt:variant>
        <vt:i4>3</vt:i4>
      </vt:variant>
      <vt:variant>
        <vt:i4>0</vt:i4>
      </vt:variant>
      <vt:variant>
        <vt:i4>5</vt:i4>
      </vt:variant>
      <vt:variant>
        <vt:lpwstr>mailto:alassane.ba@itu.int</vt:lpwstr>
      </vt:variant>
      <vt:variant>
        <vt:lpwstr/>
      </vt:variant>
      <vt:variant>
        <vt:i4>3211335</vt:i4>
      </vt:variant>
      <vt:variant>
        <vt:i4>0</vt:i4>
      </vt:variant>
      <vt:variant>
        <vt:i4>0</vt:i4>
      </vt:variant>
      <vt:variant>
        <vt:i4>5</vt:i4>
      </vt:variant>
      <vt:variant>
        <vt:lpwstr>mailto:alassane.ba@itu.int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operational plan for the Union for 2027</dc:title>
  <dc:subject>ITU Council 2026</dc:subject>
  <dc:creator>GBS</dc:creator>
  <cp:keywords>C26; C2026; Council 2026; PP26</cp:keywords>
  <dc:description/>
  <cp:lastModifiedBy>GBS</cp:lastModifiedBy>
  <cp:revision>2</cp:revision>
  <cp:lastPrinted>2000-07-18T13:30:00Z</cp:lastPrinted>
  <dcterms:created xsi:type="dcterms:W3CDTF">2026-05-05T07:43:00Z</dcterms:created>
  <dcterms:modified xsi:type="dcterms:W3CDTF">2026-05-05T07:43:00Z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</Properties>
</file>