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6B375F" w14:paraId="263C6E86" w14:textId="77777777" w:rsidTr="00C4421B">
        <w:trPr>
          <w:cantSplit/>
          <w:trHeight w:val="23"/>
        </w:trPr>
        <w:tc>
          <w:tcPr>
            <w:tcW w:w="3969" w:type="dxa"/>
            <w:vMerge w:val="restart"/>
            <w:tcMar>
              <w:left w:w="0" w:type="dxa"/>
            </w:tcMar>
          </w:tcPr>
          <w:p w14:paraId="2E5E062D" w14:textId="3D649B2B" w:rsidR="00FE57F6" w:rsidRPr="006B375F" w:rsidRDefault="00CC1FAF" w:rsidP="00C4421B">
            <w:pPr>
              <w:tabs>
                <w:tab w:val="left" w:pos="851"/>
              </w:tabs>
              <w:spacing w:before="0" w:line="240" w:lineRule="atLeast"/>
              <w:rPr>
                <w:b/>
                <w:lang w:val="es-ES"/>
              </w:rPr>
            </w:pPr>
            <w:bookmarkStart w:id="0" w:name="_Hlk133421839"/>
            <w:r w:rsidRPr="006B375F">
              <w:rPr>
                <w:b/>
                <w:lang w:val="es-ES"/>
              </w:rPr>
              <w:t>Punto del o</w:t>
            </w:r>
            <w:r w:rsidR="00BB6FD8" w:rsidRPr="006B375F">
              <w:rPr>
                <w:b/>
                <w:lang w:val="es-ES"/>
              </w:rPr>
              <w:t>rden del día</w:t>
            </w:r>
            <w:r w:rsidR="00FE57F6" w:rsidRPr="006B375F">
              <w:rPr>
                <w:b/>
                <w:lang w:val="es-ES"/>
              </w:rPr>
              <w:t xml:space="preserve">: </w:t>
            </w:r>
            <w:r w:rsidR="00201477" w:rsidRPr="006B375F">
              <w:rPr>
                <w:b/>
                <w:lang w:val="es-ES"/>
              </w:rPr>
              <w:t>ADM 3</w:t>
            </w:r>
          </w:p>
        </w:tc>
        <w:tc>
          <w:tcPr>
            <w:tcW w:w="5245" w:type="dxa"/>
          </w:tcPr>
          <w:p w14:paraId="681FC7AF" w14:textId="15DFC9DE" w:rsidR="00FE57F6" w:rsidRPr="006B375F" w:rsidRDefault="00FE57F6" w:rsidP="00C4421B">
            <w:pPr>
              <w:tabs>
                <w:tab w:val="left" w:pos="851"/>
              </w:tabs>
              <w:spacing w:before="0" w:line="240" w:lineRule="atLeast"/>
              <w:jc w:val="right"/>
              <w:rPr>
                <w:b/>
                <w:lang w:val="es-ES"/>
              </w:rPr>
            </w:pPr>
            <w:r w:rsidRPr="006B375F">
              <w:rPr>
                <w:b/>
                <w:lang w:val="es-ES"/>
              </w:rPr>
              <w:t>Document</w:t>
            </w:r>
            <w:r w:rsidR="00F24B71" w:rsidRPr="006B375F">
              <w:rPr>
                <w:b/>
                <w:lang w:val="es-ES"/>
              </w:rPr>
              <w:t>o</w:t>
            </w:r>
            <w:r w:rsidRPr="006B375F">
              <w:rPr>
                <w:b/>
                <w:lang w:val="es-ES"/>
              </w:rPr>
              <w:t xml:space="preserve"> </w:t>
            </w:r>
            <w:proofErr w:type="spellStart"/>
            <w:r w:rsidRPr="006B375F">
              <w:rPr>
                <w:b/>
                <w:lang w:val="es-ES"/>
              </w:rPr>
              <w:t>C2</w:t>
            </w:r>
            <w:r w:rsidR="00F85E5C" w:rsidRPr="006B375F">
              <w:rPr>
                <w:b/>
                <w:lang w:val="es-ES"/>
              </w:rPr>
              <w:t>6</w:t>
            </w:r>
            <w:proofErr w:type="spellEnd"/>
            <w:r w:rsidRPr="006B375F">
              <w:rPr>
                <w:b/>
                <w:lang w:val="es-ES"/>
              </w:rPr>
              <w:t>/</w:t>
            </w:r>
            <w:r w:rsidR="00201477" w:rsidRPr="006B375F">
              <w:rPr>
                <w:b/>
                <w:lang w:val="es-ES"/>
              </w:rPr>
              <w:t>27</w:t>
            </w:r>
            <w:r w:rsidRPr="006B375F">
              <w:rPr>
                <w:b/>
                <w:lang w:val="es-ES"/>
              </w:rPr>
              <w:t>-</w:t>
            </w:r>
            <w:r w:rsidR="00F24B71" w:rsidRPr="006B375F">
              <w:rPr>
                <w:b/>
                <w:lang w:val="es-ES"/>
              </w:rPr>
              <w:t>S</w:t>
            </w:r>
          </w:p>
        </w:tc>
      </w:tr>
      <w:tr w:rsidR="00FE57F6" w:rsidRPr="006B375F" w14:paraId="4D933F44" w14:textId="77777777" w:rsidTr="00C4421B">
        <w:trPr>
          <w:cantSplit/>
        </w:trPr>
        <w:tc>
          <w:tcPr>
            <w:tcW w:w="3969" w:type="dxa"/>
            <w:vMerge/>
          </w:tcPr>
          <w:p w14:paraId="7768DE5F" w14:textId="77777777" w:rsidR="00FE57F6" w:rsidRPr="006B375F" w:rsidRDefault="00FE57F6" w:rsidP="00C4421B">
            <w:pPr>
              <w:tabs>
                <w:tab w:val="left" w:pos="851"/>
              </w:tabs>
              <w:spacing w:line="240" w:lineRule="atLeast"/>
              <w:rPr>
                <w:b/>
                <w:lang w:val="es-ES"/>
              </w:rPr>
            </w:pPr>
          </w:p>
        </w:tc>
        <w:tc>
          <w:tcPr>
            <w:tcW w:w="5245" w:type="dxa"/>
          </w:tcPr>
          <w:p w14:paraId="0D27DE99" w14:textId="2E6D1A80" w:rsidR="00FE57F6" w:rsidRPr="006B375F" w:rsidRDefault="00201477" w:rsidP="00C4421B">
            <w:pPr>
              <w:tabs>
                <w:tab w:val="left" w:pos="851"/>
              </w:tabs>
              <w:spacing w:before="0"/>
              <w:jc w:val="right"/>
              <w:rPr>
                <w:b/>
                <w:lang w:val="es-ES"/>
              </w:rPr>
            </w:pPr>
            <w:r w:rsidRPr="006B375F">
              <w:rPr>
                <w:b/>
                <w:lang w:val="es-ES"/>
              </w:rPr>
              <w:t>30 de marzo de 2026</w:t>
            </w:r>
          </w:p>
        </w:tc>
      </w:tr>
      <w:tr w:rsidR="00FE57F6" w:rsidRPr="006B375F" w14:paraId="57EDC1CE" w14:textId="77777777" w:rsidTr="00C4421B">
        <w:trPr>
          <w:cantSplit/>
          <w:trHeight w:val="23"/>
        </w:trPr>
        <w:tc>
          <w:tcPr>
            <w:tcW w:w="3969" w:type="dxa"/>
            <w:vMerge/>
          </w:tcPr>
          <w:p w14:paraId="24EEE993" w14:textId="77777777" w:rsidR="00FE57F6" w:rsidRPr="006B375F" w:rsidRDefault="00FE57F6" w:rsidP="00C4421B">
            <w:pPr>
              <w:tabs>
                <w:tab w:val="left" w:pos="851"/>
              </w:tabs>
              <w:spacing w:line="240" w:lineRule="atLeast"/>
              <w:rPr>
                <w:b/>
                <w:lang w:val="es-ES"/>
              </w:rPr>
            </w:pPr>
          </w:p>
        </w:tc>
        <w:tc>
          <w:tcPr>
            <w:tcW w:w="5245" w:type="dxa"/>
          </w:tcPr>
          <w:p w14:paraId="7C836605" w14:textId="77777777" w:rsidR="00FE57F6" w:rsidRPr="006B375F" w:rsidRDefault="00F24B71" w:rsidP="00C4421B">
            <w:pPr>
              <w:tabs>
                <w:tab w:val="left" w:pos="851"/>
              </w:tabs>
              <w:spacing w:before="0" w:line="240" w:lineRule="atLeast"/>
              <w:jc w:val="right"/>
              <w:rPr>
                <w:b/>
                <w:bCs/>
                <w:lang w:val="es-ES"/>
              </w:rPr>
            </w:pPr>
            <w:r w:rsidRPr="006B375F">
              <w:rPr>
                <w:rFonts w:cstheme="minorHAnsi"/>
                <w:b/>
                <w:bCs/>
                <w:lang w:val="es-ES"/>
              </w:rPr>
              <w:t>Original: inglés</w:t>
            </w:r>
          </w:p>
        </w:tc>
      </w:tr>
      <w:tr w:rsidR="00FE57F6" w:rsidRPr="006B375F" w14:paraId="474E18A6" w14:textId="77777777" w:rsidTr="00C4421B">
        <w:trPr>
          <w:cantSplit/>
          <w:trHeight w:val="23"/>
        </w:trPr>
        <w:tc>
          <w:tcPr>
            <w:tcW w:w="3969" w:type="dxa"/>
          </w:tcPr>
          <w:p w14:paraId="5730DC91" w14:textId="77777777" w:rsidR="00FE57F6" w:rsidRPr="006B375F" w:rsidRDefault="00FE57F6" w:rsidP="00C4421B">
            <w:pPr>
              <w:tabs>
                <w:tab w:val="left" w:pos="851"/>
              </w:tabs>
              <w:spacing w:line="240" w:lineRule="atLeast"/>
              <w:rPr>
                <w:b/>
                <w:lang w:val="es-ES"/>
              </w:rPr>
            </w:pPr>
          </w:p>
        </w:tc>
        <w:tc>
          <w:tcPr>
            <w:tcW w:w="5245" w:type="dxa"/>
          </w:tcPr>
          <w:p w14:paraId="088A93A0" w14:textId="77777777" w:rsidR="00FE57F6" w:rsidRPr="006B375F" w:rsidRDefault="00FE57F6" w:rsidP="00C4421B">
            <w:pPr>
              <w:tabs>
                <w:tab w:val="left" w:pos="851"/>
              </w:tabs>
              <w:spacing w:before="0" w:line="240" w:lineRule="atLeast"/>
              <w:jc w:val="right"/>
              <w:rPr>
                <w:b/>
                <w:lang w:val="es-ES"/>
              </w:rPr>
            </w:pPr>
          </w:p>
        </w:tc>
      </w:tr>
      <w:tr w:rsidR="00FE57F6" w:rsidRPr="00370499" w14:paraId="1B18C1E3" w14:textId="77777777" w:rsidTr="00C4421B">
        <w:trPr>
          <w:cantSplit/>
        </w:trPr>
        <w:tc>
          <w:tcPr>
            <w:tcW w:w="9214" w:type="dxa"/>
            <w:gridSpan w:val="2"/>
            <w:tcMar>
              <w:left w:w="0" w:type="dxa"/>
            </w:tcMar>
          </w:tcPr>
          <w:p w14:paraId="1A1462A3" w14:textId="77777777" w:rsidR="00FE57F6" w:rsidRPr="006B375F" w:rsidRDefault="00157AC4" w:rsidP="00C4421B">
            <w:pPr>
              <w:pStyle w:val="Source"/>
              <w:jc w:val="left"/>
              <w:rPr>
                <w:sz w:val="34"/>
                <w:szCs w:val="34"/>
                <w:lang w:val="es-ES"/>
              </w:rPr>
            </w:pPr>
            <w:r w:rsidRPr="006B375F">
              <w:rPr>
                <w:rFonts w:cstheme="minorHAnsi"/>
                <w:sz w:val="34"/>
                <w:szCs w:val="34"/>
                <w:lang w:val="es-ES"/>
              </w:rPr>
              <w:t>Informe de la Secretaria General</w:t>
            </w:r>
          </w:p>
        </w:tc>
      </w:tr>
      <w:tr w:rsidR="00201477" w:rsidRPr="00370499" w14:paraId="778A8459" w14:textId="77777777" w:rsidTr="00C4421B">
        <w:trPr>
          <w:cantSplit/>
        </w:trPr>
        <w:tc>
          <w:tcPr>
            <w:tcW w:w="9214" w:type="dxa"/>
            <w:gridSpan w:val="2"/>
            <w:tcMar>
              <w:left w:w="0" w:type="dxa"/>
            </w:tcMar>
          </w:tcPr>
          <w:p w14:paraId="1FD2DD8F" w14:textId="58C982DF" w:rsidR="00201477" w:rsidRPr="006B375F" w:rsidRDefault="00370499" w:rsidP="00201477">
            <w:pPr>
              <w:pStyle w:val="Subtitle"/>
              <w:framePr w:hSpace="0" w:wrap="auto" w:hAnchor="text" w:xAlign="left" w:yAlign="inline"/>
              <w:rPr>
                <w:lang w:val="es-ES"/>
              </w:rPr>
            </w:pPr>
            <w:r w:rsidRPr="006B375F">
              <w:rPr>
                <w:rFonts w:asciiTheme="minorHAnsi" w:hAnsiTheme="minorHAnsi" w:cstheme="minorHAnsi"/>
                <w:lang w:val="es-ES"/>
              </w:rPr>
              <w:t xml:space="preserve">Mejora de la coordinación intersectorial en la </w:t>
            </w:r>
            <w:r w:rsidR="00201477" w:rsidRPr="006B375F">
              <w:rPr>
                <w:rFonts w:asciiTheme="minorHAnsi" w:hAnsiTheme="minorHAnsi" w:cstheme="minorHAnsi"/>
                <w:lang w:val="es-ES"/>
              </w:rPr>
              <w:t>UIT</w:t>
            </w:r>
          </w:p>
        </w:tc>
      </w:tr>
      <w:tr w:rsidR="00201477" w:rsidRPr="00370499" w14:paraId="491EB94A" w14:textId="77777777" w:rsidTr="00C4421B">
        <w:trPr>
          <w:cantSplit/>
        </w:trPr>
        <w:tc>
          <w:tcPr>
            <w:tcW w:w="9214" w:type="dxa"/>
            <w:gridSpan w:val="2"/>
            <w:tcBorders>
              <w:top w:val="single" w:sz="4" w:space="0" w:color="auto"/>
              <w:bottom w:val="single" w:sz="4" w:space="0" w:color="auto"/>
            </w:tcBorders>
            <w:tcMar>
              <w:left w:w="0" w:type="dxa"/>
            </w:tcMar>
          </w:tcPr>
          <w:p w14:paraId="18043C87" w14:textId="77777777" w:rsidR="00201477" w:rsidRPr="006B375F" w:rsidRDefault="00201477" w:rsidP="00201477">
            <w:pPr>
              <w:spacing w:before="160"/>
              <w:rPr>
                <w:b/>
                <w:bCs/>
                <w:sz w:val="26"/>
                <w:szCs w:val="26"/>
                <w:lang w:val="es-ES"/>
              </w:rPr>
            </w:pPr>
            <w:r w:rsidRPr="006B375F">
              <w:rPr>
                <w:b/>
                <w:bCs/>
                <w:sz w:val="26"/>
                <w:szCs w:val="26"/>
                <w:lang w:val="es-ES"/>
              </w:rPr>
              <w:t>Finalidad</w:t>
            </w:r>
          </w:p>
          <w:p w14:paraId="7592B39F" w14:textId="17D5942A" w:rsidR="00201477" w:rsidRPr="006B375F" w:rsidRDefault="00201477" w:rsidP="007A0E28">
            <w:pPr>
              <w:jc w:val="both"/>
              <w:rPr>
                <w:lang w:val="es-ES"/>
              </w:rPr>
            </w:pPr>
            <w:r w:rsidRPr="006B375F">
              <w:rPr>
                <w:lang w:val="es-ES"/>
              </w:rPr>
              <w:t>En este documento se presenta un informe sobre la aplicación de la Resolución 191 (Rev. Bucarest, 2022) de la Conferencia de Plenipotenciarios, en relación con la estrategia para coordinar la labor de los tres Sectores de la Unión y la Secretaría General</w:t>
            </w:r>
            <w:r w:rsidRPr="006B375F">
              <w:rPr>
                <w:rFonts w:asciiTheme="minorHAnsi" w:hAnsiTheme="minorHAnsi" w:cstheme="minorBidi"/>
                <w:lang w:val="es-ES"/>
              </w:rPr>
              <w:t>.</w:t>
            </w:r>
          </w:p>
          <w:p w14:paraId="1801DDE4" w14:textId="77777777" w:rsidR="00201477" w:rsidRPr="006B375F" w:rsidRDefault="00201477" w:rsidP="00201477">
            <w:pPr>
              <w:spacing w:before="160"/>
              <w:rPr>
                <w:b/>
                <w:bCs/>
                <w:sz w:val="26"/>
                <w:szCs w:val="26"/>
                <w:lang w:val="es-ES"/>
              </w:rPr>
            </w:pPr>
            <w:r w:rsidRPr="006B375F">
              <w:rPr>
                <w:b/>
                <w:bCs/>
                <w:sz w:val="26"/>
                <w:szCs w:val="26"/>
                <w:lang w:val="es-ES"/>
              </w:rPr>
              <w:t>Acción solicitada al Consejo</w:t>
            </w:r>
          </w:p>
          <w:p w14:paraId="1AAA2283" w14:textId="1F9F3867" w:rsidR="00201477" w:rsidRPr="006B375F" w:rsidRDefault="00201477" w:rsidP="00201477">
            <w:pPr>
              <w:spacing w:before="160"/>
              <w:rPr>
                <w:szCs w:val="24"/>
                <w:lang w:val="es-ES"/>
              </w:rPr>
            </w:pPr>
            <w:r w:rsidRPr="006B375F">
              <w:rPr>
                <w:lang w:val="es-ES"/>
              </w:rPr>
              <w:t xml:space="preserve">Se invita al Consejo </w:t>
            </w:r>
            <w:r w:rsidRPr="006B375F">
              <w:rPr>
                <w:b/>
                <w:bCs/>
                <w:lang w:val="es-ES"/>
              </w:rPr>
              <w:t xml:space="preserve">a tomar nota </w:t>
            </w:r>
            <w:r w:rsidRPr="006B375F">
              <w:rPr>
                <w:lang w:val="es-ES"/>
              </w:rPr>
              <w:t>del presente informe</w:t>
            </w:r>
            <w:r w:rsidRPr="006B375F">
              <w:rPr>
                <w:rFonts w:asciiTheme="minorHAnsi" w:hAnsiTheme="minorHAnsi" w:cstheme="minorBidi"/>
                <w:lang w:val="es-ES"/>
              </w:rPr>
              <w:t>.</w:t>
            </w:r>
          </w:p>
          <w:p w14:paraId="0BFAB54A" w14:textId="77777777" w:rsidR="00201477" w:rsidRPr="006B375F" w:rsidRDefault="00201477" w:rsidP="00201477">
            <w:pPr>
              <w:spacing w:before="160"/>
              <w:rPr>
                <w:b/>
                <w:bCs/>
                <w:sz w:val="26"/>
                <w:szCs w:val="26"/>
                <w:lang w:val="es-ES"/>
              </w:rPr>
            </w:pPr>
            <w:r w:rsidRPr="006B375F">
              <w:rPr>
                <w:b/>
                <w:bCs/>
                <w:sz w:val="26"/>
                <w:szCs w:val="26"/>
                <w:lang w:val="es-ES"/>
              </w:rPr>
              <w:t>Vínculo(s) pertinente(s) con el Plan Estratégico</w:t>
            </w:r>
          </w:p>
          <w:p w14:paraId="2C09861D" w14:textId="7C90E8A7" w:rsidR="00201477" w:rsidRPr="006B375F" w:rsidRDefault="00201477" w:rsidP="00201477">
            <w:pPr>
              <w:rPr>
                <w:lang w:val="es-ES"/>
              </w:rPr>
            </w:pPr>
            <w:r w:rsidRPr="006B375F">
              <w:rPr>
                <w:lang w:val="es-ES"/>
              </w:rPr>
              <w:t>Excelencia en recursos humanos e innovación orgánica</w:t>
            </w:r>
          </w:p>
          <w:p w14:paraId="046AE327" w14:textId="77777777" w:rsidR="00201477" w:rsidRPr="006B375F" w:rsidRDefault="00201477" w:rsidP="00201477">
            <w:pPr>
              <w:spacing w:before="160"/>
              <w:rPr>
                <w:b/>
                <w:bCs/>
                <w:sz w:val="26"/>
                <w:szCs w:val="26"/>
                <w:lang w:val="es-ES"/>
              </w:rPr>
            </w:pPr>
            <w:r w:rsidRPr="006B375F">
              <w:rPr>
                <w:b/>
                <w:bCs/>
                <w:sz w:val="26"/>
                <w:szCs w:val="26"/>
                <w:lang w:val="es-ES"/>
              </w:rPr>
              <w:t>Repercusiones financieras</w:t>
            </w:r>
          </w:p>
          <w:p w14:paraId="1398EFC4" w14:textId="7DEAD304" w:rsidR="00201477" w:rsidRPr="006B375F" w:rsidRDefault="00201477" w:rsidP="00201477">
            <w:pPr>
              <w:rPr>
                <w:lang w:val="es-ES"/>
              </w:rPr>
            </w:pPr>
            <w:r w:rsidRPr="006B375F">
              <w:rPr>
                <w:szCs w:val="24"/>
                <w:lang w:val="es-ES"/>
              </w:rPr>
              <w:t>Dentro del presupuesto asignado para 2026-2027.</w:t>
            </w:r>
          </w:p>
          <w:p w14:paraId="6D32E633" w14:textId="77777777" w:rsidR="00201477" w:rsidRPr="006B375F" w:rsidRDefault="00201477" w:rsidP="00201477">
            <w:pPr>
              <w:spacing w:before="160"/>
              <w:rPr>
                <w:caps/>
                <w:sz w:val="22"/>
                <w:lang w:val="es-ES"/>
              </w:rPr>
            </w:pPr>
            <w:r w:rsidRPr="006B375F">
              <w:rPr>
                <w:sz w:val="22"/>
                <w:lang w:val="es-ES"/>
              </w:rPr>
              <w:t>__________________</w:t>
            </w:r>
          </w:p>
          <w:p w14:paraId="54B634FA" w14:textId="77777777" w:rsidR="00201477" w:rsidRPr="006B375F" w:rsidRDefault="00201477" w:rsidP="00201477">
            <w:pPr>
              <w:spacing w:before="160"/>
              <w:rPr>
                <w:b/>
                <w:bCs/>
                <w:sz w:val="26"/>
                <w:szCs w:val="26"/>
                <w:lang w:val="es-ES"/>
              </w:rPr>
            </w:pPr>
            <w:r w:rsidRPr="006B375F">
              <w:rPr>
                <w:b/>
                <w:bCs/>
                <w:sz w:val="26"/>
                <w:szCs w:val="26"/>
                <w:lang w:val="es-ES"/>
              </w:rPr>
              <w:t>Referencias</w:t>
            </w:r>
            <w:r w:rsidRPr="006B375F">
              <w:rPr>
                <w:sz w:val="26"/>
                <w:szCs w:val="26"/>
                <w:lang w:val="es-ES"/>
              </w:rPr>
              <w:t xml:space="preserve"> </w:t>
            </w:r>
          </w:p>
          <w:p w14:paraId="6D1B3DCC" w14:textId="7C70DF4B" w:rsidR="00201477" w:rsidRPr="007A0E28" w:rsidRDefault="00201477" w:rsidP="00201477">
            <w:pPr>
              <w:spacing w:after="160"/>
              <w:rPr>
                <w:i/>
                <w:iCs/>
                <w:sz w:val="22"/>
                <w:szCs w:val="22"/>
                <w:lang w:val="es-ES"/>
              </w:rPr>
            </w:pPr>
            <w:r w:rsidRPr="007A0E28">
              <w:rPr>
                <w:i/>
                <w:iCs/>
                <w:sz w:val="22"/>
                <w:szCs w:val="22"/>
                <w:lang w:val="es-ES"/>
              </w:rPr>
              <w:t xml:space="preserve">Resoluciones </w:t>
            </w:r>
            <w:hyperlink r:id="rId6" w:history="1">
              <w:r w:rsidRPr="007A0E28">
                <w:rPr>
                  <w:rStyle w:val="Hyperlink"/>
                  <w:i/>
                  <w:iCs/>
                  <w:sz w:val="22"/>
                  <w:lang w:val="es-ES"/>
                </w:rPr>
                <w:t>71 (Rev. Bucarest, 2022)</w:t>
              </w:r>
            </w:hyperlink>
            <w:r w:rsidRPr="007A0E28">
              <w:rPr>
                <w:i/>
                <w:iCs/>
                <w:sz w:val="22"/>
                <w:szCs w:val="22"/>
                <w:lang w:val="es-ES"/>
              </w:rPr>
              <w:t xml:space="preserve"> y </w:t>
            </w:r>
            <w:hyperlink r:id="rId7" w:history="1">
              <w:r w:rsidRPr="007A0E28">
                <w:rPr>
                  <w:rStyle w:val="Hyperlink"/>
                  <w:i/>
                  <w:iCs/>
                  <w:sz w:val="22"/>
                  <w:lang w:val="es-ES"/>
                </w:rPr>
                <w:t>191 (Rev. Bucarest, 2022)</w:t>
              </w:r>
            </w:hyperlink>
            <w:r w:rsidRPr="007A0E28">
              <w:rPr>
                <w:i/>
                <w:iCs/>
                <w:sz w:val="22"/>
                <w:szCs w:val="22"/>
                <w:lang w:val="es-ES"/>
              </w:rPr>
              <w:t xml:space="preserve">, y Decisión </w:t>
            </w:r>
            <w:hyperlink r:id="rId8" w:history="1">
              <w:r w:rsidRPr="007A0E28">
                <w:rPr>
                  <w:rStyle w:val="Hyperlink"/>
                  <w:i/>
                  <w:iCs/>
                  <w:sz w:val="22"/>
                  <w:lang w:val="es-ES"/>
                </w:rPr>
                <w:t>5 (Rev. Bucarest, 2022)</w:t>
              </w:r>
            </w:hyperlink>
            <w:r w:rsidRPr="007A0E28">
              <w:rPr>
                <w:i/>
                <w:iCs/>
                <w:sz w:val="22"/>
                <w:szCs w:val="22"/>
                <w:lang w:val="es-ES"/>
              </w:rPr>
              <w:t xml:space="preserve"> de la Conferencia de Plenipotenciarios</w:t>
            </w:r>
          </w:p>
        </w:tc>
      </w:tr>
      <w:bookmarkEnd w:id="0"/>
    </w:tbl>
    <w:p w14:paraId="1E8283A4" w14:textId="77777777" w:rsidR="001559F5" w:rsidRPr="006B375F"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6B375F">
        <w:rPr>
          <w:lang w:val="es-ES"/>
        </w:rPr>
        <w:br w:type="page"/>
      </w:r>
    </w:p>
    <w:p w14:paraId="51822CF1" w14:textId="77777777" w:rsidR="00201477" w:rsidRPr="006B375F" w:rsidRDefault="00201477" w:rsidP="00201477">
      <w:pPr>
        <w:pStyle w:val="Headingb"/>
        <w:rPr>
          <w:lang w:val="es-ES"/>
        </w:rPr>
      </w:pPr>
      <w:r w:rsidRPr="006B375F">
        <w:rPr>
          <w:lang w:val="es-ES"/>
        </w:rPr>
        <w:lastRenderedPageBreak/>
        <w:t>Introducción</w:t>
      </w:r>
    </w:p>
    <w:p w14:paraId="0A02EEF9" w14:textId="096F9C7E" w:rsidR="00201477" w:rsidRPr="006B375F" w:rsidRDefault="00201477" w:rsidP="007A0E28">
      <w:pPr>
        <w:jc w:val="both"/>
        <w:rPr>
          <w:lang w:val="es-ES"/>
        </w:rPr>
      </w:pPr>
      <w:r w:rsidRPr="006B375F">
        <w:rPr>
          <w:lang w:val="es-ES"/>
        </w:rPr>
        <w:t>La Conferencia de Plenipotenciarios de 2022 (PP-22), en virtud de la Resolución 191 (Rev. Bucarest, 2022), encargó a la Secretaria General que siguiera fortaleciendo la coordinación y la cooperación entre los tres Sectores y la Secretaría General, con el fin de evitar la duplicación de actividades y optimizar los recursos de la Unión. En el marco de dicha Resolución se pide además a la Secretaria General que identifique toda forma de solapamiento de funciones y actividades entre los Sectores y la Secretaría General, y que proponga las soluciones adecuadas al respecto.</w:t>
      </w:r>
    </w:p>
    <w:p w14:paraId="2D967CA2" w14:textId="77777777" w:rsidR="00201477" w:rsidRPr="006B375F" w:rsidRDefault="00201477" w:rsidP="007A0E28">
      <w:pPr>
        <w:jc w:val="both"/>
        <w:rPr>
          <w:lang w:val="es-ES"/>
        </w:rPr>
      </w:pPr>
      <w:r w:rsidRPr="006B375F">
        <w:rPr>
          <w:lang w:val="es-ES"/>
        </w:rPr>
        <w:t xml:space="preserve">Para aplicar ese mandato, la Secretaria General delegó en el Vicesecretario General la aplicación de las estrategias y los mecanismos de coordinación intersectorial destinados a garantizar una colaboración eficaz entre los Sectores y la Secretaría General, a través de equipos intersectoriales que facilitaran el cumplimiento de </w:t>
      </w:r>
      <w:r w:rsidRPr="006B375F">
        <w:rPr>
          <w:rFonts w:cs="Calibri"/>
          <w:lang w:val="es-ES"/>
        </w:rPr>
        <w:t xml:space="preserve">los </w:t>
      </w:r>
      <w:r w:rsidRPr="006B375F">
        <w:rPr>
          <w:lang w:val="es-ES"/>
        </w:rPr>
        <w:t>objetivos estratégicos y promovieran la excelencia orgánica en la UIT.</w:t>
      </w:r>
    </w:p>
    <w:p w14:paraId="013812D8" w14:textId="77777777" w:rsidR="00201477" w:rsidRPr="006B375F" w:rsidRDefault="00201477" w:rsidP="007A0E28">
      <w:pPr>
        <w:jc w:val="both"/>
        <w:rPr>
          <w:rFonts w:asciiTheme="minorHAnsi" w:hAnsiTheme="minorHAnsi" w:cstheme="minorHAnsi"/>
          <w:szCs w:val="24"/>
          <w:lang w:val="es-ES"/>
        </w:rPr>
      </w:pPr>
      <w:r w:rsidRPr="006B375F">
        <w:rPr>
          <w:lang w:val="es-ES"/>
        </w:rPr>
        <w:t>En 2024, se actualizó la Orden de Servicio por la que se creaba el Grupo Especial de Coordinación Intersectorial (</w:t>
      </w:r>
      <w:r w:rsidRPr="006B375F">
        <w:rPr>
          <w:rFonts w:ascii="Cambria Math" w:hAnsi="Cambria Math" w:cs="Cambria Math"/>
          <w:lang w:val="es-ES"/>
        </w:rPr>
        <w:t>GE-CIS</w:t>
      </w:r>
      <w:r w:rsidRPr="006B375F">
        <w:rPr>
          <w:lang w:val="es-ES"/>
        </w:rPr>
        <w:t>) (</w:t>
      </w:r>
      <w:hyperlink r:id="rId9" w:history="1">
        <w:r w:rsidRPr="006B375F">
          <w:rPr>
            <w:rStyle w:val="Hyperlink"/>
            <w:lang w:val="es-ES"/>
          </w:rPr>
          <w:t>OE 24/06</w:t>
        </w:r>
      </w:hyperlink>
      <w:r w:rsidRPr="006B375F">
        <w:rPr>
          <w:lang w:val="es-ES"/>
        </w:rPr>
        <w:t>). Bajo la dirección del Comité de Coordinación (</w:t>
      </w:r>
      <w:proofErr w:type="spellStart"/>
      <w:r w:rsidRPr="006B375F">
        <w:rPr>
          <w:lang w:val="es-ES"/>
        </w:rPr>
        <w:t>CoCo</w:t>
      </w:r>
      <w:proofErr w:type="spellEnd"/>
      <w:r w:rsidRPr="006B375F">
        <w:rPr>
          <w:lang w:val="es-ES"/>
        </w:rPr>
        <w:t xml:space="preserve">), el </w:t>
      </w:r>
      <w:r w:rsidRPr="006B375F">
        <w:rPr>
          <w:rFonts w:ascii="Cambria Math" w:hAnsi="Cambria Math" w:cs="Cambria Math"/>
          <w:lang w:val="es-ES"/>
        </w:rPr>
        <w:t xml:space="preserve">GE-CIS </w:t>
      </w:r>
      <w:r w:rsidRPr="006B375F">
        <w:rPr>
          <w:lang w:val="es-ES"/>
        </w:rPr>
        <w:t>posee el mandato de mejorar la coordinación y la colaboración entre las tres Oficinas y la Secretaría General, con miras a evitar la duplicación de actividades internas y optimizar la utilización de los recursos de la UIT.</w:t>
      </w:r>
    </w:p>
    <w:p w14:paraId="5F37A097" w14:textId="77777777" w:rsidR="00201477" w:rsidRPr="006B375F" w:rsidRDefault="00201477" w:rsidP="007A0E28">
      <w:pPr>
        <w:jc w:val="both"/>
        <w:rPr>
          <w:lang w:val="es-ES"/>
        </w:rPr>
      </w:pPr>
      <w:r w:rsidRPr="006B375F">
        <w:rPr>
          <w:lang w:val="es-ES"/>
        </w:rPr>
        <w:t>Con respecto a la coordinación de la Secretaría y el Grupo Especial de Coordinación Intersectorial, el GE-CIS desempeña la función de mecanismo principal de coordinación interna en la Secretaría, al facilitar la colaboración entre las tres Oficinas y la Secretaría General y garantizar que sus actividades estén en consonancia con las prioridades estratégicas de la Unión. También coordina las actividades con el Grupo de Coordinación Intersectorial (</w:t>
      </w:r>
      <w:proofErr w:type="spellStart"/>
      <w:r w:rsidRPr="006B375F">
        <w:rPr>
          <w:lang w:val="es-ES"/>
        </w:rPr>
        <w:t>GCIS</w:t>
      </w:r>
      <w:proofErr w:type="spellEnd"/>
      <w:r w:rsidRPr="006B375F">
        <w:rPr>
          <w:lang w:val="es-ES"/>
        </w:rPr>
        <w:t>) con objeto de determinar las necesidades de los Miembros y ofrecer opciones para mejorar la cooperación y coordinación en la UIT.</w:t>
      </w:r>
    </w:p>
    <w:p w14:paraId="74189C91" w14:textId="24C5405D" w:rsidR="00201477" w:rsidRPr="006B375F" w:rsidRDefault="00201477" w:rsidP="007A0E28">
      <w:pPr>
        <w:jc w:val="both"/>
        <w:rPr>
          <w:lang w:val="es-ES"/>
        </w:rPr>
      </w:pPr>
      <w:r w:rsidRPr="006B375F">
        <w:rPr>
          <w:lang w:val="es-ES"/>
        </w:rPr>
        <w:t>Desde el informe presentado al Consejo el año pasado, el GE-CIS ha seguido mejorando la coordinación en toda la Unión mediante un conjunto de mecanismos de gobernanza, herramientas analíticas compartidas e iniciativas intersectoriales específicas.</w:t>
      </w:r>
    </w:p>
    <w:p w14:paraId="6F3B5890" w14:textId="77777777" w:rsidR="00201477" w:rsidRPr="006B375F" w:rsidRDefault="00201477" w:rsidP="007A0E28">
      <w:pPr>
        <w:jc w:val="both"/>
        <w:rPr>
          <w:lang w:val="es-ES"/>
        </w:rPr>
      </w:pPr>
      <w:r w:rsidRPr="006B375F">
        <w:rPr>
          <w:lang w:val="es-ES"/>
        </w:rPr>
        <w:t>La coordinación intersectorial ha facilitado la puesta en práctica de varias iniciativas destacadas en la UIT reflejadas en el Informe Anual de la Unión, cuyas actividades conllevan cada vez más conocimientos especializados en materia de radiocomunicaciones, normalización, desarrollo y la Secretaría General. En particular, cabe destacar:</w:t>
      </w:r>
    </w:p>
    <w:p w14:paraId="52C1901C" w14:textId="771A69AD" w:rsidR="00201477" w:rsidRPr="006B375F" w:rsidRDefault="00201477" w:rsidP="007A0E28">
      <w:pPr>
        <w:pStyle w:val="enumlev1"/>
        <w:jc w:val="both"/>
        <w:rPr>
          <w:lang w:val="es-ES"/>
        </w:rPr>
      </w:pPr>
      <w:r w:rsidRPr="006B375F">
        <w:rPr>
          <w:lang w:val="es-ES"/>
        </w:rPr>
        <w:t>–</w:t>
      </w:r>
      <w:r w:rsidRPr="006B375F">
        <w:rPr>
          <w:lang w:val="es-ES"/>
        </w:rPr>
        <w:tab/>
      </w:r>
      <w:r w:rsidRPr="006B375F">
        <w:rPr>
          <w:b/>
          <w:bCs/>
          <w:lang w:val="es-ES"/>
        </w:rPr>
        <w:t>Ciberseguridad y confianza digital</w:t>
      </w:r>
      <w:r w:rsidRPr="006B375F">
        <w:rPr>
          <w:lang w:val="es-ES"/>
        </w:rPr>
        <w:t>: la colaboración del UIT-D, el UIT-T y el UIT-R ha contribuido a establecer un marco mundial integral para ciberseguridad, que conjuga orientación sobre políticas, normalización y actividades de capacitación. A través de esos esfuerzos coordinados, el número de países con equipos de respuesta a incidentes informáticos a escala nacional aumentó de 109 en 2020 a 132 en 2025, al tiempo que las estrategias nacionales sobre ciberseguridad se ampliaron sustancialmente a escala mundial.</w:t>
      </w:r>
    </w:p>
    <w:p w14:paraId="66C26F7D" w14:textId="20456774" w:rsidR="00201477" w:rsidRPr="006B375F" w:rsidRDefault="00201477" w:rsidP="007A0E28">
      <w:pPr>
        <w:pStyle w:val="enumlev1"/>
        <w:jc w:val="both"/>
        <w:rPr>
          <w:lang w:val="es-ES"/>
        </w:rPr>
      </w:pPr>
      <w:r w:rsidRPr="006B375F">
        <w:rPr>
          <w:lang w:val="es-ES"/>
        </w:rPr>
        <w:t>–</w:t>
      </w:r>
      <w:r w:rsidRPr="006B375F">
        <w:rPr>
          <w:lang w:val="es-ES"/>
        </w:rPr>
        <w:tab/>
      </w:r>
      <w:r w:rsidRPr="006B375F">
        <w:rPr>
          <w:b/>
          <w:bCs/>
          <w:lang w:val="es-ES"/>
        </w:rPr>
        <w:t>Inclusión digital y accesibilidad</w:t>
      </w:r>
      <w:r w:rsidRPr="006B375F">
        <w:rPr>
          <w:lang w:val="es-ES"/>
        </w:rPr>
        <w:t>: los tres Sectores trabajaron de consuno para facilitar la accesibilidad digital de las personas con discapacidad mediante asesoramiento de expertos, programas de formación y recursos técnicos. Ese enfoque coordinado contribuyó al desarrollo de marcos normativos nacionales sobre accesibilidad de las TIC, que abarcó más de 100 países en el periodo del informe.</w:t>
      </w:r>
    </w:p>
    <w:p w14:paraId="4C3C0F23" w14:textId="04E01D26" w:rsidR="00201477" w:rsidRPr="006B375F" w:rsidRDefault="00201477" w:rsidP="007A0E28">
      <w:pPr>
        <w:pStyle w:val="enumlev1"/>
        <w:jc w:val="both"/>
        <w:rPr>
          <w:lang w:val="es-ES"/>
        </w:rPr>
      </w:pPr>
      <w:r w:rsidRPr="006B375F">
        <w:rPr>
          <w:lang w:val="es-ES"/>
        </w:rPr>
        <w:lastRenderedPageBreak/>
        <w:t>–</w:t>
      </w:r>
      <w:r w:rsidRPr="006B375F">
        <w:rPr>
          <w:lang w:val="es-ES"/>
        </w:rPr>
        <w:tab/>
      </w:r>
      <w:r w:rsidRPr="006B375F">
        <w:rPr>
          <w:b/>
          <w:bCs/>
          <w:lang w:val="es-ES"/>
        </w:rPr>
        <w:t>Reducción de la brecha de normalización y capacitación</w:t>
      </w:r>
      <w:r w:rsidRPr="006B375F">
        <w:rPr>
          <w:lang w:val="es-ES"/>
        </w:rPr>
        <w:t>: La coordinación entre la Oficina de Normalización de las Telecomunicaciones (TSB) y la Oficina de Desarrollo de las Telecomunicaciones (BDT), en particular en el marco de la labor de las oficinas regionales, sigue promoviendo las actividades de formación y capacitación destinadas a fomentar la participación de los países en desarrollo en los procesos internacionales de normalización. Los materiales y cursos didácticos están disponibles a través de la plataforma de la Academia de la UIT en varios idiomas.</w:t>
      </w:r>
    </w:p>
    <w:p w14:paraId="371D8DCD" w14:textId="5DC6859A" w:rsidR="00201477" w:rsidRPr="006B375F" w:rsidRDefault="00201477" w:rsidP="007A0E28">
      <w:pPr>
        <w:jc w:val="both"/>
        <w:rPr>
          <w:rFonts w:eastAsia="Calibri"/>
          <w:lang w:val="es-ES"/>
        </w:rPr>
      </w:pPr>
      <w:r w:rsidRPr="006B375F">
        <w:rPr>
          <w:rFonts w:eastAsia="Calibri"/>
          <w:lang w:val="es-ES"/>
        </w:rPr>
        <w:t xml:space="preserve">El </w:t>
      </w:r>
      <w:r w:rsidRPr="006B375F">
        <w:rPr>
          <w:lang w:val="es-ES"/>
        </w:rPr>
        <w:t>Documento</w:t>
      </w:r>
      <w:r w:rsidRPr="006B375F">
        <w:rPr>
          <w:rFonts w:eastAsia="Calibri"/>
          <w:lang w:val="es-ES"/>
        </w:rPr>
        <w:t xml:space="preserve"> </w:t>
      </w:r>
      <w:hyperlink r:id="rId10" w:history="1">
        <w:proofErr w:type="spellStart"/>
        <w:r w:rsidRPr="006B375F">
          <w:rPr>
            <w:rStyle w:val="Hyperlink"/>
            <w:rFonts w:eastAsia="Calibri" w:cs="Calibri"/>
            <w:szCs w:val="24"/>
            <w:lang w:val="es-ES"/>
          </w:rPr>
          <w:t>C26</w:t>
        </w:r>
        <w:proofErr w:type="spellEnd"/>
        <w:r w:rsidRPr="006B375F">
          <w:rPr>
            <w:rStyle w:val="Hyperlink"/>
            <w:rFonts w:eastAsia="Calibri" w:cs="Calibri"/>
            <w:szCs w:val="24"/>
            <w:lang w:val="es-ES"/>
          </w:rPr>
          <w:t>/35</w:t>
        </w:r>
      </w:hyperlink>
      <w:r w:rsidRPr="006B375F">
        <w:rPr>
          <w:rFonts w:eastAsia="Calibri"/>
          <w:lang w:val="es-ES"/>
        </w:rPr>
        <w:t xml:space="preserve"> del Consejo incluye resultados específicos relativos a los esfuerzos de coordinación de los equipos intersectoriales, en relación con la aplicación del Plan estratégico y las actividades de la Unión, incluida la plataforma web desarrollada para informar sobre la aplicación de las Resoluciones de la PP, accesible a través de </w:t>
      </w:r>
      <w:hyperlink r:id="rId11" w:history="1">
        <w:r w:rsidRPr="006B375F">
          <w:rPr>
            <w:rStyle w:val="Hyperlink"/>
            <w:rFonts w:eastAsia="Calibri" w:cs="Calibri"/>
            <w:szCs w:val="24"/>
            <w:lang w:val="es-ES"/>
          </w:rPr>
          <w:t>este enlace</w:t>
        </w:r>
      </w:hyperlink>
      <w:r w:rsidRPr="006B375F">
        <w:rPr>
          <w:rFonts w:eastAsia="Calibri"/>
          <w:lang w:val="es-ES"/>
        </w:rPr>
        <w:t>.</w:t>
      </w:r>
    </w:p>
    <w:p w14:paraId="03D5D462" w14:textId="77777777" w:rsidR="00201477" w:rsidRPr="006B375F" w:rsidRDefault="00201477" w:rsidP="007A0E28">
      <w:pPr>
        <w:jc w:val="both"/>
        <w:rPr>
          <w:lang w:val="es-ES"/>
        </w:rPr>
      </w:pPr>
      <w:r w:rsidRPr="006B375F">
        <w:rPr>
          <w:lang w:val="es-ES"/>
        </w:rPr>
        <w:t>La Secretaría también sigue mejorando la coordinación a través de:</w:t>
      </w:r>
    </w:p>
    <w:p w14:paraId="3D415E16" w14:textId="17599F30" w:rsidR="00201477" w:rsidRPr="006B375F" w:rsidRDefault="00201477" w:rsidP="007A0E28">
      <w:pPr>
        <w:pStyle w:val="enumlev1"/>
        <w:jc w:val="both"/>
        <w:rPr>
          <w:lang w:val="es-ES"/>
        </w:rPr>
      </w:pPr>
      <w:r w:rsidRPr="006B375F">
        <w:rPr>
          <w:lang w:val="es-ES"/>
        </w:rPr>
        <w:t>–</w:t>
      </w:r>
      <w:r w:rsidRPr="006B375F">
        <w:rPr>
          <w:lang w:val="es-ES"/>
        </w:rPr>
        <w:tab/>
        <w:t xml:space="preserve">la </w:t>
      </w:r>
      <w:hyperlink r:id="rId12">
        <w:r w:rsidRPr="006B375F">
          <w:rPr>
            <w:rStyle w:val="Hyperlink"/>
            <w:lang w:val="es-ES"/>
          </w:rPr>
          <w:t>página web de coordinación intersectorial</w:t>
        </w:r>
      </w:hyperlink>
      <w:r w:rsidRPr="006B375F">
        <w:rPr>
          <w:lang w:val="es-ES"/>
        </w:rPr>
        <w:t>: a raíz de las peticiones del Grupo de Trabajo del Consejo sobre recursos financieros y humanos (</w:t>
      </w:r>
      <w:proofErr w:type="spellStart"/>
      <w:r w:rsidRPr="006B375F">
        <w:rPr>
          <w:lang w:val="es-ES"/>
        </w:rPr>
        <w:t>GTC-RHF</w:t>
      </w:r>
      <w:proofErr w:type="spellEnd"/>
      <w:r w:rsidRPr="006B375F">
        <w:rPr>
          <w:lang w:val="es-ES"/>
        </w:rPr>
        <w:t xml:space="preserve">), la página web del </w:t>
      </w:r>
      <w:proofErr w:type="spellStart"/>
      <w:r w:rsidRPr="006B375F">
        <w:rPr>
          <w:lang w:val="es-ES"/>
        </w:rPr>
        <w:t>GCIS</w:t>
      </w:r>
      <w:proofErr w:type="spellEnd"/>
      <w:r w:rsidRPr="006B375F">
        <w:rPr>
          <w:lang w:val="es-ES"/>
        </w:rPr>
        <w:t xml:space="preserve"> también se ha actualizado para reflejar los formatos revisados y los procedimientos de publicación de documentos, en consonancia con las peticiones de los Estados miembros y las prácticas aplicadas en otras reuniones de la Secretaría General;</w:t>
      </w:r>
    </w:p>
    <w:p w14:paraId="0FC34B76" w14:textId="6BB8D4C2" w:rsidR="00201477" w:rsidRPr="006B375F" w:rsidRDefault="00201477" w:rsidP="007A0E28">
      <w:pPr>
        <w:pStyle w:val="enumlev1"/>
        <w:jc w:val="both"/>
        <w:rPr>
          <w:lang w:val="es-ES"/>
        </w:rPr>
      </w:pPr>
      <w:r w:rsidRPr="006B375F">
        <w:rPr>
          <w:lang w:val="es-ES"/>
        </w:rPr>
        <w:t>–</w:t>
      </w:r>
      <w:r w:rsidRPr="006B375F">
        <w:rPr>
          <w:lang w:val="es-ES"/>
        </w:rPr>
        <w:tab/>
        <w:t xml:space="preserve">la publicación de la </w:t>
      </w:r>
      <w:hyperlink r:id="rId13">
        <w:r w:rsidRPr="006B375F">
          <w:rPr>
            <w:rStyle w:val="Hyperlink"/>
            <w:lang w:val="es-ES"/>
          </w:rPr>
          <w:t>lista de temas</w:t>
        </w:r>
      </w:hyperlink>
      <w:r w:rsidRPr="006B375F">
        <w:rPr>
          <w:lang w:val="es-ES"/>
        </w:rPr>
        <w:t xml:space="preserve"> que requieren coordinación intersectorial, así como los coordinadores designados por los Sectores y la Secretaría General, disponible en la página web de coordinación intersectorial</w:t>
      </w:r>
      <w:r w:rsidR="00EA7CD9" w:rsidRPr="006B375F">
        <w:rPr>
          <w:lang w:val="es-ES"/>
        </w:rPr>
        <w:t>;</w:t>
      </w:r>
    </w:p>
    <w:p w14:paraId="52329CB2" w14:textId="0A792B4E" w:rsidR="00201477" w:rsidRPr="006B375F" w:rsidRDefault="00201477" w:rsidP="007A0E28">
      <w:pPr>
        <w:pStyle w:val="enumlev1"/>
        <w:jc w:val="both"/>
        <w:rPr>
          <w:lang w:val="es-ES"/>
        </w:rPr>
      </w:pPr>
      <w:r w:rsidRPr="006B375F">
        <w:rPr>
          <w:lang w:val="es-ES"/>
        </w:rPr>
        <w:t>–</w:t>
      </w:r>
      <w:r w:rsidRPr="006B375F">
        <w:rPr>
          <w:lang w:val="es-ES"/>
        </w:rPr>
        <w:tab/>
        <w:t xml:space="preserve">la continuación del </w:t>
      </w:r>
      <w:hyperlink r:id="rId14" w:history="1">
        <w:r w:rsidRPr="006B375F">
          <w:rPr>
            <w:rStyle w:val="Hyperlink"/>
            <w:lang w:val="es-ES"/>
          </w:rPr>
          <w:t>análisis de las Resoluciones</w:t>
        </w:r>
      </w:hyperlink>
      <w:r w:rsidRPr="006B375F">
        <w:rPr>
          <w:lang w:val="es-ES"/>
        </w:rPr>
        <w:t xml:space="preserve"> de las principales conferencias y asambleas de la UIT (actualización más reciente tras la </w:t>
      </w:r>
      <w:proofErr w:type="spellStart"/>
      <w:r w:rsidRPr="006B375F">
        <w:rPr>
          <w:lang w:val="es-ES"/>
        </w:rPr>
        <w:t>CMDT</w:t>
      </w:r>
      <w:proofErr w:type="spellEnd"/>
      <w:r w:rsidRPr="006B375F">
        <w:rPr>
          <w:lang w:val="es-ES"/>
        </w:rPr>
        <w:t>-25), incluidas las Resoluciones de la Conferencia Mundial de Telecomunicaciones Internacionales (Dubái, 2012), a petición de los Estados miembros; esta herramienta tiene por objeto ayudar a los Estados Miembros a preparar sus contribuciones para la Conferencia de Plenipotenciarios de 2026 (PP-26);</w:t>
      </w:r>
    </w:p>
    <w:p w14:paraId="7AB246A8" w14:textId="49653E64" w:rsidR="00201477" w:rsidRPr="006B375F" w:rsidRDefault="00201477" w:rsidP="007A0E28">
      <w:pPr>
        <w:pStyle w:val="enumlev1"/>
        <w:jc w:val="both"/>
        <w:rPr>
          <w:lang w:val="es-ES"/>
        </w:rPr>
      </w:pPr>
      <w:r w:rsidRPr="006B375F">
        <w:rPr>
          <w:lang w:val="es-ES"/>
        </w:rPr>
        <w:t>–</w:t>
      </w:r>
      <w:r w:rsidRPr="006B375F">
        <w:rPr>
          <w:lang w:val="es-ES"/>
        </w:rPr>
        <w:tab/>
        <w:t xml:space="preserve">en relación con la PP-26, el GE-CIS acogió con satisfacción las </w:t>
      </w:r>
      <w:hyperlink r:id="rId15" w:history="1">
        <w:r w:rsidRPr="006B375F">
          <w:rPr>
            <w:rStyle w:val="Hyperlink"/>
            <w:lang w:val="es-ES"/>
          </w:rPr>
          <w:t>Directrices para armonizar las Resoluciones y Decisiones de la Conferencia de Plenipotenciarios</w:t>
        </w:r>
      </w:hyperlink>
      <w:r w:rsidRPr="006B375F">
        <w:rPr>
          <w:lang w:val="es-ES"/>
        </w:rPr>
        <w:t xml:space="preserve"> elaboradas por el Grupo de Trabajo del Consejo sobre los Planes Estratégico y Financiero 2028-2031 (</w:t>
      </w:r>
      <w:proofErr w:type="spellStart"/>
      <w:r w:rsidRPr="006B375F">
        <w:rPr>
          <w:lang w:val="es-ES"/>
        </w:rPr>
        <w:t>GTC-PEF</w:t>
      </w:r>
      <w:proofErr w:type="spellEnd"/>
      <w:r w:rsidRPr="006B375F">
        <w:rPr>
          <w:lang w:val="es-ES"/>
        </w:rPr>
        <w:t>); esas directrices constituyen una herramienta suplementaria no vinculante para ayudar a los Estados miembros interesados a preparar sus propuestas, con miras a mejorar la eficacia de la labor de la Unión;</w:t>
      </w:r>
    </w:p>
    <w:p w14:paraId="244D8DC0" w14:textId="508E299C" w:rsidR="00201477" w:rsidRPr="006B375F" w:rsidRDefault="00201477" w:rsidP="007A0E28">
      <w:pPr>
        <w:pStyle w:val="enumlev1"/>
        <w:jc w:val="both"/>
        <w:rPr>
          <w:lang w:val="es-ES"/>
        </w:rPr>
      </w:pPr>
      <w:r w:rsidRPr="006B375F">
        <w:rPr>
          <w:lang w:val="es-ES"/>
        </w:rPr>
        <w:t>–</w:t>
      </w:r>
      <w:r w:rsidRPr="006B375F">
        <w:rPr>
          <w:lang w:val="es-ES"/>
        </w:rPr>
        <w:tab/>
        <w:t xml:space="preserve">la colaboración sobre la medición de las TIC para el desarrollo: esta asociación tiene por objeto mejorar la calidad y la disponibilidad de los datos de las TIC para promover el desarrollo sostenible y elabora indicadores fundamentales en relación con las Líneas de Acción de la </w:t>
      </w:r>
      <w:proofErr w:type="spellStart"/>
      <w:r w:rsidRPr="006B375F">
        <w:rPr>
          <w:lang w:val="es-ES"/>
        </w:rPr>
        <w:t>CMSI</w:t>
      </w:r>
      <w:proofErr w:type="spellEnd"/>
      <w:r w:rsidRPr="006B375F">
        <w:rPr>
          <w:lang w:val="es-ES"/>
        </w:rPr>
        <w:t xml:space="preserve">, el Pacto Digital Mundial y el Marco de Conectividad Significativa de las Naciones Unidas; sus resultados figuran en el </w:t>
      </w:r>
      <w:hyperlink r:id="rId16" w:history="1">
        <w:r w:rsidRPr="006B375F">
          <w:rPr>
            <w:rStyle w:val="Hyperlink"/>
            <w:lang w:val="es-ES"/>
          </w:rPr>
          <w:t>Centro de datos de la UIT</w:t>
        </w:r>
      </w:hyperlink>
      <w:r w:rsidRPr="006B375F">
        <w:rPr>
          <w:lang w:val="es-ES"/>
        </w:rPr>
        <w:t>.</w:t>
      </w:r>
    </w:p>
    <w:p w14:paraId="4E43B5D2" w14:textId="77777777" w:rsidR="00201477" w:rsidRPr="006B375F" w:rsidRDefault="00201477" w:rsidP="007A0E28">
      <w:pPr>
        <w:jc w:val="both"/>
        <w:rPr>
          <w:lang w:val="es-ES"/>
        </w:rPr>
      </w:pPr>
      <w:r w:rsidRPr="006B375F">
        <w:rPr>
          <w:lang w:val="es-ES"/>
        </w:rPr>
        <w:t xml:space="preserve">En 2026, el </w:t>
      </w:r>
      <w:r w:rsidRPr="006B375F">
        <w:rPr>
          <w:rFonts w:ascii="Cambria Math" w:hAnsi="Cambria Math" w:cs="Cambria Math"/>
          <w:lang w:val="es-ES"/>
        </w:rPr>
        <w:t xml:space="preserve">GE-CIS </w:t>
      </w:r>
      <w:r w:rsidRPr="006B375F">
        <w:rPr>
          <w:lang w:val="es-ES"/>
        </w:rPr>
        <w:t xml:space="preserve">dará prioridad a la mejora de la coordinación de eventos, publicaciones y actividades de comunicación, con el objetivo de fortalecer </w:t>
      </w:r>
      <w:r w:rsidRPr="006B375F">
        <w:rPr>
          <w:rFonts w:cs="Calibri"/>
          <w:lang w:val="es-ES"/>
        </w:rPr>
        <w:t xml:space="preserve">la </w:t>
      </w:r>
      <w:r w:rsidRPr="006B375F">
        <w:rPr>
          <w:lang w:val="es-ES"/>
        </w:rPr>
        <w:t>presencia institucional de la Unión y su repercusión a escala mundial.</w:t>
      </w:r>
    </w:p>
    <w:p w14:paraId="16A3268A" w14:textId="77777777" w:rsidR="00201477" w:rsidRPr="006B375F" w:rsidRDefault="00201477" w:rsidP="00EA7CD9">
      <w:pPr>
        <w:pStyle w:val="Headingb"/>
        <w:rPr>
          <w:lang w:val="es-ES"/>
        </w:rPr>
      </w:pPr>
      <w:r w:rsidRPr="006B375F">
        <w:rPr>
          <w:lang w:val="es-ES"/>
        </w:rPr>
        <w:t xml:space="preserve">Apoyo a la planificación estratégica y armonización orgánica </w:t>
      </w:r>
    </w:p>
    <w:p w14:paraId="0C0A292B" w14:textId="77777777" w:rsidR="00201477" w:rsidRPr="006B375F" w:rsidRDefault="00201477" w:rsidP="007A0E28">
      <w:pPr>
        <w:jc w:val="both"/>
        <w:rPr>
          <w:lang w:val="es-ES"/>
        </w:rPr>
      </w:pPr>
      <w:r w:rsidRPr="006B375F">
        <w:rPr>
          <w:lang w:val="es-ES"/>
        </w:rPr>
        <w:t>Se constituyó un Grupo de Trabajo intersectorial sobre planificación estratégica y financiera (GT-</w:t>
      </w:r>
      <w:proofErr w:type="spellStart"/>
      <w:r w:rsidRPr="006B375F">
        <w:rPr>
          <w:lang w:val="es-ES"/>
        </w:rPr>
        <w:t>PEF</w:t>
      </w:r>
      <w:proofErr w:type="spellEnd"/>
      <w:r w:rsidRPr="006B375F">
        <w:rPr>
          <w:lang w:val="es-ES"/>
        </w:rPr>
        <w:t xml:space="preserve">), dirigido por el Vicesecretario General, con el fin de coordinar las contribuciones de la Secretaría a la elaboración de los Planes Estratégico y Financiero para 2028-2031. Ese </w:t>
      </w:r>
      <w:r w:rsidRPr="006B375F">
        <w:rPr>
          <w:lang w:val="es-ES"/>
        </w:rPr>
        <w:lastRenderedPageBreak/>
        <w:t>enfoque de colaboración ha permitido a la Secretaría armonizar las perspectivas sectoriales y garantizar la coherencia entre las Oficinas y la Secretaría General para la preparación del próximo ciclo de planificación. Un equipo de proyecto dirigido por el Jefe de Administración y Finanzas coordina asimismo la labor entre las Oficinas y la Secretaría General a fin de garantizar el vínculo entre los Planes Estratégico, Financiero y Operacional.</w:t>
      </w:r>
    </w:p>
    <w:p w14:paraId="7CDA1076" w14:textId="0C9AD664" w:rsidR="00201477" w:rsidRPr="006B375F" w:rsidRDefault="00201477" w:rsidP="00201477">
      <w:pPr>
        <w:pStyle w:val="Headingb"/>
        <w:rPr>
          <w:bCs/>
          <w:lang w:val="es-ES"/>
        </w:rPr>
      </w:pPr>
      <w:r w:rsidRPr="006B375F">
        <w:rPr>
          <w:lang w:val="es-ES"/>
        </w:rPr>
        <w:t xml:space="preserve">Coordinación entre los miembros </w:t>
      </w:r>
      <w:r w:rsidR="00EA7CD9" w:rsidRPr="006B375F">
        <w:rPr>
          <w:lang w:val="es-ES"/>
        </w:rPr>
        <w:t>–</w:t>
      </w:r>
      <w:r w:rsidRPr="006B375F">
        <w:rPr>
          <w:lang w:val="es-ES"/>
        </w:rPr>
        <w:t xml:space="preserve"> Grupo de Coordinación Intersectorial (</w:t>
      </w:r>
      <w:proofErr w:type="spellStart"/>
      <w:r w:rsidRPr="006B375F">
        <w:rPr>
          <w:lang w:val="es-ES"/>
        </w:rPr>
        <w:t>GCIS</w:t>
      </w:r>
      <w:proofErr w:type="spellEnd"/>
      <w:r w:rsidRPr="006B375F">
        <w:rPr>
          <w:lang w:val="es-ES"/>
        </w:rPr>
        <w:t>)</w:t>
      </w:r>
    </w:p>
    <w:p w14:paraId="54B687C3" w14:textId="6FFAE70C" w:rsidR="00201477" w:rsidRPr="006B375F" w:rsidRDefault="00201477" w:rsidP="007A0E28">
      <w:pPr>
        <w:jc w:val="both"/>
        <w:rPr>
          <w:lang w:val="es-ES"/>
        </w:rPr>
      </w:pPr>
      <w:r w:rsidRPr="006B375F">
        <w:rPr>
          <w:lang w:val="es-ES"/>
        </w:rPr>
        <w:t xml:space="preserve">Prosigue la coordinación de los Miembros en el marco del </w:t>
      </w:r>
      <w:proofErr w:type="spellStart"/>
      <w:r w:rsidRPr="006B375F">
        <w:rPr>
          <w:lang w:val="es-ES"/>
        </w:rPr>
        <w:t>GCIS</w:t>
      </w:r>
      <w:proofErr w:type="spellEnd"/>
      <w:r w:rsidRPr="006B375F">
        <w:rPr>
          <w:lang w:val="es-ES"/>
        </w:rPr>
        <w:t>, bajo la presidencia del Sr.</w:t>
      </w:r>
      <w:r w:rsidR="00EA7CD9" w:rsidRPr="006B375F">
        <w:rPr>
          <w:lang w:val="es-ES"/>
        </w:rPr>
        <w:t> </w:t>
      </w:r>
      <w:r w:rsidRPr="006B375F">
        <w:rPr>
          <w:lang w:val="es-ES"/>
        </w:rPr>
        <w:t>Fabio Bigi (Italia), en calidad de grupo basado en contribuciones.</w:t>
      </w:r>
    </w:p>
    <w:p w14:paraId="79831848" w14:textId="77777777" w:rsidR="00201477" w:rsidRPr="006B375F" w:rsidRDefault="00201477" w:rsidP="007A0E28">
      <w:pPr>
        <w:jc w:val="both"/>
        <w:rPr>
          <w:lang w:val="es-ES"/>
        </w:rPr>
      </w:pPr>
      <w:r w:rsidRPr="006B375F">
        <w:rPr>
          <w:lang w:val="es-ES"/>
        </w:rPr>
        <w:t xml:space="preserve">El </w:t>
      </w:r>
      <w:proofErr w:type="spellStart"/>
      <w:r w:rsidRPr="006B375F">
        <w:rPr>
          <w:lang w:val="es-ES"/>
        </w:rPr>
        <w:t>GCIS</w:t>
      </w:r>
      <w:proofErr w:type="spellEnd"/>
      <w:r w:rsidRPr="006B375F">
        <w:rPr>
          <w:lang w:val="es-ES"/>
        </w:rPr>
        <w:t xml:space="preserve"> sigue abordando los temas siguientes:</w:t>
      </w:r>
    </w:p>
    <w:p w14:paraId="35477732" w14:textId="2307447A"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Accesibilidad: </w:t>
      </w:r>
      <w:r w:rsidR="00EA7CD9" w:rsidRPr="006B375F">
        <w:rPr>
          <w:lang w:val="es-ES"/>
        </w:rPr>
        <w:t>e</w:t>
      </w:r>
      <w:r w:rsidRPr="006B375F">
        <w:rPr>
          <w:lang w:val="es-ES"/>
        </w:rPr>
        <w:t xml:space="preserve">l </w:t>
      </w:r>
      <w:proofErr w:type="spellStart"/>
      <w:r w:rsidRPr="006B375F">
        <w:rPr>
          <w:lang w:val="es-ES"/>
        </w:rPr>
        <w:t>GCIS</w:t>
      </w:r>
      <w:proofErr w:type="spellEnd"/>
      <w:r w:rsidRPr="006B375F">
        <w:rPr>
          <w:lang w:val="es-ES"/>
        </w:rPr>
        <w:t xml:space="preserve"> ha manifestado interés en contribuir a los debates relacionados con el proyecto del nuevo edificio y sigue de cerca </w:t>
      </w:r>
      <w:r w:rsidRPr="006B375F">
        <w:rPr>
          <w:rFonts w:eastAsia="Calibri"/>
          <w:lang w:val="es-ES"/>
        </w:rPr>
        <w:t xml:space="preserve">los avances </w:t>
      </w:r>
      <w:r w:rsidRPr="006B375F">
        <w:rPr>
          <w:lang w:val="es-ES"/>
        </w:rPr>
        <w:t>relacionados con el nuevo sitio web de la UIT, para ayudar a garantizar que ambos sigan siendo accesibles para todos los usuarios.</w:t>
      </w:r>
    </w:p>
    <w:p w14:paraId="11B48884" w14:textId="2DB2DBF0"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Cambio climático: </w:t>
      </w:r>
      <w:r w:rsidR="00EA7CD9" w:rsidRPr="006B375F">
        <w:rPr>
          <w:lang w:val="es-ES"/>
        </w:rPr>
        <w:t>l</w:t>
      </w:r>
      <w:r w:rsidRPr="006B375F">
        <w:rPr>
          <w:lang w:val="es-ES"/>
        </w:rPr>
        <w:t xml:space="preserve">a colaboración </w:t>
      </w:r>
      <w:r w:rsidRPr="006B375F">
        <w:rPr>
          <w:rFonts w:eastAsia="Calibri"/>
          <w:lang w:val="es-ES"/>
        </w:rPr>
        <w:t xml:space="preserve">entre </w:t>
      </w:r>
      <w:r w:rsidRPr="006B375F">
        <w:rPr>
          <w:lang w:val="es-ES"/>
        </w:rPr>
        <w:t xml:space="preserve">los tres Sectores de la UIT sigue avanzando. Ello se refleja en el sitio web de la </w:t>
      </w:r>
      <w:r w:rsidRPr="006B375F">
        <w:rPr>
          <w:rFonts w:eastAsia="Calibri"/>
          <w:lang w:val="es-ES"/>
        </w:rPr>
        <w:t>UIT</w:t>
      </w:r>
      <w:r w:rsidRPr="006B375F">
        <w:rPr>
          <w:lang w:val="es-ES"/>
        </w:rPr>
        <w:t xml:space="preserve"> en el apartado "</w:t>
      </w:r>
      <w:hyperlink r:id="rId17" w:history="1">
        <w:r w:rsidRPr="006B375F">
          <w:rPr>
            <w:rStyle w:val="Hyperlink"/>
            <w:lang w:val="es-ES"/>
          </w:rPr>
          <w:t>Medio ambiente y cambio climático</w:t>
        </w:r>
      </w:hyperlink>
      <w:r w:rsidRPr="006B375F">
        <w:rPr>
          <w:lang w:val="es-ES"/>
        </w:rPr>
        <w:t>".</w:t>
      </w:r>
    </w:p>
    <w:p w14:paraId="55E5F124" w14:textId="0D9096D9"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Sitio web de la UIT: </w:t>
      </w:r>
      <w:r w:rsidR="00EA7CD9" w:rsidRPr="006B375F">
        <w:rPr>
          <w:lang w:val="es-ES"/>
        </w:rPr>
        <w:t>e</w:t>
      </w:r>
      <w:r w:rsidRPr="006B375F">
        <w:rPr>
          <w:lang w:val="es-ES"/>
        </w:rPr>
        <w:t xml:space="preserve">l </w:t>
      </w:r>
      <w:proofErr w:type="spellStart"/>
      <w:r w:rsidRPr="006B375F">
        <w:rPr>
          <w:lang w:val="es-ES"/>
        </w:rPr>
        <w:t>GCIS</w:t>
      </w:r>
      <w:proofErr w:type="spellEnd"/>
      <w:r w:rsidRPr="006B375F">
        <w:rPr>
          <w:lang w:val="es-ES"/>
        </w:rPr>
        <w:t xml:space="preserve"> ha pedido a la Secretaría que facilite periódicamente información actualizada sobre el desarrollo del nuevo sitio web de la UIT, y la Secretaría sigue colaborando con los Miembros y recabando información de los mismos. </w:t>
      </w:r>
      <w:r w:rsidRPr="006B375F">
        <w:rPr>
          <w:rFonts w:eastAsia="Calibri"/>
          <w:lang w:val="es-ES"/>
        </w:rPr>
        <w:t>Como se ha indicado anteriormente</w:t>
      </w:r>
      <w:r w:rsidRPr="006B375F">
        <w:rPr>
          <w:lang w:val="es-ES"/>
        </w:rPr>
        <w:t>, el Coordinador de Accesibilidad ha manifestado su interés en participar activamente para garantizar que el proyecto tenga debidamente en cuenta las necesidades de las personas con discapacidad a lo largo de todo el proceso de revisión.</w:t>
      </w:r>
    </w:p>
    <w:p w14:paraId="7160CCF7" w14:textId="3D70BE9E"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Participación a distancia: </w:t>
      </w:r>
      <w:r w:rsidR="00EA7CD9" w:rsidRPr="006B375F">
        <w:rPr>
          <w:lang w:val="es-ES"/>
        </w:rPr>
        <w:t>e</w:t>
      </w:r>
      <w:r w:rsidRPr="006B375F">
        <w:rPr>
          <w:lang w:val="es-ES"/>
        </w:rPr>
        <w:t xml:space="preserve">l </w:t>
      </w:r>
      <w:proofErr w:type="spellStart"/>
      <w:r w:rsidRPr="006B375F">
        <w:rPr>
          <w:lang w:val="es-ES"/>
        </w:rPr>
        <w:t>GCIS</w:t>
      </w:r>
      <w:proofErr w:type="spellEnd"/>
      <w:r w:rsidRPr="006B375F">
        <w:rPr>
          <w:lang w:val="es-ES"/>
        </w:rPr>
        <w:t xml:space="preserve"> </w:t>
      </w:r>
      <w:r w:rsidRPr="006B375F">
        <w:rPr>
          <w:rFonts w:eastAsia="Calibri"/>
          <w:lang w:val="es-ES"/>
        </w:rPr>
        <w:t>promueve</w:t>
      </w:r>
      <w:r w:rsidRPr="006B375F">
        <w:rPr>
          <w:lang w:val="es-ES"/>
        </w:rPr>
        <w:t xml:space="preserve"> la armonización entre </w:t>
      </w:r>
      <w:r w:rsidRPr="006B375F">
        <w:rPr>
          <w:rFonts w:eastAsiaTheme="minorHAnsi" w:cstheme="minorBidi"/>
          <w:szCs w:val="22"/>
          <w:lang w:val="es-ES"/>
        </w:rPr>
        <w:t xml:space="preserve">el </w:t>
      </w:r>
      <w:hyperlink r:id="rId18" w:history="1">
        <w:r w:rsidRPr="006B375F">
          <w:rPr>
            <w:rStyle w:val="Hyperlink"/>
            <w:lang w:val="es-ES"/>
          </w:rPr>
          <w:t>Suplemento 4 de la serie A</w:t>
        </w:r>
      </w:hyperlink>
      <w:r w:rsidRPr="006B375F">
        <w:rPr>
          <w:rFonts w:eastAsiaTheme="minorHAnsi" w:cstheme="minorBidi"/>
          <w:szCs w:val="22"/>
          <w:lang w:val="es-ES"/>
        </w:rPr>
        <w:t xml:space="preserve"> de la U</w:t>
      </w:r>
      <w:r w:rsidRPr="006B375F">
        <w:rPr>
          <w:lang w:val="es-ES"/>
        </w:rPr>
        <w:t xml:space="preserve">IT-T </w:t>
      </w:r>
      <w:hyperlink r:id="rId19">
        <w:r w:rsidRPr="006B375F">
          <w:rPr>
            <w:rStyle w:val="Hyperlink"/>
            <w:lang w:val="es-ES"/>
          </w:rPr>
          <w:t>"Directrices para la participación a distancia"</w:t>
        </w:r>
      </w:hyperlink>
      <w:r w:rsidRPr="006B375F">
        <w:rPr>
          <w:lang w:val="es-ES"/>
        </w:rPr>
        <w:t xml:space="preserve"> y las "</w:t>
      </w:r>
      <w:hyperlink r:id="rId20">
        <w:r w:rsidRPr="006B375F">
          <w:rPr>
            <w:rStyle w:val="Hyperlink"/>
            <w:lang w:val="es-ES"/>
          </w:rPr>
          <w:t>Directrices sobre la gestión de reuniones plenamente virtuales y reuniones presenciales con participación a distancia</w:t>
        </w:r>
        <w:r w:rsidRPr="006B375F">
          <w:rPr>
            <w:lang w:val="es-ES"/>
          </w:rPr>
          <w:t>"</w:t>
        </w:r>
      </w:hyperlink>
      <w:r w:rsidRPr="006B375F">
        <w:rPr>
          <w:lang w:val="es-ES"/>
        </w:rPr>
        <w:t xml:space="preserve">, de conformidad con la Resolución </w:t>
      </w:r>
      <w:hyperlink r:id="rId21">
        <w:r w:rsidRPr="006B375F">
          <w:rPr>
            <w:rStyle w:val="Hyperlink"/>
            <w:lang w:val="es-ES"/>
          </w:rPr>
          <w:t>167 (Rev. Bucarest, 2022)</w:t>
        </w:r>
      </w:hyperlink>
      <w:r w:rsidRPr="006B375F">
        <w:rPr>
          <w:lang w:val="es-ES"/>
        </w:rPr>
        <w:t xml:space="preserve"> de la Conferencia de Plenipotenciarios. El </w:t>
      </w:r>
      <w:proofErr w:type="spellStart"/>
      <w:r w:rsidRPr="006B375F">
        <w:rPr>
          <w:lang w:val="es-ES"/>
        </w:rPr>
        <w:t>GCIS</w:t>
      </w:r>
      <w:proofErr w:type="spellEnd"/>
      <w:r w:rsidRPr="006B375F">
        <w:rPr>
          <w:lang w:val="es-ES"/>
        </w:rPr>
        <w:t xml:space="preserve"> también ha subrayado la necesidad de revisar y actualizar </w:t>
      </w:r>
      <w:r w:rsidRPr="006B375F">
        <w:rPr>
          <w:rFonts w:eastAsia="Calibri"/>
          <w:lang w:val="es-ES"/>
        </w:rPr>
        <w:t xml:space="preserve">los </w:t>
      </w:r>
      <w:r w:rsidRPr="006B375F">
        <w:rPr>
          <w:lang w:val="es-ES"/>
        </w:rPr>
        <w:t xml:space="preserve">derechos </w:t>
      </w:r>
      <w:r w:rsidRPr="006B375F">
        <w:rPr>
          <w:rFonts w:eastAsia="Calibri"/>
          <w:lang w:val="es-ES"/>
        </w:rPr>
        <w:t xml:space="preserve">de los Miembros </w:t>
      </w:r>
      <w:r w:rsidRPr="006B375F">
        <w:rPr>
          <w:lang w:val="es-ES"/>
        </w:rPr>
        <w:t>al asistir a reuniones en línea.</w:t>
      </w:r>
    </w:p>
    <w:p w14:paraId="29A4063C" w14:textId="19058270"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Transformación digital sostenible: </w:t>
      </w:r>
      <w:r w:rsidR="00C641D0" w:rsidRPr="006B375F">
        <w:rPr>
          <w:lang w:val="es-ES"/>
        </w:rPr>
        <w:t>e</w:t>
      </w:r>
      <w:r w:rsidRPr="006B375F">
        <w:rPr>
          <w:lang w:val="es-ES"/>
        </w:rPr>
        <w:t xml:space="preserve">l </w:t>
      </w:r>
      <w:proofErr w:type="spellStart"/>
      <w:r w:rsidRPr="006B375F">
        <w:rPr>
          <w:lang w:val="es-ES"/>
        </w:rPr>
        <w:t>GCIS</w:t>
      </w:r>
      <w:proofErr w:type="spellEnd"/>
      <w:r w:rsidRPr="006B375F">
        <w:rPr>
          <w:lang w:val="es-ES"/>
        </w:rPr>
        <w:t xml:space="preserve"> sigue fomentando una mejor coordinación de actividades conexas en los tres Sectores. Se aprobó un Grupo de Relator sobre Transformación Digital Sostenible (</w:t>
      </w:r>
      <w:r w:rsidRPr="006B375F">
        <w:rPr>
          <w:rFonts w:ascii="Cambria Math" w:hAnsi="Cambria Math" w:cs="Cambria Math"/>
          <w:lang w:val="es-ES"/>
        </w:rPr>
        <w:t>GR-</w:t>
      </w:r>
      <w:proofErr w:type="spellStart"/>
      <w:r w:rsidRPr="006B375F">
        <w:rPr>
          <w:rFonts w:ascii="Cambria Math" w:hAnsi="Cambria Math" w:cs="Cambria Math"/>
          <w:lang w:val="es-ES"/>
        </w:rPr>
        <w:t>TDS</w:t>
      </w:r>
      <w:proofErr w:type="spellEnd"/>
      <w:r w:rsidRPr="006B375F">
        <w:rPr>
          <w:lang w:val="es-ES"/>
        </w:rPr>
        <w:t xml:space="preserve">) en el marco de la estructura del Grupo Asesor de Normalización de las Telecomunicaciones (GANT) para el período de estudios </w:t>
      </w:r>
      <w:r w:rsidRPr="006B375F">
        <w:rPr>
          <w:rFonts w:cs="Calibri"/>
          <w:lang w:val="es-ES"/>
        </w:rPr>
        <w:t xml:space="preserve">2025-2028 </w:t>
      </w:r>
      <w:r w:rsidRPr="006B375F">
        <w:rPr>
          <w:lang w:val="es-ES"/>
        </w:rPr>
        <w:t xml:space="preserve">y se ha comprometido con el </w:t>
      </w:r>
      <w:proofErr w:type="spellStart"/>
      <w:r w:rsidRPr="006B375F">
        <w:rPr>
          <w:lang w:val="es-ES"/>
        </w:rPr>
        <w:t>GCIS</w:t>
      </w:r>
      <w:proofErr w:type="spellEnd"/>
      <w:r w:rsidRPr="006B375F">
        <w:rPr>
          <w:lang w:val="es-ES"/>
        </w:rPr>
        <w:t xml:space="preserve"> a solicitar aportaciones de los demás Sectores (véase el Documento </w:t>
      </w:r>
      <w:hyperlink r:id="rId22" w:history="1">
        <w:proofErr w:type="spellStart"/>
        <w:r w:rsidRPr="006B375F">
          <w:rPr>
            <w:rStyle w:val="Hyperlink"/>
            <w:rFonts w:cs="Calibri"/>
            <w:lang w:val="es-ES" w:eastAsia="en-GB"/>
          </w:rPr>
          <w:t>ISCG</w:t>
        </w:r>
        <w:proofErr w:type="spellEnd"/>
        <w:r w:rsidRPr="006B375F">
          <w:rPr>
            <w:rStyle w:val="Hyperlink"/>
            <w:rFonts w:cs="Calibri"/>
            <w:lang w:val="es-ES" w:eastAsia="en-GB"/>
          </w:rPr>
          <w:t>/26-1/8</w:t>
        </w:r>
      </w:hyperlink>
      <w:r w:rsidRPr="006B375F">
        <w:rPr>
          <w:lang w:val="es-ES"/>
        </w:rPr>
        <w:t>).</w:t>
      </w:r>
    </w:p>
    <w:p w14:paraId="148FF1DC" w14:textId="77777777" w:rsidR="00201477" w:rsidRPr="006B375F" w:rsidRDefault="00201477" w:rsidP="007A0E28">
      <w:pPr>
        <w:jc w:val="both"/>
        <w:rPr>
          <w:lang w:val="es-ES"/>
        </w:rPr>
      </w:pPr>
      <w:r w:rsidRPr="006B375F">
        <w:rPr>
          <w:lang w:val="es-ES"/>
        </w:rPr>
        <w:t xml:space="preserve">El </w:t>
      </w:r>
      <w:proofErr w:type="spellStart"/>
      <w:r w:rsidRPr="006B375F">
        <w:rPr>
          <w:lang w:val="es-ES"/>
        </w:rPr>
        <w:t>GCIS</w:t>
      </w:r>
      <w:proofErr w:type="spellEnd"/>
      <w:r w:rsidRPr="006B375F">
        <w:rPr>
          <w:lang w:val="es-ES"/>
        </w:rPr>
        <w:t xml:space="preserve"> también ha iniciado trabajos sobre los temas siguientes:</w:t>
      </w:r>
    </w:p>
    <w:p w14:paraId="713E3207" w14:textId="08CC02F4" w:rsidR="00201477" w:rsidRPr="006B375F" w:rsidRDefault="00201477" w:rsidP="007A0E28">
      <w:pPr>
        <w:pStyle w:val="enumlev1"/>
        <w:jc w:val="both"/>
        <w:rPr>
          <w:lang w:val="es-ES"/>
        </w:rPr>
      </w:pPr>
      <w:r w:rsidRPr="006B375F">
        <w:rPr>
          <w:lang w:val="es-ES"/>
        </w:rPr>
        <w:t>–</w:t>
      </w:r>
      <w:r w:rsidRPr="006B375F">
        <w:rPr>
          <w:rFonts w:eastAsia="Calibri"/>
          <w:lang w:val="es-ES"/>
        </w:rPr>
        <w:tab/>
      </w:r>
      <w:r w:rsidRPr="006B375F">
        <w:rPr>
          <w:b/>
          <w:bCs/>
          <w:lang w:val="es-ES"/>
        </w:rPr>
        <w:t xml:space="preserve">Colaboración con el sector industrial: </w:t>
      </w:r>
      <w:r w:rsidR="00C641D0" w:rsidRPr="006B375F">
        <w:rPr>
          <w:lang w:val="es-ES"/>
        </w:rPr>
        <w:t>e</w:t>
      </w:r>
      <w:r w:rsidRPr="006B375F">
        <w:rPr>
          <w:lang w:val="es-ES"/>
        </w:rPr>
        <w:t xml:space="preserve">n la última reunión del </w:t>
      </w:r>
      <w:proofErr w:type="spellStart"/>
      <w:r w:rsidRPr="006B375F">
        <w:rPr>
          <w:lang w:val="es-ES"/>
        </w:rPr>
        <w:t>GCIS</w:t>
      </w:r>
      <w:proofErr w:type="spellEnd"/>
      <w:r w:rsidRPr="006B375F">
        <w:rPr>
          <w:lang w:val="es-ES"/>
        </w:rPr>
        <w:t xml:space="preserve"> se presentaron las actividades del UIT-T en materia de participación del sector industrial, en particular </w:t>
      </w:r>
      <w:r w:rsidRPr="006B375F">
        <w:rPr>
          <w:rFonts w:eastAsia="Calibri"/>
          <w:lang w:val="es-ES"/>
        </w:rPr>
        <w:t xml:space="preserve">las iniciativas </w:t>
      </w:r>
      <w:r w:rsidRPr="006B375F">
        <w:rPr>
          <w:lang w:val="es-ES"/>
        </w:rPr>
        <w:t xml:space="preserve">en curso para aprovechar el éxito del Taller de </w:t>
      </w:r>
      <w:proofErr w:type="spellStart"/>
      <w:r w:rsidRPr="006B375F">
        <w:rPr>
          <w:lang w:val="es-ES"/>
        </w:rPr>
        <w:t>2024sobre</w:t>
      </w:r>
      <w:proofErr w:type="spellEnd"/>
      <w:r w:rsidRPr="006B375F">
        <w:rPr>
          <w:lang w:val="es-ES"/>
        </w:rPr>
        <w:t xml:space="preserve"> participación del sector industrial.</w:t>
      </w:r>
    </w:p>
    <w:p w14:paraId="7A121DB7" w14:textId="28B86A0A" w:rsidR="00201477" w:rsidRPr="006B375F" w:rsidRDefault="00201477" w:rsidP="007A0E28">
      <w:pPr>
        <w:pStyle w:val="enumlev1"/>
        <w:jc w:val="both"/>
        <w:rPr>
          <w:b/>
          <w:bCs/>
          <w:lang w:val="es-ES"/>
        </w:rPr>
      </w:pPr>
      <w:r w:rsidRPr="006B375F">
        <w:rPr>
          <w:lang w:val="es-ES"/>
        </w:rPr>
        <w:t>–</w:t>
      </w:r>
      <w:r w:rsidRPr="006B375F">
        <w:rPr>
          <w:rFonts w:eastAsia="Calibri"/>
          <w:lang w:val="es-ES"/>
        </w:rPr>
        <w:tab/>
      </w:r>
      <w:r w:rsidRPr="006B375F">
        <w:rPr>
          <w:b/>
          <w:bCs/>
          <w:lang w:val="es-ES"/>
        </w:rPr>
        <w:t xml:space="preserve">Grupo de Relator sobre racionalización de las Resoluciones: </w:t>
      </w:r>
      <w:r w:rsidR="00C641D0" w:rsidRPr="006B375F">
        <w:rPr>
          <w:lang w:val="es-ES"/>
        </w:rPr>
        <w:t>e</w:t>
      </w:r>
      <w:r w:rsidRPr="006B375F">
        <w:rPr>
          <w:lang w:val="es-ES"/>
        </w:rPr>
        <w:t xml:space="preserve">l citado Grupo de Relator se aprobó en la última reunión del </w:t>
      </w:r>
      <w:proofErr w:type="spellStart"/>
      <w:r w:rsidRPr="006B375F">
        <w:rPr>
          <w:lang w:val="es-ES"/>
        </w:rPr>
        <w:t>GCIS</w:t>
      </w:r>
      <w:proofErr w:type="spellEnd"/>
      <w:r w:rsidRPr="006B375F">
        <w:rPr>
          <w:lang w:val="es-ES"/>
        </w:rPr>
        <w:t xml:space="preserve"> de 2025. El Relator ha presentado dos propuestas para racionalizar la Resolución 154 (Rev. Bucarest, 2022), presentada en el Documento </w:t>
      </w:r>
      <w:hyperlink r:id="rId23" w:history="1">
        <w:proofErr w:type="spellStart"/>
        <w:r w:rsidRPr="006B375F">
          <w:rPr>
            <w:rStyle w:val="Hyperlink"/>
            <w:rFonts w:cs="Calibri"/>
            <w:lang w:val="es-ES" w:eastAsia="en-GB"/>
          </w:rPr>
          <w:t>ISCG</w:t>
        </w:r>
        <w:proofErr w:type="spellEnd"/>
        <w:r w:rsidRPr="006B375F">
          <w:rPr>
            <w:rStyle w:val="Hyperlink"/>
            <w:rFonts w:cs="Calibri"/>
            <w:lang w:val="es-ES" w:eastAsia="en-GB"/>
          </w:rPr>
          <w:t>/26-1/7</w:t>
        </w:r>
      </w:hyperlink>
      <w:r w:rsidRPr="006B375F">
        <w:rPr>
          <w:lang w:val="es-ES"/>
        </w:rPr>
        <w:t xml:space="preserve">, </w:t>
      </w:r>
      <w:proofErr w:type="spellStart"/>
      <w:r w:rsidRPr="006B375F">
        <w:rPr>
          <w:lang w:val="es-ES"/>
        </w:rPr>
        <w:t>Addéndum</w:t>
      </w:r>
      <w:proofErr w:type="spellEnd"/>
      <w:r w:rsidRPr="006B375F">
        <w:rPr>
          <w:lang w:val="es-ES"/>
        </w:rPr>
        <w:t xml:space="preserve"> 1, y la Resolución 191 (Rev. Bucarest, 2022), contenida en el </w:t>
      </w:r>
      <w:proofErr w:type="spellStart"/>
      <w:r w:rsidRPr="006B375F">
        <w:rPr>
          <w:lang w:val="es-ES"/>
        </w:rPr>
        <w:t>Addéndum</w:t>
      </w:r>
      <w:proofErr w:type="spellEnd"/>
      <w:r w:rsidRPr="006B375F">
        <w:rPr>
          <w:lang w:val="es-ES"/>
        </w:rPr>
        <w:t xml:space="preserve"> 2. El </w:t>
      </w:r>
      <w:proofErr w:type="spellStart"/>
      <w:r w:rsidRPr="006B375F">
        <w:rPr>
          <w:rFonts w:cs="Calibri"/>
          <w:lang w:val="es-ES" w:eastAsia="en-GB"/>
        </w:rPr>
        <w:t>GCIS</w:t>
      </w:r>
      <w:proofErr w:type="spellEnd"/>
      <w:r w:rsidRPr="006B375F">
        <w:rPr>
          <w:rFonts w:cs="Calibri"/>
          <w:lang w:val="es-ES" w:eastAsia="en-GB"/>
        </w:rPr>
        <w:t xml:space="preserve"> examinó y refrendó</w:t>
      </w:r>
      <w:r w:rsidRPr="006B375F">
        <w:rPr>
          <w:lang w:val="es-ES"/>
        </w:rPr>
        <w:t xml:space="preserve"> ambas propuestas.</w:t>
      </w:r>
    </w:p>
    <w:p w14:paraId="240AFA55" w14:textId="77777777" w:rsidR="00201477" w:rsidRPr="006B375F" w:rsidRDefault="00201477" w:rsidP="007A0E28">
      <w:pPr>
        <w:jc w:val="both"/>
        <w:rPr>
          <w:lang w:val="es-ES"/>
        </w:rPr>
      </w:pPr>
      <w:r w:rsidRPr="006B375F">
        <w:rPr>
          <w:lang w:val="es-ES"/>
        </w:rPr>
        <w:lastRenderedPageBreak/>
        <w:t xml:space="preserve">En su última reunión, el </w:t>
      </w:r>
      <w:proofErr w:type="spellStart"/>
      <w:r w:rsidRPr="006B375F">
        <w:rPr>
          <w:lang w:val="es-ES"/>
        </w:rPr>
        <w:t>GCIS</w:t>
      </w:r>
      <w:proofErr w:type="spellEnd"/>
      <w:r w:rsidRPr="006B375F">
        <w:rPr>
          <w:lang w:val="es-ES"/>
        </w:rPr>
        <w:t xml:space="preserve"> acordó incluir las "eficiencias" como posible nuevo tema, destinado a facilitar el intercambio de prácticas idóneas que ya dan lugar a un aumento de la eficiencia orgánica en la Unión.</w:t>
      </w:r>
    </w:p>
    <w:p w14:paraId="5432444D" w14:textId="77777777" w:rsidR="00201477" w:rsidRPr="006B375F" w:rsidRDefault="00201477" w:rsidP="007A0E28">
      <w:pPr>
        <w:jc w:val="both"/>
        <w:rPr>
          <w:lang w:val="es-ES"/>
        </w:rPr>
      </w:pPr>
      <w:r w:rsidRPr="006B375F">
        <w:rPr>
          <w:lang w:val="es-ES"/>
        </w:rPr>
        <w:t>Los informes de resultados y los llamamientos a la acción siguen presentándose periódicamente a los Grupos Asesores de Sector y al Grupo de Trabajo del Consejo sobre Recursos Humanos y Financieros (</w:t>
      </w:r>
      <w:proofErr w:type="spellStart"/>
      <w:r w:rsidRPr="006B375F">
        <w:rPr>
          <w:rFonts w:ascii="Cambria Math" w:hAnsi="Cambria Math" w:cs="Cambria Math"/>
          <w:lang w:val="es-ES"/>
        </w:rPr>
        <w:t>GTC-RHF</w:t>
      </w:r>
      <w:proofErr w:type="spellEnd"/>
      <w:r w:rsidRPr="006B375F">
        <w:rPr>
          <w:lang w:val="es-ES"/>
        </w:rPr>
        <w:t>).</w:t>
      </w:r>
    </w:p>
    <w:p w14:paraId="27732B5F" w14:textId="77777777" w:rsidR="00201477" w:rsidRPr="006B375F" w:rsidRDefault="00201477" w:rsidP="007A0E28">
      <w:pPr>
        <w:jc w:val="both"/>
        <w:rPr>
          <w:lang w:val="es-ES"/>
        </w:rPr>
      </w:pPr>
      <w:r w:rsidRPr="006B375F">
        <w:rPr>
          <w:lang w:val="es-ES"/>
        </w:rPr>
        <w:t xml:space="preserve">El </w:t>
      </w:r>
      <w:proofErr w:type="spellStart"/>
      <w:r w:rsidRPr="006B375F">
        <w:rPr>
          <w:lang w:val="es-ES"/>
        </w:rPr>
        <w:t>GCIS</w:t>
      </w:r>
      <w:proofErr w:type="spellEnd"/>
      <w:r w:rsidRPr="006B375F">
        <w:rPr>
          <w:lang w:val="es-ES"/>
        </w:rPr>
        <w:t xml:space="preserve"> reitera que su labor viene determinada por los Miembros y está dirigida por coordinadores designados por los Grupos Asesores de los Sectores para cada tema. Se alienta a los Estados Miembros y a los Miembros de Sector a presentar contribuciones sobre los temas que consideren que podrían beneficiarse de un enfoque intersectorial.</w:t>
      </w:r>
    </w:p>
    <w:p w14:paraId="0853967C" w14:textId="77777777" w:rsidR="00201477" w:rsidRPr="006B375F" w:rsidRDefault="00201477" w:rsidP="007A0E28">
      <w:pPr>
        <w:jc w:val="both"/>
        <w:rPr>
          <w:lang w:val="es-ES"/>
        </w:rPr>
      </w:pPr>
      <w:r w:rsidRPr="006B375F">
        <w:rPr>
          <w:lang w:val="es-ES"/>
        </w:rPr>
        <w:t xml:space="preserve">Con respecto al ciclo que dará comienzo después de la </w:t>
      </w:r>
      <w:r w:rsidRPr="006B375F">
        <w:rPr>
          <w:rFonts w:ascii="Cambria Math" w:hAnsi="Cambria Math" w:cs="Cambria Math"/>
          <w:lang w:val="es-ES"/>
        </w:rPr>
        <w:t>PP-26</w:t>
      </w:r>
      <w:r w:rsidRPr="006B375F">
        <w:rPr>
          <w:lang w:val="es-ES"/>
        </w:rPr>
        <w:t xml:space="preserve">, el </w:t>
      </w:r>
      <w:proofErr w:type="spellStart"/>
      <w:r w:rsidRPr="006B375F">
        <w:rPr>
          <w:lang w:val="es-ES"/>
        </w:rPr>
        <w:t>GCIS</w:t>
      </w:r>
      <w:proofErr w:type="spellEnd"/>
      <w:r w:rsidRPr="006B375F">
        <w:rPr>
          <w:lang w:val="es-ES"/>
        </w:rPr>
        <w:t xml:space="preserve"> propone contar con un informe independiente, que se presentará anualmente a la Comisión Permanente de Administración y Gestión del Consejo.</w:t>
      </w:r>
    </w:p>
    <w:p w14:paraId="09C0C4A7" w14:textId="77777777" w:rsidR="00201477" w:rsidRPr="006B375F" w:rsidRDefault="00201477" w:rsidP="007A0E28">
      <w:pPr>
        <w:jc w:val="both"/>
        <w:rPr>
          <w:lang w:val="es-ES"/>
        </w:rPr>
      </w:pPr>
      <w:r w:rsidRPr="006B375F">
        <w:rPr>
          <w:lang w:val="es-ES"/>
        </w:rPr>
        <w:t xml:space="preserve">Para ampliar información sobre el </w:t>
      </w:r>
      <w:proofErr w:type="spellStart"/>
      <w:r w:rsidRPr="006B375F">
        <w:rPr>
          <w:lang w:val="es-ES"/>
        </w:rPr>
        <w:t>GCIS</w:t>
      </w:r>
      <w:proofErr w:type="spellEnd"/>
      <w:r w:rsidRPr="006B375F">
        <w:rPr>
          <w:lang w:val="es-ES"/>
        </w:rPr>
        <w:t xml:space="preserve">, incluidos los informes de reuniones y los documentos objeto de debate, consúltese </w:t>
      </w:r>
      <w:hyperlink r:id="rId24" w:history="1">
        <w:r w:rsidRPr="006B375F">
          <w:rPr>
            <w:rStyle w:val="Hyperlink"/>
            <w:lang w:val="es-ES"/>
          </w:rPr>
          <w:t xml:space="preserve">la página web del </w:t>
        </w:r>
        <w:proofErr w:type="spellStart"/>
        <w:r w:rsidRPr="006B375F">
          <w:rPr>
            <w:rStyle w:val="Hyperlink"/>
            <w:lang w:val="es-ES"/>
          </w:rPr>
          <w:t>GCIS</w:t>
        </w:r>
        <w:proofErr w:type="spellEnd"/>
      </w:hyperlink>
      <w:r w:rsidRPr="006B375F">
        <w:rPr>
          <w:lang w:val="es-ES"/>
        </w:rPr>
        <w:t>.</w:t>
      </w:r>
    </w:p>
    <w:p w14:paraId="268F34A6" w14:textId="77777777" w:rsidR="00201477" w:rsidRPr="006B375F" w:rsidRDefault="00201477" w:rsidP="00411C49">
      <w:pPr>
        <w:pStyle w:val="Reasons"/>
        <w:rPr>
          <w:lang w:val="es-ES"/>
        </w:rPr>
      </w:pPr>
    </w:p>
    <w:p w14:paraId="5EE3826B" w14:textId="77777777" w:rsidR="00201477" w:rsidRPr="006B375F" w:rsidRDefault="00201477">
      <w:pPr>
        <w:jc w:val="center"/>
        <w:rPr>
          <w:lang w:val="es-ES"/>
        </w:rPr>
      </w:pPr>
      <w:r w:rsidRPr="006B375F">
        <w:rPr>
          <w:lang w:val="es-ES"/>
        </w:rPr>
        <w:t>______________</w:t>
      </w:r>
    </w:p>
    <w:sectPr w:rsidR="00201477" w:rsidRPr="006B375F" w:rsidSect="00C538FC">
      <w:footerReference w:type="default" r:id="rId25"/>
      <w:headerReference w:type="first" r:id="rId26"/>
      <w:footerReference w:type="first" r:id="rId2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8259" w14:textId="77777777" w:rsidR="008731D2" w:rsidRDefault="008731D2">
      <w:r>
        <w:separator/>
      </w:r>
    </w:p>
  </w:endnote>
  <w:endnote w:type="continuationSeparator" w:id="0">
    <w:p w14:paraId="189CD7F2" w14:textId="77777777" w:rsidR="008731D2" w:rsidRDefault="0087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FE3BBA1" w14:textId="77777777" w:rsidTr="00E31DCE">
      <w:trPr>
        <w:jc w:val="center"/>
      </w:trPr>
      <w:tc>
        <w:tcPr>
          <w:tcW w:w="1803" w:type="dxa"/>
          <w:vAlign w:val="center"/>
        </w:tcPr>
        <w:p w14:paraId="488BEB32" w14:textId="467A2DC9" w:rsidR="003273A4" w:rsidRDefault="00201477" w:rsidP="003273A4">
          <w:pPr>
            <w:pStyle w:val="Header"/>
            <w:jc w:val="left"/>
            <w:rPr>
              <w:noProof/>
            </w:rPr>
          </w:pPr>
          <w:r>
            <w:rPr>
              <w:noProof/>
            </w:rPr>
            <w:t>2600731</w:t>
          </w:r>
        </w:p>
      </w:tc>
      <w:tc>
        <w:tcPr>
          <w:tcW w:w="8261" w:type="dxa"/>
        </w:tcPr>
        <w:p w14:paraId="3ACAC491" w14:textId="0C7E7DE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201477">
            <w:rPr>
              <w:bCs/>
            </w:rPr>
            <w:t>27</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EA1D7D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9FDED33" w14:textId="77777777" w:rsidTr="00E31DCE">
      <w:trPr>
        <w:jc w:val="center"/>
      </w:trPr>
      <w:tc>
        <w:tcPr>
          <w:tcW w:w="1803" w:type="dxa"/>
          <w:vAlign w:val="center"/>
        </w:tcPr>
        <w:p w14:paraId="0380934E"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69FC2B7" w14:textId="32D45A5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201477">
            <w:rPr>
              <w:bCs/>
            </w:rPr>
            <w:t>27</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D81AE2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FE0B" w14:textId="77777777" w:rsidR="008731D2" w:rsidRDefault="008731D2">
      <w:r>
        <w:t>____________________</w:t>
      </w:r>
    </w:p>
  </w:footnote>
  <w:footnote w:type="continuationSeparator" w:id="0">
    <w:p w14:paraId="3198B9E7" w14:textId="77777777" w:rsidR="008731D2" w:rsidRDefault="0087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634D" w14:textId="77777777" w:rsidR="001559F5" w:rsidRPr="00B1560D" w:rsidRDefault="00B1560D" w:rsidP="00B1560D">
    <w:pPr>
      <w:pStyle w:val="Header"/>
    </w:pPr>
    <w:r>
      <w:rPr>
        <w:noProof/>
      </w:rPr>
      <w:drawing>
        <wp:inline distT="0" distB="0" distL="0" distR="0" wp14:anchorId="2D0FDE15" wp14:editId="54C78B9E">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D2"/>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7076D"/>
    <w:rsid w:val="001958F5"/>
    <w:rsid w:val="001B6E2B"/>
    <w:rsid w:val="001F14A2"/>
    <w:rsid w:val="00201477"/>
    <w:rsid w:val="00230C7C"/>
    <w:rsid w:val="00277DEA"/>
    <w:rsid w:val="002801AA"/>
    <w:rsid w:val="002946E2"/>
    <w:rsid w:val="002C3F32"/>
    <w:rsid w:val="002C4676"/>
    <w:rsid w:val="002C70B0"/>
    <w:rsid w:val="002F3CC4"/>
    <w:rsid w:val="003032E2"/>
    <w:rsid w:val="0031300A"/>
    <w:rsid w:val="003273A4"/>
    <w:rsid w:val="0034796E"/>
    <w:rsid w:val="00370499"/>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B375F"/>
    <w:rsid w:val="006C1B56"/>
    <w:rsid w:val="006D4761"/>
    <w:rsid w:val="00726872"/>
    <w:rsid w:val="00760F1C"/>
    <w:rsid w:val="007657F0"/>
    <w:rsid w:val="0077110E"/>
    <w:rsid w:val="0077252D"/>
    <w:rsid w:val="007955DA"/>
    <w:rsid w:val="007A0E28"/>
    <w:rsid w:val="007E5DD3"/>
    <w:rsid w:val="007F350B"/>
    <w:rsid w:val="00820BE4"/>
    <w:rsid w:val="008451E8"/>
    <w:rsid w:val="0084546D"/>
    <w:rsid w:val="008731D2"/>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641D0"/>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A7CD9"/>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25BCF"/>
  <w15:docId w15:val="{C6F3248E-E606-4589-A88E-9A32485A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DEC-005-S.pdf" TargetMode="External"/><Relationship Id="rId13"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18" Type="http://schemas.openxmlformats.org/officeDocument/2006/relationships/hyperlink" Target="http://www.itu.int/md/meetingdoc.asp?lang=en&amp;parent=T25-TSAG-260126-TD-GEN-0333"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en/council/Documents/basic-texts-2023/RES-167-S.pdf" TargetMode="External"/><Relationship Id="rId7" Type="http://schemas.openxmlformats.org/officeDocument/2006/relationships/hyperlink" Target="https://www.itu.int/en/council/Documents/basic-texts-2023/RES-191-S.pdf" TargetMode="External"/><Relationship Id="rId12" Type="http://schemas.openxmlformats.org/officeDocument/2006/relationships/hyperlink" Target="https://www.itu.int/en/general-secretariat/Pages/intersectoral-coordination.aspx" TargetMode="External"/><Relationship Id="rId17" Type="http://schemas.openxmlformats.org/officeDocument/2006/relationships/hyperlink" Target="https://www.itu.int/en/action/environment-and-climate-change/Pages/default.asp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atahub.itu.int/" TargetMode="External"/><Relationship Id="rId20" Type="http://schemas.openxmlformats.org/officeDocument/2006/relationships/hyperlink" Target="https://itu.int/en/general-secretariat/ICT-Services/remoteparticipat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hrome-extension://efaidnbmnnnibpcajpcglclefindmkaj/https:/www.itu.int/en/council/Documents/basic-texts-2023/RES-071-S.pdf" TargetMode="External"/><Relationship Id="rId11" Type="http://schemas.openxmlformats.org/officeDocument/2006/relationships/hyperlink" Target="https://www.itu.int/net4/Search/CL26" TargetMode="External"/><Relationship Id="rId24" Type="http://schemas.openxmlformats.org/officeDocument/2006/relationships/hyperlink" Target="https://www.itu.int/en/general-secretariat/Pages/ISCG/default.aspx" TargetMode="External"/><Relationship Id="rId5" Type="http://schemas.openxmlformats.org/officeDocument/2006/relationships/endnotes" Target="endnotes.xml"/><Relationship Id="rId15" Type="http://schemas.openxmlformats.org/officeDocument/2006/relationships/hyperlink" Target="https://www.itu.int/md/S26-CL-INF-0001/en" TargetMode="External"/><Relationship Id="rId23" Type="http://schemas.openxmlformats.org/officeDocument/2006/relationships/hyperlink" Target="https://www.itu.int/md/S26-ISCG12026-C-0007/es" TargetMode="External"/><Relationship Id="rId28" Type="http://schemas.openxmlformats.org/officeDocument/2006/relationships/fontTable" Target="fontTable.xml"/><Relationship Id="rId10" Type="http://schemas.openxmlformats.org/officeDocument/2006/relationships/hyperlink" Target="https://www.itu.int/md/S26-CL-C-0035/es" TargetMode="External"/><Relationship Id="rId19" Type="http://schemas.openxmlformats.org/officeDocument/2006/relationships/hyperlink" Target="http://www.itu.int/md/meetingdoc.asp?lang=en&amp;parent=T25-TSAG-260126-TD-GEN-0333" TargetMode="External"/><Relationship Id="rId4" Type="http://schemas.openxmlformats.org/officeDocument/2006/relationships/footnotes" Target="footnotes.xml"/><Relationship Id="rId9" Type="http://schemas.openxmlformats.org/officeDocument/2006/relationships/hyperlink" Target="https://www.itu.int/en/general-secretariat/ties/ISCGDocumentLibrary/Liaisons%20Statements%20on%20Inter-Sectoral%20Coordination%20Activities/SO-2024-006-en.pdf" TargetMode="External"/><Relationship Id="rId14"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22" Type="http://schemas.openxmlformats.org/officeDocument/2006/relationships/hyperlink" Target="https://www.itu.int/md/S26-ISCG12026-C-0008/en"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0</TotalTime>
  <Pages>5</Pages>
  <Words>1887</Words>
  <Characters>12522</Characters>
  <Application>Microsoft Office Word</Application>
  <DocSecurity>0</DocSecurity>
  <Lines>208</Lines>
  <Paragraphs>73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14336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Mejora de la coordinación intersectorial en la UIT</dc:title>
  <dc:subject>Consejo 2026 de la UIT</dc:subject>
  <cp:keywords>C26; C2026; Council 2026; PP26</cp:keywords>
  <dc:description/>
  <cp:lastPrinted>2006-03-24T09:51:00Z</cp:lastPrinted>
  <dcterms:created xsi:type="dcterms:W3CDTF">2026-04-28T15:56:00Z</dcterms:created>
  <dcterms:modified xsi:type="dcterms:W3CDTF">2026-04-28T15:56:00Z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