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AC1D8C" w14:paraId="1F7C5970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A132117" w14:textId="34D150A3" w:rsidR="00796BD3" w:rsidRPr="00AC1D8C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AC1D8C">
              <w:rPr>
                <w:b/>
                <w:lang w:val="ru-RU"/>
              </w:rPr>
              <w:t>Пункт повестки дня:</w:t>
            </w:r>
            <w:r w:rsidR="006E32C5" w:rsidRPr="00F041FF">
              <w:rPr>
                <w:b/>
                <w:bCs/>
                <w:color w:val="000000"/>
                <w:lang w:val="ru-RU"/>
              </w:rPr>
              <w:t xml:space="preserve"> ADM 3</w:t>
            </w:r>
          </w:p>
        </w:tc>
        <w:tc>
          <w:tcPr>
            <w:tcW w:w="5245" w:type="dxa"/>
          </w:tcPr>
          <w:p w14:paraId="3AE933FE" w14:textId="5BCBA33E" w:rsidR="00796BD3" w:rsidRPr="00AC1D8C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AC1D8C">
              <w:rPr>
                <w:b/>
                <w:lang w:val="ru-RU"/>
              </w:rPr>
              <w:t xml:space="preserve">Документ </w:t>
            </w:r>
            <w:r w:rsidR="00E92CC0" w:rsidRPr="00AC1D8C">
              <w:rPr>
                <w:b/>
                <w:lang w:val="ru-RU"/>
              </w:rPr>
              <w:t>C26/</w:t>
            </w:r>
            <w:r w:rsidR="006E32C5">
              <w:rPr>
                <w:b/>
                <w:lang w:val="ru-RU"/>
              </w:rPr>
              <w:t>27</w:t>
            </w:r>
            <w:r w:rsidR="00796BD3" w:rsidRPr="00AC1D8C">
              <w:rPr>
                <w:b/>
                <w:lang w:val="ru-RU"/>
              </w:rPr>
              <w:t>-R</w:t>
            </w:r>
          </w:p>
        </w:tc>
      </w:tr>
      <w:tr w:rsidR="00796BD3" w:rsidRPr="00AC1D8C" w14:paraId="30AE1918" w14:textId="77777777" w:rsidTr="00D17718">
        <w:trPr>
          <w:cantSplit/>
        </w:trPr>
        <w:tc>
          <w:tcPr>
            <w:tcW w:w="3969" w:type="dxa"/>
            <w:vMerge/>
          </w:tcPr>
          <w:p w14:paraId="007FE014" w14:textId="77777777" w:rsidR="00796BD3" w:rsidRPr="00AC1D8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4C41032" w14:textId="6528D4BB" w:rsidR="00796BD3" w:rsidRPr="00AC1D8C" w:rsidRDefault="006E32C5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30</w:t>
            </w:r>
            <w:r w:rsidR="00E92CC0" w:rsidRPr="00AC1D8C">
              <w:rPr>
                <w:b/>
                <w:bCs/>
                <w:color w:val="000000"/>
                <w:lang w:val="ru-RU"/>
              </w:rPr>
              <w:t xml:space="preserve"> марта 2026 года</w:t>
            </w:r>
          </w:p>
        </w:tc>
      </w:tr>
      <w:tr w:rsidR="00796BD3" w:rsidRPr="00AC1D8C" w14:paraId="356ABC8B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2205853D" w14:textId="77777777" w:rsidR="00796BD3" w:rsidRPr="00AC1D8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8D52EA1" w14:textId="77777777" w:rsidR="00796BD3" w:rsidRPr="00AC1D8C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AC1D8C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AC1D8C" w14:paraId="19D75E4B" w14:textId="77777777" w:rsidTr="00D17718">
        <w:trPr>
          <w:cantSplit/>
          <w:trHeight w:val="23"/>
        </w:trPr>
        <w:tc>
          <w:tcPr>
            <w:tcW w:w="3969" w:type="dxa"/>
          </w:tcPr>
          <w:p w14:paraId="5ACFE31B" w14:textId="77777777" w:rsidR="00796BD3" w:rsidRPr="00AC1D8C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74486F01" w14:textId="77777777" w:rsidR="00796BD3" w:rsidRPr="00AC1D8C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5A347E" w14:paraId="70D65C6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649307F" w14:textId="71BC732E" w:rsidR="00796BD3" w:rsidRPr="00AC1D8C" w:rsidRDefault="005A347E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3010CC">
              <w:rPr>
                <w:bCs/>
                <w:color w:val="000000"/>
              </w:rPr>
              <w:t>Отчет Председателя РГС-Яз</w:t>
            </w:r>
          </w:p>
        </w:tc>
      </w:tr>
      <w:tr w:rsidR="006E32C5" w:rsidRPr="00C628A7" w14:paraId="1467BAC9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AA343AA" w14:textId="6F4AAE85" w:rsidR="006E32C5" w:rsidRPr="006E32C5" w:rsidRDefault="006E32C5" w:rsidP="006E32C5">
            <w:pPr>
              <w:pStyle w:val="Subtitle"/>
              <w:framePr w:hSpace="0" w:wrap="auto" w:xAlign="left" w:yAlign="inline"/>
              <w:suppressOverlap w:val="0"/>
              <w:rPr>
                <w:caps/>
                <w:sz w:val="32"/>
              </w:rPr>
            </w:pPr>
            <w:bookmarkStart w:id="6" w:name="dtitle1" w:colFirst="0" w:colLast="0"/>
            <w:bookmarkEnd w:id="5"/>
            <w:r w:rsidRPr="006E32C5">
              <w:rPr>
                <w:caps/>
                <w:color w:val="000000"/>
                <w:sz w:val="32"/>
              </w:rPr>
              <w:t>Укрепление межсекторальной координации в рамках МСЭ</w:t>
            </w:r>
          </w:p>
        </w:tc>
      </w:tr>
      <w:tr w:rsidR="006E32C5" w:rsidRPr="00C628A7" w14:paraId="3A731532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A756551" w14:textId="77777777" w:rsidR="006E32C5" w:rsidRPr="00AC1D8C" w:rsidRDefault="006E32C5" w:rsidP="006E32C5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AC1D8C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34BCCC63" w14:textId="6A863C31" w:rsidR="006E32C5" w:rsidRPr="006E32C5" w:rsidRDefault="006E32C5" w:rsidP="006E32C5">
            <w:pPr>
              <w:spacing w:before="160"/>
              <w:rPr>
                <w:lang w:val="ru-RU"/>
              </w:rPr>
            </w:pPr>
            <w:r w:rsidRPr="00F041FF">
              <w:rPr>
                <w:color w:val="000000"/>
                <w:lang w:val="ru-RU"/>
              </w:rPr>
              <w:t>В настоящем документе представлен отчет о выполнении Резолюции 191 (Пересм. Бухарест, 2022 г.) Полномочной конференции о стратегии координации усилий трех Секторов Союза и Генерального секретариата</w:t>
            </w:r>
            <w:r w:rsidRPr="003010CC">
              <w:rPr>
                <w:color w:val="000000"/>
                <w:lang w:val="ru-RU"/>
              </w:rPr>
              <w:t>.</w:t>
            </w:r>
          </w:p>
          <w:p w14:paraId="49F9C463" w14:textId="77777777" w:rsidR="006E32C5" w:rsidRPr="00AC1D8C" w:rsidRDefault="006E32C5" w:rsidP="006E32C5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AC1D8C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0DEFDC50" w14:textId="27806E07" w:rsidR="006E32C5" w:rsidRPr="00AC1D8C" w:rsidRDefault="006E32C5" w:rsidP="006E32C5">
            <w:pPr>
              <w:rPr>
                <w:lang w:val="ru-RU"/>
              </w:rPr>
            </w:pPr>
            <w:r w:rsidRPr="00F041FF">
              <w:rPr>
                <w:color w:val="000000"/>
                <w:lang w:val="ru-RU"/>
              </w:rPr>
              <w:t xml:space="preserve">Совету предлагается </w:t>
            </w:r>
            <w:r w:rsidRPr="00F041FF">
              <w:rPr>
                <w:b/>
                <w:bCs/>
                <w:color w:val="000000"/>
                <w:lang w:val="ru-RU"/>
              </w:rPr>
              <w:t>принять к сведению</w:t>
            </w:r>
            <w:r w:rsidRPr="00F041FF">
              <w:rPr>
                <w:color w:val="000000"/>
                <w:lang w:val="ru-RU"/>
              </w:rPr>
              <w:t xml:space="preserve"> настоящий отчет</w:t>
            </w:r>
            <w:r w:rsidRPr="003010CC">
              <w:rPr>
                <w:color w:val="000000"/>
                <w:lang w:val="ru-RU"/>
              </w:rPr>
              <w:t>.</w:t>
            </w:r>
          </w:p>
          <w:p w14:paraId="45E3B471" w14:textId="77777777" w:rsidR="006E32C5" w:rsidRPr="00AC1D8C" w:rsidRDefault="006E32C5" w:rsidP="006E32C5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AC1D8C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4B8E228D" w14:textId="3ED70F06" w:rsidR="006E32C5" w:rsidRPr="00AC1D8C" w:rsidRDefault="006E32C5" w:rsidP="006E32C5">
            <w:pPr>
              <w:rPr>
                <w:lang w:val="ru-RU"/>
              </w:rPr>
            </w:pPr>
            <w:r w:rsidRPr="00F041FF">
              <w:rPr>
                <w:color w:val="000000"/>
                <w:lang w:val="ru-RU"/>
              </w:rPr>
              <w:t>Развитие людских ресурсов и организационные инновации</w:t>
            </w:r>
            <w:r w:rsidRPr="00AC1D8C">
              <w:rPr>
                <w:color w:val="000000"/>
                <w:lang w:val="ru-RU"/>
              </w:rPr>
              <w:t>.</w:t>
            </w:r>
          </w:p>
          <w:p w14:paraId="26D04A59" w14:textId="77777777" w:rsidR="006E32C5" w:rsidRPr="00AC1D8C" w:rsidRDefault="006E32C5" w:rsidP="006E32C5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AC1D8C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1FC10AFB" w14:textId="07A23E3E" w:rsidR="006E32C5" w:rsidRPr="00AC1D8C" w:rsidRDefault="006E32C5" w:rsidP="006E32C5">
            <w:pPr>
              <w:rPr>
                <w:szCs w:val="22"/>
                <w:lang w:val="ru-RU"/>
              </w:rPr>
            </w:pPr>
            <w:r w:rsidRPr="00AC1D8C">
              <w:rPr>
                <w:color w:val="000000"/>
                <w:lang w:val="ru-RU"/>
              </w:rPr>
              <w:t xml:space="preserve">В рамках выделенного бюджета на </w:t>
            </w:r>
            <w:r w:rsidRPr="00F041FF">
              <w:rPr>
                <w:color w:val="000000"/>
                <w:lang w:val="ru-RU"/>
              </w:rPr>
              <w:t xml:space="preserve">2026–2027 </w:t>
            </w:r>
            <w:r w:rsidRPr="00AC1D8C">
              <w:rPr>
                <w:color w:val="000000"/>
                <w:lang w:val="ru-RU"/>
              </w:rPr>
              <w:t>годы.</w:t>
            </w:r>
          </w:p>
          <w:p w14:paraId="4BCF0012" w14:textId="77777777" w:rsidR="006E32C5" w:rsidRPr="00AC1D8C" w:rsidRDefault="006E32C5" w:rsidP="006E32C5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AC1D8C">
              <w:rPr>
                <w:sz w:val="20"/>
                <w:szCs w:val="18"/>
                <w:lang w:val="ru-RU"/>
              </w:rPr>
              <w:t>__________________</w:t>
            </w:r>
          </w:p>
          <w:p w14:paraId="5F4297EA" w14:textId="77777777" w:rsidR="006E32C5" w:rsidRPr="00AC1D8C" w:rsidRDefault="006E32C5" w:rsidP="006E32C5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AC1D8C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18CAE2FF" w14:textId="475D41E9" w:rsidR="006E32C5" w:rsidRPr="00AC1D8C" w:rsidRDefault="006E32C5" w:rsidP="006E32C5">
            <w:pPr>
              <w:spacing w:after="160"/>
              <w:rPr>
                <w:i/>
                <w:iCs/>
                <w:lang w:val="ru-RU"/>
              </w:rPr>
            </w:pPr>
            <w:r w:rsidRPr="00F041FF">
              <w:rPr>
                <w:i/>
                <w:iCs/>
                <w:color w:val="000000"/>
                <w:lang w:val="ru-RU"/>
              </w:rPr>
              <w:t xml:space="preserve">Резолюции </w:t>
            </w:r>
            <w:hyperlink r:id="rId7" w:history="1">
              <w:r w:rsidRPr="00F041FF">
                <w:rPr>
                  <w:rStyle w:val="Hyperlink"/>
                  <w:i/>
                  <w:iCs/>
                  <w:lang w:val="ru-RU"/>
                </w:rPr>
                <w:t>71 (Пересм. Бухарест, 2022 г.)</w:t>
              </w:r>
            </w:hyperlink>
            <w:r w:rsidRPr="00F041FF">
              <w:rPr>
                <w:i/>
                <w:iCs/>
                <w:color w:val="000000"/>
                <w:lang w:val="ru-RU"/>
              </w:rPr>
              <w:t xml:space="preserve"> и </w:t>
            </w:r>
            <w:hyperlink r:id="rId8" w:history="1">
              <w:r w:rsidRPr="00F041FF">
                <w:rPr>
                  <w:rStyle w:val="Hyperlink"/>
                  <w:i/>
                  <w:iCs/>
                  <w:lang w:val="ru-RU"/>
                </w:rPr>
                <w:t>191 (Пересм. Бухарест, 2022 г.)</w:t>
              </w:r>
            </w:hyperlink>
            <w:r w:rsidRPr="00F041FF">
              <w:rPr>
                <w:i/>
                <w:iCs/>
                <w:color w:val="000000"/>
                <w:lang w:val="ru-RU"/>
              </w:rPr>
              <w:t>, Решение </w:t>
            </w:r>
            <w:hyperlink r:id="rId9" w:history="1">
              <w:r w:rsidRPr="00F041FF">
                <w:rPr>
                  <w:rStyle w:val="Hyperlink"/>
                  <w:i/>
                  <w:iCs/>
                  <w:lang w:val="ru-RU"/>
                </w:rPr>
                <w:t>5 (Пересм. Бухарест, 2022 г.)</w:t>
              </w:r>
            </w:hyperlink>
            <w:r w:rsidRPr="00F041FF">
              <w:rPr>
                <w:i/>
                <w:iCs/>
                <w:color w:val="000000"/>
                <w:lang w:val="ru-RU"/>
              </w:rPr>
              <w:t xml:space="preserve"> Полномочной конференции</w:t>
            </w:r>
          </w:p>
        </w:tc>
      </w:tr>
      <w:bookmarkEnd w:id="2"/>
      <w:bookmarkEnd w:id="6"/>
    </w:tbl>
    <w:p w14:paraId="6C0100B8" w14:textId="77777777" w:rsidR="00796BD3" w:rsidRPr="00AC1D8C" w:rsidRDefault="00796BD3" w:rsidP="00796BD3">
      <w:pPr>
        <w:rPr>
          <w:lang w:val="ru-RU"/>
        </w:rPr>
      </w:pPr>
    </w:p>
    <w:p w14:paraId="7D857FB6" w14:textId="77777777" w:rsidR="00D17718" w:rsidRPr="00AC1D8C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0581667A" w14:textId="77777777" w:rsidR="00165D06" w:rsidRPr="00AC1D8C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AC1D8C">
        <w:rPr>
          <w:lang w:val="ru-RU"/>
        </w:rPr>
        <w:br w:type="page"/>
      </w:r>
    </w:p>
    <w:p w14:paraId="3E7AD527" w14:textId="77777777" w:rsidR="006E32C5" w:rsidRPr="00F041FF" w:rsidRDefault="006E32C5" w:rsidP="003C550E">
      <w:pPr>
        <w:pStyle w:val="Headingb"/>
        <w:rPr>
          <w:lang w:val="ru-RU"/>
        </w:rPr>
      </w:pPr>
      <w:r w:rsidRPr="00F041FF">
        <w:rPr>
          <w:lang w:val="ru-RU"/>
        </w:rPr>
        <w:lastRenderedPageBreak/>
        <w:t>Введение</w:t>
      </w:r>
    </w:p>
    <w:p w14:paraId="09501F13" w14:textId="566EE9FF" w:rsidR="006E32C5" w:rsidRPr="00F041FF" w:rsidRDefault="006E32C5" w:rsidP="001C1893">
      <w:pPr>
        <w:jc w:val="both"/>
        <w:rPr>
          <w:lang w:val="ru-RU"/>
        </w:rPr>
      </w:pPr>
      <w:r w:rsidRPr="00F041FF">
        <w:rPr>
          <w:lang w:val="ru-RU"/>
        </w:rPr>
        <w:t>В своей Резолюции 191 (Пересм. Бухарест, 2022 г.) Полномочная конференция 2022 года (ПК</w:t>
      </w:r>
      <w:r w:rsidRPr="006E32C5">
        <w:rPr>
          <w:lang w:val="ru-RU"/>
        </w:rPr>
        <w:noBreakHyphen/>
      </w:r>
      <w:r w:rsidRPr="00F041FF">
        <w:rPr>
          <w:lang w:val="ru-RU"/>
        </w:rPr>
        <w:t>22) поручает Генеральному секретарю продолжать совершенствовать координацию и сотрудничество между тремя Секторами и Генеральным секретариатом, с тем чтобы не допускать дублирования усилий и оптимизировать использование ресурсов Союза. В</w:t>
      </w:r>
      <w:r>
        <w:rPr>
          <w:lang w:val="en-US"/>
        </w:rPr>
        <w:t> </w:t>
      </w:r>
      <w:r w:rsidRPr="00F041FF">
        <w:rPr>
          <w:lang w:val="ru-RU"/>
        </w:rPr>
        <w:t>Резолюции далее Генеральному секретарю поручено определить все формы частично совпадающих функций и видов деятельности Секторов и Генерального секретариата и предложить соответствующие решения.</w:t>
      </w:r>
    </w:p>
    <w:p w14:paraId="61C4D093" w14:textId="77777777" w:rsidR="006E32C5" w:rsidRPr="00F041FF" w:rsidRDefault="006E32C5" w:rsidP="001C1893">
      <w:pPr>
        <w:jc w:val="both"/>
        <w:rPr>
          <w:lang w:val="ru-RU"/>
        </w:rPr>
      </w:pPr>
      <w:r w:rsidRPr="00F041FF">
        <w:rPr>
          <w:lang w:val="ru-RU"/>
        </w:rPr>
        <w:t>Для выполнения этих задач Генеральный секретарь делегировал заместителю Генерального секретаря полномочия по реализации стратегий и механизмов межсекторальной координации, позволяющих осуществлять эффективное сотрудничество между Секторами и Генеральным секретариатом в формате межсекторальных групп в поддержку стратегических целей МСЭ и организационной эффективности.</w:t>
      </w:r>
    </w:p>
    <w:p w14:paraId="56828BD7" w14:textId="77777777" w:rsidR="006E32C5" w:rsidRPr="00F041FF" w:rsidRDefault="006E32C5" w:rsidP="001C1893">
      <w:pPr>
        <w:jc w:val="both"/>
        <w:rPr>
          <w:rFonts w:asciiTheme="minorHAnsi" w:hAnsiTheme="minorHAnsi" w:cstheme="minorHAnsi"/>
          <w:szCs w:val="24"/>
          <w:lang w:val="ru-RU"/>
        </w:rPr>
      </w:pPr>
      <w:r w:rsidRPr="00F041FF">
        <w:rPr>
          <w:lang w:val="ru-RU"/>
        </w:rPr>
        <w:t>В 2024 году была опубликована новая редакция Служебного приказа о создании Межсекторальной целевой группы по координации (ЦГ-МСК) (</w:t>
      </w:r>
      <w:hyperlink r:id="rId10" w:history="1">
        <w:r w:rsidRPr="00F041FF">
          <w:rPr>
            <w:rStyle w:val="Hyperlink"/>
            <w:lang w:val="ru-RU"/>
          </w:rPr>
          <w:t>SO 24/06</w:t>
        </w:r>
      </w:hyperlink>
      <w:r w:rsidRPr="00F041FF">
        <w:rPr>
          <w:lang w:val="ru-RU"/>
        </w:rPr>
        <w:t>). Мандат ЦГ-МСК, действующей под руководством Координационного комитета (КК), заключается в укреплении координации и сотрудничества между тремя Бюро и Генеральным секретариатом, с тем чтобы не допускать дублирования усилий и оптимизировать использование ресурсов МСЭ.</w:t>
      </w:r>
      <w:hyperlink r:id="rId11" w:history="1"/>
    </w:p>
    <w:p w14:paraId="693B9B48" w14:textId="77777777" w:rsidR="006E32C5" w:rsidRPr="00F041FF" w:rsidRDefault="006E32C5" w:rsidP="001C1893">
      <w:pPr>
        <w:jc w:val="both"/>
        <w:rPr>
          <w:lang w:val="ru-RU"/>
        </w:rPr>
      </w:pPr>
      <w:r w:rsidRPr="00F041FF">
        <w:rPr>
          <w:lang w:val="ru-RU"/>
        </w:rPr>
        <w:t>Координация в рамках Межсекторальной целевой группы по координации (ЦГ-МСК): ЦГ-МСК является основным механизмом внутренней координации на уровне секретариата, который способствует сотрудничеству между тремя Бюро и Генеральным секретариатом и обеспечивает согласованность деятельности со стратегическими приоритетами Союза. Она также обеспечивает взаимодействие с Межсекторальной координационной группой (МСКГ) в целях определения потребностей членов и разработки вариантов повышения эффективности сотрудничества и координации в рамках МСЭ.</w:t>
      </w:r>
    </w:p>
    <w:p w14:paraId="2EC113BE" w14:textId="3A418265" w:rsidR="006E32C5" w:rsidRPr="00C628A7" w:rsidRDefault="006E32C5" w:rsidP="001C1893">
      <w:pPr>
        <w:jc w:val="both"/>
        <w:rPr>
          <w:szCs w:val="24"/>
          <w:lang w:val="ru-RU"/>
        </w:rPr>
      </w:pPr>
      <w:r w:rsidRPr="00F041FF">
        <w:rPr>
          <w:lang w:val="ru-RU"/>
        </w:rPr>
        <w:t>После представления отчета Совету в прошлом году ЦГ-МСК продолжает укреплять координацию в рамках Союза путем сочетания механизмов управления, общих аналитических инструментов и конкретных межсекторальных инициатив.</w:t>
      </w:r>
    </w:p>
    <w:p w14:paraId="401F19CB" w14:textId="77777777" w:rsidR="006E32C5" w:rsidRPr="00F041FF" w:rsidRDefault="006E32C5" w:rsidP="001C1893">
      <w:pPr>
        <w:jc w:val="both"/>
        <w:rPr>
          <w:rFonts w:eastAsia="Calibri"/>
          <w:lang w:val="ru-RU"/>
        </w:rPr>
      </w:pPr>
      <w:r w:rsidRPr="00F041FF">
        <w:rPr>
          <w:lang w:val="ru-RU"/>
        </w:rPr>
        <w:t xml:space="preserve">Межсекторальная координация способствует реализации нескольких крупных инициатив МСЭ, информация о которых вошла в ежегодный отчет Союза и работа в рамках которых все чаще сочетает специальные знания и опыт Секторов радиосвязи, стандартизации и развития, а также Генерального секретариата. </w:t>
      </w:r>
      <w:r>
        <w:rPr>
          <w:lang w:val="ru-RU"/>
        </w:rPr>
        <w:t>Ниже приведен ряд примеров.</w:t>
      </w:r>
    </w:p>
    <w:p w14:paraId="042D5C50" w14:textId="77777777" w:rsidR="006E32C5" w:rsidRPr="00F041FF" w:rsidRDefault="006E32C5" w:rsidP="001C1893">
      <w:pPr>
        <w:pStyle w:val="enumlev1"/>
        <w:jc w:val="both"/>
        <w:rPr>
          <w:rFonts w:eastAsia="Calibri"/>
          <w:lang w:val="ru-RU"/>
        </w:rPr>
      </w:pPr>
      <w:r w:rsidRPr="00F041FF">
        <w:rPr>
          <w:lang w:val="ru-RU"/>
        </w:rPr>
        <w:t>–</w:t>
      </w:r>
      <w:r w:rsidRPr="00F041FF">
        <w:rPr>
          <w:lang w:val="ru-RU"/>
        </w:rPr>
        <w:tab/>
      </w:r>
      <w:r w:rsidRPr="00F041FF">
        <w:rPr>
          <w:b/>
          <w:bCs/>
          <w:lang w:val="ru-RU"/>
        </w:rPr>
        <w:t>Кибербезопасность и цифровое доверие</w:t>
      </w:r>
      <w:r>
        <w:rPr>
          <w:lang w:val="ru-RU"/>
        </w:rPr>
        <w:t>.</w:t>
      </w:r>
      <w:r w:rsidRPr="00F041FF">
        <w:rPr>
          <w:lang w:val="ru-RU"/>
        </w:rPr>
        <w:t xml:space="preserve"> Работа МСЭ-D, МСЭ-T и МСЭ-R способствует созданию всеобъемлющей глобальной основы для кибербезопасности, включающей </w:t>
      </w:r>
      <w:r w:rsidRPr="00C628A7">
        <w:rPr>
          <w:lang w:val="ru-RU"/>
        </w:rPr>
        <w:t>руководящие</w:t>
      </w:r>
      <w:r w:rsidRPr="00F041FF">
        <w:rPr>
          <w:lang w:val="ru-RU"/>
        </w:rPr>
        <w:t xml:space="preserve"> указания в области политики, деятельность по разработке стандартов и меры по созданию потенциала. Благодаря этим скоординированным усилиям число стран, имеющих национальные группы реагирования на компьютерные инциденты, увеличилось со 109 в 2020 году до 132 к 2025 году, число национальных стратегий кибербезопасности по всему миру также значительно выросло.</w:t>
      </w:r>
    </w:p>
    <w:p w14:paraId="5B3B1B30" w14:textId="7E34304F" w:rsidR="006E32C5" w:rsidRPr="00C628A7" w:rsidRDefault="006E32C5" w:rsidP="001C1893">
      <w:pPr>
        <w:pStyle w:val="enumlev1"/>
        <w:jc w:val="both"/>
        <w:rPr>
          <w:rFonts w:eastAsia="Calibri" w:cs="Calibri"/>
          <w:szCs w:val="24"/>
          <w:lang w:val="ru-RU"/>
        </w:rPr>
      </w:pPr>
      <w:r w:rsidRPr="00F041FF">
        <w:rPr>
          <w:lang w:val="ru-RU"/>
        </w:rPr>
        <w:t>–</w:t>
      </w:r>
      <w:r w:rsidRPr="00F041FF">
        <w:rPr>
          <w:lang w:val="ru-RU"/>
        </w:rPr>
        <w:tab/>
      </w:r>
      <w:r w:rsidRPr="00F041FF">
        <w:rPr>
          <w:b/>
          <w:bCs/>
          <w:lang w:val="ru-RU"/>
        </w:rPr>
        <w:t>Охват цифровыми технологиями и доступность</w:t>
      </w:r>
      <w:r>
        <w:rPr>
          <w:lang w:val="ru-RU"/>
        </w:rPr>
        <w:t>.</w:t>
      </w:r>
      <w:r w:rsidRPr="00F041FF">
        <w:rPr>
          <w:lang w:val="ru-RU"/>
        </w:rPr>
        <w:t xml:space="preserve"> Три Сектора совместно работали над обеспечением цифровой доступности для лиц с ограниченными возможностями: проводились консультации экспертов, были организованы учебные программы и </w:t>
      </w:r>
      <w:r w:rsidRPr="00C628A7">
        <w:rPr>
          <w:lang w:val="ru-RU"/>
        </w:rPr>
        <w:t>предоставлены</w:t>
      </w:r>
      <w:r w:rsidRPr="00F041FF">
        <w:rPr>
          <w:lang w:val="ru-RU"/>
        </w:rPr>
        <w:t xml:space="preserve"> технические ресурсы. Такой скоординированный подход способствовал росту числа стран, имеющих национальное регуляторное законодательство в области доступности ИКТ, </w:t>
      </w:r>
      <w:r w:rsidRPr="00F041FF">
        <w:rPr>
          <w:rFonts w:cs="Calibri"/>
          <w:lang w:val="ru-RU"/>
        </w:rPr>
        <w:t>–</w:t>
      </w:r>
      <w:r w:rsidRPr="00F041FF">
        <w:rPr>
          <w:lang w:val="ru-RU"/>
        </w:rPr>
        <w:t xml:space="preserve"> более 100 стран за отчетный период.</w:t>
      </w:r>
    </w:p>
    <w:p w14:paraId="058EEE23" w14:textId="77777777" w:rsidR="006E32C5" w:rsidRPr="00F041FF" w:rsidRDefault="006E32C5" w:rsidP="001C1893">
      <w:pPr>
        <w:pStyle w:val="enumlev1"/>
        <w:jc w:val="both"/>
        <w:rPr>
          <w:rFonts w:eastAsia="Calibri" w:cs="Calibri"/>
          <w:szCs w:val="24"/>
          <w:lang w:val="ru-RU"/>
        </w:rPr>
      </w:pPr>
      <w:r w:rsidRPr="00F041FF">
        <w:rPr>
          <w:lang w:val="ru-RU"/>
        </w:rPr>
        <w:t>–</w:t>
      </w:r>
      <w:r w:rsidRPr="00F041FF">
        <w:rPr>
          <w:lang w:val="ru-RU"/>
        </w:rPr>
        <w:tab/>
      </w:r>
      <w:r w:rsidRPr="00F041FF">
        <w:rPr>
          <w:b/>
          <w:bCs/>
          <w:lang w:val="ru-RU"/>
        </w:rPr>
        <w:t>Преодоление разрыва в стандартизации и развитие потенциала</w:t>
      </w:r>
      <w:r>
        <w:rPr>
          <w:lang w:val="ru-RU"/>
        </w:rPr>
        <w:t>.</w:t>
      </w:r>
      <w:r w:rsidRPr="00F041FF">
        <w:rPr>
          <w:lang w:val="ru-RU"/>
        </w:rPr>
        <w:t xml:space="preserve"> Координация между Бюро стандартизации электросвязи (БСЭ) и Бюро развития электросвязи (БРЭ), в том числе в рамках региональных отделений, продолжает способствовать работе в области </w:t>
      </w:r>
      <w:r w:rsidRPr="00F041FF">
        <w:rPr>
          <w:lang w:val="ru-RU"/>
        </w:rPr>
        <w:lastRenderedPageBreak/>
        <w:t xml:space="preserve">профессиональной подготовки и развития потенциала в целях расширения участия развивающихся стран в процессах международной стандартизации. На платформе </w:t>
      </w:r>
      <w:r w:rsidRPr="00C628A7">
        <w:rPr>
          <w:lang w:val="ru-RU"/>
        </w:rPr>
        <w:t>Академии</w:t>
      </w:r>
      <w:r w:rsidRPr="00F041FF">
        <w:rPr>
          <w:lang w:val="ru-RU"/>
        </w:rPr>
        <w:t xml:space="preserve"> МСЭ доступны учебные материалы и курсы на целом ряде языков.</w:t>
      </w:r>
    </w:p>
    <w:p w14:paraId="57526531" w14:textId="77777777" w:rsidR="006E32C5" w:rsidRPr="00F041FF" w:rsidRDefault="006E32C5" w:rsidP="001C1893">
      <w:pPr>
        <w:jc w:val="both"/>
        <w:rPr>
          <w:rFonts w:eastAsia="Calibri"/>
          <w:lang w:val="ru-RU"/>
        </w:rPr>
      </w:pPr>
      <w:r w:rsidRPr="00F041FF">
        <w:rPr>
          <w:lang w:val="ru-RU"/>
        </w:rPr>
        <w:t xml:space="preserve">С более конкретными результатами межсекторальных координационных усилий можно ознакомиться в Документе </w:t>
      </w:r>
      <w:hyperlink r:id="rId12" w:history="1">
        <w:r w:rsidRPr="00F041FF">
          <w:rPr>
            <w:rStyle w:val="Hyperlink"/>
            <w:lang w:val="ru-RU"/>
          </w:rPr>
          <w:t>C26/35</w:t>
        </w:r>
      </w:hyperlink>
      <w:r w:rsidRPr="00F041FF">
        <w:rPr>
          <w:lang w:val="ru-RU"/>
        </w:rPr>
        <w:t xml:space="preserve"> Совета о выполнении Стратегического плана и деятельности Союза, в том числе получить сведения о веб-платформе, разработанной для представления отчетов о выполнении Резолюций ПК, которая доступна по данной </w:t>
      </w:r>
      <w:hyperlink r:id="rId13" w:history="1">
        <w:r w:rsidRPr="00F041FF">
          <w:rPr>
            <w:rStyle w:val="Hyperlink"/>
            <w:lang w:val="ru-RU"/>
          </w:rPr>
          <w:t>ссылке</w:t>
        </w:r>
      </w:hyperlink>
      <w:r w:rsidRPr="00F041FF">
        <w:rPr>
          <w:lang w:val="ru-RU"/>
        </w:rPr>
        <w:t>.</w:t>
      </w:r>
      <w:hyperlink r:id="rId14" w:history="1"/>
      <w:hyperlink r:id="rId15" w:history="1"/>
    </w:p>
    <w:p w14:paraId="0F00F6A6" w14:textId="77777777" w:rsidR="006E32C5" w:rsidRPr="00F041FF" w:rsidRDefault="006E32C5" w:rsidP="001C1893">
      <w:pPr>
        <w:jc w:val="both"/>
        <w:rPr>
          <w:rFonts w:eastAsia="Calibri"/>
          <w:lang w:val="ru-RU"/>
        </w:rPr>
      </w:pPr>
      <w:r w:rsidRPr="00F041FF">
        <w:rPr>
          <w:lang w:val="ru-RU"/>
        </w:rPr>
        <w:t xml:space="preserve">Секретариат продолжает также укреплять координацию в рамках </w:t>
      </w:r>
      <w:r>
        <w:rPr>
          <w:lang w:val="ru-RU"/>
        </w:rPr>
        <w:t xml:space="preserve">указанных ниже </w:t>
      </w:r>
      <w:r w:rsidRPr="00F041FF">
        <w:rPr>
          <w:lang w:val="ru-RU"/>
        </w:rPr>
        <w:t>мероприятий</w:t>
      </w:r>
      <w:r>
        <w:rPr>
          <w:lang w:val="ru-RU"/>
        </w:rPr>
        <w:t>.</w:t>
      </w:r>
    </w:p>
    <w:p w14:paraId="3302FCB9" w14:textId="77777777" w:rsidR="006E32C5" w:rsidRPr="00F041FF" w:rsidRDefault="006E32C5" w:rsidP="001C1893">
      <w:pPr>
        <w:pStyle w:val="enumlev1"/>
        <w:jc w:val="both"/>
        <w:rPr>
          <w:rFonts w:eastAsia="Calibri" w:cs="Calibri"/>
          <w:lang w:val="ru-RU"/>
        </w:rPr>
      </w:pPr>
      <w:r w:rsidRPr="00F041FF">
        <w:rPr>
          <w:lang w:val="ru-RU"/>
        </w:rPr>
        <w:t>–</w:t>
      </w:r>
      <w:r w:rsidRPr="00F041FF">
        <w:rPr>
          <w:lang w:val="ru-RU"/>
        </w:rPr>
        <w:tab/>
      </w:r>
      <w:hyperlink r:id="rId16" w:history="1">
        <w:r w:rsidRPr="00F041FF">
          <w:rPr>
            <w:rStyle w:val="Hyperlink"/>
            <w:lang w:val="ru-RU"/>
          </w:rPr>
          <w:t>Веб-страница по межсекторальной координации</w:t>
        </w:r>
      </w:hyperlink>
      <w:r>
        <w:rPr>
          <w:lang w:val="ru-RU"/>
        </w:rPr>
        <w:t>.</w:t>
      </w:r>
      <w:r w:rsidRPr="00F041FF">
        <w:rPr>
          <w:lang w:val="ru-RU"/>
        </w:rPr>
        <w:t xml:space="preserve"> По просьбе Рабочей группы Совета по финансовым и людским ресурсам (РГС-ФЛР) веб-сайт МСКГ был также обновлен, чтобы отразить изменения в формате и процедурах публикации документов в соответствии с </w:t>
      </w:r>
      <w:r w:rsidRPr="00C628A7">
        <w:rPr>
          <w:lang w:val="ru-RU"/>
        </w:rPr>
        <w:t>просьбами</w:t>
      </w:r>
      <w:r w:rsidRPr="00F041FF">
        <w:rPr>
          <w:lang w:val="ru-RU"/>
        </w:rPr>
        <w:t xml:space="preserve"> Государств-Членов и практикой, применяемой в отношении других собраний Генерального секретариата.</w:t>
      </w:r>
      <w:hyperlink r:id="rId17"/>
    </w:p>
    <w:p w14:paraId="14A60473" w14:textId="784AB7EE" w:rsidR="006E32C5" w:rsidRPr="00F041FF" w:rsidRDefault="006E32C5" w:rsidP="001C1893">
      <w:pPr>
        <w:pStyle w:val="enumlev1"/>
        <w:jc w:val="both"/>
        <w:rPr>
          <w:rFonts w:cs="Calibri"/>
          <w:lang w:val="ru-RU"/>
        </w:rPr>
      </w:pPr>
      <w:r w:rsidRPr="00F041FF">
        <w:rPr>
          <w:lang w:val="ru-RU"/>
        </w:rPr>
        <w:t>–</w:t>
      </w:r>
      <w:r w:rsidRPr="00F041FF">
        <w:rPr>
          <w:lang w:val="ru-RU"/>
        </w:rPr>
        <w:tab/>
        <w:t xml:space="preserve">Опубликован </w:t>
      </w:r>
      <w:hyperlink r:id="rId18" w:history="1">
        <w:r w:rsidRPr="00F041FF">
          <w:rPr>
            <w:rStyle w:val="Hyperlink"/>
            <w:lang w:val="ru-RU"/>
          </w:rPr>
          <w:t>перечень тем</w:t>
        </w:r>
      </w:hyperlink>
      <w:r w:rsidRPr="00F041FF">
        <w:rPr>
          <w:lang w:val="ru-RU"/>
        </w:rPr>
        <w:t xml:space="preserve">, требующих межсекторальной координации, и назначенных </w:t>
      </w:r>
      <w:r w:rsidRPr="003C550E">
        <w:rPr>
          <w:lang w:val="ru-RU"/>
        </w:rPr>
        <w:t>Секторами</w:t>
      </w:r>
      <w:r w:rsidRPr="00F041FF">
        <w:rPr>
          <w:lang w:val="ru-RU"/>
        </w:rPr>
        <w:t xml:space="preserve"> и Генеральным секретариатом координаторов (см.</w:t>
      </w:r>
      <w:r w:rsidR="003C550E">
        <w:rPr>
          <w:lang w:val="en-US"/>
        </w:rPr>
        <w:t> </w:t>
      </w:r>
      <w:r w:rsidRPr="00F041FF">
        <w:rPr>
          <w:lang w:val="ru-RU"/>
        </w:rPr>
        <w:t>веб</w:t>
      </w:r>
      <w:r w:rsidR="003C550E" w:rsidRPr="003C550E">
        <w:rPr>
          <w:lang w:val="ru-RU"/>
        </w:rPr>
        <w:noBreakHyphen/>
      </w:r>
      <w:r w:rsidRPr="00F041FF">
        <w:rPr>
          <w:lang w:val="ru-RU"/>
        </w:rPr>
        <w:t>страницу, посвященную межсекторальной координации).</w:t>
      </w:r>
      <w:hyperlink r:id="rId19"/>
    </w:p>
    <w:p w14:paraId="40056EF1" w14:textId="77777777" w:rsidR="006E32C5" w:rsidRPr="00F041FF" w:rsidRDefault="006E32C5" w:rsidP="001C1893">
      <w:pPr>
        <w:pStyle w:val="enumlev1"/>
        <w:jc w:val="both"/>
        <w:rPr>
          <w:rFonts w:cs="Calibri"/>
          <w:lang w:val="ru-RU"/>
        </w:rPr>
      </w:pPr>
      <w:r w:rsidRPr="00F041FF">
        <w:rPr>
          <w:lang w:val="ru-RU"/>
        </w:rPr>
        <w:t>–</w:t>
      </w:r>
      <w:r w:rsidRPr="00F041FF">
        <w:rPr>
          <w:lang w:val="ru-RU"/>
        </w:rPr>
        <w:tab/>
        <w:t xml:space="preserve">Продолжение работы по </w:t>
      </w:r>
      <w:hyperlink r:id="rId20" w:history="1">
        <w:r w:rsidRPr="00F041FF">
          <w:rPr>
            <w:rStyle w:val="Hyperlink"/>
            <w:lang w:val="ru-RU"/>
          </w:rPr>
          <w:t>сопоставлению Резолюций</w:t>
        </w:r>
      </w:hyperlink>
      <w:r w:rsidRPr="00F041FF">
        <w:rPr>
          <w:lang w:val="ru-RU"/>
        </w:rPr>
        <w:t xml:space="preserve"> основных конференций и ассамблей МСЭ (последнее обновление – после ВКРЭ-25), включая на данный момент также </w:t>
      </w:r>
      <w:r w:rsidRPr="00C628A7">
        <w:rPr>
          <w:lang w:val="ru-RU"/>
        </w:rPr>
        <w:t>Резолюции</w:t>
      </w:r>
      <w:r w:rsidRPr="00F041FF">
        <w:rPr>
          <w:lang w:val="ru-RU"/>
        </w:rPr>
        <w:t xml:space="preserve"> Всемирной конференции по международной электросвязи (Дубай, 2012 г.), в соответствии с просьбами Государств-Членов; этот инструмент призван помочь Государствам-Членам при подготовке их вкладов для Полномочной конференции 2026 года (ПК-26).</w:t>
      </w:r>
      <w:hyperlink r:id="rId21" w:history="1"/>
    </w:p>
    <w:p w14:paraId="2B7DF21D" w14:textId="77777777" w:rsidR="006E32C5" w:rsidRPr="00F041FF" w:rsidRDefault="006E32C5" w:rsidP="001C1893">
      <w:pPr>
        <w:pStyle w:val="enumlev1"/>
        <w:jc w:val="both"/>
        <w:rPr>
          <w:rFonts w:cs="Calibri"/>
          <w:lang w:val="ru-RU"/>
        </w:rPr>
      </w:pPr>
      <w:r w:rsidRPr="00F041FF">
        <w:rPr>
          <w:lang w:val="ru-RU"/>
        </w:rPr>
        <w:t>–</w:t>
      </w:r>
      <w:r w:rsidRPr="00F041FF">
        <w:rPr>
          <w:lang w:val="ru-RU"/>
        </w:rPr>
        <w:tab/>
        <w:t xml:space="preserve">Также в контексте ПК-26 ЦГ-МСК приветствовала </w:t>
      </w:r>
      <w:hyperlink r:id="rId22" w:history="1">
        <w:r w:rsidRPr="00F041FF">
          <w:rPr>
            <w:rStyle w:val="Hyperlink"/>
            <w:lang w:val="ru-RU"/>
          </w:rPr>
          <w:t>Руководящие указания по обеспечению согласованности Резолюций и Решений Полномочной конференции</w:t>
        </w:r>
      </w:hyperlink>
      <w:r w:rsidRPr="00F041FF">
        <w:rPr>
          <w:lang w:val="ru-RU"/>
        </w:rPr>
        <w:t xml:space="preserve">, подготовленные Рабочей группой Совета по разработке Стратегического и Финансового планов на 2028−2031 годы (РГС-СФП); эти руководящие указания представляют собой дополнительный, не имеющий обязывающей силы инструмент для оказания помощи </w:t>
      </w:r>
      <w:r w:rsidRPr="00C628A7">
        <w:rPr>
          <w:lang w:val="ru-RU"/>
        </w:rPr>
        <w:t>заинтересованным</w:t>
      </w:r>
      <w:r w:rsidRPr="00F041FF">
        <w:rPr>
          <w:lang w:val="ru-RU"/>
        </w:rPr>
        <w:t xml:space="preserve"> Государствам-Членам в подготовке их предложений в целях повышения эффективности работы Союза.</w:t>
      </w:r>
      <w:hyperlink r:id="rId23" w:history="1"/>
    </w:p>
    <w:p w14:paraId="19BDFEDB" w14:textId="77777777" w:rsidR="006E32C5" w:rsidRPr="00F041FF" w:rsidRDefault="006E32C5" w:rsidP="001C1893">
      <w:pPr>
        <w:pStyle w:val="enumlev1"/>
        <w:jc w:val="both"/>
        <w:rPr>
          <w:rFonts w:cs="Calibri"/>
          <w:lang w:val="ru-RU"/>
        </w:rPr>
      </w:pPr>
      <w:r w:rsidRPr="00F041FF">
        <w:rPr>
          <w:lang w:val="ru-RU"/>
        </w:rPr>
        <w:t>–</w:t>
      </w:r>
      <w:r w:rsidRPr="00F041FF">
        <w:rPr>
          <w:lang w:val="ru-RU"/>
        </w:rPr>
        <w:tab/>
        <w:t xml:space="preserve">Партнерство по измерению ИКТ в целях развития: Это партнерство работает над повышением качества и доступности данных по ИКТ для устойчивого развития и </w:t>
      </w:r>
      <w:r w:rsidRPr="00C628A7">
        <w:rPr>
          <w:lang w:val="ru-RU"/>
        </w:rPr>
        <w:t>сопоставляет</w:t>
      </w:r>
      <w:r w:rsidRPr="00F041FF">
        <w:rPr>
          <w:lang w:val="ru-RU"/>
        </w:rPr>
        <w:t xml:space="preserve"> основные показатели с Направлениями деятельности ВВУИО, Глобальным цифровым договором и инициативой ООН по обеспечению реальной возможности установления соединений; результаты этой работы размещаются на </w:t>
      </w:r>
      <w:r>
        <w:rPr>
          <w:lang w:val="ru-RU"/>
        </w:rPr>
        <w:t xml:space="preserve">портале </w:t>
      </w:r>
      <w:hyperlink r:id="rId24" w:history="1">
        <w:r>
          <w:rPr>
            <w:rStyle w:val="Hyperlink"/>
            <w:lang w:val="ru-RU"/>
          </w:rPr>
          <w:t>"Центр данных МСЭ</w:t>
        </w:r>
      </w:hyperlink>
      <w:r>
        <w:rPr>
          <w:rStyle w:val="Hyperlink"/>
          <w:lang w:val="ru-RU"/>
        </w:rPr>
        <w:t>"</w:t>
      </w:r>
      <w:r w:rsidRPr="00F041FF">
        <w:rPr>
          <w:lang w:val="ru-RU"/>
        </w:rPr>
        <w:t>.</w:t>
      </w:r>
      <w:hyperlink r:id="rId25" w:history="1"/>
    </w:p>
    <w:p w14:paraId="28E6D381" w14:textId="77777777" w:rsidR="006E32C5" w:rsidRPr="00F041FF" w:rsidRDefault="006E32C5" w:rsidP="001C1893">
      <w:pPr>
        <w:jc w:val="both"/>
        <w:rPr>
          <w:lang w:val="ru-RU"/>
        </w:rPr>
      </w:pPr>
      <w:r w:rsidRPr="00F041FF">
        <w:rPr>
          <w:lang w:val="ru-RU"/>
        </w:rPr>
        <w:t xml:space="preserve">В 2026 году ЦГ-МСК </w:t>
      </w:r>
      <w:r>
        <w:rPr>
          <w:lang w:val="ru-RU"/>
        </w:rPr>
        <w:t xml:space="preserve">будет </w:t>
      </w:r>
      <w:r w:rsidRPr="00F041FF">
        <w:rPr>
          <w:lang w:val="ru-RU"/>
        </w:rPr>
        <w:t>удел</w:t>
      </w:r>
      <w:r>
        <w:rPr>
          <w:lang w:val="ru-RU"/>
        </w:rPr>
        <w:t>я</w:t>
      </w:r>
      <w:r w:rsidRPr="00F041FF">
        <w:rPr>
          <w:lang w:val="ru-RU"/>
        </w:rPr>
        <w:t>т</w:t>
      </w:r>
      <w:r>
        <w:rPr>
          <w:lang w:val="ru-RU"/>
        </w:rPr>
        <w:t>ь</w:t>
      </w:r>
      <w:r w:rsidRPr="00F041FF">
        <w:rPr>
          <w:lang w:val="ru-RU"/>
        </w:rPr>
        <w:t xml:space="preserve"> приоритетное внимание улучшению координации мероприятий, публикаций и коммуникации в целях укрепления институционального присутствия Союза и повышения его общего влияния.</w:t>
      </w:r>
    </w:p>
    <w:p w14:paraId="3A4CBB54" w14:textId="1029E37C" w:rsidR="006E32C5" w:rsidRPr="00C628A7" w:rsidRDefault="006E32C5" w:rsidP="001564FC">
      <w:pPr>
        <w:pStyle w:val="Headingb"/>
        <w:rPr>
          <w:lang w:val="ru-RU"/>
        </w:rPr>
      </w:pPr>
      <w:r w:rsidRPr="00F041FF">
        <w:rPr>
          <w:lang w:val="ru-RU"/>
        </w:rPr>
        <w:t>Поддержка стратегического планирования и организационной согласованности</w:t>
      </w:r>
    </w:p>
    <w:p w14:paraId="2CBB5996" w14:textId="2FEEEA19" w:rsidR="006E32C5" w:rsidRPr="00F041FF" w:rsidRDefault="006E32C5" w:rsidP="001C1893">
      <w:pPr>
        <w:jc w:val="both"/>
        <w:rPr>
          <w:lang w:val="ru-RU"/>
        </w:rPr>
      </w:pPr>
      <w:r w:rsidRPr="00F041FF">
        <w:rPr>
          <w:lang w:val="ru-RU"/>
        </w:rPr>
        <w:t>Для координации вкладов секретариата в разработку Стратегического и Финансового планов на 2028</w:t>
      </w:r>
      <w:r w:rsidR="001564FC">
        <w:rPr>
          <w:rFonts w:cs="Calibri"/>
          <w:lang w:val="ru-RU"/>
        </w:rPr>
        <w:t>−</w:t>
      </w:r>
      <w:r w:rsidRPr="00F041FF">
        <w:rPr>
          <w:lang w:val="ru-RU"/>
        </w:rPr>
        <w:t>2031 годы была создана межсекторальная Рабочая группа по разработке Стратегического и Финансового планов (РГ-СФП) под руководством заместителя Генерального секретаря. Такой совместный подход позволяет секретариату согласовать точки зрения Секторов и обеспечить единое видение в работе Бюро и Генерального секретариата при подготовке следующего цикла планирования. Группа по проектам под председательством руководителя Департамента администрирования и финансов также координирует работу Бюро и Генерального секретариата для обеспечения увязки Стратегического, Финансового и оперативных планов.</w:t>
      </w:r>
    </w:p>
    <w:p w14:paraId="2A68A1B1" w14:textId="77777777" w:rsidR="006E32C5" w:rsidRPr="00F041FF" w:rsidRDefault="006E32C5" w:rsidP="006E32C5">
      <w:pPr>
        <w:pStyle w:val="Headingb"/>
        <w:rPr>
          <w:bCs/>
          <w:lang w:val="ru-RU"/>
        </w:rPr>
      </w:pPr>
      <w:r w:rsidRPr="00F041FF">
        <w:rPr>
          <w:bCs/>
          <w:lang w:val="ru-RU"/>
        </w:rPr>
        <w:lastRenderedPageBreak/>
        <w:t>Координация между членами – Межсекторальная координационная группа (МСКГ)</w:t>
      </w:r>
    </w:p>
    <w:p w14:paraId="0B0FC0BF" w14:textId="59A0FED5" w:rsidR="006E32C5" w:rsidRPr="00F041FF" w:rsidRDefault="006E32C5" w:rsidP="001C1893">
      <w:pPr>
        <w:jc w:val="both"/>
        <w:rPr>
          <w:lang w:val="ru-RU"/>
        </w:rPr>
      </w:pPr>
      <w:r w:rsidRPr="00F041FF">
        <w:rPr>
          <w:lang w:val="ru-RU"/>
        </w:rPr>
        <w:t>Координация деятельности членов по-прежнему осуществляется в рамках возглавляемой г</w:t>
      </w:r>
      <w:r w:rsidR="003C550E" w:rsidRPr="003C550E">
        <w:rPr>
          <w:lang w:val="ru-RU"/>
        </w:rPr>
        <w:noBreakHyphen/>
      </w:r>
      <w:r w:rsidRPr="00F041FF">
        <w:rPr>
          <w:lang w:val="ru-RU"/>
        </w:rPr>
        <w:t>ном Фабио Биджи (Италия) МСКГ как группы, работающей на основе вкладов.</w:t>
      </w:r>
    </w:p>
    <w:p w14:paraId="766210C3" w14:textId="77777777" w:rsidR="006E32C5" w:rsidRPr="00F041FF" w:rsidRDefault="006E32C5" w:rsidP="001C1893">
      <w:pPr>
        <w:jc w:val="both"/>
        <w:rPr>
          <w:lang w:val="ru-RU"/>
        </w:rPr>
      </w:pPr>
      <w:r w:rsidRPr="00F041FF">
        <w:rPr>
          <w:lang w:val="ru-RU"/>
        </w:rPr>
        <w:t xml:space="preserve">МСКГ продолжает рассматривать </w:t>
      </w:r>
      <w:r>
        <w:rPr>
          <w:lang w:val="ru-RU"/>
        </w:rPr>
        <w:t>приведенные ниже</w:t>
      </w:r>
      <w:r w:rsidRPr="00F041FF">
        <w:rPr>
          <w:lang w:val="ru-RU"/>
        </w:rPr>
        <w:t xml:space="preserve"> темы</w:t>
      </w:r>
      <w:r>
        <w:rPr>
          <w:lang w:val="ru-RU"/>
        </w:rPr>
        <w:t>.</w:t>
      </w:r>
    </w:p>
    <w:p w14:paraId="2B29FD94" w14:textId="77777777" w:rsidR="006E32C5" w:rsidRPr="00F041FF" w:rsidRDefault="006E32C5" w:rsidP="001C1893">
      <w:pPr>
        <w:pStyle w:val="enumlev1"/>
        <w:jc w:val="both"/>
        <w:rPr>
          <w:lang w:val="ru-RU"/>
        </w:rPr>
      </w:pPr>
      <w:r w:rsidRPr="00F041FF">
        <w:rPr>
          <w:lang w:val="ru-RU"/>
        </w:rPr>
        <w:t>–</w:t>
      </w:r>
      <w:r w:rsidRPr="00F041FF">
        <w:rPr>
          <w:lang w:val="ru-RU"/>
        </w:rPr>
        <w:tab/>
      </w:r>
      <w:r w:rsidRPr="00F041FF">
        <w:rPr>
          <w:b/>
          <w:bCs/>
          <w:lang w:val="ru-RU"/>
        </w:rPr>
        <w:t>Доступность</w:t>
      </w:r>
      <w:r>
        <w:rPr>
          <w:lang w:val="ru-RU"/>
        </w:rPr>
        <w:t>.</w:t>
      </w:r>
      <w:r w:rsidRPr="00F041FF">
        <w:rPr>
          <w:lang w:val="ru-RU"/>
        </w:rPr>
        <w:t xml:space="preserve"> МСКГ выразила заинтересованность в участии в обсуждениях, связанных с проектом строительства нового здания, и внимательно следит за развитием событий, </w:t>
      </w:r>
      <w:r w:rsidRPr="00C628A7">
        <w:rPr>
          <w:lang w:val="ru-RU"/>
        </w:rPr>
        <w:t>связанных</w:t>
      </w:r>
      <w:r w:rsidRPr="00F041FF">
        <w:rPr>
          <w:lang w:val="ru-RU"/>
        </w:rPr>
        <w:t xml:space="preserve"> с новым веб-сайтом МСЭ, чтобы обеспечить их доступность для всех пользователей.</w:t>
      </w:r>
    </w:p>
    <w:p w14:paraId="04F1F09C" w14:textId="77777777" w:rsidR="006E32C5" w:rsidRPr="00F041FF" w:rsidRDefault="006E32C5" w:rsidP="001C1893">
      <w:pPr>
        <w:pStyle w:val="enumlev1"/>
        <w:jc w:val="both"/>
        <w:rPr>
          <w:lang w:val="ru-RU"/>
        </w:rPr>
      </w:pPr>
      <w:r w:rsidRPr="00F041FF">
        <w:rPr>
          <w:lang w:val="ru-RU"/>
        </w:rPr>
        <w:t>–</w:t>
      </w:r>
      <w:r w:rsidRPr="00F041FF">
        <w:rPr>
          <w:lang w:val="ru-RU"/>
        </w:rPr>
        <w:tab/>
      </w:r>
      <w:r w:rsidRPr="00F041FF">
        <w:rPr>
          <w:b/>
          <w:bCs/>
          <w:lang w:val="ru-RU"/>
        </w:rPr>
        <w:t>Изменение климата</w:t>
      </w:r>
      <w:r>
        <w:rPr>
          <w:lang w:val="ru-RU"/>
        </w:rPr>
        <w:t>.</w:t>
      </w:r>
      <w:r w:rsidRPr="00F041FF">
        <w:rPr>
          <w:lang w:val="ru-RU"/>
        </w:rPr>
        <w:t xml:space="preserve"> Сотрудничество между тремя Секторами МСЭ продолжается. Это </w:t>
      </w:r>
      <w:r w:rsidRPr="00C628A7">
        <w:rPr>
          <w:lang w:val="ru-RU"/>
        </w:rPr>
        <w:t>отражено</w:t>
      </w:r>
      <w:r w:rsidRPr="00F041FF">
        <w:rPr>
          <w:lang w:val="ru-RU"/>
        </w:rPr>
        <w:t xml:space="preserve"> на веб-сайте МСЭ в разделе </w:t>
      </w:r>
      <w:hyperlink r:id="rId26" w:history="1">
        <w:r w:rsidRPr="00F041FF">
          <w:rPr>
            <w:rStyle w:val="Hyperlink"/>
            <w:lang w:val="ru-RU"/>
          </w:rPr>
          <w:t>"Окружающая среда и изменение климата"</w:t>
        </w:r>
      </w:hyperlink>
      <w:r w:rsidRPr="00F041FF">
        <w:rPr>
          <w:lang w:val="ru-RU"/>
        </w:rPr>
        <w:t>.</w:t>
      </w:r>
      <w:hyperlink r:id="rId27" w:history="1"/>
    </w:p>
    <w:p w14:paraId="50A83BFB" w14:textId="77777777" w:rsidR="006E32C5" w:rsidRPr="00F041FF" w:rsidRDefault="006E32C5" w:rsidP="001C1893">
      <w:pPr>
        <w:pStyle w:val="enumlev1"/>
        <w:jc w:val="both"/>
        <w:rPr>
          <w:lang w:val="ru-RU"/>
        </w:rPr>
      </w:pPr>
      <w:r w:rsidRPr="00F041FF">
        <w:rPr>
          <w:lang w:val="ru-RU"/>
        </w:rPr>
        <w:t>–</w:t>
      </w:r>
      <w:r w:rsidRPr="00F041FF">
        <w:rPr>
          <w:lang w:val="ru-RU"/>
        </w:rPr>
        <w:tab/>
      </w:r>
      <w:r w:rsidRPr="00F041FF">
        <w:rPr>
          <w:b/>
          <w:bCs/>
          <w:lang w:val="ru-RU"/>
        </w:rPr>
        <w:t>Веб-сайт МСЭ</w:t>
      </w:r>
      <w:r>
        <w:rPr>
          <w:lang w:val="ru-RU"/>
        </w:rPr>
        <w:t>.</w:t>
      </w:r>
      <w:r w:rsidRPr="00F041FF">
        <w:rPr>
          <w:lang w:val="ru-RU"/>
        </w:rPr>
        <w:t xml:space="preserve"> МСКГ обратилась к секретариату с просьбой регулярно предоставлять обновленную информацию о разработке нового веб-сайта МСЭ, и секретариат продолжает взаимодействовать с членами и собирать их отзывы. Как отмечалось выше, координатор по вопросам доступности высказал заинтересованность в активном участии в этом проекте для обеспечения того, чтобы в рамках его реализации, на </w:t>
      </w:r>
      <w:r w:rsidRPr="00C628A7">
        <w:rPr>
          <w:lang w:val="ru-RU"/>
        </w:rPr>
        <w:t>протяжении</w:t>
      </w:r>
      <w:r w:rsidRPr="00F041FF">
        <w:rPr>
          <w:lang w:val="ru-RU"/>
        </w:rPr>
        <w:t xml:space="preserve"> всего процесса рассмотрения, надлежащим образом учитывались потребности лиц с ограниченными возможностями.</w:t>
      </w:r>
    </w:p>
    <w:p w14:paraId="6111E592" w14:textId="347EB3DF" w:rsidR="006E32C5" w:rsidRPr="00F041FF" w:rsidRDefault="006E32C5" w:rsidP="001C1893">
      <w:pPr>
        <w:pStyle w:val="enumlev1"/>
        <w:jc w:val="both"/>
        <w:rPr>
          <w:lang w:val="ru-RU"/>
        </w:rPr>
      </w:pPr>
      <w:r w:rsidRPr="00F041FF">
        <w:rPr>
          <w:lang w:val="ru-RU"/>
        </w:rPr>
        <w:t>–</w:t>
      </w:r>
      <w:r w:rsidRPr="00F041FF">
        <w:rPr>
          <w:lang w:val="ru-RU"/>
        </w:rPr>
        <w:tab/>
      </w:r>
      <w:r w:rsidRPr="00F041FF">
        <w:rPr>
          <w:b/>
          <w:bCs/>
          <w:lang w:val="ru-RU"/>
        </w:rPr>
        <w:t>Дистанционное участие</w:t>
      </w:r>
      <w:r>
        <w:rPr>
          <w:lang w:val="ru-RU"/>
        </w:rPr>
        <w:t>.</w:t>
      </w:r>
      <w:r w:rsidRPr="00F041FF">
        <w:rPr>
          <w:lang w:val="ru-RU"/>
        </w:rPr>
        <w:t xml:space="preserve"> МСКГ содействует обеспечению согласованности </w:t>
      </w:r>
      <w:hyperlink r:id="rId28" w:history="1">
        <w:r w:rsidRPr="00F041FF">
          <w:rPr>
            <w:rStyle w:val="Hyperlink"/>
            <w:lang w:val="ru-RU"/>
          </w:rPr>
          <w:t>Руководящих указаний по дистанционному участию (Добавление 4 к Рекомендациям МСЭ-Т серии А)</w:t>
        </w:r>
      </w:hyperlink>
      <w:r w:rsidRPr="00F041FF">
        <w:rPr>
          <w:lang w:val="ru-RU"/>
        </w:rPr>
        <w:t xml:space="preserve"> и </w:t>
      </w:r>
      <w:hyperlink r:id="rId29" w:history="1">
        <w:r w:rsidRPr="00F041FF">
          <w:rPr>
            <w:rStyle w:val="Hyperlink"/>
            <w:lang w:val="ru-RU"/>
          </w:rPr>
          <w:t>Руководящих указаний по управлению полностью виртуальными собраниями и очными собраниями с возможностью дистанционного участия</w:t>
        </w:r>
      </w:hyperlink>
      <w:r w:rsidRPr="00F041FF">
        <w:rPr>
          <w:lang w:val="ru-RU"/>
        </w:rPr>
        <w:t xml:space="preserve"> в соответствии с Резолюцией </w:t>
      </w:r>
      <w:hyperlink r:id="rId30" w:history="1">
        <w:r w:rsidRPr="00F041FF">
          <w:rPr>
            <w:rStyle w:val="Hyperlink"/>
            <w:lang w:val="ru-RU"/>
          </w:rPr>
          <w:t>167 (Пересм. Бухарест, 2022 г.)</w:t>
        </w:r>
      </w:hyperlink>
      <w:r w:rsidRPr="00F041FF">
        <w:rPr>
          <w:lang w:val="ru-RU"/>
        </w:rPr>
        <w:t xml:space="preserve"> Полномочной конференции. МСКГ также подчеркнула необходимость рассмотрения и обновления прав членов, </w:t>
      </w:r>
      <w:r w:rsidRPr="00C628A7">
        <w:rPr>
          <w:lang w:val="ru-RU"/>
        </w:rPr>
        <w:t>участвующих</w:t>
      </w:r>
      <w:r w:rsidRPr="00F041FF">
        <w:rPr>
          <w:lang w:val="ru-RU"/>
        </w:rPr>
        <w:t xml:space="preserve"> в онлайновых собраниях.</w:t>
      </w:r>
      <w:hyperlink r:id="rId31"/>
      <w:hyperlink r:id="rId32"/>
      <w:hyperlink r:id="rId33"/>
    </w:p>
    <w:p w14:paraId="06A106A2" w14:textId="77777777" w:rsidR="006E32C5" w:rsidRPr="00F041FF" w:rsidRDefault="006E32C5" w:rsidP="001C1893">
      <w:pPr>
        <w:pStyle w:val="enumlev1"/>
        <w:jc w:val="both"/>
        <w:rPr>
          <w:lang w:val="ru-RU"/>
        </w:rPr>
      </w:pPr>
      <w:r w:rsidRPr="00F041FF">
        <w:rPr>
          <w:lang w:val="ru-RU"/>
        </w:rPr>
        <w:t>–</w:t>
      </w:r>
      <w:r w:rsidRPr="00F041FF">
        <w:rPr>
          <w:lang w:val="ru-RU"/>
        </w:rPr>
        <w:tab/>
      </w:r>
      <w:r w:rsidRPr="00F041FF">
        <w:rPr>
          <w:b/>
          <w:bCs/>
          <w:lang w:val="ru-RU"/>
        </w:rPr>
        <w:t>Устойчивая цифровая трансформация</w:t>
      </w:r>
      <w:r>
        <w:rPr>
          <w:lang w:val="ru-RU"/>
        </w:rPr>
        <w:t>.</w:t>
      </w:r>
      <w:r w:rsidRPr="00F041FF">
        <w:rPr>
          <w:lang w:val="ru-RU"/>
        </w:rPr>
        <w:t xml:space="preserve"> МСКГ продолжает призывать к более тесной координации связанных видов деятельности трех Секторов. На исследовательский период 2025−2028 годов в составе Консультативной группы по стандартизации </w:t>
      </w:r>
      <w:r w:rsidRPr="00C628A7">
        <w:rPr>
          <w:lang w:val="ru-RU"/>
        </w:rPr>
        <w:t>электросвязи</w:t>
      </w:r>
      <w:r w:rsidRPr="00F041FF">
        <w:rPr>
          <w:lang w:val="ru-RU"/>
        </w:rPr>
        <w:t xml:space="preserve"> (КГСЭ) была утверждена Группа Докладчика по устойчивой цифровой трансформации (ГД-DT), которая уже взаимодействует с МСКГ и запрашивает вклады от других Секторов (см. Документ </w:t>
      </w:r>
      <w:hyperlink r:id="rId34" w:history="1">
        <w:r w:rsidRPr="00F041FF">
          <w:rPr>
            <w:rStyle w:val="Hyperlink"/>
            <w:lang w:val="ru-RU"/>
          </w:rPr>
          <w:t>ISCG/26-1/8</w:t>
        </w:r>
      </w:hyperlink>
      <w:r w:rsidRPr="00F041FF">
        <w:rPr>
          <w:lang w:val="ru-RU"/>
        </w:rPr>
        <w:t>).</w:t>
      </w:r>
      <w:hyperlink r:id="rId35" w:history="1"/>
    </w:p>
    <w:p w14:paraId="6A881A3D" w14:textId="77777777" w:rsidR="006E32C5" w:rsidRPr="00F041FF" w:rsidRDefault="006E32C5" w:rsidP="001C1893">
      <w:pPr>
        <w:jc w:val="both"/>
        <w:rPr>
          <w:lang w:val="ru-RU"/>
        </w:rPr>
      </w:pPr>
      <w:r w:rsidRPr="00F041FF">
        <w:rPr>
          <w:lang w:val="ru-RU"/>
        </w:rPr>
        <w:t xml:space="preserve">МСКГ также приступила к работе по </w:t>
      </w:r>
      <w:r>
        <w:rPr>
          <w:lang w:val="ru-RU"/>
        </w:rPr>
        <w:t>указанным ниже</w:t>
      </w:r>
      <w:r w:rsidRPr="00F041FF">
        <w:rPr>
          <w:lang w:val="ru-RU"/>
        </w:rPr>
        <w:t xml:space="preserve"> темам</w:t>
      </w:r>
      <w:r>
        <w:rPr>
          <w:lang w:val="ru-RU"/>
        </w:rPr>
        <w:t>.</w:t>
      </w:r>
    </w:p>
    <w:p w14:paraId="02638881" w14:textId="77777777" w:rsidR="006E32C5" w:rsidRPr="00F041FF" w:rsidRDefault="006E32C5" w:rsidP="001C1893">
      <w:pPr>
        <w:pStyle w:val="enumlev1"/>
        <w:jc w:val="both"/>
        <w:rPr>
          <w:lang w:val="ru-RU"/>
        </w:rPr>
      </w:pPr>
      <w:r w:rsidRPr="00F041FF">
        <w:rPr>
          <w:lang w:val="ru-RU"/>
        </w:rPr>
        <w:t>–</w:t>
      </w:r>
      <w:r w:rsidRPr="00F041FF">
        <w:rPr>
          <w:lang w:val="ru-RU"/>
        </w:rPr>
        <w:tab/>
      </w:r>
      <w:r>
        <w:rPr>
          <w:b/>
          <w:bCs/>
          <w:lang w:val="ru-RU"/>
        </w:rPr>
        <w:t>Взаимодействие с</w:t>
      </w:r>
      <w:r w:rsidRPr="00F041FF">
        <w:rPr>
          <w:b/>
          <w:bCs/>
          <w:lang w:val="ru-RU"/>
        </w:rPr>
        <w:t xml:space="preserve"> отрасл</w:t>
      </w:r>
      <w:r>
        <w:rPr>
          <w:b/>
          <w:bCs/>
          <w:lang w:val="ru-RU"/>
        </w:rPr>
        <w:t>ью</w:t>
      </w:r>
      <w:r>
        <w:rPr>
          <w:lang w:val="ru-RU"/>
        </w:rPr>
        <w:t>.</w:t>
      </w:r>
      <w:r w:rsidRPr="00F041FF">
        <w:rPr>
          <w:lang w:val="ru-RU"/>
        </w:rPr>
        <w:t xml:space="preserve"> На последнем собрании МСКГ были представлены </w:t>
      </w:r>
      <w:r w:rsidRPr="00C628A7">
        <w:rPr>
          <w:lang w:val="ru-RU"/>
        </w:rPr>
        <w:t>мероприятия</w:t>
      </w:r>
      <w:r w:rsidRPr="00F041FF">
        <w:rPr>
          <w:lang w:val="ru-RU"/>
        </w:rPr>
        <w:t xml:space="preserve"> МСЭ-Т по </w:t>
      </w:r>
      <w:r>
        <w:rPr>
          <w:lang w:val="ru-RU"/>
        </w:rPr>
        <w:t xml:space="preserve">взаимодействию с </w:t>
      </w:r>
      <w:r w:rsidRPr="00F041FF">
        <w:rPr>
          <w:lang w:val="ru-RU"/>
        </w:rPr>
        <w:t>отрасл</w:t>
      </w:r>
      <w:r>
        <w:rPr>
          <w:lang w:val="ru-RU"/>
        </w:rPr>
        <w:t>ью</w:t>
      </w:r>
      <w:r w:rsidRPr="00F041FF">
        <w:rPr>
          <w:lang w:val="ru-RU"/>
        </w:rPr>
        <w:t xml:space="preserve"> и освещены текущие инициативы по развитию успеха семинара-практикума по взаимодействию с отраслью 2024 года.</w:t>
      </w:r>
    </w:p>
    <w:p w14:paraId="3F787762" w14:textId="2B86A00D" w:rsidR="006E32C5" w:rsidRPr="00F041FF" w:rsidRDefault="006E32C5" w:rsidP="001C1893">
      <w:pPr>
        <w:pStyle w:val="enumlev1"/>
        <w:jc w:val="both"/>
        <w:rPr>
          <w:b/>
          <w:bCs/>
          <w:lang w:val="ru-RU"/>
        </w:rPr>
      </w:pPr>
      <w:r w:rsidRPr="00F041FF">
        <w:rPr>
          <w:lang w:val="ru-RU"/>
        </w:rPr>
        <w:t>–</w:t>
      </w:r>
      <w:r w:rsidRPr="00F041FF">
        <w:rPr>
          <w:lang w:val="ru-RU"/>
        </w:rPr>
        <w:tab/>
      </w:r>
      <w:r w:rsidRPr="00F041FF">
        <w:rPr>
          <w:b/>
          <w:bCs/>
          <w:lang w:val="ru-RU"/>
        </w:rPr>
        <w:t>Группа Докладчика по упорядочению Резолюций</w:t>
      </w:r>
      <w:r w:rsidRPr="00F041FF">
        <w:rPr>
          <w:lang w:val="ru-RU"/>
        </w:rPr>
        <w:t xml:space="preserve">: Решение о создании этой Группы Докладчика было утверждено на последнем собрании МСКГ в 2025 году. Докладчик уже </w:t>
      </w:r>
      <w:r w:rsidRPr="003C550E">
        <w:rPr>
          <w:lang w:val="ru-RU"/>
        </w:rPr>
        <w:t>представил</w:t>
      </w:r>
      <w:r w:rsidRPr="00F041FF">
        <w:rPr>
          <w:lang w:val="ru-RU"/>
        </w:rPr>
        <w:t xml:space="preserve"> два предложения – по упорядочению Резолюции 154 (Пересм. Бухарест, 2022 г.), содержащееся в Дополнительном документе 1 к Документу </w:t>
      </w:r>
      <w:hyperlink r:id="rId36" w:history="1">
        <w:r w:rsidRPr="00F041FF">
          <w:rPr>
            <w:rStyle w:val="Hyperlink"/>
            <w:lang w:val="ru-RU"/>
          </w:rPr>
          <w:t>ISCG/26</w:t>
        </w:r>
        <w:r w:rsidR="003C550E" w:rsidRPr="003C550E">
          <w:rPr>
            <w:rStyle w:val="Hyperlink"/>
            <w:lang w:val="ru-RU"/>
          </w:rPr>
          <w:noBreakHyphen/>
        </w:r>
        <w:r w:rsidRPr="00F041FF">
          <w:rPr>
            <w:rStyle w:val="Hyperlink"/>
            <w:lang w:val="ru-RU"/>
          </w:rPr>
          <w:t>1/7</w:t>
        </w:r>
      </w:hyperlink>
      <w:r w:rsidRPr="00F041FF">
        <w:rPr>
          <w:lang w:val="ru-RU"/>
        </w:rPr>
        <w:t>, и Резолюции 191 (Пересм. Бухарест, 2022 г.), содержащееся в Дополнительном документе 2 к этому Документу. МСКГ рассмотрела и поддержала оба предложения.</w:t>
      </w:r>
      <w:hyperlink r:id="rId37" w:history="1"/>
    </w:p>
    <w:p w14:paraId="0B88BF20" w14:textId="77777777" w:rsidR="006E32C5" w:rsidRPr="00F041FF" w:rsidRDefault="006E32C5" w:rsidP="001C1893">
      <w:pPr>
        <w:jc w:val="both"/>
        <w:rPr>
          <w:lang w:val="ru-RU"/>
        </w:rPr>
      </w:pPr>
      <w:r w:rsidRPr="00F041FF">
        <w:rPr>
          <w:lang w:val="ru-RU"/>
        </w:rPr>
        <w:t>На своем последнем собрании МСКГ согласилась включить "эффективные практики" в качестве возможной новой темы, ориентированной на содействие обмену передовым опытом, благодаря которой в рамках Союза в целом уже возникают эффективные организационные практики.</w:t>
      </w:r>
    </w:p>
    <w:p w14:paraId="1818F4E9" w14:textId="77777777" w:rsidR="006E32C5" w:rsidRPr="00F041FF" w:rsidRDefault="006E32C5" w:rsidP="001C1893">
      <w:pPr>
        <w:jc w:val="both"/>
        <w:rPr>
          <w:lang w:val="ru-RU"/>
        </w:rPr>
      </w:pPr>
      <w:r w:rsidRPr="00F041FF">
        <w:rPr>
          <w:lang w:val="ru-RU"/>
        </w:rPr>
        <w:t>Итоговые отчеты и призывы к действиям продолжают регулярно представляться консультативным группам Сектора, а также Рабочей группе Совета по финансовым и людским ресурсам (РГС-ФЛР).</w:t>
      </w:r>
    </w:p>
    <w:p w14:paraId="107850A9" w14:textId="77777777" w:rsidR="006E32C5" w:rsidRPr="00F041FF" w:rsidRDefault="006E32C5" w:rsidP="001C1893">
      <w:pPr>
        <w:jc w:val="both"/>
        <w:rPr>
          <w:lang w:val="ru-RU"/>
        </w:rPr>
      </w:pPr>
      <w:r w:rsidRPr="00F041FF">
        <w:rPr>
          <w:lang w:val="ru-RU"/>
        </w:rPr>
        <w:lastRenderedPageBreak/>
        <w:t>МСКГ вновь заявляет, что ее работа ориентирована на членов и возглавляется координаторами, назначаемыми консультативными группами Секторов по каждой теме. Государствам-Членам и Членам Секторов предлагается представлять вклады по темам, которые, по их мнению, выиграют от межсекторального подхода.</w:t>
      </w:r>
    </w:p>
    <w:p w14:paraId="72BB17D7" w14:textId="77777777" w:rsidR="006E32C5" w:rsidRPr="00F041FF" w:rsidRDefault="006E32C5" w:rsidP="001C1893">
      <w:pPr>
        <w:jc w:val="both"/>
        <w:rPr>
          <w:lang w:val="ru-RU"/>
        </w:rPr>
      </w:pPr>
      <w:r w:rsidRPr="00F041FF">
        <w:rPr>
          <w:lang w:val="ru-RU"/>
        </w:rPr>
        <w:t>Для цикла, который начнется после ПК-26, МСКГ предлагает готовить отдельный отчет, который будет представляться Постоянному комитету Совета по администрированию на ежегодной основе.</w:t>
      </w:r>
    </w:p>
    <w:p w14:paraId="5AEA584F" w14:textId="77777777" w:rsidR="003C550E" w:rsidRPr="00C628A7" w:rsidRDefault="006E32C5" w:rsidP="001C1893">
      <w:pPr>
        <w:jc w:val="both"/>
        <w:rPr>
          <w:lang w:val="ru-RU"/>
        </w:rPr>
      </w:pPr>
      <w:r w:rsidRPr="00F041FF">
        <w:rPr>
          <w:lang w:val="ru-RU"/>
        </w:rPr>
        <w:t xml:space="preserve">Дополнительная информация об МСКГ, включая отчеты о собраниях и обсуждаемые документы, доступна на </w:t>
      </w:r>
      <w:hyperlink r:id="rId38" w:history="1">
        <w:r w:rsidRPr="00F041FF">
          <w:rPr>
            <w:rStyle w:val="Hyperlink"/>
            <w:lang w:val="ru-RU"/>
          </w:rPr>
          <w:t>веб-странице МСКГ</w:t>
        </w:r>
      </w:hyperlink>
      <w:r w:rsidRPr="00F041FF">
        <w:rPr>
          <w:lang w:val="ru-RU"/>
        </w:rPr>
        <w:t>.</w:t>
      </w:r>
    </w:p>
    <w:p w14:paraId="2384DC64" w14:textId="0E61D9B9" w:rsidR="00796BD3" w:rsidRPr="00AC1D8C" w:rsidRDefault="00C462C5" w:rsidP="003C550E">
      <w:pPr>
        <w:spacing w:before="720"/>
        <w:jc w:val="center"/>
        <w:rPr>
          <w:lang w:val="ru-RU"/>
        </w:rPr>
      </w:pPr>
      <w:r w:rsidRPr="00AC1D8C">
        <w:rPr>
          <w:lang w:val="ru-RU"/>
        </w:rPr>
        <w:t>______________</w:t>
      </w:r>
    </w:p>
    <w:sectPr w:rsidR="00796BD3" w:rsidRPr="00AC1D8C" w:rsidSect="00796BD3">
      <w:footerReference w:type="default" r:id="rId39"/>
      <w:headerReference w:type="first" r:id="rId40"/>
      <w:footerReference w:type="first" r:id="rId4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EBB0" w14:textId="77777777" w:rsidR="00636A69" w:rsidRDefault="00636A69">
      <w:r>
        <w:separator/>
      </w:r>
    </w:p>
  </w:endnote>
  <w:endnote w:type="continuationSeparator" w:id="0">
    <w:p w14:paraId="21CCAB57" w14:textId="77777777" w:rsidR="00636A69" w:rsidRDefault="0063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9972E3C" w14:textId="77777777" w:rsidTr="00E31DCE">
      <w:trPr>
        <w:jc w:val="center"/>
      </w:trPr>
      <w:tc>
        <w:tcPr>
          <w:tcW w:w="1803" w:type="dxa"/>
          <w:vAlign w:val="center"/>
        </w:tcPr>
        <w:p w14:paraId="5F324563" w14:textId="289BFC42" w:rsidR="00672F8A" w:rsidRPr="005A347E" w:rsidRDefault="006E32C5" w:rsidP="00672F8A">
          <w:pPr>
            <w:pStyle w:val="Header"/>
            <w:jc w:val="left"/>
            <w:rPr>
              <w:noProof/>
              <w:lang w:val="en-GB"/>
            </w:rPr>
          </w:pPr>
          <w:r>
            <w:rPr>
              <w:noProof/>
            </w:rPr>
            <w:t>2600731</w:t>
          </w:r>
        </w:p>
      </w:tc>
      <w:tc>
        <w:tcPr>
          <w:tcW w:w="8261" w:type="dxa"/>
        </w:tcPr>
        <w:p w14:paraId="269CD4A9" w14:textId="349F26B0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6E32C5">
            <w:rPr>
              <w:bCs/>
            </w:rPr>
            <w:t>27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7D5A1A4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B15B668" w14:textId="77777777" w:rsidTr="00E31DCE">
      <w:trPr>
        <w:jc w:val="center"/>
      </w:trPr>
      <w:tc>
        <w:tcPr>
          <w:tcW w:w="1803" w:type="dxa"/>
          <w:vAlign w:val="center"/>
        </w:tcPr>
        <w:p w14:paraId="094A254C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7C8590EC" w14:textId="36F94F32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6E32C5">
            <w:rPr>
              <w:bCs/>
            </w:rPr>
            <w:t>27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B03733E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53BE4" w14:textId="77777777" w:rsidR="00636A69" w:rsidRDefault="00636A69">
      <w:r>
        <w:t>____________________</w:t>
      </w:r>
    </w:p>
  </w:footnote>
  <w:footnote w:type="continuationSeparator" w:id="0">
    <w:p w14:paraId="30BAFC90" w14:textId="77777777" w:rsidR="00636A69" w:rsidRDefault="0063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89A9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C0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B669E"/>
    <w:rsid w:val="000E568E"/>
    <w:rsid w:val="0014229E"/>
    <w:rsid w:val="0014734F"/>
    <w:rsid w:val="001564FC"/>
    <w:rsid w:val="00156890"/>
    <w:rsid w:val="0015710D"/>
    <w:rsid w:val="00163A32"/>
    <w:rsid w:val="00165D06"/>
    <w:rsid w:val="00192B41"/>
    <w:rsid w:val="001B7B09"/>
    <w:rsid w:val="001C1893"/>
    <w:rsid w:val="001E6719"/>
    <w:rsid w:val="001E7F50"/>
    <w:rsid w:val="00225368"/>
    <w:rsid w:val="00227FF0"/>
    <w:rsid w:val="00230C7C"/>
    <w:rsid w:val="00244C39"/>
    <w:rsid w:val="00276F05"/>
    <w:rsid w:val="00277DEA"/>
    <w:rsid w:val="00291EB6"/>
    <w:rsid w:val="002C3F32"/>
    <w:rsid w:val="002D0AC7"/>
    <w:rsid w:val="002D2F57"/>
    <w:rsid w:val="002D48C5"/>
    <w:rsid w:val="002F22D7"/>
    <w:rsid w:val="0033025A"/>
    <w:rsid w:val="00345D2A"/>
    <w:rsid w:val="00381936"/>
    <w:rsid w:val="003935CB"/>
    <w:rsid w:val="003C550E"/>
    <w:rsid w:val="003F099E"/>
    <w:rsid w:val="003F235E"/>
    <w:rsid w:val="00401FD7"/>
    <w:rsid w:val="004023E0"/>
    <w:rsid w:val="00403DD8"/>
    <w:rsid w:val="004070A0"/>
    <w:rsid w:val="00425CA7"/>
    <w:rsid w:val="00442515"/>
    <w:rsid w:val="00455020"/>
    <w:rsid w:val="0045686C"/>
    <w:rsid w:val="00465C35"/>
    <w:rsid w:val="00467762"/>
    <w:rsid w:val="004918C4"/>
    <w:rsid w:val="00497703"/>
    <w:rsid w:val="004A0374"/>
    <w:rsid w:val="004A45B5"/>
    <w:rsid w:val="004D0129"/>
    <w:rsid w:val="00515795"/>
    <w:rsid w:val="005A347E"/>
    <w:rsid w:val="005A64D5"/>
    <w:rsid w:val="005B3DEC"/>
    <w:rsid w:val="00601994"/>
    <w:rsid w:val="00636A69"/>
    <w:rsid w:val="00660449"/>
    <w:rsid w:val="00672F8A"/>
    <w:rsid w:val="006E2D42"/>
    <w:rsid w:val="006E32C5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264F0"/>
    <w:rsid w:val="00835000"/>
    <w:rsid w:val="00840A14"/>
    <w:rsid w:val="0084546D"/>
    <w:rsid w:val="008B62B4"/>
    <w:rsid w:val="008D2D7B"/>
    <w:rsid w:val="008E0737"/>
    <w:rsid w:val="008F7958"/>
    <w:rsid w:val="008F7C2C"/>
    <w:rsid w:val="0093575F"/>
    <w:rsid w:val="00940E96"/>
    <w:rsid w:val="00950A82"/>
    <w:rsid w:val="00952CD9"/>
    <w:rsid w:val="009A76A8"/>
    <w:rsid w:val="009B0BAE"/>
    <w:rsid w:val="009B6A8D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816D1"/>
    <w:rsid w:val="00AC1D8C"/>
    <w:rsid w:val="00AE1E7D"/>
    <w:rsid w:val="00AE2C85"/>
    <w:rsid w:val="00B0107F"/>
    <w:rsid w:val="00B12A37"/>
    <w:rsid w:val="00B41837"/>
    <w:rsid w:val="00B63EF2"/>
    <w:rsid w:val="00BA7D89"/>
    <w:rsid w:val="00BC0D39"/>
    <w:rsid w:val="00BC6BE0"/>
    <w:rsid w:val="00BC7BC0"/>
    <w:rsid w:val="00BD57B7"/>
    <w:rsid w:val="00BE00DD"/>
    <w:rsid w:val="00BE63E2"/>
    <w:rsid w:val="00C462C5"/>
    <w:rsid w:val="00C628A7"/>
    <w:rsid w:val="00CD2009"/>
    <w:rsid w:val="00CF629C"/>
    <w:rsid w:val="00D17718"/>
    <w:rsid w:val="00D24F80"/>
    <w:rsid w:val="00D631AA"/>
    <w:rsid w:val="00D92EEA"/>
    <w:rsid w:val="00DA5D4E"/>
    <w:rsid w:val="00DA770A"/>
    <w:rsid w:val="00E05752"/>
    <w:rsid w:val="00E176BA"/>
    <w:rsid w:val="00E233C9"/>
    <w:rsid w:val="00E423EC"/>
    <w:rsid w:val="00E55121"/>
    <w:rsid w:val="00E92CC0"/>
    <w:rsid w:val="00EB4FCB"/>
    <w:rsid w:val="00EC6BC5"/>
    <w:rsid w:val="00F348D0"/>
    <w:rsid w:val="00F35898"/>
    <w:rsid w:val="00F5225B"/>
    <w:rsid w:val="00FA6ACF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A9867"/>
  <w15:docId w15:val="{8C6242CF-97F2-4301-9E34-D17CE311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超级链接,Style 58,超?级链,超????,하이퍼링크2,하이퍼링크21,超链接1,CEO_Hyperlink,超??级链Ú,fL????,fL?级,超??级链"/>
    <w:basedOn w:val="DefaultParagraphFont"/>
    <w:qFormat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net4/Search/CL26" TargetMode="External"/><Relationship Id="rId18" Type="http://schemas.openxmlformats.org/officeDocument/2006/relationships/hyperlink" Target="https://www.itu.int/en/general-secretariat/ties/ISCGDocumentLibrary/Liaisons%20Statements%20on%20Inter-Sectoral%20Coordination%20Activities/List%20of%20Focal%20Points%20published-Updated%20March2026.pdf" TargetMode="External"/><Relationship Id="rId26" Type="http://schemas.openxmlformats.org/officeDocument/2006/relationships/hyperlink" Target="https://www.itu.int/en/action/environment-and-climate-change/Pages/default.aspx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www.itu.int/en/general-secretariat/ties/ISCGDocumentLibrary/Liaisons%20Statements%20on%20Inter-Sectoral%20Coordination%20Activities/Mapping-of-resolutions-Updated%20March2026.pdf" TargetMode="External"/><Relationship Id="rId34" Type="http://schemas.openxmlformats.org/officeDocument/2006/relationships/hyperlink" Target="https://www.itu.int/md/S26-ISCG12026-C-0008/en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itu.int/en/council/Documents/basic-texts-2023/RES-071-r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en/general-secretariat/Pages/intersectoral-coordination.aspx" TargetMode="External"/><Relationship Id="rId20" Type="http://schemas.openxmlformats.org/officeDocument/2006/relationships/hyperlink" Target="https://www.itu.int/en/general-secretariat/ties/ISCGDocumentLibrary/Liaisons%20Statements%20on%20Inter-Sectoral%20Coordination%20Activities/Mapping-of-resolutions-Updated%20March2026.pdf" TargetMode="External"/><Relationship Id="rId29" Type="http://schemas.openxmlformats.org/officeDocument/2006/relationships/hyperlink" Target="https://itu.int/en/general-secretariat/ICT-Services/remoteparticipation" TargetMode="External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en/general-secretariat/ties/ISCGDocumentLibrary/Liaisons%20Statements%20on%20Inter-Sectoral%20Coordination%20Activities/SO-2024-006-en.pdf" TargetMode="External"/><Relationship Id="rId24" Type="http://schemas.openxmlformats.org/officeDocument/2006/relationships/hyperlink" Target="https://datahub.itu.int/" TargetMode="External"/><Relationship Id="rId32" Type="http://schemas.openxmlformats.org/officeDocument/2006/relationships/hyperlink" Target="https://itu.int/en/general-secretariat/ICT-Services/remoteparticipation" TargetMode="External"/><Relationship Id="rId37" Type="http://schemas.openxmlformats.org/officeDocument/2006/relationships/hyperlink" Target="https://www.itu.int/md/S26-ISCG12026-C-0007/en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itu.int/net4/Search/CL26" TargetMode="External"/><Relationship Id="rId23" Type="http://schemas.openxmlformats.org/officeDocument/2006/relationships/hyperlink" Target="https://www.itu.int/md/S26-CL-INF-0001/en" TargetMode="External"/><Relationship Id="rId28" Type="http://schemas.openxmlformats.org/officeDocument/2006/relationships/hyperlink" Target="http://www.itu.int/md/meetingdoc.asp?lang=en&amp;parent=T25-TSAG-260126-TD-GEN-0333" TargetMode="External"/><Relationship Id="rId36" Type="http://schemas.openxmlformats.org/officeDocument/2006/relationships/hyperlink" Target="https://www.itu.int/md/S26-ISCG12026-C-0007/en" TargetMode="External"/><Relationship Id="rId10" Type="http://schemas.openxmlformats.org/officeDocument/2006/relationships/hyperlink" Target="https://www.itu.int/en/general-secretariat/ties/ISCGDocumentLibrary/Liaisons%20Statements%20on%20Inter-Sectoral%20Coordination%20Activities/SO-2024-006-en.pdf" TargetMode="External"/><Relationship Id="rId19" Type="http://schemas.openxmlformats.org/officeDocument/2006/relationships/hyperlink" Target="https://www.itu.int/en/general-secretariat/ties/ISCGDocumentLibrary/Liaisons%20Statements%20on%20Inter-Sectoral%20Coordination%20Activities/List%20of%20Focal%20Points%20published-Updated%20March2026.pdf" TargetMode="External"/><Relationship Id="rId31" Type="http://schemas.openxmlformats.org/officeDocument/2006/relationships/hyperlink" Target="http://www.itu.int/md/meetingdoc.asp?lang=en&amp;parent=T25-TSAG-260126-TD-GEN-03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council/Documents/basic-texts-2023/DEC-005-r.pdf" TargetMode="External"/><Relationship Id="rId14" Type="http://schemas.openxmlformats.org/officeDocument/2006/relationships/hyperlink" Target="https://www.itu.int/md/S26-CL-C-0035/en" TargetMode="External"/><Relationship Id="rId22" Type="http://schemas.openxmlformats.org/officeDocument/2006/relationships/hyperlink" Target="https://www.itu.int/md/S26-CL-INF-0001/en" TargetMode="External"/><Relationship Id="rId27" Type="http://schemas.openxmlformats.org/officeDocument/2006/relationships/hyperlink" Target="https://www.itu.int/en/action/environment-and-climate-change/Pages/default.aspx" TargetMode="External"/><Relationship Id="rId30" Type="http://schemas.openxmlformats.org/officeDocument/2006/relationships/hyperlink" Target="https://www.itu.int/en/council/Documents/basic-texts-2023/RES-167-r.pdf" TargetMode="External"/><Relationship Id="rId35" Type="http://schemas.openxmlformats.org/officeDocument/2006/relationships/hyperlink" Target="https://www.itu.int/md/S26-ISCG12026-C-0008/en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itu.int/en/council/Documents/basic-texts-2023/RES-191-r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tu.int/md/S26-CL-C-0035/en" TargetMode="External"/><Relationship Id="rId17" Type="http://schemas.openxmlformats.org/officeDocument/2006/relationships/hyperlink" Target="https://www.itu.int/en/general-secretariat/Pages/intersectoral-coordination.aspx" TargetMode="External"/><Relationship Id="rId25" Type="http://schemas.openxmlformats.org/officeDocument/2006/relationships/hyperlink" Target="https://datahub.itu.int/" TargetMode="External"/><Relationship Id="rId33" Type="http://schemas.openxmlformats.org/officeDocument/2006/relationships/hyperlink" Target="https://www.itu.int/en/council/Documents/basic-texts-2023/RES-167-E.pdf" TargetMode="External"/><Relationship Id="rId38" Type="http://schemas.openxmlformats.org/officeDocument/2006/relationships/hyperlink" Target="https://www.itu.int/en/general-secretariat/Pages/ISCG/default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1</TotalTime>
  <Pages>5</Pages>
  <Words>1413</Words>
  <Characters>13494</Characters>
  <Application>Microsoft Office Word</Application>
  <DocSecurity>0</DocSecurity>
  <Lines>224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14832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Enhancing intersectoral coordination across ITU</dc:title>
  <dc:subject>ITU Council 2026</dc:subject>
  <cp:keywords>C26; C2026; Council 2026; PP26</cp:keywords>
  <dc:description/>
  <cp:lastPrinted>2006-03-28T16:12:00Z</cp:lastPrinted>
  <dcterms:created xsi:type="dcterms:W3CDTF">2026-04-28T15:54:00Z</dcterms:created>
  <dcterms:modified xsi:type="dcterms:W3CDTF">2026-04-28T15:55:00Z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