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0E31AD" w14:paraId="3673E84F" w14:textId="77777777" w:rsidTr="00796BDB">
        <w:trPr>
          <w:cantSplit/>
          <w:trHeight w:val="23"/>
        </w:trPr>
        <w:tc>
          <w:tcPr>
            <w:tcW w:w="3969" w:type="dxa"/>
            <w:vMerge w:val="restart"/>
            <w:tcMar>
              <w:left w:w="0" w:type="dxa"/>
            </w:tcMar>
          </w:tcPr>
          <w:p w14:paraId="1AF04CFB" w14:textId="069CB6DE" w:rsidR="00D72F49" w:rsidRPr="000E31AD" w:rsidRDefault="00D72F49" w:rsidP="00796BDB">
            <w:pPr>
              <w:tabs>
                <w:tab w:val="left" w:pos="851"/>
              </w:tabs>
              <w:spacing w:before="0" w:line="240" w:lineRule="atLeast"/>
              <w:rPr>
                <w:b/>
              </w:rPr>
            </w:pPr>
            <w:r w:rsidRPr="000E31AD">
              <w:rPr>
                <w:b/>
              </w:rPr>
              <w:t>Point de l'ordre du jour:</w:t>
            </w:r>
            <w:r w:rsidR="00F117A7" w:rsidRPr="000E31AD">
              <w:rPr>
                <w:b/>
              </w:rPr>
              <w:t xml:space="preserve"> </w:t>
            </w:r>
            <w:r w:rsidR="00F117A7" w:rsidRPr="000E31AD">
              <w:rPr>
                <w:b/>
                <w:bCs/>
                <w:color w:val="000000"/>
              </w:rPr>
              <w:t>ADM 3</w:t>
            </w:r>
          </w:p>
        </w:tc>
        <w:tc>
          <w:tcPr>
            <w:tcW w:w="5245" w:type="dxa"/>
          </w:tcPr>
          <w:p w14:paraId="0FC5E877" w14:textId="08DF34C3" w:rsidR="00D72F49" w:rsidRPr="000E31AD" w:rsidRDefault="00D72F49" w:rsidP="00796BDB">
            <w:pPr>
              <w:tabs>
                <w:tab w:val="left" w:pos="851"/>
              </w:tabs>
              <w:spacing w:before="0" w:line="240" w:lineRule="atLeast"/>
              <w:jc w:val="right"/>
              <w:rPr>
                <w:b/>
              </w:rPr>
            </w:pPr>
            <w:r w:rsidRPr="000E31AD">
              <w:rPr>
                <w:b/>
              </w:rPr>
              <w:t>Document C2</w:t>
            </w:r>
            <w:r w:rsidR="00E4448E" w:rsidRPr="000E31AD">
              <w:rPr>
                <w:b/>
              </w:rPr>
              <w:t>6</w:t>
            </w:r>
            <w:r w:rsidRPr="000E31AD">
              <w:rPr>
                <w:b/>
              </w:rPr>
              <w:t>/</w:t>
            </w:r>
            <w:r w:rsidR="00F117A7" w:rsidRPr="000E31AD">
              <w:rPr>
                <w:b/>
              </w:rPr>
              <w:t>27</w:t>
            </w:r>
            <w:r w:rsidRPr="000E31AD">
              <w:rPr>
                <w:b/>
              </w:rPr>
              <w:t>-F</w:t>
            </w:r>
          </w:p>
        </w:tc>
      </w:tr>
      <w:tr w:rsidR="00D72F49" w:rsidRPr="000E31AD" w14:paraId="71936701" w14:textId="77777777" w:rsidTr="00796BDB">
        <w:trPr>
          <w:cantSplit/>
        </w:trPr>
        <w:tc>
          <w:tcPr>
            <w:tcW w:w="3969" w:type="dxa"/>
            <w:vMerge/>
          </w:tcPr>
          <w:p w14:paraId="17A3F8B1" w14:textId="77777777" w:rsidR="00D72F49" w:rsidRPr="000E31AD" w:rsidRDefault="00D72F49" w:rsidP="00796BDB">
            <w:pPr>
              <w:tabs>
                <w:tab w:val="left" w:pos="851"/>
              </w:tabs>
              <w:spacing w:line="240" w:lineRule="atLeast"/>
              <w:rPr>
                <w:b/>
              </w:rPr>
            </w:pPr>
          </w:p>
        </w:tc>
        <w:tc>
          <w:tcPr>
            <w:tcW w:w="5245" w:type="dxa"/>
          </w:tcPr>
          <w:p w14:paraId="0888578D" w14:textId="12A68B11" w:rsidR="00D72F49" w:rsidRPr="000E31AD" w:rsidRDefault="00F117A7" w:rsidP="00796BDB">
            <w:pPr>
              <w:tabs>
                <w:tab w:val="left" w:pos="851"/>
              </w:tabs>
              <w:spacing w:before="0"/>
              <w:jc w:val="right"/>
              <w:rPr>
                <w:b/>
              </w:rPr>
            </w:pPr>
            <w:r w:rsidRPr="000E31AD">
              <w:rPr>
                <w:b/>
                <w:bCs/>
                <w:color w:val="000000"/>
              </w:rPr>
              <w:t>30 mars 2026</w:t>
            </w:r>
          </w:p>
        </w:tc>
      </w:tr>
      <w:tr w:rsidR="00D72F49" w:rsidRPr="000E31AD" w14:paraId="334CAA51" w14:textId="77777777" w:rsidTr="00796BDB">
        <w:trPr>
          <w:cantSplit/>
          <w:trHeight w:val="23"/>
        </w:trPr>
        <w:tc>
          <w:tcPr>
            <w:tcW w:w="3969" w:type="dxa"/>
            <w:vMerge/>
          </w:tcPr>
          <w:p w14:paraId="3EE386B4" w14:textId="77777777" w:rsidR="00D72F49" w:rsidRPr="000E31AD" w:rsidRDefault="00D72F49" w:rsidP="00796BDB">
            <w:pPr>
              <w:tabs>
                <w:tab w:val="left" w:pos="851"/>
              </w:tabs>
              <w:spacing w:line="240" w:lineRule="atLeast"/>
              <w:rPr>
                <w:b/>
              </w:rPr>
            </w:pPr>
          </w:p>
        </w:tc>
        <w:tc>
          <w:tcPr>
            <w:tcW w:w="5245" w:type="dxa"/>
          </w:tcPr>
          <w:p w14:paraId="39B36C40" w14:textId="77777777" w:rsidR="00D72F49" w:rsidRPr="000E31AD" w:rsidRDefault="00D72F49" w:rsidP="00796BDB">
            <w:pPr>
              <w:tabs>
                <w:tab w:val="left" w:pos="851"/>
              </w:tabs>
              <w:spacing w:before="0" w:line="240" w:lineRule="atLeast"/>
              <w:jc w:val="right"/>
              <w:rPr>
                <w:b/>
              </w:rPr>
            </w:pPr>
            <w:r w:rsidRPr="000E31AD">
              <w:rPr>
                <w:b/>
              </w:rPr>
              <w:t>Original: anglais</w:t>
            </w:r>
          </w:p>
        </w:tc>
      </w:tr>
      <w:tr w:rsidR="00D72F49" w:rsidRPr="000E31AD" w14:paraId="01D3FD8D" w14:textId="77777777" w:rsidTr="00796BDB">
        <w:trPr>
          <w:cantSplit/>
          <w:trHeight w:val="23"/>
        </w:trPr>
        <w:tc>
          <w:tcPr>
            <w:tcW w:w="3969" w:type="dxa"/>
          </w:tcPr>
          <w:p w14:paraId="1F2EC1D1" w14:textId="77777777" w:rsidR="00D72F49" w:rsidRPr="000E31AD" w:rsidRDefault="00D72F49" w:rsidP="00796BDB">
            <w:pPr>
              <w:tabs>
                <w:tab w:val="left" w:pos="851"/>
              </w:tabs>
              <w:spacing w:line="240" w:lineRule="atLeast"/>
              <w:rPr>
                <w:b/>
              </w:rPr>
            </w:pPr>
          </w:p>
        </w:tc>
        <w:tc>
          <w:tcPr>
            <w:tcW w:w="5245" w:type="dxa"/>
          </w:tcPr>
          <w:p w14:paraId="5FCE20FA" w14:textId="77777777" w:rsidR="00D72F49" w:rsidRPr="000E31AD" w:rsidRDefault="00D72F49" w:rsidP="00796BDB">
            <w:pPr>
              <w:tabs>
                <w:tab w:val="left" w:pos="851"/>
              </w:tabs>
              <w:spacing w:before="0" w:line="240" w:lineRule="atLeast"/>
              <w:jc w:val="right"/>
              <w:rPr>
                <w:b/>
              </w:rPr>
            </w:pPr>
          </w:p>
        </w:tc>
      </w:tr>
      <w:tr w:rsidR="00D72F49" w:rsidRPr="000E31AD" w14:paraId="304F6BC3" w14:textId="77777777" w:rsidTr="00796BDB">
        <w:trPr>
          <w:cantSplit/>
        </w:trPr>
        <w:tc>
          <w:tcPr>
            <w:tcW w:w="9214" w:type="dxa"/>
            <w:gridSpan w:val="2"/>
            <w:tcMar>
              <w:left w:w="0" w:type="dxa"/>
            </w:tcMar>
          </w:tcPr>
          <w:p w14:paraId="3CB2BED3" w14:textId="77777777" w:rsidR="00D72F49" w:rsidRPr="00CB7BA8" w:rsidRDefault="00D72F49" w:rsidP="00796BDB">
            <w:pPr>
              <w:pStyle w:val="Source"/>
              <w:jc w:val="left"/>
              <w:rPr>
                <w:sz w:val="32"/>
                <w:szCs w:val="32"/>
              </w:rPr>
            </w:pPr>
            <w:r w:rsidRPr="00CB7BA8">
              <w:rPr>
                <w:rFonts w:cstheme="minorHAnsi"/>
                <w:color w:val="000000"/>
                <w:sz w:val="32"/>
                <w:szCs w:val="32"/>
              </w:rPr>
              <w:t xml:space="preserve">Rapport </w:t>
            </w:r>
            <w:r w:rsidR="00E95647" w:rsidRPr="00CB7BA8">
              <w:rPr>
                <w:rFonts w:cstheme="minorHAnsi"/>
                <w:color w:val="000000"/>
                <w:sz w:val="32"/>
                <w:szCs w:val="32"/>
              </w:rPr>
              <w:t xml:space="preserve">de la </w:t>
            </w:r>
            <w:r w:rsidRPr="00CB7BA8">
              <w:rPr>
                <w:rFonts w:cstheme="minorHAnsi"/>
                <w:color w:val="000000"/>
                <w:sz w:val="32"/>
                <w:szCs w:val="32"/>
              </w:rPr>
              <w:t>Secrétaire général</w:t>
            </w:r>
            <w:r w:rsidR="00E95647" w:rsidRPr="00CB7BA8">
              <w:rPr>
                <w:rFonts w:cstheme="minorHAnsi"/>
                <w:color w:val="000000"/>
                <w:sz w:val="32"/>
                <w:szCs w:val="32"/>
              </w:rPr>
              <w:t>e</w:t>
            </w:r>
          </w:p>
        </w:tc>
      </w:tr>
      <w:tr w:rsidR="00D72F49" w:rsidRPr="000E31AD" w14:paraId="1D52F370" w14:textId="77777777" w:rsidTr="00796BDB">
        <w:trPr>
          <w:cantSplit/>
        </w:trPr>
        <w:tc>
          <w:tcPr>
            <w:tcW w:w="9214" w:type="dxa"/>
            <w:gridSpan w:val="2"/>
            <w:tcMar>
              <w:left w:w="0" w:type="dxa"/>
            </w:tcMar>
          </w:tcPr>
          <w:p w14:paraId="71E5F0C7" w14:textId="5DDE6CDF" w:rsidR="00D72F49" w:rsidRPr="000E31AD" w:rsidRDefault="00CB7BA8" w:rsidP="00796BDB">
            <w:pPr>
              <w:pStyle w:val="Subtitle"/>
              <w:framePr w:hSpace="0" w:wrap="auto" w:hAnchor="text" w:xAlign="left" w:yAlign="inline"/>
              <w:rPr>
                <w:sz w:val="32"/>
                <w:szCs w:val="32"/>
                <w:lang w:val="fr-FR"/>
              </w:rPr>
            </w:pPr>
            <w:r w:rsidRPr="000E31AD">
              <w:rPr>
                <w:rFonts w:cstheme="minorHAnsi"/>
                <w:sz w:val="32"/>
                <w:szCs w:val="32"/>
                <w:lang w:val="fr-FR"/>
              </w:rPr>
              <w:t>RENFORCEMENT DE LA COORDINATION INTERSECTORIELLE DANS L'ENSEMBLE DE L'UIT</w:t>
            </w:r>
          </w:p>
        </w:tc>
      </w:tr>
      <w:tr w:rsidR="00D72F49" w:rsidRPr="000E31AD" w14:paraId="466B442F" w14:textId="77777777" w:rsidTr="00796BDB">
        <w:trPr>
          <w:cantSplit/>
        </w:trPr>
        <w:tc>
          <w:tcPr>
            <w:tcW w:w="9214" w:type="dxa"/>
            <w:gridSpan w:val="2"/>
            <w:tcBorders>
              <w:top w:val="single" w:sz="4" w:space="0" w:color="auto"/>
              <w:bottom w:val="single" w:sz="4" w:space="0" w:color="auto"/>
            </w:tcBorders>
            <w:tcMar>
              <w:left w:w="0" w:type="dxa"/>
            </w:tcMar>
          </w:tcPr>
          <w:p w14:paraId="1251CDF5" w14:textId="77777777" w:rsidR="00D72F49" w:rsidRPr="000E31AD" w:rsidRDefault="00F37FE5" w:rsidP="00796BDB">
            <w:pPr>
              <w:spacing w:before="160"/>
              <w:rPr>
                <w:b/>
                <w:bCs/>
                <w:sz w:val="26"/>
                <w:szCs w:val="26"/>
              </w:rPr>
            </w:pPr>
            <w:r w:rsidRPr="000E31AD">
              <w:rPr>
                <w:b/>
                <w:bCs/>
                <w:sz w:val="26"/>
                <w:szCs w:val="26"/>
              </w:rPr>
              <w:t>Objet</w:t>
            </w:r>
          </w:p>
          <w:p w14:paraId="6756E14E" w14:textId="573B78C5" w:rsidR="00D72F49" w:rsidRPr="000E31AD" w:rsidRDefault="00F117A7" w:rsidP="00CB7BA8">
            <w:pPr>
              <w:jc w:val="both"/>
            </w:pPr>
            <w:r w:rsidRPr="000E31AD">
              <w:t>On trouvera dans le présent document un rapport sur la mise en œuvre de la Résolution 191 (Rév. Bucarest, 2022) de la Conférence de plénipotentiaires relative à la stratégie de coordination des efforts entre les trois Secteurs de l'Union et le Secrétariat général.</w:t>
            </w:r>
          </w:p>
          <w:p w14:paraId="0B0E5B1C" w14:textId="77777777" w:rsidR="00D72F49" w:rsidRPr="000E31AD" w:rsidRDefault="00D72F49" w:rsidP="00796BDB">
            <w:pPr>
              <w:spacing w:before="160"/>
              <w:rPr>
                <w:b/>
                <w:bCs/>
                <w:sz w:val="26"/>
                <w:szCs w:val="26"/>
              </w:rPr>
            </w:pPr>
            <w:r w:rsidRPr="000E31AD">
              <w:rPr>
                <w:b/>
                <w:bCs/>
                <w:sz w:val="26"/>
                <w:szCs w:val="26"/>
              </w:rPr>
              <w:t>Suite à donner par le Conseil</w:t>
            </w:r>
          </w:p>
          <w:p w14:paraId="40C9F89E" w14:textId="08D96057" w:rsidR="00D72F49" w:rsidRPr="000E31AD" w:rsidRDefault="00F117A7" w:rsidP="00796BDB">
            <w:r w:rsidRPr="000E31AD">
              <w:t xml:space="preserve">Le Conseil est invité à </w:t>
            </w:r>
            <w:r w:rsidRPr="000E31AD">
              <w:rPr>
                <w:b/>
                <w:bCs/>
              </w:rPr>
              <w:t>prendre note</w:t>
            </w:r>
            <w:r w:rsidRPr="000E31AD">
              <w:t xml:space="preserve"> du présent rapport.</w:t>
            </w:r>
          </w:p>
          <w:p w14:paraId="1F53AF20" w14:textId="120257B4" w:rsidR="00D72F49" w:rsidRPr="000E31AD" w:rsidRDefault="00D72F49" w:rsidP="00796BDB">
            <w:pPr>
              <w:spacing w:before="160"/>
              <w:rPr>
                <w:b/>
                <w:bCs/>
                <w:sz w:val="26"/>
                <w:szCs w:val="26"/>
              </w:rPr>
            </w:pPr>
            <w:r w:rsidRPr="000E31AD">
              <w:rPr>
                <w:b/>
                <w:bCs/>
                <w:sz w:val="26"/>
                <w:szCs w:val="26"/>
              </w:rPr>
              <w:t xml:space="preserve">Lien pertinent avec le </w:t>
            </w:r>
            <w:r w:rsidR="00F37FE5" w:rsidRPr="000E31AD">
              <w:rPr>
                <w:b/>
                <w:bCs/>
                <w:sz w:val="26"/>
                <w:szCs w:val="26"/>
              </w:rPr>
              <w:t>p</w:t>
            </w:r>
            <w:r w:rsidRPr="000E31AD">
              <w:rPr>
                <w:b/>
                <w:bCs/>
                <w:sz w:val="26"/>
                <w:szCs w:val="26"/>
              </w:rPr>
              <w:t>lan stratégique</w:t>
            </w:r>
          </w:p>
          <w:p w14:paraId="68721D6A" w14:textId="4D7E455A" w:rsidR="00D72F49" w:rsidRPr="000E31AD" w:rsidRDefault="00F117A7" w:rsidP="00796BDB">
            <w:r w:rsidRPr="000E31AD">
              <w:t>Excellence en matière de ressources humaines et d'innovation institutionnelle.</w:t>
            </w:r>
          </w:p>
          <w:p w14:paraId="7CDF4D96" w14:textId="77777777" w:rsidR="00E95647" w:rsidRPr="000E31AD" w:rsidRDefault="00D72F49" w:rsidP="00796BDB">
            <w:pPr>
              <w:spacing w:before="160"/>
              <w:rPr>
                <w:b/>
                <w:bCs/>
                <w:sz w:val="26"/>
                <w:szCs w:val="26"/>
              </w:rPr>
            </w:pPr>
            <w:r w:rsidRPr="000E31AD">
              <w:rPr>
                <w:b/>
                <w:bCs/>
                <w:sz w:val="26"/>
                <w:szCs w:val="26"/>
              </w:rPr>
              <w:t>Incidences financières</w:t>
            </w:r>
          </w:p>
          <w:p w14:paraId="1DB06AC8" w14:textId="50307F9F" w:rsidR="00D72F49" w:rsidRPr="000E31AD" w:rsidRDefault="00F117A7" w:rsidP="00796BDB">
            <w:pPr>
              <w:rPr>
                <w:szCs w:val="24"/>
              </w:rPr>
            </w:pPr>
            <w:r w:rsidRPr="000E31AD">
              <w:rPr>
                <w:szCs w:val="24"/>
              </w:rPr>
              <w:t>Dans les limites du budget alloué pour 2026-2027.</w:t>
            </w:r>
          </w:p>
          <w:p w14:paraId="13FD34BB" w14:textId="77777777" w:rsidR="00D72F49" w:rsidRPr="000E31AD" w:rsidRDefault="00D72F49" w:rsidP="00796BDB">
            <w:pPr>
              <w:spacing w:before="160"/>
              <w:rPr>
                <w:caps/>
                <w:sz w:val="22"/>
              </w:rPr>
            </w:pPr>
            <w:r w:rsidRPr="000E31AD">
              <w:rPr>
                <w:sz w:val="22"/>
              </w:rPr>
              <w:t>__________________</w:t>
            </w:r>
          </w:p>
          <w:p w14:paraId="73DC94A4" w14:textId="77777777" w:rsidR="00D72F49" w:rsidRPr="000E31AD" w:rsidRDefault="00D72F49" w:rsidP="00796BDB">
            <w:pPr>
              <w:spacing w:before="160"/>
              <w:rPr>
                <w:b/>
                <w:bCs/>
                <w:sz w:val="26"/>
                <w:szCs w:val="26"/>
              </w:rPr>
            </w:pPr>
            <w:r w:rsidRPr="000E31AD">
              <w:rPr>
                <w:b/>
                <w:bCs/>
                <w:sz w:val="26"/>
                <w:szCs w:val="26"/>
              </w:rPr>
              <w:t>Références</w:t>
            </w:r>
          </w:p>
          <w:p w14:paraId="703F45F2" w14:textId="45BFF1B2" w:rsidR="00D72F49" w:rsidRPr="00CB7BA8" w:rsidRDefault="00F117A7" w:rsidP="00CE5172">
            <w:pPr>
              <w:pStyle w:val="Referencetext"/>
              <w:framePr w:hSpace="0" w:wrap="auto" w:vAnchor="margin" w:hAnchor="text" w:xAlign="left" w:yAlign="inline"/>
            </w:pPr>
            <w:hyperlink r:id="rId7" w:history="1">
              <w:r w:rsidRPr="00CB7BA8">
                <w:rPr>
                  <w:rStyle w:val="Hyperlink"/>
                  <w:rFonts w:eastAsia="Times New Roman" w:cs="Times New Roman"/>
                </w:rPr>
                <w:t>Résolutions 71</w:t>
              </w:r>
            </w:hyperlink>
            <w:r w:rsidRPr="00CB7BA8">
              <w:rPr>
                <w:color w:val="000000"/>
              </w:rPr>
              <w:t xml:space="preserve"> (Rév. Bucarest, 2022) et </w:t>
            </w:r>
            <w:hyperlink r:id="rId8" w:history="1">
              <w:r w:rsidRPr="00CB7BA8">
                <w:rPr>
                  <w:rStyle w:val="Hyperlink"/>
                  <w:rFonts w:eastAsia="Times New Roman" w:cs="Times New Roman"/>
                </w:rPr>
                <w:t>191</w:t>
              </w:r>
            </w:hyperlink>
            <w:r w:rsidRPr="00CB7BA8">
              <w:rPr>
                <w:color w:val="000000"/>
              </w:rPr>
              <w:t xml:space="preserve"> (Rév. Bucarest, 2022) et </w:t>
            </w:r>
            <w:hyperlink r:id="rId9" w:history="1">
              <w:r w:rsidRPr="00CB7BA8">
                <w:rPr>
                  <w:rStyle w:val="Hyperlink"/>
                  <w:rFonts w:eastAsia="Times New Roman" w:cs="Times New Roman"/>
                </w:rPr>
                <w:t>Décision 5</w:t>
              </w:r>
            </w:hyperlink>
            <w:r w:rsidRPr="00CB7BA8">
              <w:rPr>
                <w:color w:val="000000"/>
              </w:rPr>
              <w:t xml:space="preserve"> (Rév.</w:t>
            </w:r>
            <w:r w:rsidR="00DA1B9A" w:rsidRPr="00CB7BA8">
              <w:rPr>
                <w:color w:val="000000"/>
              </w:rPr>
              <w:t> </w:t>
            </w:r>
            <w:r w:rsidRPr="00CB7BA8">
              <w:rPr>
                <w:color w:val="000000"/>
              </w:rPr>
              <w:t>Bucarest,</w:t>
            </w:r>
            <w:r w:rsidR="00DA1B9A" w:rsidRPr="00CB7BA8">
              <w:rPr>
                <w:color w:val="000000"/>
              </w:rPr>
              <w:t> </w:t>
            </w:r>
            <w:r w:rsidRPr="00CB7BA8">
              <w:rPr>
                <w:color w:val="000000"/>
              </w:rPr>
              <w:t>2022) de la Conférence de plénipotentiaires</w:t>
            </w:r>
          </w:p>
        </w:tc>
      </w:tr>
    </w:tbl>
    <w:p w14:paraId="1B2CEC03" w14:textId="77777777" w:rsidR="00A51849" w:rsidRPr="000E31AD" w:rsidRDefault="00A51849">
      <w:pPr>
        <w:tabs>
          <w:tab w:val="clear" w:pos="567"/>
          <w:tab w:val="clear" w:pos="1134"/>
          <w:tab w:val="clear" w:pos="1701"/>
          <w:tab w:val="clear" w:pos="2268"/>
          <w:tab w:val="clear" w:pos="2835"/>
        </w:tabs>
        <w:overflowPunct/>
        <w:autoSpaceDE/>
        <w:autoSpaceDN/>
        <w:adjustRightInd/>
        <w:spacing w:before="0"/>
        <w:textAlignment w:val="auto"/>
      </w:pPr>
      <w:r w:rsidRPr="000E31AD">
        <w:br w:type="page"/>
      </w:r>
    </w:p>
    <w:p w14:paraId="7B8FD312" w14:textId="77777777" w:rsidR="00F117A7" w:rsidRPr="000E31AD" w:rsidRDefault="00F117A7" w:rsidP="00F117A7">
      <w:pPr>
        <w:pStyle w:val="Headingb"/>
      </w:pPr>
      <w:r w:rsidRPr="000E31AD">
        <w:rPr>
          <w:bCs/>
        </w:rPr>
        <w:lastRenderedPageBreak/>
        <w:t>Introduction</w:t>
      </w:r>
    </w:p>
    <w:p w14:paraId="57A149DB" w14:textId="4B9CDB59" w:rsidR="00F117A7" w:rsidRPr="000E31AD" w:rsidRDefault="00F117A7" w:rsidP="00CB7BA8">
      <w:pPr>
        <w:jc w:val="both"/>
      </w:pPr>
      <w:r w:rsidRPr="000E31AD">
        <w:t>La Conférence de plénipotentiaires de 2022 (PP-22), par sa Résolution 191 (Rév.</w:t>
      </w:r>
      <w:r w:rsidR="00DA1B9A" w:rsidRPr="000E31AD">
        <w:t> </w:t>
      </w:r>
      <w:r w:rsidRPr="000E31AD">
        <w:t>Bucarest,</w:t>
      </w:r>
      <w:r w:rsidR="00DA1B9A" w:rsidRPr="000E31AD">
        <w:t> </w:t>
      </w:r>
      <w:r w:rsidRPr="000E31AD">
        <w:t>2022), a chargé le Secrétaire général de continuer de renforcer la coordination et la coopération au sein des trois Secteurs de l'UIT et du Secrétariat général, de manière à éviter tout chevauchement d'activité et à optimiser l'utilisation des ressources de l'Union. Aux termes de cette Résolution, le Secrétaire général est également chargé de recenser toutes les formes de chevauchement des fonctions et des activités entre les Secteurs et le Secrétariat général et de proposer des solutions pour y remédier.</w:t>
      </w:r>
    </w:p>
    <w:p w14:paraId="619B3B30" w14:textId="3AEC31B7" w:rsidR="00F117A7" w:rsidRPr="000E31AD" w:rsidRDefault="00F117A7" w:rsidP="00CB7BA8">
      <w:pPr>
        <w:jc w:val="both"/>
      </w:pPr>
      <w:r w:rsidRPr="000E31AD">
        <w:t>Pour s</w:t>
      </w:r>
      <w:r w:rsidR="00DA1B9A" w:rsidRPr="000E31AD">
        <w:t>'</w:t>
      </w:r>
      <w:r w:rsidRPr="000E31AD">
        <w:t>acquitter de ces tâches, la Secrétaire générale a délégué au Vice-Secrétaire général la mise en œuvre de stratégies et de mécanismes de coordination intersectorielle visant à permettre une collaboration efficace entre les Secteurs et le Secrétariat général, par l</w:t>
      </w:r>
      <w:r w:rsidR="00DA1B9A" w:rsidRPr="000E31AD">
        <w:t>'</w:t>
      </w:r>
      <w:r w:rsidRPr="000E31AD">
        <w:t>intermédiaire d</w:t>
      </w:r>
      <w:r w:rsidR="00DA1B9A" w:rsidRPr="000E31AD">
        <w:t>'</w:t>
      </w:r>
      <w:r w:rsidRPr="000E31AD">
        <w:t>équipes intersectorielles œuvrant à l</w:t>
      </w:r>
      <w:r w:rsidR="00DA1B9A" w:rsidRPr="000E31AD">
        <w:t>'</w:t>
      </w:r>
      <w:r w:rsidRPr="000E31AD">
        <w:t>accomplissement des buts stratégiques et en faveur de l</w:t>
      </w:r>
      <w:r w:rsidR="00DA1B9A" w:rsidRPr="000E31AD">
        <w:t>'</w:t>
      </w:r>
      <w:r w:rsidRPr="000E31AD">
        <w:t>excellence organisationnelle de l</w:t>
      </w:r>
      <w:r w:rsidR="00DA1B9A" w:rsidRPr="000E31AD">
        <w:t>'</w:t>
      </w:r>
      <w:r w:rsidRPr="000E31AD">
        <w:t>UIT.</w:t>
      </w:r>
    </w:p>
    <w:p w14:paraId="1B3A781B" w14:textId="49FB6AB8" w:rsidR="00F117A7" w:rsidRPr="000E31AD" w:rsidRDefault="00F117A7" w:rsidP="00CB7BA8">
      <w:pPr>
        <w:jc w:val="both"/>
        <w:rPr>
          <w:rFonts w:asciiTheme="minorHAnsi" w:hAnsiTheme="minorHAnsi" w:cstheme="minorHAnsi"/>
          <w:szCs w:val="24"/>
        </w:rPr>
      </w:pPr>
      <w:r w:rsidRPr="000E31AD">
        <w:t>En 2024, l</w:t>
      </w:r>
      <w:r w:rsidR="00DA1B9A" w:rsidRPr="000E31AD">
        <w:t>'</w:t>
      </w:r>
      <w:r w:rsidRPr="000E31AD">
        <w:t>ordre de service relatif à la création du Groupe spécial de coordination intersectorielle (ISC-TF) a été mis à jour (</w:t>
      </w:r>
      <w:hyperlink r:id="rId10" w:history="1">
        <w:r w:rsidR="00DA1B9A" w:rsidRPr="000E31AD">
          <w:rPr>
            <w:rStyle w:val="Hyperlink"/>
            <w:rFonts w:eastAsia="Times New Roman" w:cs="Times New Roman"/>
            <w:szCs w:val="20"/>
          </w:rPr>
          <w:t>O</w:t>
        </w:r>
        <w:r w:rsidRPr="000E31AD">
          <w:rPr>
            <w:rStyle w:val="Hyperlink"/>
            <w:rFonts w:eastAsia="Times New Roman" w:cs="Times New Roman"/>
            <w:szCs w:val="20"/>
          </w:rPr>
          <w:t xml:space="preserve">rdre de service </w:t>
        </w:r>
        <w:r w:rsidR="00DA1B9A" w:rsidRPr="000E31AD">
          <w:rPr>
            <w:rStyle w:val="Hyperlink"/>
            <w:rFonts w:eastAsia="Times New Roman" w:cs="Times New Roman"/>
            <w:szCs w:val="20"/>
          </w:rPr>
          <w:t>N°</w:t>
        </w:r>
        <w:r w:rsidRPr="000E31AD">
          <w:rPr>
            <w:rStyle w:val="Hyperlink"/>
            <w:rFonts w:eastAsia="Times New Roman" w:cs="Times New Roman"/>
            <w:szCs w:val="20"/>
          </w:rPr>
          <w:t xml:space="preserve"> 24/06</w:t>
        </w:r>
      </w:hyperlink>
      <w:r w:rsidRPr="000E31AD">
        <w:t>). Sous la direction du Comité de coordination (CoCo), le Groupe ISC-TF a pour mission de renforcer la coordination et la collaboration entre les trois Bureaux et le Secrétariat général, dans le but d'éviter tout chevauchement d'activité au niveau interne et de garantir une utilisation optimale des ressources de l'UIT.</w:t>
      </w:r>
      <w:hyperlink r:id="rId11" w:history="1"/>
    </w:p>
    <w:p w14:paraId="2D1E6B37" w14:textId="3F5DA785" w:rsidR="00F117A7" w:rsidRPr="000E31AD" w:rsidRDefault="00F117A7" w:rsidP="00CB7BA8">
      <w:pPr>
        <w:jc w:val="both"/>
      </w:pPr>
      <w:r w:rsidRPr="000E31AD">
        <w:t>Le Groupe ISC-TF est le principal mécanisme de coordination interne au sein du Secrétariat et vise à faciliter la collaboration entre les trois Bureaux et le Secrétariat général et à garantir l</w:t>
      </w:r>
      <w:r w:rsidR="00DA1B9A" w:rsidRPr="000E31AD">
        <w:t>'</w:t>
      </w:r>
      <w:r w:rsidRPr="000E31AD">
        <w:t>alignement des activités sur les priorités stratégiques de l</w:t>
      </w:r>
      <w:r w:rsidR="00DA1B9A" w:rsidRPr="000E31AD">
        <w:t>'</w:t>
      </w:r>
      <w:r w:rsidRPr="000E31AD">
        <w:t>Union. Il assure aussi la liaison avec le Groupe de coordination intersectorielle sur les questions d'intérêt mutuel (ISCG) pour identifier les besoins des membres et proposer des solutions visant à améliorer la coopération et la coordination au sein de l'UIT.</w:t>
      </w:r>
    </w:p>
    <w:p w14:paraId="0303FACB" w14:textId="4D39DECD" w:rsidR="00F117A7" w:rsidRPr="000E31AD" w:rsidRDefault="00F117A7" w:rsidP="00CB7BA8">
      <w:pPr>
        <w:jc w:val="both"/>
        <w:rPr>
          <w:szCs w:val="24"/>
        </w:rPr>
      </w:pPr>
      <w:r w:rsidRPr="000E31AD">
        <w:t>Depuis la présentation du rapport au Conseil l</w:t>
      </w:r>
      <w:r w:rsidR="00DA1B9A" w:rsidRPr="000E31AD">
        <w:t>'</w:t>
      </w:r>
      <w:r w:rsidRPr="000E31AD">
        <w:t>année dernière, le Groupe ISC-TF a continué de renforcer la coordination dans l</w:t>
      </w:r>
      <w:r w:rsidR="00DA1B9A" w:rsidRPr="000E31AD">
        <w:t>'</w:t>
      </w:r>
      <w:r w:rsidRPr="000E31AD">
        <w:t>ensemble de l</w:t>
      </w:r>
      <w:r w:rsidR="00DA1B9A" w:rsidRPr="000E31AD">
        <w:t>'</w:t>
      </w:r>
      <w:r w:rsidRPr="000E31AD">
        <w:t>Union en associant des mécanismes de gouvernance, des outils d</w:t>
      </w:r>
      <w:r w:rsidR="00DA1B9A" w:rsidRPr="000E31AD">
        <w:t>'</w:t>
      </w:r>
      <w:r w:rsidRPr="000E31AD">
        <w:t>analyse partagés et des initiatives intersectorielles concrètes.</w:t>
      </w:r>
    </w:p>
    <w:p w14:paraId="4AB9011B" w14:textId="633097C8" w:rsidR="00F117A7" w:rsidRPr="000E31AD" w:rsidRDefault="00F117A7" w:rsidP="00CB7BA8">
      <w:pPr>
        <w:jc w:val="both"/>
        <w:rPr>
          <w:rFonts w:eastAsia="Calibri"/>
        </w:rPr>
      </w:pPr>
      <w:r w:rsidRPr="000E31AD">
        <w:t>La coordination intersectorielle a permis d'appuyer la mise en œuvre de plusieurs initiatives importantes de l</w:t>
      </w:r>
      <w:r w:rsidR="00DA1B9A" w:rsidRPr="000E31AD">
        <w:t>'</w:t>
      </w:r>
      <w:r w:rsidRPr="000E31AD">
        <w:t>UIT présentées dans le Rapport annuel de l</w:t>
      </w:r>
      <w:r w:rsidR="00DA1B9A" w:rsidRPr="000E31AD">
        <w:t>'</w:t>
      </w:r>
      <w:r w:rsidRPr="000E31AD">
        <w:t>Union, dont les activités associent de plus en plus des compétences spécialisées en matière de radiocommunications, de normalisation et de développement ainsi que les compétences du Secrétariat général. Citons les exemples suivants:</w:t>
      </w:r>
    </w:p>
    <w:p w14:paraId="366C4DF7" w14:textId="30177B57" w:rsidR="00F117A7" w:rsidRPr="000E31AD" w:rsidRDefault="00F117A7" w:rsidP="00CB7BA8">
      <w:pPr>
        <w:pStyle w:val="enumlev1"/>
        <w:spacing w:line="259" w:lineRule="auto"/>
        <w:jc w:val="both"/>
        <w:rPr>
          <w:rFonts w:eastAsia="Calibri"/>
        </w:rPr>
      </w:pPr>
      <w:r w:rsidRPr="000E31AD">
        <w:t>–</w:t>
      </w:r>
      <w:r w:rsidRPr="000E31AD">
        <w:tab/>
      </w:r>
      <w:r w:rsidRPr="000E31AD">
        <w:rPr>
          <w:b/>
          <w:bCs/>
        </w:rPr>
        <w:t>Cybersécurité et confiance numérique</w:t>
      </w:r>
      <w:r w:rsidRPr="000E31AD">
        <w:t>: les travaux menés par l</w:t>
      </w:r>
      <w:r w:rsidR="00DA1B9A" w:rsidRPr="000E31AD">
        <w:t>'</w:t>
      </w:r>
      <w:r w:rsidRPr="000E31AD">
        <w:t>UIT-D, l</w:t>
      </w:r>
      <w:r w:rsidR="00DA1B9A" w:rsidRPr="000E31AD">
        <w:t>'</w:t>
      </w:r>
      <w:r w:rsidRPr="000E31AD">
        <w:t>UIT-T et l</w:t>
      </w:r>
      <w:r w:rsidR="00DA1B9A" w:rsidRPr="000E31AD">
        <w:t>'</w:t>
      </w:r>
      <w:r w:rsidRPr="000E31AD">
        <w:t>UIT-R ont contribué à l</w:t>
      </w:r>
      <w:r w:rsidR="00DA1B9A" w:rsidRPr="000E31AD">
        <w:t>'</w:t>
      </w:r>
      <w:r w:rsidRPr="000E31AD">
        <w:t>élaboration d</w:t>
      </w:r>
      <w:r w:rsidR="00DA1B9A" w:rsidRPr="000E31AD">
        <w:t>'</w:t>
      </w:r>
      <w:r w:rsidRPr="000E31AD">
        <w:t>un cadre mondial exhaustif pour la cybersécurité, associant orientations politiques, élaboration de normes et activités de renforcement des capacités. Grâce à ces efforts coordonnés, le nombre de pays dotés d</w:t>
      </w:r>
      <w:r w:rsidR="00DA1B9A" w:rsidRPr="000E31AD">
        <w:t>'</w:t>
      </w:r>
      <w:r w:rsidRPr="000E31AD">
        <w:t>équipes nationales d</w:t>
      </w:r>
      <w:r w:rsidR="00DA1B9A" w:rsidRPr="000E31AD">
        <w:t>'</w:t>
      </w:r>
      <w:r w:rsidRPr="000E31AD">
        <w:t>intervention en cas d</w:t>
      </w:r>
      <w:r w:rsidR="00DA1B9A" w:rsidRPr="000E31AD">
        <w:t>'</w:t>
      </w:r>
      <w:r w:rsidRPr="000E31AD">
        <w:t>incident informatique est passé de 109 en 2020 à 132 en 2025, tandis que les stratégies nationales de cybersécurité se sont considérablement développées dans le monde entier.</w:t>
      </w:r>
    </w:p>
    <w:p w14:paraId="73F7CF73" w14:textId="40252B0D" w:rsidR="00F117A7" w:rsidRPr="000E31AD" w:rsidRDefault="00F117A7" w:rsidP="00CB7BA8">
      <w:pPr>
        <w:pStyle w:val="enumlev1"/>
        <w:jc w:val="both"/>
        <w:rPr>
          <w:rFonts w:eastAsia="Calibri" w:cs="Calibri"/>
          <w:szCs w:val="24"/>
        </w:rPr>
      </w:pPr>
      <w:r w:rsidRPr="000E31AD">
        <w:t>–</w:t>
      </w:r>
      <w:r w:rsidRPr="000E31AD">
        <w:tab/>
      </w:r>
      <w:r w:rsidRPr="000E31AD">
        <w:rPr>
          <w:b/>
          <w:bCs/>
        </w:rPr>
        <w:t>Inclusion et accessibilité numériques</w:t>
      </w:r>
      <w:r w:rsidRPr="000E31AD">
        <w:t>: les trois Secteurs ont travaillé ensemble pour promouvoir l</w:t>
      </w:r>
      <w:r w:rsidR="00DA1B9A" w:rsidRPr="000E31AD">
        <w:t>'</w:t>
      </w:r>
      <w:r w:rsidRPr="000E31AD">
        <w:t>accessibilité numérique pour les personnes handicapées grâce à des conseils d</w:t>
      </w:r>
      <w:r w:rsidR="00DA1B9A" w:rsidRPr="000E31AD">
        <w:t>'</w:t>
      </w:r>
      <w:r w:rsidRPr="000E31AD">
        <w:t xml:space="preserve">experts, des programmes de formation et des ressources techniques. Cette approche coordonnée a contribué à l'amélioration des cadres réglementaires nationaux </w:t>
      </w:r>
      <w:r w:rsidRPr="000E31AD">
        <w:lastRenderedPageBreak/>
        <w:t>sur l</w:t>
      </w:r>
      <w:r w:rsidR="00DA1B9A" w:rsidRPr="000E31AD">
        <w:t>'</w:t>
      </w:r>
      <w:r w:rsidRPr="000E31AD">
        <w:t>accessibilité des TIC, que plus de 100 pays ont mis en œuvre pendant la période considérée.</w:t>
      </w:r>
    </w:p>
    <w:p w14:paraId="04DE5D00" w14:textId="6CCEE342" w:rsidR="00F117A7" w:rsidRPr="000E31AD" w:rsidRDefault="00F117A7" w:rsidP="00CB7BA8">
      <w:pPr>
        <w:pStyle w:val="enumlev1"/>
        <w:jc w:val="both"/>
        <w:rPr>
          <w:rFonts w:eastAsia="Calibri" w:cs="Calibri"/>
          <w:szCs w:val="24"/>
        </w:rPr>
      </w:pPr>
      <w:r w:rsidRPr="000E31AD">
        <w:t>–</w:t>
      </w:r>
      <w:r w:rsidRPr="000E31AD">
        <w:tab/>
      </w:r>
      <w:r w:rsidRPr="000E31AD">
        <w:rPr>
          <w:b/>
          <w:bCs/>
        </w:rPr>
        <w:t>Réduction de l</w:t>
      </w:r>
      <w:r w:rsidR="00DA1B9A" w:rsidRPr="000E31AD">
        <w:rPr>
          <w:b/>
          <w:bCs/>
        </w:rPr>
        <w:t>'</w:t>
      </w:r>
      <w:r w:rsidRPr="000E31AD">
        <w:rPr>
          <w:b/>
          <w:bCs/>
        </w:rPr>
        <w:t>écart en matière de normalisation et renforcement des capacités</w:t>
      </w:r>
      <w:r w:rsidRPr="000E31AD">
        <w:t>: la coordination entre le Bureau de la normalisation des télécommunications (TSB) et le Bureau de développement des télécommunications (BDT), notamment par l</w:t>
      </w:r>
      <w:r w:rsidR="00DA1B9A" w:rsidRPr="000E31AD">
        <w:t>'</w:t>
      </w:r>
      <w:r w:rsidRPr="000E31AD">
        <w:t>intermédiaire des bureaux régionaux, permet de continuer d</w:t>
      </w:r>
      <w:r w:rsidR="00DA1B9A" w:rsidRPr="000E31AD">
        <w:t>'</w:t>
      </w:r>
      <w:r w:rsidRPr="000E31AD">
        <w:t>appuyer les activités de formation et de renforcement des capacités visant à accroître la participation des pays en développement aux processus de normalisation internationaux. Des supports et des cours de formation sont disponibles sur la plate-forme de l</w:t>
      </w:r>
      <w:r w:rsidR="00DA1B9A" w:rsidRPr="000E31AD">
        <w:t>'</w:t>
      </w:r>
      <w:r w:rsidRPr="000E31AD">
        <w:t>Académie de l</w:t>
      </w:r>
      <w:r w:rsidR="00DA1B9A" w:rsidRPr="000E31AD">
        <w:t>'</w:t>
      </w:r>
      <w:r w:rsidRPr="000E31AD">
        <w:t>UIT en plusieurs langues.</w:t>
      </w:r>
    </w:p>
    <w:p w14:paraId="61A283F8" w14:textId="28A4D8D5" w:rsidR="00F117A7" w:rsidRPr="000E31AD" w:rsidRDefault="00F117A7" w:rsidP="00CB7BA8">
      <w:pPr>
        <w:jc w:val="both"/>
        <w:rPr>
          <w:rFonts w:eastAsia="Calibri"/>
        </w:rPr>
      </w:pPr>
      <w:r w:rsidRPr="000E31AD">
        <w:t xml:space="preserve">Le </w:t>
      </w:r>
      <w:hyperlink r:id="rId12" w:history="1">
        <w:r w:rsidRPr="000E31AD">
          <w:rPr>
            <w:rStyle w:val="Hyperlink"/>
            <w:rFonts w:eastAsia="Times New Roman" w:cs="Times New Roman"/>
            <w:szCs w:val="20"/>
          </w:rPr>
          <w:t>Document C26/35</w:t>
        </w:r>
      </w:hyperlink>
      <w:r w:rsidRPr="000E31AD">
        <w:t xml:space="preserve"> du Conseil sur la mise en œuvre du plan stratégique et les activités de l</w:t>
      </w:r>
      <w:r w:rsidR="00DA1B9A" w:rsidRPr="000E31AD">
        <w:t>'</w:t>
      </w:r>
      <w:r w:rsidRPr="000E31AD">
        <w:t xml:space="preserve">Union porte sur d'autres résultats concrets obtenus à la suite des efforts de coordination déployés par les équipes intersectorielles, y compris la création de la plate-forme web visant à rendre compte de la mise en œuvre des résolutions de la PP, disponible </w:t>
      </w:r>
      <w:hyperlink r:id="rId13" w:history="1">
        <w:r w:rsidRPr="000E31AD">
          <w:rPr>
            <w:rStyle w:val="Hyperlink"/>
            <w:rFonts w:eastAsia="Times New Roman" w:cs="Times New Roman"/>
            <w:szCs w:val="20"/>
          </w:rPr>
          <w:t>ici</w:t>
        </w:r>
      </w:hyperlink>
      <w:r w:rsidRPr="000E31AD">
        <w:t>.</w:t>
      </w:r>
      <w:hyperlink r:id="rId14" w:history="1"/>
      <w:hyperlink r:id="rId15" w:history="1"/>
    </w:p>
    <w:p w14:paraId="32AD9910" w14:textId="789F671E" w:rsidR="00F117A7" w:rsidRPr="000E31AD" w:rsidRDefault="00F117A7" w:rsidP="00CB7BA8">
      <w:pPr>
        <w:jc w:val="both"/>
        <w:rPr>
          <w:rFonts w:eastAsia="Calibri"/>
        </w:rPr>
      </w:pPr>
      <w:r w:rsidRPr="000E31AD">
        <w:t>Le Secrétariat continue également d</w:t>
      </w:r>
      <w:r w:rsidR="00DA1B9A" w:rsidRPr="000E31AD">
        <w:t>'</w:t>
      </w:r>
      <w:r w:rsidRPr="000E31AD">
        <w:t>améliorer la coordination par les moyens suivants:</w:t>
      </w:r>
    </w:p>
    <w:p w14:paraId="48D5B7BB" w14:textId="06026270" w:rsidR="00F117A7" w:rsidRPr="000E31AD" w:rsidRDefault="00F117A7" w:rsidP="00CB7BA8">
      <w:pPr>
        <w:pStyle w:val="enumlev1"/>
        <w:jc w:val="both"/>
        <w:rPr>
          <w:rFonts w:eastAsia="Calibri" w:cs="Calibri"/>
        </w:rPr>
      </w:pPr>
      <w:r w:rsidRPr="000E31AD">
        <w:t>–</w:t>
      </w:r>
      <w:r w:rsidRPr="000E31AD">
        <w:tab/>
      </w:r>
      <w:hyperlink r:id="rId16" w:anchor="/fr" w:history="1">
        <w:r w:rsidRPr="000E31AD">
          <w:rPr>
            <w:rStyle w:val="Hyperlink"/>
            <w:rFonts w:eastAsia="Times New Roman" w:cs="Times New Roman"/>
            <w:szCs w:val="20"/>
          </w:rPr>
          <w:t>Page web relative à la coordination intersectorielle</w:t>
        </w:r>
      </w:hyperlink>
      <w:r w:rsidRPr="000E31AD">
        <w:t>: à la suite des demandes formulées par le Groupe de travail du Conseil sur les ressources financières et les ressources humaines (GTC-FHR), le site web du Groupe ISCG a également été mis à jour pour tenir compte des changements apportés au format et aux procédures de publication des documents, conformément aux demandes des États Membres et aux pratiques appliquées aux autres réunions du Secrétariat général.</w:t>
      </w:r>
    </w:p>
    <w:p w14:paraId="49F64E42" w14:textId="37FF0EE6" w:rsidR="00F117A7" w:rsidRPr="000E31AD" w:rsidRDefault="00F117A7" w:rsidP="00CB7BA8">
      <w:pPr>
        <w:pStyle w:val="enumlev1"/>
        <w:jc w:val="both"/>
        <w:rPr>
          <w:rFonts w:cs="Calibri"/>
        </w:rPr>
      </w:pPr>
      <w:r w:rsidRPr="000E31AD">
        <w:t>–</w:t>
      </w:r>
      <w:r w:rsidRPr="000E31AD">
        <w:tab/>
        <w:t xml:space="preserve">Publication, sur la page web relative à la coordination intersectorielle, de la </w:t>
      </w:r>
      <w:hyperlink r:id="rId17" w:history="1">
        <w:r w:rsidRPr="000E31AD">
          <w:rPr>
            <w:rStyle w:val="Hyperlink"/>
            <w:rFonts w:eastAsia="Times New Roman" w:cs="Times New Roman"/>
            <w:szCs w:val="20"/>
          </w:rPr>
          <w:t>liste des thèmes</w:t>
        </w:r>
      </w:hyperlink>
      <w:r w:rsidRPr="000E31AD">
        <w:t xml:space="preserve"> appelant une coordination intersectorielle, conjointement avec les coordonnateurs désignés par les Secteurs et le Secrétariat général.</w:t>
      </w:r>
    </w:p>
    <w:p w14:paraId="09252534" w14:textId="443D1DBF" w:rsidR="00F117A7" w:rsidRPr="000E31AD" w:rsidRDefault="00F117A7" w:rsidP="00CB7BA8">
      <w:pPr>
        <w:pStyle w:val="enumlev1"/>
        <w:jc w:val="both"/>
        <w:rPr>
          <w:rFonts w:cs="Calibri"/>
        </w:rPr>
      </w:pPr>
      <w:r w:rsidRPr="000E31AD">
        <w:t>–</w:t>
      </w:r>
      <w:r w:rsidRPr="000E31AD">
        <w:tab/>
        <w:t xml:space="preserve">Poursuite de la </w:t>
      </w:r>
      <w:hyperlink r:id="rId18" w:history="1">
        <w:r w:rsidRPr="000E31AD">
          <w:rPr>
            <w:rStyle w:val="Hyperlink"/>
            <w:rFonts w:eastAsia="Times New Roman" w:cs="Times New Roman"/>
            <w:szCs w:val="20"/>
          </w:rPr>
          <w:t>mise en correspondance des résolutions</w:t>
        </w:r>
      </w:hyperlink>
      <w:r w:rsidRPr="000E31AD">
        <w:t xml:space="preserve"> des grandes conférences et assemblées de l</w:t>
      </w:r>
      <w:r w:rsidR="00DA1B9A" w:rsidRPr="000E31AD">
        <w:t>'</w:t>
      </w:r>
      <w:r w:rsidRPr="000E31AD">
        <w:t>UIT (dernière mise à jour effectuée après la CMDT-25), y compris désormais des résolutions de la Conférence mondiale des télécommunications internationales (Dubaï, 2012), à la demande des États Membres. Cet outil vise à aider les États Membres à élaborer leurs contributions en vue de la Conférence de plénipotentiaires de 2026 (</w:t>
      </w:r>
      <w:proofErr w:type="spellStart"/>
      <w:r w:rsidRPr="000E31AD">
        <w:t>PP-26</w:t>
      </w:r>
      <w:proofErr w:type="spellEnd"/>
      <w:r w:rsidRPr="000E31AD">
        <w:t>).</w:t>
      </w:r>
      <w:hyperlink r:id="rId19" w:history="1"/>
    </w:p>
    <w:p w14:paraId="7110EC97" w14:textId="37A5FFC7" w:rsidR="00F117A7" w:rsidRPr="000E31AD" w:rsidRDefault="00F117A7" w:rsidP="00CB7BA8">
      <w:pPr>
        <w:pStyle w:val="enumlev1"/>
        <w:jc w:val="both"/>
        <w:rPr>
          <w:rFonts w:cs="Calibri"/>
        </w:rPr>
      </w:pPr>
      <w:r w:rsidRPr="000E31AD">
        <w:t>–</w:t>
      </w:r>
      <w:r w:rsidRPr="000E31AD">
        <w:tab/>
        <w:t>Toujours en ce qui concerne la PP-26, le Groupe ISC-TF s</w:t>
      </w:r>
      <w:r w:rsidR="00DA1B9A" w:rsidRPr="000E31AD">
        <w:t>'</w:t>
      </w:r>
      <w:r w:rsidRPr="000E31AD">
        <w:t xml:space="preserve">est félicité des </w:t>
      </w:r>
      <w:hyperlink r:id="rId20" w:history="1">
        <w:r w:rsidRPr="000E31AD">
          <w:rPr>
            <w:rStyle w:val="Hyperlink"/>
            <w:rFonts w:eastAsia="Times New Roman" w:cs="Times New Roman"/>
            <w:szCs w:val="20"/>
          </w:rPr>
          <w:t>Lignes directrices relatives à l</w:t>
        </w:r>
        <w:r w:rsidR="00DA1B9A" w:rsidRPr="000E31AD">
          <w:rPr>
            <w:rStyle w:val="Hyperlink"/>
            <w:rFonts w:eastAsia="Times New Roman" w:cs="Times New Roman"/>
            <w:szCs w:val="20"/>
          </w:rPr>
          <w:t>'</w:t>
        </w:r>
        <w:r w:rsidRPr="000E31AD">
          <w:rPr>
            <w:rStyle w:val="Hyperlink"/>
            <w:rFonts w:eastAsia="Times New Roman" w:cs="Times New Roman"/>
            <w:szCs w:val="20"/>
          </w:rPr>
          <w:t>harmonisation des résolutions et des décisions de la Conférence de plénipotentiaires</w:t>
        </w:r>
      </w:hyperlink>
      <w:r w:rsidRPr="000E31AD">
        <w:t xml:space="preserve"> élaborées par le Groupe de travail du Conseil chargé d</w:t>
      </w:r>
      <w:r w:rsidR="00DA1B9A" w:rsidRPr="000E31AD">
        <w:t>'</w:t>
      </w:r>
      <w:r w:rsidRPr="000E31AD">
        <w:t>élaborer le Plan stratégique et le Plan financier pour la période 2028-2031 (GTC-SFP). Ces lignes directrices constituent un outil supplémentaire et non contraignant destiné à aider les États Membres souhaitant préparer leurs propositions en vue d</w:t>
      </w:r>
      <w:r w:rsidR="00DA1B9A" w:rsidRPr="000E31AD">
        <w:t>'</w:t>
      </w:r>
      <w:r w:rsidRPr="000E31AD">
        <w:t>accroître l</w:t>
      </w:r>
      <w:r w:rsidR="00DA1B9A" w:rsidRPr="000E31AD">
        <w:t>'</w:t>
      </w:r>
      <w:r w:rsidRPr="000E31AD">
        <w:t>efficacité des travaux de l</w:t>
      </w:r>
      <w:r w:rsidR="00DA1B9A" w:rsidRPr="000E31AD">
        <w:t>'</w:t>
      </w:r>
      <w:r w:rsidRPr="000E31AD">
        <w:t>Union.</w:t>
      </w:r>
      <w:hyperlink r:id="rId21" w:history="1"/>
    </w:p>
    <w:p w14:paraId="31515F9B" w14:textId="0D79C108" w:rsidR="00F117A7" w:rsidRPr="000E31AD" w:rsidRDefault="00F117A7" w:rsidP="00CB7BA8">
      <w:pPr>
        <w:pStyle w:val="enumlev1"/>
        <w:jc w:val="both"/>
        <w:rPr>
          <w:rFonts w:cs="Calibri"/>
        </w:rPr>
      </w:pPr>
      <w:r w:rsidRPr="000E31AD">
        <w:t>–</w:t>
      </w:r>
      <w:r w:rsidRPr="000E31AD">
        <w:tab/>
        <w:t xml:space="preserve">Partenariat sur la mesure des TIC au service du développement: ce partenariat vise à améliorer la qualité et la disponibilité des données sur les TIC au service du développement durable et à établir des correspondances entre certains indicateurs fondamentaux et les grandes orientations du Sommet mondial sur la société de l'information (SMSI), les travaux du Pacte numérique mondial et les résultats du Cadre de connectivité efficace des Nations Unies. Les produits des activités de ce partenariat sont hébergés dans le </w:t>
      </w:r>
      <w:hyperlink r:id="rId22" w:history="1">
        <w:r w:rsidRPr="000E31AD">
          <w:rPr>
            <w:rStyle w:val="Hyperlink"/>
            <w:rFonts w:eastAsia="Times New Roman" w:cs="Times New Roman"/>
            <w:szCs w:val="20"/>
          </w:rPr>
          <w:t>Centre de données de l</w:t>
        </w:r>
        <w:r w:rsidR="00DA1B9A" w:rsidRPr="000E31AD">
          <w:rPr>
            <w:rStyle w:val="Hyperlink"/>
            <w:rFonts w:eastAsia="Times New Roman" w:cs="Times New Roman"/>
            <w:szCs w:val="20"/>
          </w:rPr>
          <w:t>'</w:t>
        </w:r>
        <w:r w:rsidRPr="000E31AD">
          <w:rPr>
            <w:rStyle w:val="Hyperlink"/>
            <w:rFonts w:eastAsia="Times New Roman" w:cs="Times New Roman"/>
            <w:szCs w:val="20"/>
          </w:rPr>
          <w:t>UIT</w:t>
        </w:r>
      </w:hyperlink>
      <w:r w:rsidRPr="000E31AD">
        <w:t>.</w:t>
      </w:r>
      <w:hyperlink r:id="rId23" w:history="1"/>
    </w:p>
    <w:p w14:paraId="19CD95CD" w14:textId="296D6A57" w:rsidR="00F117A7" w:rsidRPr="000E31AD" w:rsidRDefault="00F117A7" w:rsidP="00CB7BA8">
      <w:pPr>
        <w:jc w:val="both"/>
      </w:pPr>
      <w:r w:rsidRPr="000E31AD">
        <w:lastRenderedPageBreak/>
        <w:t>En 2026, le Groupe ISC-TF se chargera en priorité d</w:t>
      </w:r>
      <w:r w:rsidR="00DA1B9A" w:rsidRPr="000E31AD">
        <w:t>'</w:t>
      </w:r>
      <w:r w:rsidRPr="000E31AD">
        <w:t>améliorer la coordination des manifestations, des publications et de la communication, l</w:t>
      </w:r>
      <w:r w:rsidR="00DA1B9A" w:rsidRPr="000E31AD">
        <w:t>'</w:t>
      </w:r>
      <w:r w:rsidRPr="000E31AD">
        <w:t>objectif étant de renforcer la présence institutionnelle et l</w:t>
      </w:r>
      <w:r w:rsidR="00DA1B9A" w:rsidRPr="000E31AD">
        <w:t>'</w:t>
      </w:r>
      <w:r w:rsidRPr="000E31AD">
        <w:t>impact global de l</w:t>
      </w:r>
      <w:r w:rsidR="00DA1B9A" w:rsidRPr="000E31AD">
        <w:t>'</w:t>
      </w:r>
      <w:r w:rsidRPr="000E31AD">
        <w:t>Union.</w:t>
      </w:r>
    </w:p>
    <w:p w14:paraId="7EF8A0CD" w14:textId="12EF09FB" w:rsidR="00F117A7" w:rsidRPr="000E31AD" w:rsidRDefault="00F117A7" w:rsidP="00F117A7">
      <w:pPr>
        <w:pStyle w:val="Headingb"/>
      </w:pPr>
      <w:r w:rsidRPr="000E31AD">
        <w:t>Appui en matière de planification stratégique et d'alignement organisationnel</w:t>
      </w:r>
    </w:p>
    <w:p w14:paraId="233DD5AE" w14:textId="27311204" w:rsidR="00F117A7" w:rsidRPr="000E31AD" w:rsidRDefault="00F117A7" w:rsidP="00CB7BA8">
      <w:pPr>
        <w:jc w:val="both"/>
      </w:pPr>
      <w:r w:rsidRPr="000E31AD">
        <w:t>Le GTC-SFP, dirigé par le Vice-Secrétaire général, a été créé pour coordonner les contributions du Secrétariat à l</w:t>
      </w:r>
      <w:r w:rsidR="00DA1B9A" w:rsidRPr="000E31AD">
        <w:t>'</w:t>
      </w:r>
      <w:r w:rsidRPr="000E31AD">
        <w:t>élaboration du Plan stratégique et du Plan financier pour la période 2028-2031. Cette approche collaborative a permis au Secrétariat d</w:t>
      </w:r>
      <w:r w:rsidR="00DA1B9A" w:rsidRPr="000E31AD">
        <w:t>'</w:t>
      </w:r>
      <w:r w:rsidRPr="000E31AD">
        <w:t>harmoniser les points de vue des Secteurs et d</w:t>
      </w:r>
      <w:r w:rsidR="00DA1B9A" w:rsidRPr="000E31AD">
        <w:t>'</w:t>
      </w:r>
      <w:r w:rsidRPr="000E31AD">
        <w:t>assurer la cohérence entre les Bureaux et le Secrétariat général dans la préparation du prochain cycle de planification. Une équipe de projet dirigée par le Chef du département de l</w:t>
      </w:r>
      <w:r w:rsidR="00DA1B9A" w:rsidRPr="000E31AD">
        <w:t>'</w:t>
      </w:r>
      <w:r w:rsidRPr="000E31AD">
        <w:t>administration et des finances coordonne également les travaux entre les Bureaux et le Secrétariat général afin d</w:t>
      </w:r>
      <w:r w:rsidR="00DA1B9A" w:rsidRPr="000E31AD">
        <w:t>'</w:t>
      </w:r>
      <w:r w:rsidRPr="000E31AD">
        <w:t>assurer la coordination entre les plans stratégique, financier et opérationnel.</w:t>
      </w:r>
    </w:p>
    <w:p w14:paraId="163B3BC5" w14:textId="77777777" w:rsidR="00F117A7" w:rsidRPr="000E31AD" w:rsidRDefault="00F117A7" w:rsidP="00F117A7">
      <w:pPr>
        <w:pStyle w:val="Headingb"/>
        <w:rPr>
          <w:bCs/>
        </w:rPr>
      </w:pPr>
      <w:r w:rsidRPr="000E31AD">
        <w:rPr>
          <w:bCs/>
        </w:rPr>
        <w:t>Coordination entre les membres – Groupe de coordination intersectorielle sur les questions d'intérêt mutuel (ISCG)</w:t>
      </w:r>
    </w:p>
    <w:p w14:paraId="7970B9F2" w14:textId="77777777" w:rsidR="00F117A7" w:rsidRPr="000E31AD" w:rsidRDefault="00F117A7" w:rsidP="00CB7BA8">
      <w:pPr>
        <w:jc w:val="both"/>
      </w:pPr>
      <w:r w:rsidRPr="000E31AD">
        <w:t>La coordination entre les membres continue d'être assurée par le Groupe ISCG, présidé par M. Fabio Bigi (Italie), en tant que groupe axé sur la soumission de contributions.</w:t>
      </w:r>
    </w:p>
    <w:p w14:paraId="749A80C2" w14:textId="77777777" w:rsidR="00F117A7" w:rsidRPr="000E31AD" w:rsidRDefault="00F117A7" w:rsidP="00CB7BA8">
      <w:pPr>
        <w:jc w:val="both"/>
      </w:pPr>
      <w:r w:rsidRPr="000E31AD">
        <w:t>Le Groupe ISCG poursuit ses travaux sur les thèmes suivants:</w:t>
      </w:r>
    </w:p>
    <w:p w14:paraId="664A7874" w14:textId="007A114B" w:rsidR="00F117A7" w:rsidRPr="000E31AD" w:rsidRDefault="00F117A7" w:rsidP="00CB7BA8">
      <w:pPr>
        <w:pStyle w:val="enumlev1"/>
        <w:jc w:val="both"/>
      </w:pPr>
      <w:r w:rsidRPr="000E31AD">
        <w:t>–</w:t>
      </w:r>
      <w:r w:rsidRPr="000E31AD">
        <w:tab/>
      </w:r>
      <w:r w:rsidRPr="000E31AD">
        <w:rPr>
          <w:b/>
          <w:bCs/>
        </w:rPr>
        <w:t>Accessibilité</w:t>
      </w:r>
      <w:r w:rsidRPr="000E31AD">
        <w:t>: le Groupe ISCG a fait part de son intérêt pour participer aux discussions relatives au projet de nouveau bâtiment de l'UIT et suit de près l</w:t>
      </w:r>
      <w:r w:rsidR="00DA1B9A" w:rsidRPr="000E31AD">
        <w:t>'</w:t>
      </w:r>
      <w:r w:rsidRPr="000E31AD">
        <w:t>évolution du nouveau site web de l</w:t>
      </w:r>
      <w:r w:rsidR="00DA1B9A" w:rsidRPr="000E31AD">
        <w:t>'</w:t>
      </w:r>
      <w:r w:rsidRPr="000E31AD">
        <w:t>UIT, afin de veiller à ce que ces deux activités restent accessibles à tous les utilisateurs.</w:t>
      </w:r>
    </w:p>
    <w:p w14:paraId="51FBDC39" w14:textId="550B4428" w:rsidR="00F117A7" w:rsidRPr="000E31AD" w:rsidRDefault="00F117A7" w:rsidP="00CB7BA8">
      <w:pPr>
        <w:pStyle w:val="enumlev1"/>
        <w:jc w:val="both"/>
      </w:pPr>
      <w:r w:rsidRPr="000E31AD">
        <w:t>–</w:t>
      </w:r>
      <w:r w:rsidRPr="000E31AD">
        <w:tab/>
      </w:r>
      <w:r w:rsidRPr="000E31AD">
        <w:rPr>
          <w:b/>
          <w:bCs/>
        </w:rPr>
        <w:t>Changements climatiques</w:t>
      </w:r>
      <w:r w:rsidRPr="000E31AD">
        <w:t>: la collaboration entre les trois Secteurs de l'UIT continue d'évoluer. Ces efforts sont présentés sur le site web de l'UIT, sous la rubrique "</w:t>
      </w:r>
      <w:hyperlink r:id="rId24" w:anchor="/fr" w:history="1">
        <w:r w:rsidRPr="000E31AD">
          <w:rPr>
            <w:rStyle w:val="Hyperlink"/>
            <w:rFonts w:eastAsia="Times New Roman" w:cs="Times New Roman"/>
            <w:szCs w:val="20"/>
          </w:rPr>
          <w:t>Environnement et changements climatiques</w:t>
        </w:r>
      </w:hyperlink>
      <w:r w:rsidRPr="000E31AD">
        <w:t>".</w:t>
      </w:r>
      <w:hyperlink r:id="rId25" w:history="1"/>
    </w:p>
    <w:p w14:paraId="463C47A1" w14:textId="44369816" w:rsidR="00F117A7" w:rsidRPr="000E31AD" w:rsidRDefault="00F117A7" w:rsidP="00CB7BA8">
      <w:pPr>
        <w:pStyle w:val="enumlev1"/>
        <w:jc w:val="both"/>
      </w:pPr>
      <w:r w:rsidRPr="000E31AD">
        <w:t>–</w:t>
      </w:r>
      <w:r w:rsidRPr="000E31AD">
        <w:tab/>
      </w:r>
      <w:r w:rsidRPr="000E31AD">
        <w:rPr>
          <w:b/>
          <w:bCs/>
        </w:rPr>
        <w:t>Site web de l</w:t>
      </w:r>
      <w:r w:rsidR="00DA1B9A" w:rsidRPr="000E31AD">
        <w:rPr>
          <w:b/>
          <w:bCs/>
        </w:rPr>
        <w:t>'</w:t>
      </w:r>
      <w:r w:rsidRPr="000E31AD">
        <w:rPr>
          <w:b/>
          <w:bCs/>
        </w:rPr>
        <w:t>UIT</w:t>
      </w:r>
      <w:r w:rsidRPr="000E31AD">
        <w:t>: le Groupe ISCG a demandé au Secrétariat de le tenir au courant de l'avancement du développement du nouveau site web de l</w:t>
      </w:r>
      <w:r w:rsidR="00DA1B9A" w:rsidRPr="000E31AD">
        <w:t>'</w:t>
      </w:r>
      <w:r w:rsidRPr="000E31AD">
        <w:t>UIT, et le Secrétariat continue de dialoguer avec les membres et de recueillir leurs commentaires. Comme indiqué ci-dessus, la coordonnatrice pour l</w:t>
      </w:r>
      <w:r w:rsidR="00DA1B9A" w:rsidRPr="000E31AD">
        <w:t>'</w:t>
      </w:r>
      <w:r w:rsidRPr="000E31AD">
        <w:t>accessibilité a exprimé son intérêt pour veiller activement à ce que le projet tienne dûment compte des besoins des personnes handicapées tout au long du processus d</w:t>
      </w:r>
      <w:r w:rsidR="00DA1B9A" w:rsidRPr="000E31AD">
        <w:t>'</w:t>
      </w:r>
      <w:r w:rsidRPr="000E31AD">
        <w:t>examen.</w:t>
      </w:r>
    </w:p>
    <w:p w14:paraId="1194CBED" w14:textId="31C6AFA7" w:rsidR="00F117A7" w:rsidRPr="000E31AD" w:rsidRDefault="00F117A7" w:rsidP="00CB7BA8">
      <w:pPr>
        <w:pStyle w:val="enumlev1"/>
        <w:jc w:val="both"/>
      </w:pPr>
      <w:r w:rsidRPr="000E31AD">
        <w:t>–</w:t>
      </w:r>
      <w:r w:rsidRPr="000E31AD">
        <w:tab/>
      </w:r>
      <w:r w:rsidRPr="000E31AD">
        <w:rPr>
          <w:b/>
          <w:bCs/>
        </w:rPr>
        <w:t>Participation à distance</w:t>
      </w:r>
      <w:r w:rsidRPr="000E31AD">
        <w:t xml:space="preserve">: le Groupe ISCG encourage l'harmonisation du </w:t>
      </w:r>
      <w:hyperlink r:id="rId26" w:history="1">
        <w:r w:rsidRPr="000E31AD">
          <w:rPr>
            <w:rStyle w:val="Hyperlink"/>
            <w:rFonts w:eastAsia="Times New Roman" w:cs="Times New Roman"/>
            <w:szCs w:val="20"/>
          </w:rPr>
          <w:t>Supplément 4 de la série A de l</w:t>
        </w:r>
        <w:r w:rsidR="00DA1B9A" w:rsidRPr="000E31AD">
          <w:rPr>
            <w:rStyle w:val="Hyperlink"/>
            <w:rFonts w:eastAsia="Times New Roman" w:cs="Times New Roman"/>
            <w:szCs w:val="20"/>
          </w:rPr>
          <w:t>'</w:t>
        </w:r>
        <w:r w:rsidRPr="000E31AD">
          <w:rPr>
            <w:rStyle w:val="Hyperlink"/>
            <w:rFonts w:eastAsia="Times New Roman" w:cs="Times New Roman"/>
            <w:szCs w:val="20"/>
          </w:rPr>
          <w:t>UIT-T, intitulé "Lignes directrices relatives à la participation à distance"</w:t>
        </w:r>
      </w:hyperlink>
      <w:r w:rsidRPr="000E31AD">
        <w:t xml:space="preserve"> et des "</w:t>
      </w:r>
      <w:hyperlink r:id="rId27" w:anchor="/fr" w:history="1">
        <w:r w:rsidRPr="000E31AD">
          <w:rPr>
            <w:rStyle w:val="Hyperlink"/>
            <w:rFonts w:eastAsia="Times New Roman" w:cs="Times New Roman"/>
            <w:szCs w:val="20"/>
          </w:rPr>
          <w:t>Lignes directrices relatives à la gestion des réunions entièrement virtuelles et des réunions physiques avec participation à distance</w:t>
        </w:r>
      </w:hyperlink>
      <w:r w:rsidRPr="000E31AD">
        <w:t xml:space="preserve">", conformément à la </w:t>
      </w:r>
      <w:hyperlink r:id="rId28" w:history="1">
        <w:r w:rsidRPr="000E31AD">
          <w:rPr>
            <w:rStyle w:val="Hyperlink"/>
            <w:rFonts w:eastAsia="Times New Roman" w:cs="Times New Roman"/>
            <w:szCs w:val="20"/>
          </w:rPr>
          <w:t>Résolution 167</w:t>
        </w:r>
      </w:hyperlink>
      <w:r w:rsidRPr="000E31AD">
        <w:t xml:space="preserve"> (Rév. Bucarest, 2022) de la Conférence de plénipotentiaires. Le Groupe ISCG a également souligné la nécessité de revoir et d</w:t>
      </w:r>
      <w:r w:rsidR="00DA1B9A" w:rsidRPr="000E31AD">
        <w:t>'</w:t>
      </w:r>
      <w:r w:rsidRPr="000E31AD">
        <w:t>actualiser les droits des membres lorsqu</w:t>
      </w:r>
      <w:r w:rsidR="00DA1B9A" w:rsidRPr="000E31AD">
        <w:t>'</w:t>
      </w:r>
      <w:r w:rsidRPr="000E31AD">
        <w:t>ils assistent aux réunions en ligne.</w:t>
      </w:r>
      <w:hyperlink r:id="rId29"/>
      <w:hyperlink r:id="rId30"/>
      <w:hyperlink r:id="rId31"/>
    </w:p>
    <w:p w14:paraId="145FEDCF" w14:textId="12969D12" w:rsidR="00F117A7" w:rsidRPr="000E31AD" w:rsidRDefault="00F117A7" w:rsidP="00CB7BA8">
      <w:pPr>
        <w:pStyle w:val="enumlev1"/>
        <w:jc w:val="both"/>
      </w:pPr>
      <w:r w:rsidRPr="000E31AD">
        <w:t>–</w:t>
      </w:r>
      <w:r w:rsidRPr="000E31AD">
        <w:tab/>
      </w:r>
      <w:r w:rsidRPr="000E31AD">
        <w:rPr>
          <w:b/>
          <w:bCs/>
        </w:rPr>
        <w:t>Transformation numérique durable</w:t>
      </w:r>
      <w:r w:rsidRPr="000E31AD">
        <w:t>: le Groupe ISCG continue d</w:t>
      </w:r>
      <w:r w:rsidR="00DA1B9A" w:rsidRPr="000E31AD">
        <w:t>'</w:t>
      </w:r>
      <w:r w:rsidRPr="000E31AD">
        <w:t>encourager une coordination plus étroite dans le cadre des activités connexes menées par les trois</w:t>
      </w:r>
      <w:r w:rsidR="00F63085" w:rsidRPr="000E31AD">
        <w:t> </w:t>
      </w:r>
      <w:r w:rsidRPr="000E31AD">
        <w:t>Secteurs. L'intégration du Groupe du Rapporteur sur la transformation numérique durable (RG-DT) au sein de la structure du Groupe consultatif de la normalisation des télécommunications (GCNT) a été approuvée pour la période d</w:t>
      </w:r>
      <w:r w:rsidR="00DA1B9A" w:rsidRPr="000E31AD">
        <w:t>'</w:t>
      </w:r>
      <w:r w:rsidRPr="000E31AD">
        <w:t xml:space="preserve">études 2025-2028. Le Groupe RG-DT a déjà collaboré avec le Groupe ISCG pour demander les contributions d'autres Secteurs (voir le </w:t>
      </w:r>
      <w:hyperlink r:id="rId32" w:history="1">
        <w:r w:rsidRPr="000E31AD">
          <w:rPr>
            <w:rStyle w:val="Hyperlink"/>
            <w:rFonts w:eastAsia="Times New Roman" w:cs="Times New Roman"/>
            <w:szCs w:val="20"/>
          </w:rPr>
          <w:t xml:space="preserve">Document </w:t>
        </w:r>
        <w:proofErr w:type="spellStart"/>
        <w:r w:rsidRPr="000E31AD">
          <w:rPr>
            <w:rStyle w:val="Hyperlink"/>
            <w:rFonts w:eastAsia="Times New Roman" w:cs="Times New Roman"/>
            <w:szCs w:val="20"/>
          </w:rPr>
          <w:t>ISCG</w:t>
        </w:r>
        <w:proofErr w:type="spellEnd"/>
        <w:r w:rsidRPr="000E31AD">
          <w:rPr>
            <w:rStyle w:val="Hyperlink"/>
            <w:rFonts w:eastAsia="Times New Roman" w:cs="Times New Roman"/>
            <w:szCs w:val="20"/>
          </w:rPr>
          <w:t>/26-1/8</w:t>
        </w:r>
      </w:hyperlink>
      <w:r w:rsidRPr="000E31AD">
        <w:t>).</w:t>
      </w:r>
      <w:hyperlink r:id="rId33" w:history="1"/>
    </w:p>
    <w:p w14:paraId="3F32E635" w14:textId="77777777" w:rsidR="00F117A7" w:rsidRPr="000E31AD" w:rsidRDefault="00F117A7" w:rsidP="00CB7BA8">
      <w:pPr>
        <w:jc w:val="both"/>
      </w:pPr>
      <w:r w:rsidRPr="000E31AD">
        <w:lastRenderedPageBreak/>
        <w:t>Le Groupe ISCG a également commencé à travailler sur les nouveaux sujets suivants:</w:t>
      </w:r>
    </w:p>
    <w:p w14:paraId="1EB64816" w14:textId="07DC4523" w:rsidR="00F117A7" w:rsidRPr="000E31AD" w:rsidRDefault="00F117A7" w:rsidP="00CB7BA8">
      <w:pPr>
        <w:pStyle w:val="enumlev1"/>
        <w:jc w:val="both"/>
      </w:pPr>
      <w:r w:rsidRPr="000E31AD">
        <w:t>–</w:t>
      </w:r>
      <w:r w:rsidRPr="000E31AD">
        <w:tab/>
      </w:r>
      <w:r w:rsidRPr="000E31AD">
        <w:rPr>
          <w:b/>
          <w:bCs/>
        </w:rPr>
        <w:t>Participation du secteur privé</w:t>
      </w:r>
      <w:r w:rsidRPr="000E31AD">
        <w:t>: les activités de l'UIT-T concernant la participation du secteur privé ont été présentées lors de la dernière réunion du Groupe ISCG, l'accent ayant été mis sur les initiatives en cours visant à tirer parti du succès de l'atelier de</w:t>
      </w:r>
      <w:r w:rsidR="00F63085" w:rsidRPr="000E31AD">
        <w:t> </w:t>
      </w:r>
      <w:r w:rsidRPr="000E31AD">
        <w:t>2024 sur ce sujet.</w:t>
      </w:r>
    </w:p>
    <w:p w14:paraId="51F83CBF" w14:textId="3AB1BC90" w:rsidR="00F117A7" w:rsidRPr="000E31AD" w:rsidRDefault="00F117A7" w:rsidP="00CB7BA8">
      <w:pPr>
        <w:pStyle w:val="enumlev1"/>
        <w:jc w:val="both"/>
        <w:rPr>
          <w:b/>
          <w:bCs/>
        </w:rPr>
      </w:pPr>
      <w:r w:rsidRPr="000E31AD">
        <w:t>–</w:t>
      </w:r>
      <w:r w:rsidRPr="000E31AD">
        <w:tab/>
      </w:r>
      <w:r w:rsidRPr="000E31AD">
        <w:rPr>
          <w:b/>
          <w:bCs/>
        </w:rPr>
        <w:t>Groupe du Rapporteur sur la rationalisation des Résolutions</w:t>
      </w:r>
      <w:r w:rsidRPr="000E31AD">
        <w:t xml:space="preserve">: ce Groupe du Rapporteur a été approuvé à la dernière réunion de 2025 du Groupe ISCG. Le Rapporteur a déjà soumis deux propositions visant à rationaliser la Résolution 154 (Rév. Bucarest, 2022) et de la Résolution 191 (Rév. Bucarest, 2022), qui figurent respectivement dans l'Addendum 1 et 2 du </w:t>
      </w:r>
      <w:hyperlink r:id="rId34" w:history="1">
        <w:r w:rsidRPr="000E31AD">
          <w:rPr>
            <w:rStyle w:val="Hyperlink"/>
            <w:rFonts w:eastAsia="Times New Roman" w:cs="Times New Roman"/>
            <w:szCs w:val="20"/>
          </w:rPr>
          <w:t>Document ISCG/26-1/7</w:t>
        </w:r>
      </w:hyperlink>
      <w:r w:rsidRPr="000E31AD">
        <w:t>. Le Groupe ISCG a examiné et appuyé les deux propositions.</w:t>
      </w:r>
      <w:hyperlink r:id="rId35" w:history="1"/>
    </w:p>
    <w:p w14:paraId="3B3F538A" w14:textId="65C8ED51" w:rsidR="00F117A7" w:rsidRPr="000E31AD" w:rsidRDefault="00F117A7" w:rsidP="00CB7BA8">
      <w:pPr>
        <w:jc w:val="both"/>
      </w:pPr>
      <w:r w:rsidRPr="000E31AD">
        <w:t>Lors de sa dernière réunion, le Groupe ISCG a décidé d</w:t>
      </w:r>
      <w:r w:rsidR="00DA1B9A" w:rsidRPr="000E31AD">
        <w:t>'</w:t>
      </w:r>
      <w:r w:rsidRPr="000E31AD">
        <w:t>inclure les "gains d</w:t>
      </w:r>
      <w:r w:rsidR="00DA1B9A" w:rsidRPr="000E31AD">
        <w:t>'</w:t>
      </w:r>
      <w:r w:rsidRPr="000E31AD">
        <w:t>efficacité" comme nouveau thème potentiel en vue de faciliter l</w:t>
      </w:r>
      <w:r w:rsidR="00DA1B9A" w:rsidRPr="000E31AD">
        <w:t>'</w:t>
      </w:r>
      <w:r w:rsidRPr="000E31AD">
        <w:t>échange de bonnes pratiques qui permettent déjà de réaliser des gains d</w:t>
      </w:r>
      <w:r w:rsidR="00DA1B9A" w:rsidRPr="000E31AD">
        <w:t>'</w:t>
      </w:r>
      <w:r w:rsidRPr="000E31AD">
        <w:t>efficacité dans l</w:t>
      </w:r>
      <w:r w:rsidR="00DA1B9A" w:rsidRPr="000E31AD">
        <w:t>'</w:t>
      </w:r>
      <w:r w:rsidRPr="000E31AD">
        <w:t>ensemble de l</w:t>
      </w:r>
      <w:r w:rsidR="00DA1B9A" w:rsidRPr="000E31AD">
        <w:t>'</w:t>
      </w:r>
      <w:r w:rsidRPr="000E31AD">
        <w:t>Union.</w:t>
      </w:r>
    </w:p>
    <w:p w14:paraId="07749B0B" w14:textId="77777777" w:rsidR="00F117A7" w:rsidRPr="000E31AD" w:rsidRDefault="00F117A7" w:rsidP="00CB7BA8">
      <w:pPr>
        <w:jc w:val="both"/>
      </w:pPr>
      <w:r w:rsidRPr="000E31AD">
        <w:t>Des rapports sur les résultats et des appels à l'action sont toujours présentés régulièrement aux groupes consultatifs des Secteurs et au GTC-FHR.</w:t>
      </w:r>
    </w:p>
    <w:p w14:paraId="1F6CBA88" w14:textId="3EB5F1E4" w:rsidR="00F117A7" w:rsidRPr="000E31AD" w:rsidRDefault="00F117A7" w:rsidP="00CB7BA8">
      <w:pPr>
        <w:jc w:val="both"/>
      </w:pPr>
      <w:r w:rsidRPr="000E31AD">
        <w:t>Le Groupe ISCG réitère que ses travaux reposent sur les contributions des membres et sont dirigés par des coordonnateurs nommés par les groupes consultatifs des Secteurs pour chaque thème. Les États Membres et les Membres de Secteur sont encouragés à soumettre des contributions sur des thèmes qui, à leur sens, bénéficieraient d</w:t>
      </w:r>
      <w:r w:rsidR="00DA1B9A" w:rsidRPr="000E31AD">
        <w:t>'</w:t>
      </w:r>
      <w:r w:rsidRPr="000E31AD">
        <w:t>une approche intersectorielle.</w:t>
      </w:r>
    </w:p>
    <w:p w14:paraId="293CBC77" w14:textId="545AE1A3" w:rsidR="00F117A7" w:rsidRPr="000E31AD" w:rsidRDefault="00F117A7" w:rsidP="00CB7BA8">
      <w:pPr>
        <w:jc w:val="both"/>
      </w:pPr>
      <w:r w:rsidRPr="000E31AD">
        <w:t>Afin que le cycle débute après la PP-26, le Groupe ISCG propose d'élaborer un rapport distinct, qui serait présenté chaque année à la Commission permanente de l</w:t>
      </w:r>
      <w:r w:rsidR="00DA1B9A" w:rsidRPr="000E31AD">
        <w:t>'</w:t>
      </w:r>
      <w:r w:rsidRPr="000E31AD">
        <w:t>administration du Conseil.</w:t>
      </w:r>
    </w:p>
    <w:p w14:paraId="2566F141" w14:textId="2273B097" w:rsidR="006A11AE" w:rsidRDefault="00F117A7" w:rsidP="00CB7BA8">
      <w:pPr>
        <w:jc w:val="both"/>
      </w:pPr>
      <w:r w:rsidRPr="000E31AD">
        <w:t xml:space="preserve">De plus amples informations sur le Groupe ISCG, telles que les rapports des réunions et les documents examinés, sont disponibles sur la </w:t>
      </w:r>
      <w:hyperlink r:id="rId36" w:anchor="/fr" w:history="1">
        <w:r w:rsidRPr="000E31AD">
          <w:rPr>
            <w:rStyle w:val="Hyperlink"/>
            <w:rFonts w:eastAsia="Times New Roman" w:cs="Times New Roman"/>
            <w:szCs w:val="20"/>
          </w:rPr>
          <w:t>page web du Groupe</w:t>
        </w:r>
      </w:hyperlink>
      <w:r w:rsidRPr="000E31AD">
        <w:t>.</w:t>
      </w:r>
    </w:p>
    <w:p w14:paraId="7213EF8B" w14:textId="77777777" w:rsidR="00CB7BA8" w:rsidRPr="000E31AD" w:rsidRDefault="00CB7BA8" w:rsidP="00F117A7"/>
    <w:p w14:paraId="75F9904A" w14:textId="77777777" w:rsidR="00897553" w:rsidRPr="000E31AD" w:rsidRDefault="006A11AE" w:rsidP="002D2336">
      <w:pPr>
        <w:jc w:val="center"/>
      </w:pPr>
      <w:r w:rsidRPr="000E31AD">
        <w:t>______________</w:t>
      </w:r>
    </w:p>
    <w:sectPr w:rsidR="00897553" w:rsidRPr="000E31AD" w:rsidSect="00D72F49">
      <w:headerReference w:type="even" r:id="rId37"/>
      <w:footerReference w:type="even" r:id="rId38"/>
      <w:footerReference w:type="default" r:id="rId39"/>
      <w:headerReference w:type="first" r:id="rId40"/>
      <w:footerReference w:type="first" r:id="rId41"/>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CBF8" w14:textId="77777777" w:rsidR="00F117A7" w:rsidRDefault="00F117A7">
      <w:r>
        <w:separator/>
      </w:r>
    </w:p>
  </w:endnote>
  <w:endnote w:type="continuationSeparator" w:id="0">
    <w:p w14:paraId="3A85567E" w14:textId="77777777" w:rsidR="00F117A7" w:rsidRDefault="00F1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9772" w14:textId="25629FAE" w:rsidR="00732045" w:rsidRPr="000E31AD" w:rsidRDefault="00271321">
    <w:pPr>
      <w:pStyle w:val="Footer"/>
      <w:rPr>
        <w:lang w:val="en-US"/>
      </w:rPr>
    </w:pPr>
    <w:r>
      <w:fldChar w:fldCharType="begin"/>
    </w:r>
    <w:r w:rsidRPr="000E31AD">
      <w:rPr>
        <w:lang w:val="en-US"/>
      </w:rPr>
      <w:instrText xml:space="preserve"> FILENAME \p \* MERGEFORMAT </w:instrText>
    </w:r>
    <w:r>
      <w:fldChar w:fldCharType="separate"/>
    </w:r>
    <w:r w:rsidR="006D1F8F">
      <w:rPr>
        <w:lang w:val="en-US"/>
      </w:rPr>
      <w:t>P:\FRA\gDoc\SG\C26\2600731F.docx</w:t>
    </w:r>
    <w:r>
      <w:fldChar w:fldCharType="end"/>
    </w:r>
    <w:r w:rsidR="00732045" w:rsidRPr="000E31AD">
      <w:rPr>
        <w:lang w:val="en-US"/>
      </w:rPr>
      <w:tab/>
    </w:r>
    <w:r w:rsidR="002F1B76">
      <w:fldChar w:fldCharType="begin"/>
    </w:r>
    <w:r w:rsidR="00732045">
      <w:instrText xml:space="preserve"> savedate \@ dd.MM.yy </w:instrText>
    </w:r>
    <w:r w:rsidR="002F1B76">
      <w:fldChar w:fldCharType="separate"/>
    </w:r>
    <w:r w:rsidR="008D13DC">
      <w:t>22.04.26</w:t>
    </w:r>
    <w:r w:rsidR="002F1B76">
      <w:fldChar w:fldCharType="end"/>
    </w:r>
    <w:r w:rsidR="00732045" w:rsidRPr="000E31AD">
      <w:rPr>
        <w:lang w:val="en-US"/>
      </w:rPr>
      <w:tab/>
    </w:r>
    <w:r w:rsidR="002F1B76">
      <w:fldChar w:fldCharType="begin"/>
    </w:r>
    <w:r w:rsidR="00732045">
      <w:instrText xml:space="preserve"> printdate \@ dd.MM.yy </w:instrText>
    </w:r>
    <w:r w:rsidR="002F1B76">
      <w:fldChar w:fldCharType="separate"/>
    </w:r>
    <w:r w:rsidR="006D1F8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7C0AA27" w14:textId="77777777" w:rsidTr="00E31DCE">
      <w:trPr>
        <w:jc w:val="center"/>
      </w:trPr>
      <w:tc>
        <w:tcPr>
          <w:tcW w:w="1803" w:type="dxa"/>
          <w:vAlign w:val="center"/>
        </w:tcPr>
        <w:p w14:paraId="684DA385" w14:textId="10760143" w:rsidR="00A51849" w:rsidRDefault="00F117A7" w:rsidP="00A51849">
          <w:pPr>
            <w:pStyle w:val="Header"/>
            <w:jc w:val="left"/>
            <w:rPr>
              <w:noProof/>
            </w:rPr>
          </w:pPr>
          <w:r>
            <w:rPr>
              <w:noProof/>
            </w:rPr>
            <w:t>2600731</w:t>
          </w:r>
        </w:p>
      </w:tc>
      <w:tc>
        <w:tcPr>
          <w:tcW w:w="8261" w:type="dxa"/>
        </w:tcPr>
        <w:p w14:paraId="05870468" w14:textId="049C8C41"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F117A7">
            <w:rPr>
              <w:bCs/>
            </w:rPr>
            <w:t>27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54C5FA1"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71F6C77" w14:textId="77777777" w:rsidTr="00E31DCE">
      <w:trPr>
        <w:jc w:val="center"/>
      </w:trPr>
      <w:tc>
        <w:tcPr>
          <w:tcW w:w="1803" w:type="dxa"/>
          <w:vAlign w:val="center"/>
        </w:tcPr>
        <w:p w14:paraId="7CC9DDE8"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67530623" w14:textId="642DC578"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F117A7">
            <w:rPr>
              <w:bCs/>
            </w:rPr>
            <w:t>27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0B9105D3"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B4AB" w14:textId="77777777" w:rsidR="00F117A7" w:rsidRDefault="00F117A7">
      <w:r>
        <w:t>____________________</w:t>
      </w:r>
    </w:p>
  </w:footnote>
  <w:footnote w:type="continuationSeparator" w:id="0">
    <w:p w14:paraId="322B8719" w14:textId="77777777" w:rsidR="00F117A7" w:rsidRDefault="00F1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C98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F0C83A7"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9A2E"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A7"/>
    <w:rsid w:val="00076A2C"/>
    <w:rsid w:val="000D0D0A"/>
    <w:rsid w:val="000E1186"/>
    <w:rsid w:val="000E31AD"/>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23792"/>
    <w:rsid w:val="0033568E"/>
    <w:rsid w:val="00355FF5"/>
    <w:rsid w:val="00361350"/>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825"/>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D1F8F"/>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13DC"/>
    <w:rsid w:val="008D76E6"/>
    <w:rsid w:val="00915B8C"/>
    <w:rsid w:val="0092392D"/>
    <w:rsid w:val="0093234A"/>
    <w:rsid w:val="00956A78"/>
    <w:rsid w:val="0097363B"/>
    <w:rsid w:val="00973F53"/>
    <w:rsid w:val="0098348E"/>
    <w:rsid w:val="009A6BAA"/>
    <w:rsid w:val="009A76A8"/>
    <w:rsid w:val="009C307F"/>
    <w:rsid w:val="009C353C"/>
    <w:rsid w:val="009D5955"/>
    <w:rsid w:val="009D5ABF"/>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14731"/>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51F5A"/>
    <w:rsid w:val="00CA08ED"/>
    <w:rsid w:val="00CB7BA8"/>
    <w:rsid w:val="00CC6EAA"/>
    <w:rsid w:val="00CE5172"/>
    <w:rsid w:val="00CF0534"/>
    <w:rsid w:val="00CF183B"/>
    <w:rsid w:val="00D375CD"/>
    <w:rsid w:val="00D37B53"/>
    <w:rsid w:val="00D553A2"/>
    <w:rsid w:val="00D72F49"/>
    <w:rsid w:val="00D774D3"/>
    <w:rsid w:val="00D904E8"/>
    <w:rsid w:val="00DA08C3"/>
    <w:rsid w:val="00DA1B9A"/>
    <w:rsid w:val="00DB5A3E"/>
    <w:rsid w:val="00DC22AA"/>
    <w:rsid w:val="00DD1A99"/>
    <w:rsid w:val="00DE62C6"/>
    <w:rsid w:val="00DF74DD"/>
    <w:rsid w:val="00E25AD0"/>
    <w:rsid w:val="00E4428F"/>
    <w:rsid w:val="00E4448E"/>
    <w:rsid w:val="00E47427"/>
    <w:rsid w:val="00E75A5B"/>
    <w:rsid w:val="00E9332E"/>
    <w:rsid w:val="00E93668"/>
    <w:rsid w:val="00E95647"/>
    <w:rsid w:val="00EB6350"/>
    <w:rsid w:val="00ED799B"/>
    <w:rsid w:val="00EE4FD6"/>
    <w:rsid w:val="00F117A7"/>
    <w:rsid w:val="00F15B57"/>
    <w:rsid w:val="00F35EF4"/>
    <w:rsid w:val="00F37FE5"/>
    <w:rsid w:val="00F427DB"/>
    <w:rsid w:val="00F63085"/>
    <w:rsid w:val="00F669E8"/>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BDDE9"/>
  <w15:docId w15:val="{DFFE1879-B385-49FC-BEB1-5B1986F0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net4/Search/CL26/500.html?aspxerrorpath=/net4/Search/CL26/Main/Reader" TargetMode="External"/><Relationship Id="rId18"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26" Type="http://schemas.openxmlformats.org/officeDocument/2006/relationships/hyperlink" Target="https://www.itu.int/md/T25-TSAG-260126-TD-GEN-0333/en" TargetMode="External"/><Relationship Id="rId39" Type="http://schemas.openxmlformats.org/officeDocument/2006/relationships/footer" Target="footer2.xml"/><Relationship Id="rId21" Type="http://schemas.openxmlformats.org/officeDocument/2006/relationships/hyperlink" Target="https://www.itu.int/md/S26-CL-INF-0001/en" TargetMode="External"/><Relationship Id="rId34" Type="http://schemas.openxmlformats.org/officeDocument/2006/relationships/hyperlink" Target="https://www.itu.int/md/S26-ISCG12026-C-0007/en" TargetMode="External"/><Relationship Id="rId42" Type="http://schemas.openxmlformats.org/officeDocument/2006/relationships/fontTable" Target="fontTable.xml"/><Relationship Id="rId7" Type="http://schemas.openxmlformats.org/officeDocument/2006/relationships/hyperlink" Target="https://www.itu.int/en/council/Documents/basic-texts-2023/RES-071-F.pdf" TargetMode="External"/><Relationship Id="rId2" Type="http://schemas.openxmlformats.org/officeDocument/2006/relationships/styles" Target="styles.xml"/><Relationship Id="rId16" Type="http://schemas.openxmlformats.org/officeDocument/2006/relationships/hyperlink" Target="https://www.itu.int/en/general-secretariat/Pages/intersectoral-coordination.aspx" TargetMode="External"/><Relationship Id="rId20" Type="http://schemas.openxmlformats.org/officeDocument/2006/relationships/hyperlink" Target="https://www.itu.int/md/S26-CL-INF-0001/en" TargetMode="External"/><Relationship Id="rId29" Type="http://schemas.openxmlformats.org/officeDocument/2006/relationships/hyperlink" Target="http://www.itu.int/md/meetingdoc.asp?lang=en&amp;parent=T25-TSAG-260126-TD-GEN-0333"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general-secretariat/ties/ISCGDocumentLibrary/Liaisons%20Statements%20on%20Inter-Sectoral%20Coordination%20Activities/SO-2024-006-en.pdf" TargetMode="External"/><Relationship Id="rId24" Type="http://schemas.openxmlformats.org/officeDocument/2006/relationships/hyperlink" Target="https://www.itu.int/en/action/environment-and-climate-change/Pages/default.aspx" TargetMode="External"/><Relationship Id="rId32" Type="http://schemas.openxmlformats.org/officeDocument/2006/relationships/hyperlink" Target="https://www.itu.int/md/S26-ISCG12026-C-0008/en"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itu.int/net4/Search/CL26" TargetMode="External"/><Relationship Id="rId23" Type="http://schemas.openxmlformats.org/officeDocument/2006/relationships/hyperlink" Target="https://datahub.itu.int/" TargetMode="External"/><Relationship Id="rId28" Type="http://schemas.openxmlformats.org/officeDocument/2006/relationships/hyperlink" Target="https://www.itu.int/en/council/Documents/basic-texts-2023/RES-167-F.pdf" TargetMode="External"/><Relationship Id="rId36" Type="http://schemas.openxmlformats.org/officeDocument/2006/relationships/hyperlink" Target="https://www.itu.int/en/general-secretariat/Pages/ISCG/default.aspx" TargetMode="External"/><Relationship Id="rId10" Type="http://schemas.openxmlformats.org/officeDocument/2006/relationships/hyperlink" Target="https://www.itu.int/en/general-secretariat/ties/ISCGDocumentLibrary/Liaisons%20Statements%20on%20Inter-Sectoral%20Coordination%20Activities/SO-2024-006-en.pdf" TargetMode="External"/><Relationship Id="rId19"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31" Type="http://schemas.openxmlformats.org/officeDocument/2006/relationships/hyperlink" Target="https://www.itu.int/en/council/Documents/basic-texts-2023/RES-167-E.pdf" TargetMode="External"/><Relationship Id="rId4" Type="http://schemas.openxmlformats.org/officeDocument/2006/relationships/webSettings" Target="webSettings.xml"/><Relationship Id="rId9" Type="http://schemas.openxmlformats.org/officeDocument/2006/relationships/hyperlink" Target="https://www.itu.int/en/council/Documents/basic-texts-2023/DEC-005-F.pdf" TargetMode="External"/><Relationship Id="rId14" Type="http://schemas.openxmlformats.org/officeDocument/2006/relationships/hyperlink" Target="https://www.itu.int/md/S26-CL-C-0035/en" TargetMode="External"/><Relationship Id="rId22" Type="http://schemas.openxmlformats.org/officeDocument/2006/relationships/hyperlink" Target="https://datahub.itu.int/" TargetMode="External"/><Relationship Id="rId27" Type="http://schemas.openxmlformats.org/officeDocument/2006/relationships/hyperlink" Target="https://www.itu.int/en/general-secretariat/ICT-Services/remoteparticipation/Pages/default.aspx" TargetMode="External"/><Relationship Id="rId30" Type="http://schemas.openxmlformats.org/officeDocument/2006/relationships/hyperlink" Target="https://itu.int/en/general-secretariat/ICT-Services/remoteparticipation" TargetMode="External"/><Relationship Id="rId35" Type="http://schemas.openxmlformats.org/officeDocument/2006/relationships/hyperlink" Target="https://www.itu.int/md/S26-ISCG12026-C-0007/en" TargetMode="External"/><Relationship Id="rId43" Type="http://schemas.openxmlformats.org/officeDocument/2006/relationships/theme" Target="theme/theme1.xml"/><Relationship Id="rId8" Type="http://schemas.openxmlformats.org/officeDocument/2006/relationships/hyperlink" Target="https://www.itu.int/en/council/Documents/basic-texts-2023/RES-191-F.pdf" TargetMode="External"/><Relationship Id="rId3" Type="http://schemas.openxmlformats.org/officeDocument/2006/relationships/settings" Target="settings.xml"/><Relationship Id="rId12" Type="http://schemas.openxmlformats.org/officeDocument/2006/relationships/hyperlink" Target="https://www.itu.int/md/S26-CL-C-0035/en" TargetMode="External"/><Relationship Id="rId17" Type="http://schemas.openxmlformats.org/officeDocument/2006/relationships/hyperlink" Target="https://www.itu.int/en/general-secretariat/ties/ISCGDocumentLibrary/Liaisons%20Statements%20on%20Inter-Sectoral%20Coordination%20Activities/List%20of%20Focal%20Points%20published-Updated%20March2026.pdf" TargetMode="External"/><Relationship Id="rId25" Type="http://schemas.openxmlformats.org/officeDocument/2006/relationships/hyperlink" Target="https://www.itu.int/en/action/environment-and-climate-change/Pages/default.aspx" TargetMode="External"/><Relationship Id="rId33" Type="http://schemas.openxmlformats.org/officeDocument/2006/relationships/hyperlink" Target="https://www.itu.int/md/S26-ISCG12026-C-0008/en" TargetMode="External"/><Relationship Id="rId38"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2</TotalTime>
  <Pages>5</Pages>
  <Words>1948</Words>
  <Characters>14115</Characters>
  <Application>Microsoft Office Word</Application>
  <DocSecurity>0</DocSecurity>
  <Lines>542</Lines>
  <Paragraphs>314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15749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Renforcement de la coordination intersectorielle dans l'ensemble de l'UIT</dc:title>
  <dc:subject>Conseil 2026 de l'UIT</dc:subject>
  <cp:keywords>C26; C2026; Council 2026; PP26</cp:keywords>
  <dc:description/>
  <cp:lastPrinted>2000-07-18T08:55:00Z</cp:lastPrinted>
  <dcterms:created xsi:type="dcterms:W3CDTF">2026-04-22T16:47:00Z</dcterms:created>
  <dcterms:modified xsi:type="dcterms:W3CDTF">2026-04-22T16:49:00Z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