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AD3606" w:rsidRPr="00C0458D" w14:paraId="51022895" w14:textId="77777777" w:rsidTr="00954C49">
        <w:trPr>
          <w:cantSplit/>
          <w:trHeight w:val="23"/>
        </w:trPr>
        <w:tc>
          <w:tcPr>
            <w:tcW w:w="3969" w:type="dxa"/>
            <w:vMerge w:val="restart"/>
            <w:tcMar>
              <w:left w:w="0" w:type="dxa"/>
            </w:tcMar>
          </w:tcPr>
          <w:p w14:paraId="0B4DF844" w14:textId="2C5BF4DA" w:rsidR="00AD3606" w:rsidRPr="00C0458D" w:rsidRDefault="00AD3606" w:rsidP="00954C49">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r w:rsidRPr="00C0458D">
              <w:rPr>
                <w:b/>
              </w:rPr>
              <w:t xml:space="preserve">Agenda item: </w:t>
            </w:r>
            <w:r w:rsidR="00697DCD">
              <w:rPr>
                <w:b/>
              </w:rPr>
              <w:t>ADM 3</w:t>
            </w:r>
          </w:p>
        </w:tc>
        <w:tc>
          <w:tcPr>
            <w:tcW w:w="5245" w:type="dxa"/>
          </w:tcPr>
          <w:p w14:paraId="4939FF40" w14:textId="351BB174" w:rsidR="00AD3606" w:rsidRPr="00C0458D" w:rsidRDefault="00AD3606" w:rsidP="00954C49">
            <w:pPr>
              <w:tabs>
                <w:tab w:val="left" w:pos="851"/>
              </w:tabs>
              <w:spacing w:before="0" w:line="240" w:lineRule="atLeast"/>
              <w:jc w:val="right"/>
              <w:rPr>
                <w:b/>
              </w:rPr>
            </w:pPr>
            <w:r w:rsidRPr="00C0458D">
              <w:rPr>
                <w:b/>
              </w:rPr>
              <w:t>Document C2</w:t>
            </w:r>
            <w:r w:rsidR="00DE532B">
              <w:rPr>
                <w:b/>
              </w:rPr>
              <w:t>6</w:t>
            </w:r>
            <w:r w:rsidRPr="00C0458D">
              <w:rPr>
                <w:b/>
              </w:rPr>
              <w:t>/</w:t>
            </w:r>
            <w:r w:rsidR="00697DCD">
              <w:rPr>
                <w:b/>
              </w:rPr>
              <w:t>27</w:t>
            </w:r>
            <w:r w:rsidRPr="00C0458D">
              <w:rPr>
                <w:b/>
              </w:rPr>
              <w:t>-E</w:t>
            </w:r>
          </w:p>
        </w:tc>
      </w:tr>
      <w:tr w:rsidR="00AD3606" w:rsidRPr="00C0458D" w14:paraId="2B097C74" w14:textId="77777777" w:rsidTr="00954C49">
        <w:trPr>
          <w:cantSplit/>
        </w:trPr>
        <w:tc>
          <w:tcPr>
            <w:tcW w:w="3969" w:type="dxa"/>
            <w:vMerge/>
          </w:tcPr>
          <w:p w14:paraId="5ADBB4B1" w14:textId="77777777" w:rsidR="00AD3606" w:rsidRPr="00C0458D" w:rsidRDefault="00AD3606" w:rsidP="00954C49">
            <w:pPr>
              <w:tabs>
                <w:tab w:val="left" w:pos="851"/>
              </w:tabs>
              <w:spacing w:line="240" w:lineRule="atLeast"/>
              <w:rPr>
                <w:b/>
              </w:rPr>
            </w:pPr>
            <w:bookmarkStart w:id="6" w:name="ddate" w:colFirst="1" w:colLast="1"/>
            <w:bookmarkEnd w:id="0"/>
            <w:bookmarkEnd w:id="1"/>
          </w:p>
        </w:tc>
        <w:tc>
          <w:tcPr>
            <w:tcW w:w="5245" w:type="dxa"/>
          </w:tcPr>
          <w:p w14:paraId="39AFDEF7" w14:textId="2F1D60DB" w:rsidR="00AD3606" w:rsidRPr="00C0458D" w:rsidRDefault="000B0CAF" w:rsidP="00954C49">
            <w:pPr>
              <w:tabs>
                <w:tab w:val="left" w:pos="851"/>
              </w:tabs>
              <w:spacing w:before="0"/>
              <w:jc w:val="right"/>
              <w:rPr>
                <w:b/>
              </w:rPr>
            </w:pPr>
            <w:r>
              <w:rPr>
                <w:b/>
              </w:rPr>
              <w:t>30</w:t>
            </w:r>
            <w:r w:rsidR="00697DCD">
              <w:rPr>
                <w:b/>
              </w:rPr>
              <w:t xml:space="preserve"> March 2026</w:t>
            </w:r>
          </w:p>
        </w:tc>
      </w:tr>
      <w:tr w:rsidR="00AD3606" w:rsidRPr="00C0458D" w14:paraId="2C2B1A31" w14:textId="77777777" w:rsidTr="00954C49">
        <w:trPr>
          <w:cantSplit/>
          <w:trHeight w:val="23"/>
        </w:trPr>
        <w:tc>
          <w:tcPr>
            <w:tcW w:w="3969" w:type="dxa"/>
            <w:vMerge/>
          </w:tcPr>
          <w:p w14:paraId="25F83600" w14:textId="77777777" w:rsidR="00AD3606" w:rsidRPr="00C0458D" w:rsidRDefault="00AD3606" w:rsidP="00954C49">
            <w:pPr>
              <w:tabs>
                <w:tab w:val="left" w:pos="851"/>
              </w:tabs>
              <w:spacing w:line="240" w:lineRule="atLeast"/>
              <w:rPr>
                <w:b/>
              </w:rPr>
            </w:pPr>
            <w:bookmarkStart w:id="7" w:name="dorlang" w:colFirst="1" w:colLast="1"/>
            <w:bookmarkEnd w:id="6"/>
          </w:p>
        </w:tc>
        <w:tc>
          <w:tcPr>
            <w:tcW w:w="5245" w:type="dxa"/>
          </w:tcPr>
          <w:p w14:paraId="3E3C58E5" w14:textId="77777777" w:rsidR="00AD3606" w:rsidRPr="00C0458D" w:rsidRDefault="00AD3606" w:rsidP="00954C49">
            <w:pPr>
              <w:tabs>
                <w:tab w:val="left" w:pos="851"/>
              </w:tabs>
              <w:spacing w:before="0" w:line="240" w:lineRule="atLeast"/>
              <w:jc w:val="right"/>
              <w:rPr>
                <w:b/>
              </w:rPr>
            </w:pPr>
            <w:r w:rsidRPr="00C0458D">
              <w:rPr>
                <w:b/>
              </w:rPr>
              <w:t>Original: English</w:t>
            </w:r>
          </w:p>
        </w:tc>
      </w:tr>
      <w:tr w:rsidR="00472BAD" w:rsidRPr="00C0458D" w14:paraId="20CE32D5" w14:textId="77777777" w:rsidTr="00954C49">
        <w:trPr>
          <w:cantSplit/>
          <w:trHeight w:val="23"/>
        </w:trPr>
        <w:tc>
          <w:tcPr>
            <w:tcW w:w="3969" w:type="dxa"/>
          </w:tcPr>
          <w:p w14:paraId="0C988AD8" w14:textId="77777777" w:rsidR="00472BAD" w:rsidRPr="00C0458D" w:rsidRDefault="00472BAD" w:rsidP="00954C49">
            <w:pPr>
              <w:tabs>
                <w:tab w:val="left" w:pos="851"/>
              </w:tabs>
              <w:spacing w:line="240" w:lineRule="atLeast"/>
              <w:rPr>
                <w:b/>
              </w:rPr>
            </w:pPr>
          </w:p>
        </w:tc>
        <w:tc>
          <w:tcPr>
            <w:tcW w:w="5245" w:type="dxa"/>
          </w:tcPr>
          <w:p w14:paraId="5313270E" w14:textId="77777777" w:rsidR="00472BAD" w:rsidRPr="00C0458D" w:rsidRDefault="00472BAD" w:rsidP="00954C49">
            <w:pPr>
              <w:tabs>
                <w:tab w:val="left" w:pos="851"/>
              </w:tabs>
              <w:spacing w:before="0" w:line="240" w:lineRule="atLeast"/>
              <w:jc w:val="right"/>
              <w:rPr>
                <w:b/>
              </w:rPr>
            </w:pPr>
          </w:p>
        </w:tc>
      </w:tr>
      <w:tr w:rsidR="00AD3606" w:rsidRPr="00C0458D" w14:paraId="67526C73" w14:textId="77777777" w:rsidTr="00954C49">
        <w:trPr>
          <w:cantSplit/>
        </w:trPr>
        <w:tc>
          <w:tcPr>
            <w:tcW w:w="9214" w:type="dxa"/>
            <w:gridSpan w:val="2"/>
            <w:tcMar>
              <w:left w:w="0" w:type="dxa"/>
            </w:tcMar>
          </w:tcPr>
          <w:p w14:paraId="2180DAB1" w14:textId="77777777" w:rsidR="00AD3606" w:rsidRPr="00C0458D" w:rsidRDefault="00AD3606" w:rsidP="00954C49">
            <w:pPr>
              <w:pStyle w:val="Source"/>
              <w:framePr w:hSpace="0" w:wrap="auto" w:vAnchor="margin" w:hAnchor="text" w:yAlign="inline"/>
            </w:pPr>
            <w:bookmarkStart w:id="8" w:name="dsource" w:colFirst="0" w:colLast="0"/>
            <w:bookmarkEnd w:id="7"/>
            <w:r w:rsidRPr="00C0458D">
              <w:t>Report by the Secretary-General</w:t>
            </w:r>
          </w:p>
        </w:tc>
      </w:tr>
      <w:tr w:rsidR="00AD3606" w:rsidRPr="00C0458D" w14:paraId="7C0FD022" w14:textId="77777777" w:rsidTr="00954C49">
        <w:trPr>
          <w:cantSplit/>
        </w:trPr>
        <w:tc>
          <w:tcPr>
            <w:tcW w:w="9214" w:type="dxa"/>
            <w:gridSpan w:val="2"/>
            <w:tcMar>
              <w:left w:w="0" w:type="dxa"/>
            </w:tcMar>
          </w:tcPr>
          <w:p w14:paraId="601761CD" w14:textId="261D3860" w:rsidR="00AD3606" w:rsidRPr="00176F47" w:rsidRDefault="00702D23" w:rsidP="00954C49">
            <w:pPr>
              <w:pStyle w:val="Subtitle"/>
              <w:framePr w:hSpace="0" w:wrap="auto" w:hAnchor="text" w:xAlign="left" w:yAlign="inline"/>
            </w:pPr>
            <w:bookmarkStart w:id="9" w:name="dtitle1" w:colFirst="0" w:colLast="0"/>
            <w:bookmarkEnd w:id="8"/>
            <w:r>
              <w:rPr>
                <w:rFonts w:asciiTheme="minorHAnsi" w:hAnsiTheme="minorHAnsi" w:cstheme="minorHAnsi"/>
              </w:rPr>
              <w:t>ENHANCING INTERSECTORAL COORDINATION ACROSS ITU</w:t>
            </w:r>
          </w:p>
        </w:tc>
      </w:tr>
      <w:tr w:rsidR="00AD3606" w:rsidRPr="00C0458D" w14:paraId="6AB7C1FA" w14:textId="77777777" w:rsidTr="00954C49">
        <w:trPr>
          <w:cantSplit/>
        </w:trPr>
        <w:tc>
          <w:tcPr>
            <w:tcW w:w="9214" w:type="dxa"/>
            <w:gridSpan w:val="2"/>
            <w:tcBorders>
              <w:top w:val="single" w:sz="4" w:space="0" w:color="auto"/>
              <w:bottom w:val="single" w:sz="4" w:space="0" w:color="auto"/>
            </w:tcBorders>
            <w:tcMar>
              <w:left w:w="0" w:type="dxa"/>
            </w:tcMar>
          </w:tcPr>
          <w:p w14:paraId="05B0A051" w14:textId="77777777" w:rsidR="00AD3606" w:rsidRPr="00C0458D" w:rsidRDefault="00F16BAB" w:rsidP="00954C49">
            <w:pPr>
              <w:spacing w:before="160"/>
              <w:rPr>
                <w:b/>
                <w:bCs/>
                <w:sz w:val="26"/>
                <w:szCs w:val="26"/>
              </w:rPr>
            </w:pPr>
            <w:r w:rsidRPr="00C0458D">
              <w:rPr>
                <w:b/>
                <w:bCs/>
                <w:sz w:val="26"/>
                <w:szCs w:val="26"/>
              </w:rPr>
              <w:t>Purpose</w:t>
            </w:r>
          </w:p>
          <w:p w14:paraId="3CD21D3D" w14:textId="47DC54DD" w:rsidR="00702D23" w:rsidRPr="00C0458D" w:rsidRDefault="00702D23" w:rsidP="00702D23">
            <w:pPr>
              <w:jc w:val="both"/>
            </w:pPr>
            <w:r w:rsidRPr="002E78FA">
              <w:t>This document presents a report on the implementation of Resolution 191 (Rev. Bucharest</w:t>
            </w:r>
            <w:r w:rsidR="00BA2806">
              <w:t>,</w:t>
            </w:r>
            <w:r w:rsidRPr="002E78FA">
              <w:t xml:space="preserve"> 2022) of the Plenipotentiary Conference on the strategy for the coordination of efforts among the three Sectors of the Union and the General Secretariat</w:t>
            </w:r>
            <w:r w:rsidRPr="4D9AA9BB">
              <w:rPr>
                <w:rFonts w:asciiTheme="minorHAnsi" w:hAnsiTheme="minorHAnsi" w:cstheme="minorBidi"/>
              </w:rPr>
              <w:t>.</w:t>
            </w:r>
          </w:p>
          <w:p w14:paraId="5FAD1A43" w14:textId="77777777" w:rsidR="00AD3606" w:rsidRDefault="00AD3606" w:rsidP="00954C49">
            <w:pPr>
              <w:spacing w:before="160"/>
              <w:rPr>
                <w:b/>
                <w:bCs/>
                <w:sz w:val="26"/>
                <w:szCs w:val="26"/>
              </w:rPr>
            </w:pPr>
            <w:r w:rsidRPr="00C0458D">
              <w:rPr>
                <w:b/>
                <w:bCs/>
                <w:sz w:val="26"/>
                <w:szCs w:val="26"/>
              </w:rPr>
              <w:t>Action required</w:t>
            </w:r>
            <w:r w:rsidR="00F16BAB" w:rsidRPr="00C0458D">
              <w:rPr>
                <w:b/>
                <w:bCs/>
                <w:sz w:val="26"/>
                <w:szCs w:val="26"/>
              </w:rPr>
              <w:t xml:space="preserve"> by the Council</w:t>
            </w:r>
          </w:p>
          <w:p w14:paraId="0ED569F7" w14:textId="5FD8ABEE" w:rsidR="00722551" w:rsidRDefault="00BA2806" w:rsidP="00954C49">
            <w:r>
              <w:t xml:space="preserve">The </w:t>
            </w:r>
            <w:r w:rsidR="00702D23">
              <w:t xml:space="preserve">Council is invited </w:t>
            </w:r>
            <w:r w:rsidR="00702D23" w:rsidRPr="002029F4">
              <w:rPr>
                <w:b/>
                <w:bCs/>
              </w:rPr>
              <w:t xml:space="preserve">to </w:t>
            </w:r>
            <w:r w:rsidR="00702D23">
              <w:rPr>
                <w:b/>
                <w:bCs/>
              </w:rPr>
              <w:t>note</w:t>
            </w:r>
            <w:r w:rsidR="00702D23">
              <w:t xml:space="preserve"> the report</w:t>
            </w:r>
            <w:r w:rsidR="00702D23" w:rsidRPr="4D9AA9BB">
              <w:rPr>
                <w:rFonts w:asciiTheme="minorHAnsi" w:hAnsiTheme="minorHAnsi" w:cstheme="minorBidi"/>
              </w:rPr>
              <w:t>.</w:t>
            </w:r>
          </w:p>
          <w:p w14:paraId="2C4ED23E" w14:textId="77777777" w:rsidR="00722551" w:rsidRDefault="00722551" w:rsidP="00954C49">
            <w:pPr>
              <w:spacing w:before="160"/>
              <w:rPr>
                <w:b/>
                <w:bCs/>
                <w:sz w:val="26"/>
                <w:szCs w:val="26"/>
              </w:rPr>
            </w:pPr>
            <w:r>
              <w:rPr>
                <w:b/>
                <w:bCs/>
                <w:sz w:val="26"/>
                <w:szCs w:val="26"/>
              </w:rPr>
              <w:t>Relevant link</w:t>
            </w:r>
            <w:r w:rsidR="00176F47">
              <w:rPr>
                <w:b/>
                <w:bCs/>
                <w:sz w:val="26"/>
                <w:szCs w:val="26"/>
              </w:rPr>
              <w:t>(s)</w:t>
            </w:r>
            <w:r>
              <w:rPr>
                <w:b/>
                <w:bCs/>
                <w:sz w:val="26"/>
                <w:szCs w:val="26"/>
              </w:rPr>
              <w:t xml:space="preserve"> with the Strategic Plan</w:t>
            </w:r>
          </w:p>
          <w:p w14:paraId="38405B6E" w14:textId="77777777" w:rsidR="00702D23" w:rsidRPr="00F16BAB" w:rsidRDefault="00702D23" w:rsidP="00702D23">
            <w:r w:rsidRPr="00A1004A">
              <w:t>Excellence in human resources and organizational innovation</w:t>
            </w:r>
          </w:p>
          <w:p w14:paraId="62489007" w14:textId="77777777" w:rsidR="00722551" w:rsidRDefault="00722551" w:rsidP="00954C49">
            <w:pPr>
              <w:spacing w:before="160"/>
              <w:rPr>
                <w:b/>
                <w:bCs/>
                <w:sz w:val="26"/>
                <w:szCs w:val="26"/>
              </w:rPr>
            </w:pPr>
            <w:r>
              <w:rPr>
                <w:b/>
                <w:bCs/>
                <w:sz w:val="26"/>
                <w:szCs w:val="26"/>
              </w:rPr>
              <w:t>Financial implications</w:t>
            </w:r>
          </w:p>
          <w:p w14:paraId="276980D3" w14:textId="77777777" w:rsidR="00702D23" w:rsidRPr="00453079" w:rsidRDefault="00702D23" w:rsidP="00702D23">
            <w:pPr>
              <w:spacing w:before="160"/>
              <w:rPr>
                <w:szCs w:val="24"/>
              </w:rPr>
            </w:pPr>
            <w:r w:rsidRPr="000D0B6C">
              <w:rPr>
                <w:szCs w:val="24"/>
              </w:rPr>
              <w:t xml:space="preserve">Within the allocated budget </w:t>
            </w:r>
            <w:r>
              <w:rPr>
                <w:szCs w:val="24"/>
              </w:rPr>
              <w:t xml:space="preserve">for </w:t>
            </w:r>
            <w:r w:rsidRPr="00F1093A">
              <w:rPr>
                <w:szCs w:val="24"/>
              </w:rPr>
              <w:t>2026-2027</w:t>
            </w:r>
            <w:r w:rsidRPr="000D0B6C">
              <w:rPr>
                <w:szCs w:val="24"/>
              </w:rPr>
              <w:t>.</w:t>
            </w:r>
          </w:p>
          <w:p w14:paraId="2EDF84E4" w14:textId="77777777" w:rsidR="00C0458D" w:rsidRDefault="00C0458D" w:rsidP="00954C49">
            <w:r>
              <w:t>_______________</w:t>
            </w:r>
          </w:p>
          <w:p w14:paraId="4FF9FB84" w14:textId="77777777" w:rsidR="00AD3606" w:rsidRPr="00C0458D" w:rsidRDefault="00AD3606" w:rsidP="00954C49">
            <w:pPr>
              <w:spacing w:before="160"/>
              <w:rPr>
                <w:b/>
                <w:bCs/>
                <w:sz w:val="26"/>
                <w:szCs w:val="26"/>
              </w:rPr>
            </w:pPr>
            <w:r w:rsidRPr="00C0458D">
              <w:rPr>
                <w:b/>
                <w:bCs/>
                <w:sz w:val="26"/>
                <w:szCs w:val="26"/>
              </w:rPr>
              <w:t>References</w:t>
            </w:r>
          </w:p>
          <w:p w14:paraId="4432C4E1" w14:textId="5A6689B8" w:rsidR="00AD3606" w:rsidRPr="00722551" w:rsidRDefault="00702D23" w:rsidP="00702D23">
            <w:pPr>
              <w:spacing w:after="160"/>
              <w:rPr>
                <w:i/>
                <w:iCs/>
                <w:sz w:val="22"/>
                <w:szCs w:val="22"/>
              </w:rPr>
            </w:pPr>
            <w:r w:rsidRPr="00F92957">
              <w:rPr>
                <w:i/>
                <w:iCs/>
                <w:sz w:val="22"/>
                <w:szCs w:val="22"/>
              </w:rPr>
              <w:t>Resolution</w:t>
            </w:r>
            <w:r>
              <w:rPr>
                <w:i/>
                <w:iCs/>
                <w:sz w:val="22"/>
                <w:szCs w:val="22"/>
              </w:rPr>
              <w:t>s</w:t>
            </w:r>
            <w:r w:rsidRPr="00F92957">
              <w:rPr>
                <w:i/>
                <w:iCs/>
                <w:sz w:val="22"/>
                <w:szCs w:val="22"/>
              </w:rPr>
              <w:t xml:space="preserve"> </w:t>
            </w:r>
            <w:hyperlink r:id="rId11" w:history="1">
              <w:r w:rsidRPr="00702D23">
                <w:rPr>
                  <w:rStyle w:val="Hyperlink"/>
                  <w:i/>
                  <w:iCs/>
                  <w:sz w:val="22"/>
                  <w:szCs w:val="22"/>
                </w:rPr>
                <w:t>71 (Rev. Bucharest, 2022)</w:t>
              </w:r>
            </w:hyperlink>
            <w:r>
              <w:rPr>
                <w:i/>
                <w:iCs/>
                <w:sz w:val="22"/>
                <w:szCs w:val="22"/>
              </w:rPr>
              <w:t xml:space="preserve"> and</w:t>
            </w:r>
            <w:r w:rsidRPr="00F92957">
              <w:rPr>
                <w:i/>
                <w:iCs/>
                <w:sz w:val="22"/>
                <w:szCs w:val="22"/>
              </w:rPr>
              <w:t xml:space="preserve"> </w:t>
            </w:r>
            <w:hyperlink r:id="rId12" w:history="1">
              <w:r w:rsidRPr="00702D23">
                <w:rPr>
                  <w:rStyle w:val="Hyperlink"/>
                  <w:i/>
                  <w:iCs/>
                  <w:sz w:val="22"/>
                  <w:szCs w:val="22"/>
                </w:rPr>
                <w:t>191 (Rev. Bucharest, 2022)</w:t>
              </w:r>
            </w:hyperlink>
            <w:r w:rsidRPr="00F92957">
              <w:rPr>
                <w:i/>
                <w:iCs/>
                <w:sz w:val="22"/>
                <w:szCs w:val="22"/>
              </w:rPr>
              <w:t>, and</w:t>
            </w:r>
            <w:r w:rsidRPr="00AD5A22">
              <w:t xml:space="preserve"> </w:t>
            </w:r>
            <w:r w:rsidRPr="00702D23">
              <w:rPr>
                <w:i/>
                <w:iCs/>
                <w:sz w:val="22"/>
                <w:szCs w:val="22"/>
              </w:rPr>
              <w:t xml:space="preserve">Decision </w:t>
            </w:r>
            <w:hyperlink r:id="rId13" w:history="1">
              <w:r w:rsidRPr="00702D23">
                <w:rPr>
                  <w:rStyle w:val="Hyperlink"/>
                  <w:i/>
                  <w:iCs/>
                  <w:sz w:val="22"/>
                  <w:szCs w:val="22"/>
                </w:rPr>
                <w:t>5 (Rev. Bucharest, 2022)</w:t>
              </w:r>
            </w:hyperlink>
            <w:r w:rsidRPr="00F92957">
              <w:rPr>
                <w:i/>
                <w:iCs/>
                <w:sz w:val="22"/>
                <w:szCs w:val="22"/>
              </w:rPr>
              <w:t xml:space="preserve"> of the Plenipotentiary Conference</w:t>
            </w:r>
          </w:p>
        </w:tc>
      </w:tr>
    </w:tbl>
    <w:p w14:paraId="269996A6" w14:textId="77777777" w:rsidR="00E227F3" w:rsidRPr="00C0458D"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6D351753" w14:textId="77777777" w:rsidR="0090147A" w:rsidRPr="00C0458D"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C0458D">
        <w:br w:type="page"/>
      </w:r>
    </w:p>
    <w:bookmarkEnd w:id="5"/>
    <w:bookmarkEnd w:id="10"/>
    <w:p w14:paraId="68145DFE" w14:textId="77777777" w:rsidR="00480E88" w:rsidRPr="00484E07" w:rsidRDefault="00480E88" w:rsidP="007636E4">
      <w:pPr>
        <w:pStyle w:val="Headingb"/>
      </w:pPr>
      <w:r w:rsidRPr="00484E07">
        <w:lastRenderedPageBreak/>
        <w:t>Introduction</w:t>
      </w:r>
    </w:p>
    <w:p w14:paraId="7066D4C1" w14:textId="55F70164" w:rsidR="00480E88" w:rsidRPr="0087434E" w:rsidRDefault="00480E88" w:rsidP="007636E4">
      <w:pPr>
        <w:jc w:val="both"/>
        <w:rPr>
          <w:lang w:val="en-US"/>
        </w:rPr>
      </w:pPr>
      <w:r w:rsidRPr="78E2E6FB">
        <w:rPr>
          <w:lang w:val="en-US"/>
        </w:rPr>
        <w:t>The 2022 Plenipotentiary Conference (PP</w:t>
      </w:r>
      <w:r w:rsidR="00815E4D">
        <w:rPr>
          <w:lang w:val="en-US"/>
        </w:rPr>
        <w:t>-</w:t>
      </w:r>
      <w:r w:rsidRPr="78E2E6FB">
        <w:rPr>
          <w:lang w:val="en-US"/>
        </w:rPr>
        <w:t>22), through Resolution 191 (Rev. Bucharest, 2022), instructs the Secretary</w:t>
      </w:r>
      <w:r w:rsidR="4739C8F9" w:rsidRPr="78E2E6FB">
        <w:rPr>
          <w:lang w:val="en-US"/>
        </w:rPr>
        <w:t>-</w:t>
      </w:r>
      <w:r w:rsidRPr="78E2E6FB">
        <w:rPr>
          <w:lang w:val="en-US"/>
        </w:rPr>
        <w:t>General to continue strengthening coordination and cooperation across the three Sectors and the General Secretariat, with the aim of avoiding duplication of effort and optimizing the Union’s resources. The Resolution further requests the Secretary</w:t>
      </w:r>
      <w:r w:rsidR="54E9CCFE" w:rsidRPr="78E2E6FB">
        <w:rPr>
          <w:lang w:val="en-US"/>
        </w:rPr>
        <w:t>-</w:t>
      </w:r>
      <w:r w:rsidRPr="78E2E6FB">
        <w:rPr>
          <w:lang w:val="en-US"/>
        </w:rPr>
        <w:t>General to identify all forms of overlapping functions and activities among the Sectors and the General Secretariat, and to propose appropriate solutions.</w:t>
      </w:r>
    </w:p>
    <w:p w14:paraId="33FCD724" w14:textId="77777777" w:rsidR="00480E88" w:rsidRPr="00010A0E" w:rsidRDefault="00480E88" w:rsidP="007636E4">
      <w:pPr>
        <w:jc w:val="both"/>
        <w:rPr>
          <w:lang w:val="en-US"/>
        </w:rPr>
      </w:pPr>
      <w:r w:rsidRPr="0087434E">
        <w:rPr>
          <w:lang w:val="en-US"/>
        </w:rPr>
        <w:t>To implement these mandates,</w:t>
      </w:r>
      <w:r>
        <w:rPr>
          <w:lang w:val="en-US"/>
        </w:rPr>
        <w:t xml:space="preserve"> t</w:t>
      </w:r>
      <w:r w:rsidRPr="00010A0E">
        <w:rPr>
          <w:lang w:val="en-US"/>
        </w:rPr>
        <w:t xml:space="preserve">he Secretary-General delegated to the Deputy Secretary-General the implementation of intersectoral coordination strategies and mechanisms to </w:t>
      </w:r>
      <w:r w:rsidRPr="00FD2AE8">
        <w:rPr>
          <w:lang w:val="en-US"/>
        </w:rPr>
        <w:t>enabl</w:t>
      </w:r>
      <w:r>
        <w:rPr>
          <w:lang w:val="en-US"/>
        </w:rPr>
        <w:t>e</w:t>
      </w:r>
      <w:r w:rsidRPr="00FD2AE8">
        <w:rPr>
          <w:lang w:val="en-US"/>
        </w:rPr>
        <w:t xml:space="preserve"> effective collaboration among the </w:t>
      </w:r>
      <w:r>
        <w:rPr>
          <w:lang w:val="en-US"/>
        </w:rPr>
        <w:t>Sectors and the General Secretariat,</w:t>
      </w:r>
      <w:r w:rsidRPr="00FD2AE8">
        <w:rPr>
          <w:lang w:val="en-US"/>
        </w:rPr>
        <w:t xml:space="preserve"> through inter</w:t>
      </w:r>
      <w:r>
        <w:rPr>
          <w:lang w:val="en-US"/>
        </w:rPr>
        <w:t>sectoral</w:t>
      </w:r>
      <w:r w:rsidRPr="00FD2AE8">
        <w:rPr>
          <w:lang w:val="en-US"/>
        </w:rPr>
        <w:t xml:space="preserve"> teams in support of ITU</w:t>
      </w:r>
      <w:r w:rsidRPr="00FD2AE8">
        <w:rPr>
          <w:rFonts w:cs="Calibri"/>
          <w:lang w:val="en-US"/>
        </w:rPr>
        <w:t>’</w:t>
      </w:r>
      <w:r w:rsidRPr="00FD2AE8">
        <w:rPr>
          <w:lang w:val="en-US"/>
        </w:rPr>
        <w:t xml:space="preserve">s strategic </w:t>
      </w:r>
      <w:r>
        <w:rPr>
          <w:lang w:val="en-US"/>
        </w:rPr>
        <w:t>goals</w:t>
      </w:r>
      <w:r w:rsidRPr="00FD2AE8">
        <w:rPr>
          <w:lang w:val="en-US"/>
        </w:rPr>
        <w:t xml:space="preserve"> and organizational excellence.</w:t>
      </w:r>
    </w:p>
    <w:p w14:paraId="05D650A1" w14:textId="7A763B57" w:rsidR="00480E88" w:rsidRDefault="00480E88" w:rsidP="007636E4">
      <w:pPr>
        <w:jc w:val="both"/>
        <w:rPr>
          <w:rFonts w:asciiTheme="minorHAnsi" w:hAnsiTheme="minorHAnsi" w:cstheme="minorHAnsi"/>
          <w:szCs w:val="24"/>
        </w:rPr>
      </w:pPr>
      <w:r w:rsidRPr="0004279C">
        <w:rPr>
          <w:lang w:val="en-US"/>
        </w:rPr>
        <w:t>In 2024, the Service Order establishing the Inter</w:t>
      </w:r>
      <w:r w:rsidRPr="0004279C">
        <w:rPr>
          <w:rFonts w:ascii="Cambria Math" w:hAnsi="Cambria Math" w:cs="Cambria Math"/>
          <w:lang w:val="en-US"/>
        </w:rPr>
        <w:t>‑</w:t>
      </w:r>
      <w:r w:rsidRPr="0004279C">
        <w:rPr>
          <w:lang w:val="en-US"/>
        </w:rPr>
        <w:t>Sectoral Coordination Task Force (ISC</w:t>
      </w:r>
      <w:r w:rsidRPr="0004279C">
        <w:rPr>
          <w:rFonts w:ascii="Cambria Math" w:hAnsi="Cambria Math" w:cs="Cambria Math"/>
          <w:lang w:val="en-US"/>
        </w:rPr>
        <w:t>‑</w:t>
      </w:r>
      <w:r w:rsidRPr="0004279C">
        <w:rPr>
          <w:lang w:val="en-US"/>
        </w:rPr>
        <w:t xml:space="preserve">TF) was updated </w:t>
      </w:r>
      <w:r>
        <w:rPr>
          <w:lang w:val="en-US"/>
        </w:rPr>
        <w:t>(</w:t>
      </w:r>
      <w:hyperlink r:id="rId14" w:history="1">
        <w:r w:rsidRPr="00C81AEF">
          <w:rPr>
            <w:rStyle w:val="Hyperlink"/>
            <w:lang w:val="en-US"/>
          </w:rPr>
          <w:t>SO 24/06</w:t>
        </w:r>
      </w:hyperlink>
      <w:r>
        <w:t xml:space="preserve">). </w:t>
      </w:r>
      <w:r w:rsidRPr="00BC2BD3">
        <w:t>Under the direction of the Coordination Committee (CoCo), the ISC</w:t>
      </w:r>
      <w:r w:rsidRPr="00BC2BD3">
        <w:rPr>
          <w:rFonts w:ascii="Cambria Math" w:hAnsi="Cambria Math" w:cs="Cambria Math"/>
        </w:rPr>
        <w:t>‑</w:t>
      </w:r>
      <w:r w:rsidRPr="00BC2BD3">
        <w:t>TF is mandated to enhance coordination and collaboration among the three Bureaux and the General Secretariat, with the objective of preventing internal duplication and ensuring optimal use of ITU resources.</w:t>
      </w:r>
    </w:p>
    <w:p w14:paraId="6EBD5AF1" w14:textId="40DAA819" w:rsidR="00480E88" w:rsidRDefault="00480E88" w:rsidP="003E271C">
      <w:pPr>
        <w:jc w:val="both"/>
        <w:rPr>
          <w:lang w:eastAsia="en-GB"/>
        </w:rPr>
      </w:pPr>
      <w:r w:rsidRPr="000B0CAF">
        <w:rPr>
          <w:spacing w:val="-2"/>
        </w:rPr>
        <w:t xml:space="preserve">Coordination within the secretariat  </w:t>
      </w:r>
      <w:r w:rsidR="2A1EA20A" w:rsidRPr="000B0CAF">
        <w:rPr>
          <w:spacing w:val="-2"/>
        </w:rPr>
        <w:t xml:space="preserve"> </w:t>
      </w:r>
      <w:r w:rsidRPr="000B0CAF">
        <w:rPr>
          <w:spacing w:val="-2"/>
        </w:rPr>
        <w:t>Inter-Sectoral Coordination Task Force (ISC-TF)</w:t>
      </w:r>
      <w:r w:rsidR="354B0C7D" w:rsidRPr="000B0CAF">
        <w:rPr>
          <w:spacing w:val="-2"/>
        </w:rPr>
        <w:t>:</w:t>
      </w:r>
      <w:r w:rsidR="000B0CAF">
        <w:t xml:space="preserve"> </w:t>
      </w:r>
      <w:r w:rsidRPr="00BA2771">
        <w:rPr>
          <w:rFonts w:cs="Calibri"/>
          <w:lang w:eastAsia="en-GB"/>
        </w:rPr>
        <w:t>The ISC-</w:t>
      </w:r>
      <w:r>
        <w:rPr>
          <w:rFonts w:cs="Calibri"/>
          <w:lang w:eastAsia="en-GB"/>
        </w:rPr>
        <w:t xml:space="preserve">TF </w:t>
      </w:r>
      <w:r w:rsidRPr="00167121">
        <w:rPr>
          <w:lang w:eastAsia="en-GB"/>
        </w:rPr>
        <w:t xml:space="preserve">serves as the main internal coordination mechanism within the </w:t>
      </w:r>
      <w:r w:rsidR="000B0CAF">
        <w:rPr>
          <w:lang w:eastAsia="en-GB"/>
        </w:rPr>
        <w:t>s</w:t>
      </w:r>
      <w:r w:rsidRPr="00167121">
        <w:rPr>
          <w:lang w:eastAsia="en-GB"/>
        </w:rPr>
        <w:t>ecretariat, facilitating collaboration among the three Bureaux and the General Secretariat and ensuring alignment of activities with the Union’s strategic priorities</w:t>
      </w:r>
      <w:r>
        <w:rPr>
          <w:rFonts w:cs="Calibri"/>
          <w:lang w:eastAsia="en-GB"/>
        </w:rPr>
        <w:t>.</w:t>
      </w:r>
      <w:r w:rsidRPr="003977AC">
        <w:t xml:space="preserve"> </w:t>
      </w:r>
      <w:r w:rsidRPr="003977AC">
        <w:rPr>
          <w:lang w:eastAsia="en-GB"/>
        </w:rPr>
        <w:t>It also</w:t>
      </w:r>
      <w:r w:rsidRPr="00BA2771">
        <w:rPr>
          <w:rFonts w:cs="Calibri"/>
          <w:lang w:eastAsia="en-GB"/>
        </w:rPr>
        <w:t xml:space="preserve"> liaises with the Inter-Sector Coordination Group (ISCG) to identify the membership’s needs and provide options to improve cooperation and coordination across ITU</w:t>
      </w:r>
      <w:r>
        <w:rPr>
          <w:rFonts w:cs="Calibri"/>
          <w:lang w:eastAsia="en-GB"/>
        </w:rPr>
        <w:t>.</w:t>
      </w:r>
    </w:p>
    <w:p w14:paraId="7156BC0B" w14:textId="77777777" w:rsidR="00480E88" w:rsidRDefault="00480E88" w:rsidP="003E271C">
      <w:pPr>
        <w:jc w:val="both"/>
        <w:rPr>
          <w:szCs w:val="24"/>
          <w:lang w:eastAsia="en-GB"/>
        </w:rPr>
      </w:pPr>
      <w:r w:rsidRPr="009C3584">
        <w:rPr>
          <w:szCs w:val="24"/>
          <w:lang w:eastAsia="en-GB"/>
        </w:rPr>
        <w:t xml:space="preserve">Since the report presented to </w:t>
      </w:r>
      <w:r>
        <w:rPr>
          <w:szCs w:val="24"/>
          <w:lang w:eastAsia="en-GB"/>
        </w:rPr>
        <w:t xml:space="preserve">the </w:t>
      </w:r>
      <w:r w:rsidRPr="009C3584">
        <w:rPr>
          <w:szCs w:val="24"/>
          <w:lang w:eastAsia="en-GB"/>
        </w:rPr>
        <w:t xml:space="preserve">Council last year, the </w:t>
      </w:r>
      <w:r>
        <w:rPr>
          <w:szCs w:val="24"/>
          <w:lang w:eastAsia="en-GB"/>
        </w:rPr>
        <w:t xml:space="preserve">ISC-TF </w:t>
      </w:r>
      <w:r w:rsidRPr="00254CBB">
        <w:rPr>
          <w:szCs w:val="24"/>
          <w:lang w:eastAsia="en-GB"/>
        </w:rPr>
        <w:t xml:space="preserve">has continued to strengthen coordination across </w:t>
      </w:r>
      <w:r>
        <w:rPr>
          <w:szCs w:val="24"/>
          <w:lang w:eastAsia="en-GB"/>
        </w:rPr>
        <w:t>the Union</w:t>
      </w:r>
      <w:r w:rsidRPr="00254CBB">
        <w:rPr>
          <w:szCs w:val="24"/>
          <w:lang w:eastAsia="en-GB"/>
        </w:rPr>
        <w:t xml:space="preserve"> through a combination of governance mechanisms, shared analytical tools and concrete intersectoral initiatives.</w:t>
      </w:r>
      <w:r>
        <w:rPr>
          <w:szCs w:val="24"/>
          <w:lang w:eastAsia="en-GB"/>
        </w:rPr>
        <w:t xml:space="preserve"> </w:t>
      </w:r>
    </w:p>
    <w:p w14:paraId="66075F3D" w14:textId="735544BF" w:rsidR="00480E88" w:rsidRPr="0063310A" w:rsidRDefault="00480E88" w:rsidP="003E271C">
      <w:pPr>
        <w:jc w:val="both"/>
        <w:rPr>
          <w:rFonts w:eastAsia="Calibri"/>
        </w:rPr>
      </w:pPr>
      <w:r w:rsidRPr="29E976EB">
        <w:rPr>
          <w:rFonts w:eastAsia="Calibri"/>
        </w:rPr>
        <w:t>Intersectoral coordination has supported the implementation of several major ITU initiatives reflected in the Union’s Annual Report, where activities increasingly combine expertise from radiocommunication, standardization, development</w:t>
      </w:r>
      <w:r w:rsidR="009F4425" w:rsidRPr="29E976EB">
        <w:rPr>
          <w:rFonts w:eastAsia="Calibri"/>
        </w:rPr>
        <w:t>,</w:t>
      </w:r>
      <w:r w:rsidRPr="29E976EB">
        <w:rPr>
          <w:rFonts w:eastAsia="Calibri"/>
        </w:rPr>
        <w:t xml:space="preserve"> and the General Secretariat. Examples include:</w:t>
      </w:r>
    </w:p>
    <w:p w14:paraId="43DD8CEA" w14:textId="293B4654" w:rsidR="00480E88" w:rsidRPr="00983FD1" w:rsidRDefault="0076280F" w:rsidP="000B0CAF">
      <w:pPr>
        <w:pStyle w:val="enumlev1"/>
        <w:spacing w:line="259" w:lineRule="auto"/>
        <w:jc w:val="both"/>
        <w:rPr>
          <w:rFonts w:eastAsia="Calibri"/>
        </w:rPr>
      </w:pPr>
      <w:r w:rsidRPr="0076280F">
        <w:rPr>
          <w:rFonts w:eastAsia="Calibri"/>
        </w:rPr>
        <w:t>–</w:t>
      </w:r>
      <w:r>
        <w:rPr>
          <w:rFonts w:eastAsia="Calibri"/>
        </w:rPr>
        <w:tab/>
      </w:r>
      <w:r w:rsidR="00480E88" w:rsidRPr="00983FD1">
        <w:rPr>
          <w:rFonts w:eastAsia="Calibri"/>
          <w:b/>
          <w:bCs/>
        </w:rPr>
        <w:t>Cybersecurity and digital trust:</w:t>
      </w:r>
      <w:r w:rsidR="00480E88" w:rsidRPr="00983FD1">
        <w:rPr>
          <w:rFonts w:eastAsia="Calibri"/>
        </w:rPr>
        <w:t xml:space="preserve"> Work across ITU-D, ITU-T</w:t>
      </w:r>
      <w:r w:rsidR="00F5111D">
        <w:rPr>
          <w:rFonts w:eastAsia="Calibri"/>
        </w:rPr>
        <w:t>,</w:t>
      </w:r>
      <w:r w:rsidR="00480E88" w:rsidRPr="00983FD1">
        <w:rPr>
          <w:rFonts w:eastAsia="Calibri"/>
        </w:rPr>
        <w:t xml:space="preserve"> and ITU-R has contributed to a comprehensive global framework for cybersecurity, combining policy guidance, standards development and capacity-building activities. Through these coordinated efforts, </w:t>
      </w:r>
      <w:proofErr w:type="gramStart"/>
      <w:r w:rsidR="44C59A49" w:rsidRPr="5B49A857">
        <w:rPr>
          <w:rFonts w:eastAsia="Calibri"/>
        </w:rPr>
        <w:t xml:space="preserve">a </w:t>
      </w:r>
      <w:r w:rsidR="00480E88" w:rsidRPr="00983FD1">
        <w:rPr>
          <w:rFonts w:eastAsia="Calibri"/>
        </w:rPr>
        <w:t>number of</w:t>
      </w:r>
      <w:proofErr w:type="gramEnd"/>
      <w:r w:rsidR="00480E88" w:rsidRPr="00983FD1">
        <w:rPr>
          <w:rFonts w:eastAsia="Calibri"/>
        </w:rPr>
        <w:t xml:space="preserve"> countries with national Computer Incident Response Teams increased from 109 in 2020 to 132 by 2025, while national cybersecurity strategies expanded significantly worldwide.</w:t>
      </w:r>
    </w:p>
    <w:p w14:paraId="2573BA1C" w14:textId="7E5AF54F" w:rsidR="00480E88" w:rsidRPr="00983FD1" w:rsidRDefault="0076280F" w:rsidP="003E271C">
      <w:pPr>
        <w:pStyle w:val="enumlev1"/>
        <w:jc w:val="both"/>
        <w:rPr>
          <w:rFonts w:eastAsia="Calibri" w:cs="Calibri"/>
          <w:szCs w:val="24"/>
        </w:rPr>
      </w:pPr>
      <w:r w:rsidRPr="0076280F">
        <w:rPr>
          <w:rFonts w:eastAsia="Calibri"/>
        </w:rPr>
        <w:t>–</w:t>
      </w:r>
      <w:r w:rsidRPr="0076280F">
        <w:rPr>
          <w:rFonts w:eastAsia="Calibri"/>
        </w:rPr>
        <w:tab/>
      </w:r>
      <w:r w:rsidR="00480E88" w:rsidRPr="00983FD1">
        <w:rPr>
          <w:rFonts w:eastAsia="Calibri" w:cs="Calibri"/>
          <w:b/>
          <w:bCs/>
          <w:szCs w:val="24"/>
        </w:rPr>
        <w:t>Digital inclusion and accessibility:</w:t>
      </w:r>
      <w:r w:rsidR="00480E88" w:rsidRPr="00983FD1">
        <w:rPr>
          <w:rFonts w:eastAsia="Calibri" w:cs="Calibri"/>
          <w:szCs w:val="24"/>
        </w:rPr>
        <w:t xml:space="preserve"> The three Sectors worked jointly to advance digital accessibility for persons with disabilities through expert advice, training programmes and technical resources. This coordinated approach contributed to growth in national regulatory frameworks on ICT </w:t>
      </w:r>
      <w:r w:rsidR="00480E88" w:rsidRPr="003E271C">
        <w:rPr>
          <w:rFonts w:eastAsia="Calibri"/>
        </w:rPr>
        <w:t>accessibility</w:t>
      </w:r>
      <w:r w:rsidR="00480E88" w:rsidRPr="00983FD1">
        <w:rPr>
          <w:rFonts w:eastAsia="Calibri" w:cs="Calibri"/>
          <w:szCs w:val="24"/>
        </w:rPr>
        <w:t xml:space="preserve">, which reached more than 100 countries during the reporting period. </w:t>
      </w:r>
    </w:p>
    <w:p w14:paraId="63B79A7D" w14:textId="61B16BC8" w:rsidR="00480E88" w:rsidRPr="00983FD1" w:rsidRDefault="0076280F" w:rsidP="003E271C">
      <w:pPr>
        <w:pStyle w:val="enumlev1"/>
        <w:jc w:val="both"/>
        <w:rPr>
          <w:rFonts w:eastAsia="Calibri" w:cs="Calibri"/>
          <w:szCs w:val="24"/>
        </w:rPr>
      </w:pPr>
      <w:r w:rsidRPr="0076280F">
        <w:rPr>
          <w:rFonts w:eastAsia="Calibri"/>
        </w:rPr>
        <w:t>–</w:t>
      </w:r>
      <w:r w:rsidRPr="0076280F">
        <w:rPr>
          <w:rFonts w:eastAsia="Calibri"/>
        </w:rPr>
        <w:tab/>
      </w:r>
      <w:r w:rsidR="00480E88" w:rsidRPr="00983FD1">
        <w:rPr>
          <w:rFonts w:eastAsia="Calibri" w:cs="Calibri"/>
          <w:b/>
          <w:bCs/>
          <w:szCs w:val="24"/>
        </w:rPr>
        <w:t>Bridging the standardization gap and capacity development:</w:t>
      </w:r>
      <w:r w:rsidR="00480E88" w:rsidRPr="00983FD1">
        <w:rPr>
          <w:rFonts w:eastAsia="Calibri" w:cs="Calibri"/>
          <w:szCs w:val="24"/>
        </w:rPr>
        <w:t xml:space="preserve"> Coordination between the Telecommunication Standardization Bureau (TSB) and the Telecommunication Development Bureau (BDT), including through regional offices, continues to support training and capacity development </w:t>
      </w:r>
      <w:r w:rsidR="00480E88" w:rsidRPr="003E271C">
        <w:rPr>
          <w:rFonts w:eastAsia="Calibri"/>
        </w:rPr>
        <w:t>activities</w:t>
      </w:r>
      <w:r w:rsidR="00480E88" w:rsidRPr="00983FD1">
        <w:rPr>
          <w:rFonts w:eastAsia="Calibri" w:cs="Calibri"/>
          <w:szCs w:val="24"/>
        </w:rPr>
        <w:t xml:space="preserve"> aimed at increasing participation from </w:t>
      </w:r>
      <w:r w:rsidR="00480E88" w:rsidRPr="00983FD1">
        <w:rPr>
          <w:rFonts w:eastAsia="Calibri" w:cs="Calibri"/>
          <w:szCs w:val="24"/>
        </w:rPr>
        <w:lastRenderedPageBreak/>
        <w:t>developing countries in international standardization processes. Training materials and courses are made available through the ITU Academy platform in multiple languages.</w:t>
      </w:r>
    </w:p>
    <w:p w14:paraId="15AE90D8" w14:textId="77777777" w:rsidR="00480E88" w:rsidRPr="0063310A" w:rsidRDefault="00480E88" w:rsidP="0076280F">
      <w:pPr>
        <w:jc w:val="both"/>
        <w:rPr>
          <w:rFonts w:eastAsia="Calibri"/>
        </w:rPr>
      </w:pPr>
      <w:r w:rsidRPr="0063310A">
        <w:rPr>
          <w:rFonts w:eastAsia="Calibri"/>
        </w:rPr>
        <w:t>More concrete outcomes of the inter</w:t>
      </w:r>
      <w:r>
        <w:rPr>
          <w:rFonts w:eastAsia="Calibri"/>
        </w:rPr>
        <w:t>s</w:t>
      </w:r>
      <w:r w:rsidRPr="0063310A">
        <w:rPr>
          <w:rFonts w:eastAsia="Calibri"/>
        </w:rPr>
        <w:t>ector</w:t>
      </w:r>
      <w:r>
        <w:rPr>
          <w:rFonts w:eastAsia="Calibri"/>
        </w:rPr>
        <w:t>al</w:t>
      </w:r>
      <w:r w:rsidRPr="0063310A">
        <w:rPr>
          <w:rFonts w:eastAsia="Calibri"/>
        </w:rPr>
        <w:t xml:space="preserve"> teams’ coordination efforts can be found in Council Document </w:t>
      </w:r>
      <w:hyperlink r:id="rId15" w:history="1">
        <w:r w:rsidRPr="00B245AF">
          <w:rPr>
            <w:rStyle w:val="Hyperlink"/>
            <w:rFonts w:eastAsia="Calibri" w:cs="Calibri"/>
            <w:szCs w:val="24"/>
          </w:rPr>
          <w:t>C26/35</w:t>
        </w:r>
      </w:hyperlink>
      <w:r>
        <w:rPr>
          <w:rFonts w:eastAsia="Calibri"/>
        </w:rPr>
        <w:t>,</w:t>
      </w:r>
      <w:r w:rsidRPr="0063310A">
        <w:rPr>
          <w:rFonts w:eastAsia="Calibri"/>
        </w:rPr>
        <w:t xml:space="preserve"> on the implementation of the strategic plan and the activities of the Union, including the web platform developed to report on the implementation of PP </w:t>
      </w:r>
      <w:r>
        <w:rPr>
          <w:rFonts w:eastAsia="Calibri"/>
        </w:rPr>
        <w:t>r</w:t>
      </w:r>
      <w:r w:rsidRPr="0063310A">
        <w:rPr>
          <w:rFonts w:eastAsia="Calibri"/>
        </w:rPr>
        <w:t xml:space="preserve">esolutions, available </w:t>
      </w:r>
      <w:hyperlink r:id="rId16" w:history="1">
        <w:r w:rsidRPr="00B748A2">
          <w:rPr>
            <w:rStyle w:val="Hyperlink"/>
            <w:rFonts w:eastAsia="Calibri" w:cs="Calibri"/>
            <w:szCs w:val="24"/>
          </w:rPr>
          <w:t>here</w:t>
        </w:r>
      </w:hyperlink>
      <w:r w:rsidRPr="0063310A">
        <w:rPr>
          <w:rFonts w:eastAsia="Calibri"/>
        </w:rPr>
        <w:t>.</w:t>
      </w:r>
    </w:p>
    <w:p w14:paraId="64F7635E" w14:textId="156CA11A" w:rsidR="00480E88" w:rsidRPr="0063310A" w:rsidRDefault="00480E88" w:rsidP="0076280F">
      <w:pPr>
        <w:jc w:val="both"/>
        <w:rPr>
          <w:rFonts w:eastAsia="Calibri"/>
        </w:rPr>
      </w:pPr>
      <w:r>
        <w:rPr>
          <w:rFonts w:eastAsia="Calibri"/>
        </w:rPr>
        <w:t xml:space="preserve">The </w:t>
      </w:r>
      <w:r w:rsidR="000B0CAF">
        <w:rPr>
          <w:rFonts w:eastAsia="Calibri"/>
        </w:rPr>
        <w:t>s</w:t>
      </w:r>
      <w:r>
        <w:rPr>
          <w:rFonts w:eastAsia="Calibri"/>
        </w:rPr>
        <w:t>ecretariat also continues to enhance coordination through:</w:t>
      </w:r>
    </w:p>
    <w:p w14:paraId="01ABF022" w14:textId="6205D091" w:rsidR="00480E88" w:rsidRPr="00983FD1" w:rsidRDefault="0076280F" w:rsidP="003E271C">
      <w:pPr>
        <w:pStyle w:val="enumlev1"/>
        <w:jc w:val="both"/>
        <w:rPr>
          <w:rFonts w:eastAsia="Calibri" w:cs="Calibri"/>
        </w:rPr>
      </w:pPr>
      <w:r w:rsidRPr="0076280F">
        <w:rPr>
          <w:rFonts w:eastAsia="Calibri"/>
        </w:rPr>
        <w:t>–</w:t>
      </w:r>
      <w:r w:rsidRPr="0076280F">
        <w:rPr>
          <w:rFonts w:eastAsia="Calibri"/>
        </w:rPr>
        <w:tab/>
      </w:r>
      <w:r w:rsidR="00480E88" w:rsidRPr="0CA6B8D0">
        <w:rPr>
          <w:rFonts w:eastAsia="Calibri" w:cs="Calibri"/>
        </w:rPr>
        <w:t xml:space="preserve">the </w:t>
      </w:r>
      <w:hyperlink r:id="rId17">
        <w:r w:rsidR="07A50749" w:rsidRPr="0CA6B8D0">
          <w:rPr>
            <w:rStyle w:val="Hyperlink"/>
            <w:rFonts w:eastAsia="Calibri" w:cs="Calibri"/>
          </w:rPr>
          <w:t>Intersectoral coordination webpage</w:t>
        </w:r>
      </w:hyperlink>
      <w:r w:rsidR="00480E88" w:rsidRPr="0CA6B8D0">
        <w:rPr>
          <w:rFonts w:eastAsia="Calibri" w:cs="Calibri"/>
        </w:rPr>
        <w:t xml:space="preserve">: following requests at the Council Working Group for financial and human resources (CWG-FHR), the ISCG website has also been </w:t>
      </w:r>
      <w:r w:rsidR="00480E88" w:rsidRPr="003E271C">
        <w:rPr>
          <w:rFonts w:eastAsia="Calibri"/>
        </w:rPr>
        <w:t>updated</w:t>
      </w:r>
      <w:r w:rsidR="00480E88" w:rsidRPr="0CA6B8D0">
        <w:rPr>
          <w:rFonts w:eastAsia="Calibri" w:cs="Calibri"/>
        </w:rPr>
        <w:t xml:space="preserve"> to reflect revised formats and document</w:t>
      </w:r>
      <w:r w:rsidR="00480E88" w:rsidRPr="0CA6B8D0">
        <w:rPr>
          <w:rFonts w:ascii="Cambria Math" w:eastAsia="Calibri" w:hAnsi="Cambria Math" w:cs="Cambria Math"/>
        </w:rPr>
        <w:t>‑</w:t>
      </w:r>
      <w:r w:rsidR="00480E88" w:rsidRPr="0CA6B8D0">
        <w:rPr>
          <w:rFonts w:eastAsia="Calibri" w:cs="Calibri"/>
        </w:rPr>
        <w:t>publication procedures, in line with Member States’ requests and the practices applied to other General Secretariat meetings;</w:t>
      </w:r>
    </w:p>
    <w:p w14:paraId="3C27F9CE" w14:textId="22FE7B9E" w:rsidR="00480E88" w:rsidRPr="009C3584" w:rsidRDefault="0076280F" w:rsidP="003E271C">
      <w:pPr>
        <w:pStyle w:val="enumlev1"/>
        <w:jc w:val="both"/>
        <w:rPr>
          <w:rFonts w:cs="Calibri"/>
          <w:lang w:eastAsia="en-GB"/>
        </w:rPr>
      </w:pPr>
      <w:r w:rsidRPr="78E2E6FB">
        <w:rPr>
          <w:rFonts w:eastAsia="Calibri"/>
        </w:rPr>
        <w:t>–</w:t>
      </w:r>
      <w:r>
        <w:tab/>
      </w:r>
      <w:r w:rsidR="00480E88">
        <w:t xml:space="preserve">publication of the </w:t>
      </w:r>
      <w:hyperlink r:id="rId18">
        <w:r w:rsidR="00480E88" w:rsidRPr="78E2E6FB">
          <w:rPr>
            <w:rStyle w:val="Hyperlink"/>
            <w:rFonts w:cs="Calibri"/>
            <w:lang w:eastAsia="en-GB"/>
          </w:rPr>
          <w:t>list of themes</w:t>
        </w:r>
      </w:hyperlink>
      <w:r w:rsidR="00480E88" w:rsidRPr="78E2E6FB">
        <w:rPr>
          <w:rFonts w:cs="Calibri"/>
          <w:lang w:eastAsia="en-GB"/>
        </w:rPr>
        <w:t xml:space="preserve"> requiring intersectoral coordination, together with the Focal Points appointed by the Sectors and the General Secretariat, </w:t>
      </w:r>
      <w:r w:rsidR="19E78031" w:rsidRPr="78E2E6FB">
        <w:rPr>
          <w:rFonts w:cs="Calibri"/>
          <w:lang w:eastAsia="en-GB"/>
        </w:rPr>
        <w:t>available on</w:t>
      </w:r>
      <w:r w:rsidR="00480E88" w:rsidRPr="78E2E6FB">
        <w:rPr>
          <w:rFonts w:cs="Calibri"/>
          <w:lang w:eastAsia="en-GB"/>
        </w:rPr>
        <w:t xml:space="preserve"> the Intersectoral coordination webpage.</w:t>
      </w:r>
    </w:p>
    <w:p w14:paraId="64A7292E" w14:textId="6D2E5AAC" w:rsidR="00480E88" w:rsidRDefault="0076280F" w:rsidP="003E271C">
      <w:pPr>
        <w:pStyle w:val="enumlev1"/>
        <w:jc w:val="both"/>
        <w:rPr>
          <w:rFonts w:cs="Calibri"/>
          <w:lang w:eastAsia="en-GB"/>
        </w:rPr>
      </w:pPr>
      <w:r w:rsidRPr="0076280F">
        <w:rPr>
          <w:rFonts w:eastAsia="Calibri"/>
        </w:rPr>
        <w:t>–</w:t>
      </w:r>
      <w:r w:rsidRPr="0076280F">
        <w:rPr>
          <w:rFonts w:eastAsia="Calibri"/>
        </w:rPr>
        <w:tab/>
      </w:r>
      <w:r w:rsidR="00480E88">
        <w:t xml:space="preserve">continuation of the </w:t>
      </w:r>
      <w:hyperlink r:id="rId19" w:history="1">
        <w:r w:rsidR="00480E88" w:rsidRPr="005958B6">
          <w:rPr>
            <w:rStyle w:val="Hyperlink"/>
            <w:rFonts w:cs="Calibri"/>
            <w:lang w:eastAsia="en-GB"/>
          </w:rPr>
          <w:t>mapping of resolutions</w:t>
        </w:r>
      </w:hyperlink>
      <w:r w:rsidR="00480E88" w:rsidRPr="009C3584">
        <w:rPr>
          <w:rFonts w:cs="Calibri"/>
          <w:lang w:eastAsia="en-GB"/>
        </w:rPr>
        <w:t xml:space="preserve"> from </w:t>
      </w:r>
      <w:r w:rsidR="00480E88">
        <w:rPr>
          <w:rFonts w:cs="Calibri"/>
          <w:lang w:eastAsia="en-GB"/>
        </w:rPr>
        <w:t>major</w:t>
      </w:r>
      <w:r w:rsidR="00480E88" w:rsidRPr="009C3584">
        <w:rPr>
          <w:rFonts w:cs="Calibri"/>
          <w:lang w:eastAsia="en-GB"/>
        </w:rPr>
        <w:t xml:space="preserve"> ITU </w:t>
      </w:r>
      <w:r w:rsidR="00480E88">
        <w:rPr>
          <w:rFonts w:cs="Calibri"/>
          <w:lang w:eastAsia="en-GB"/>
        </w:rPr>
        <w:t>c</w:t>
      </w:r>
      <w:r w:rsidR="00480E88" w:rsidRPr="009C3584">
        <w:rPr>
          <w:rFonts w:cs="Calibri"/>
          <w:lang w:eastAsia="en-GB"/>
        </w:rPr>
        <w:t>onferences</w:t>
      </w:r>
      <w:r w:rsidR="00480E88">
        <w:rPr>
          <w:rFonts w:cs="Calibri"/>
          <w:lang w:eastAsia="en-GB"/>
        </w:rPr>
        <w:t xml:space="preserve"> and as</w:t>
      </w:r>
      <w:r w:rsidR="00480E88" w:rsidRPr="009C3584">
        <w:rPr>
          <w:rFonts w:cs="Calibri"/>
          <w:lang w:eastAsia="en-GB"/>
        </w:rPr>
        <w:t>semblies</w:t>
      </w:r>
      <w:r w:rsidR="00480E88">
        <w:rPr>
          <w:rFonts w:cs="Calibri"/>
          <w:lang w:eastAsia="en-GB"/>
        </w:rPr>
        <w:t xml:space="preserve"> (last </w:t>
      </w:r>
      <w:r w:rsidR="00480E88" w:rsidRPr="009C3584">
        <w:rPr>
          <w:rFonts w:cs="Calibri"/>
          <w:lang w:eastAsia="en-GB"/>
        </w:rPr>
        <w:t>update</w:t>
      </w:r>
      <w:r w:rsidR="00480E88">
        <w:rPr>
          <w:rFonts w:cs="Calibri"/>
          <w:lang w:eastAsia="en-GB"/>
        </w:rPr>
        <w:t xml:space="preserve"> following WTDC-25</w:t>
      </w:r>
      <w:r w:rsidR="00480E88" w:rsidRPr="009C3584">
        <w:rPr>
          <w:rFonts w:cs="Calibri"/>
          <w:lang w:eastAsia="en-GB"/>
        </w:rPr>
        <w:t>)</w:t>
      </w:r>
      <w:r w:rsidR="00480E88">
        <w:rPr>
          <w:rFonts w:cs="Calibri"/>
          <w:lang w:eastAsia="en-GB"/>
        </w:rPr>
        <w:t xml:space="preserve">, now also including resolutions from the World Conference on International </w:t>
      </w:r>
      <w:r w:rsidR="00480E88" w:rsidRPr="003E271C">
        <w:rPr>
          <w:rFonts w:eastAsia="Calibri"/>
        </w:rPr>
        <w:t>Telecommunication</w:t>
      </w:r>
      <w:r w:rsidR="005F2F7C">
        <w:rPr>
          <w:rFonts w:eastAsia="Calibri"/>
        </w:rPr>
        <w:t>s</w:t>
      </w:r>
      <w:r w:rsidR="00480E88">
        <w:rPr>
          <w:rFonts w:cs="Calibri"/>
          <w:lang w:eastAsia="en-GB"/>
        </w:rPr>
        <w:t xml:space="preserve"> (Dubai, 2012), as requested by Member States; t</w:t>
      </w:r>
      <w:r w:rsidR="00480E88" w:rsidRPr="00183D31">
        <w:rPr>
          <w:rFonts w:cs="Calibri"/>
          <w:lang w:eastAsia="en-GB"/>
        </w:rPr>
        <w:t>his tool is intended to support Member States in preparing their contributions to the 2026 Plenipotentiary Conference (PP</w:t>
      </w:r>
      <w:r w:rsidR="00480E88" w:rsidRPr="00183D31">
        <w:rPr>
          <w:rFonts w:ascii="Cambria Math" w:hAnsi="Cambria Math" w:cs="Cambria Math"/>
          <w:lang w:eastAsia="en-GB"/>
        </w:rPr>
        <w:t>‑</w:t>
      </w:r>
      <w:r w:rsidR="00480E88" w:rsidRPr="00183D31">
        <w:rPr>
          <w:rFonts w:cs="Calibri"/>
          <w:lang w:eastAsia="en-GB"/>
        </w:rPr>
        <w:t>26)</w:t>
      </w:r>
      <w:r w:rsidR="00480E88">
        <w:rPr>
          <w:rFonts w:cs="Calibri"/>
          <w:lang w:eastAsia="en-GB"/>
        </w:rPr>
        <w:t>;</w:t>
      </w:r>
    </w:p>
    <w:p w14:paraId="7BE3B647" w14:textId="6F60FD05" w:rsidR="00480E88" w:rsidRDefault="0076280F" w:rsidP="003E271C">
      <w:pPr>
        <w:pStyle w:val="enumlev1"/>
        <w:jc w:val="both"/>
        <w:rPr>
          <w:rFonts w:cs="Calibri"/>
          <w:lang w:eastAsia="en-GB"/>
        </w:rPr>
      </w:pPr>
      <w:r w:rsidRPr="0076280F">
        <w:rPr>
          <w:rFonts w:eastAsia="Calibri"/>
        </w:rPr>
        <w:t>–</w:t>
      </w:r>
      <w:r w:rsidRPr="0076280F">
        <w:rPr>
          <w:rFonts w:eastAsia="Calibri"/>
        </w:rPr>
        <w:tab/>
      </w:r>
      <w:r>
        <w:rPr>
          <w:rFonts w:cs="Calibri"/>
          <w:lang w:eastAsia="en-GB"/>
        </w:rPr>
        <w:t xml:space="preserve">also </w:t>
      </w:r>
      <w:r w:rsidR="00480E88">
        <w:rPr>
          <w:rFonts w:cs="Calibri"/>
          <w:lang w:eastAsia="en-GB"/>
        </w:rPr>
        <w:t xml:space="preserve">in relation to PP-26, the ISC-TF welcomed the </w:t>
      </w:r>
      <w:hyperlink r:id="rId20" w:history="1">
        <w:r w:rsidR="00480E88" w:rsidRPr="002948A4">
          <w:rPr>
            <w:rStyle w:val="Hyperlink"/>
            <w:rFonts w:cs="Calibri"/>
            <w:lang w:eastAsia="en-GB"/>
          </w:rPr>
          <w:t>Guidelines for harmonizing Plenipotentiary Conference resolutions and decisions</w:t>
        </w:r>
      </w:hyperlink>
      <w:r w:rsidR="00480E88">
        <w:rPr>
          <w:rFonts w:cs="Calibri"/>
          <w:lang w:eastAsia="en-GB"/>
        </w:rPr>
        <w:t xml:space="preserve"> developed by the Council Working Group for strategic and financial plans 2028-2031 (CWG-SFP); t</w:t>
      </w:r>
      <w:r w:rsidR="00480E88" w:rsidRPr="00445189">
        <w:rPr>
          <w:rFonts w:cs="Calibri"/>
          <w:lang w:eastAsia="en-GB"/>
        </w:rPr>
        <w:t>hese guidelines constitute an additional, non</w:t>
      </w:r>
      <w:r w:rsidR="00480E88" w:rsidRPr="00445189">
        <w:rPr>
          <w:rFonts w:ascii="Cambria Math" w:hAnsi="Cambria Math" w:cs="Cambria Math"/>
          <w:lang w:eastAsia="en-GB"/>
        </w:rPr>
        <w:t>‑</w:t>
      </w:r>
      <w:r w:rsidR="00480E88" w:rsidRPr="00445189">
        <w:rPr>
          <w:rFonts w:cs="Calibri"/>
          <w:lang w:eastAsia="en-GB"/>
        </w:rPr>
        <w:t>binding tool to assist interested Member States in preparing their proposals, with a view to enhancing the efficiency of the Union’s work</w:t>
      </w:r>
      <w:r w:rsidR="00480E88">
        <w:rPr>
          <w:rFonts w:cs="Calibri"/>
          <w:lang w:eastAsia="en-GB"/>
        </w:rPr>
        <w:t>;</w:t>
      </w:r>
    </w:p>
    <w:p w14:paraId="69D4C990" w14:textId="54531105" w:rsidR="00480E88" w:rsidRPr="009C3584" w:rsidRDefault="00432450" w:rsidP="003E271C">
      <w:pPr>
        <w:pStyle w:val="enumlev1"/>
        <w:jc w:val="both"/>
        <w:rPr>
          <w:rFonts w:cs="Calibri"/>
          <w:lang w:eastAsia="en-GB"/>
        </w:rPr>
      </w:pPr>
      <w:r w:rsidRPr="0076280F">
        <w:rPr>
          <w:rFonts w:eastAsia="Calibri"/>
        </w:rPr>
        <w:t>–</w:t>
      </w:r>
      <w:r w:rsidRPr="0076280F">
        <w:rPr>
          <w:rFonts w:eastAsia="Calibri"/>
        </w:rPr>
        <w:tab/>
      </w:r>
      <w:r w:rsidRPr="009A77BE">
        <w:rPr>
          <w:rFonts w:cs="Calibri"/>
          <w:lang w:eastAsia="en-GB"/>
        </w:rPr>
        <w:t xml:space="preserve">partnership </w:t>
      </w:r>
      <w:r w:rsidR="00480E88" w:rsidRPr="009A77BE">
        <w:rPr>
          <w:rFonts w:cs="Calibri"/>
          <w:lang w:eastAsia="en-GB"/>
        </w:rPr>
        <w:t xml:space="preserve">on </w:t>
      </w:r>
      <w:r w:rsidRPr="009A77BE">
        <w:rPr>
          <w:rFonts w:cs="Calibri"/>
          <w:lang w:eastAsia="en-GB"/>
        </w:rPr>
        <w:t xml:space="preserve">measuring </w:t>
      </w:r>
      <w:r w:rsidR="00480E88" w:rsidRPr="009A77BE">
        <w:rPr>
          <w:rFonts w:cs="Calibri"/>
          <w:lang w:eastAsia="en-GB"/>
        </w:rPr>
        <w:t xml:space="preserve">ICT for </w:t>
      </w:r>
      <w:r w:rsidRPr="009A77BE">
        <w:rPr>
          <w:rFonts w:cs="Calibri"/>
          <w:lang w:eastAsia="en-GB"/>
        </w:rPr>
        <w:t>development</w:t>
      </w:r>
      <w:r w:rsidR="00480E88" w:rsidRPr="009A77BE">
        <w:rPr>
          <w:rFonts w:cs="Calibri"/>
          <w:lang w:eastAsia="en-GB"/>
        </w:rPr>
        <w:t xml:space="preserve">: </w:t>
      </w:r>
      <w:r w:rsidR="00480E88">
        <w:rPr>
          <w:rFonts w:cs="Calibri"/>
          <w:lang w:eastAsia="en-GB"/>
        </w:rPr>
        <w:t>t</w:t>
      </w:r>
      <w:r w:rsidR="00480E88" w:rsidRPr="009A77BE">
        <w:rPr>
          <w:rFonts w:cs="Calibri"/>
          <w:lang w:eastAsia="en-GB"/>
        </w:rPr>
        <w:t xml:space="preserve">his partnership works to improve the quality and availability of ICT data </w:t>
      </w:r>
      <w:r w:rsidR="00480E88" w:rsidRPr="003E271C">
        <w:rPr>
          <w:rFonts w:eastAsia="Calibri"/>
        </w:rPr>
        <w:t>for</w:t>
      </w:r>
      <w:r w:rsidR="00480E88" w:rsidRPr="009A77BE">
        <w:rPr>
          <w:rFonts w:cs="Calibri"/>
          <w:lang w:eastAsia="en-GB"/>
        </w:rPr>
        <w:t xml:space="preserve"> sustainable development and maps core indicators against the WSIS Action Lines, the Global Digital Compact, and the UN Meaningful Connectivity Framework</w:t>
      </w:r>
      <w:r w:rsidR="00480E88">
        <w:rPr>
          <w:rFonts w:cs="Calibri"/>
          <w:lang w:eastAsia="en-GB"/>
        </w:rPr>
        <w:t>; i</w:t>
      </w:r>
      <w:r w:rsidR="00480E88" w:rsidRPr="009A77BE">
        <w:rPr>
          <w:rFonts w:cs="Calibri"/>
          <w:lang w:eastAsia="en-GB"/>
        </w:rPr>
        <w:t xml:space="preserve">ts outputs are hosted on the </w:t>
      </w:r>
      <w:hyperlink r:id="rId21" w:history="1">
        <w:r w:rsidR="00480E88" w:rsidRPr="0063310A">
          <w:rPr>
            <w:rStyle w:val="Hyperlink"/>
            <w:rFonts w:cs="Calibri"/>
            <w:lang w:eastAsia="en-GB"/>
          </w:rPr>
          <w:t xml:space="preserve">ITU </w:t>
        </w:r>
        <w:proofErr w:type="spellStart"/>
        <w:r w:rsidR="00480E88" w:rsidRPr="0063310A">
          <w:rPr>
            <w:rStyle w:val="Hyperlink"/>
            <w:rFonts w:cs="Calibri"/>
            <w:lang w:eastAsia="en-GB"/>
          </w:rPr>
          <w:t>DataHub</w:t>
        </w:r>
        <w:proofErr w:type="spellEnd"/>
      </w:hyperlink>
      <w:r w:rsidR="00480E88" w:rsidRPr="009A77BE">
        <w:rPr>
          <w:rFonts w:cs="Calibri"/>
          <w:lang w:eastAsia="en-GB"/>
        </w:rPr>
        <w:t>.</w:t>
      </w:r>
    </w:p>
    <w:p w14:paraId="23457840" w14:textId="77777777" w:rsidR="00480E88" w:rsidRDefault="00480E88" w:rsidP="0076280F">
      <w:pPr>
        <w:jc w:val="both"/>
        <w:rPr>
          <w:lang w:val="en-US"/>
        </w:rPr>
      </w:pPr>
      <w:r w:rsidRPr="00516FDA">
        <w:rPr>
          <w:lang w:val="en-US"/>
        </w:rPr>
        <w:t>In 2026, the ISC</w:t>
      </w:r>
      <w:r w:rsidRPr="00516FDA">
        <w:rPr>
          <w:rFonts w:ascii="Cambria Math" w:hAnsi="Cambria Math" w:cs="Cambria Math"/>
          <w:lang w:val="en-US"/>
        </w:rPr>
        <w:t>‑</w:t>
      </w:r>
      <w:r w:rsidRPr="00516FDA">
        <w:rPr>
          <w:lang w:val="en-US"/>
        </w:rPr>
        <w:t>TF will prioritize improved coordination of events, publications, and communication, with the objective of reinforcing the Union</w:t>
      </w:r>
      <w:r w:rsidRPr="00516FDA">
        <w:rPr>
          <w:rFonts w:cs="Calibri"/>
          <w:lang w:val="en-US"/>
        </w:rPr>
        <w:t>’</w:t>
      </w:r>
      <w:r w:rsidRPr="00516FDA">
        <w:rPr>
          <w:lang w:val="en-US"/>
        </w:rPr>
        <w:t>s institutional presence and overall impact.</w:t>
      </w:r>
    </w:p>
    <w:p w14:paraId="497CB8E8" w14:textId="1B55B532" w:rsidR="2E498F12" w:rsidRDefault="2E498F12" w:rsidP="29E976EB">
      <w:pPr>
        <w:jc w:val="both"/>
        <w:rPr>
          <w:lang w:val="en-US"/>
        </w:rPr>
      </w:pPr>
      <w:r w:rsidRPr="000B0CAF">
        <w:rPr>
          <w:b/>
          <w:bCs/>
          <w:lang w:val="en-US"/>
        </w:rPr>
        <w:t>Supporting strategic planning and organizational alignment:</w:t>
      </w:r>
      <w:r w:rsidRPr="29E976EB">
        <w:rPr>
          <w:lang w:val="en-US"/>
        </w:rPr>
        <w:t xml:space="preserve"> </w:t>
      </w:r>
    </w:p>
    <w:p w14:paraId="4A8C0C4D" w14:textId="01DD6CE2" w:rsidR="2E498F12" w:rsidRDefault="2E498F12" w:rsidP="29E976EB">
      <w:pPr>
        <w:jc w:val="both"/>
        <w:rPr>
          <w:lang w:val="en-US"/>
        </w:rPr>
      </w:pPr>
      <w:r w:rsidRPr="4F942476">
        <w:rPr>
          <w:lang w:val="en-US"/>
        </w:rPr>
        <w:t xml:space="preserve">An intersectoral Strategic and Financial Planning Working Group (SFP-WG), led by the Deputy Secretary-General, was established to coordinate the </w:t>
      </w:r>
      <w:r w:rsidR="000B0CAF">
        <w:rPr>
          <w:lang w:val="en-US"/>
        </w:rPr>
        <w:t>s</w:t>
      </w:r>
      <w:r w:rsidRPr="4F942476">
        <w:rPr>
          <w:lang w:val="en-US"/>
        </w:rPr>
        <w:t xml:space="preserve">ecretariat’s contributions to the development of the Strategic and Financial Plans for 2028-2031. This collaborative approach has enabled the </w:t>
      </w:r>
      <w:r w:rsidR="000B0CAF">
        <w:rPr>
          <w:lang w:val="en-US"/>
        </w:rPr>
        <w:t>s</w:t>
      </w:r>
      <w:r w:rsidRPr="4F942476">
        <w:rPr>
          <w:lang w:val="en-US"/>
        </w:rPr>
        <w:t xml:space="preserve">ecretariat to align sectoral perspectives and ensure coherence between the Bureaux and the General Secretariat in the preparation of the next planning cycle. </w:t>
      </w:r>
      <w:r w:rsidR="4E70E8A7" w:rsidRPr="4F942476">
        <w:rPr>
          <w:lang w:val="en-US"/>
        </w:rPr>
        <w:t xml:space="preserve">A project team </w:t>
      </w:r>
      <w:proofErr w:type="gramStart"/>
      <w:r w:rsidR="4E70E8A7" w:rsidRPr="4F942476">
        <w:rPr>
          <w:lang w:val="en-US"/>
        </w:rPr>
        <w:t>lead</w:t>
      </w:r>
      <w:proofErr w:type="gramEnd"/>
      <w:r w:rsidR="4E70E8A7" w:rsidRPr="4F942476">
        <w:rPr>
          <w:lang w:val="en-US"/>
        </w:rPr>
        <w:t xml:space="preserve"> by the Chief of Administration and </w:t>
      </w:r>
      <w:proofErr w:type="gramStart"/>
      <w:r w:rsidR="4E70E8A7" w:rsidRPr="4F942476">
        <w:rPr>
          <w:lang w:val="en-US"/>
        </w:rPr>
        <w:t>Finance,</w:t>
      </w:r>
      <w:proofErr w:type="gramEnd"/>
      <w:r w:rsidR="4E70E8A7" w:rsidRPr="4F942476">
        <w:rPr>
          <w:lang w:val="en-US"/>
        </w:rPr>
        <w:t xml:space="preserve"> is also coordinating the work across the Bureaux and the </w:t>
      </w:r>
      <w:r w:rsidR="2DF24982" w:rsidRPr="4F942476">
        <w:rPr>
          <w:lang w:val="en-US"/>
        </w:rPr>
        <w:t>General</w:t>
      </w:r>
      <w:r w:rsidR="4E70E8A7" w:rsidRPr="4F942476">
        <w:rPr>
          <w:lang w:val="en-US"/>
        </w:rPr>
        <w:t xml:space="preserve"> Secreta</w:t>
      </w:r>
      <w:r w:rsidR="746BC6E7" w:rsidRPr="4F942476">
        <w:rPr>
          <w:lang w:val="en-US"/>
        </w:rPr>
        <w:t xml:space="preserve">riat to assure the </w:t>
      </w:r>
      <w:proofErr w:type="gramStart"/>
      <w:r w:rsidR="746BC6E7" w:rsidRPr="4F942476">
        <w:rPr>
          <w:lang w:val="en-US"/>
        </w:rPr>
        <w:t>linkages</w:t>
      </w:r>
      <w:proofErr w:type="gramEnd"/>
      <w:r w:rsidR="746BC6E7" w:rsidRPr="4F942476">
        <w:rPr>
          <w:lang w:val="en-US"/>
        </w:rPr>
        <w:t xml:space="preserve"> between strategic, financial and operational plans.</w:t>
      </w:r>
    </w:p>
    <w:p w14:paraId="3B22E80C" w14:textId="10D4216E" w:rsidR="00480E88" w:rsidRPr="00F97729" w:rsidRDefault="00480E88" w:rsidP="00A86F76">
      <w:pPr>
        <w:pStyle w:val="Headingb"/>
        <w:rPr>
          <w:bCs/>
        </w:rPr>
      </w:pPr>
      <w:r w:rsidRPr="00F97729">
        <w:lastRenderedPageBreak/>
        <w:t xml:space="preserve">Coordination among the membership </w:t>
      </w:r>
      <w:r w:rsidR="00A86F76">
        <w:t>–</w:t>
      </w:r>
      <w:r w:rsidRPr="00F97729">
        <w:t xml:space="preserve"> Inter-Sector Coordination Group (ISCG)</w:t>
      </w:r>
    </w:p>
    <w:p w14:paraId="452CE20F" w14:textId="77777777" w:rsidR="00480E88" w:rsidRDefault="00480E88" w:rsidP="0076280F">
      <w:pPr>
        <w:jc w:val="both"/>
      </w:pPr>
      <w:r>
        <w:t>Membership coordination continues under the ISCG, chaired by Mr Fabio Bigi (Italy), as a contribution-driven group.</w:t>
      </w:r>
    </w:p>
    <w:p w14:paraId="65E94126" w14:textId="77777777" w:rsidR="00480E88" w:rsidRDefault="00480E88" w:rsidP="0076280F">
      <w:pPr>
        <w:jc w:val="both"/>
      </w:pPr>
      <w:r>
        <w:t>The ISCG continues to address the following topics:</w:t>
      </w:r>
    </w:p>
    <w:p w14:paraId="407537A1" w14:textId="7BFD9B7E" w:rsidR="00480E88" w:rsidRPr="008E6976" w:rsidRDefault="00432450" w:rsidP="003E271C">
      <w:pPr>
        <w:pStyle w:val="enumlev1"/>
        <w:jc w:val="both"/>
      </w:pPr>
      <w:r w:rsidRPr="0076280F">
        <w:rPr>
          <w:rFonts w:eastAsia="Calibri"/>
        </w:rPr>
        <w:t>–</w:t>
      </w:r>
      <w:r w:rsidRPr="0076280F">
        <w:rPr>
          <w:rFonts w:eastAsia="Calibri"/>
        </w:rPr>
        <w:tab/>
      </w:r>
      <w:r w:rsidR="00480E88" w:rsidRPr="005E5E48">
        <w:rPr>
          <w:b/>
          <w:bCs/>
        </w:rPr>
        <w:t>Accessibility:</w:t>
      </w:r>
      <w:r w:rsidR="00480E88" w:rsidRPr="008E6976">
        <w:t xml:space="preserve"> </w:t>
      </w:r>
      <w:r w:rsidR="00480E88">
        <w:t xml:space="preserve">The ISCG </w:t>
      </w:r>
      <w:r w:rsidR="00480E88" w:rsidRPr="00A96637">
        <w:t xml:space="preserve">has expressed interest in contributing to discussions related to the new building project and is closely following </w:t>
      </w:r>
      <w:r w:rsidR="00480E88" w:rsidRPr="003E271C">
        <w:rPr>
          <w:rFonts w:eastAsia="Calibri"/>
        </w:rPr>
        <w:t>developments</w:t>
      </w:r>
      <w:r w:rsidR="00480E88" w:rsidRPr="00A96637">
        <w:t xml:space="preserve"> </w:t>
      </w:r>
      <w:r w:rsidR="00480E88">
        <w:t xml:space="preserve">related to </w:t>
      </w:r>
      <w:r w:rsidR="00480E88" w:rsidRPr="00A96637">
        <w:t>the new ITU website</w:t>
      </w:r>
      <w:r w:rsidR="00480E88">
        <w:t>,</w:t>
      </w:r>
      <w:r w:rsidR="00480E88" w:rsidRPr="00A96637">
        <w:t xml:space="preserve"> to help ensure that both remain accessible to all users</w:t>
      </w:r>
      <w:r w:rsidR="00480E88">
        <w:t>.</w:t>
      </w:r>
    </w:p>
    <w:p w14:paraId="6BE3F9BF" w14:textId="7D213D80" w:rsidR="00480E88" w:rsidRPr="008E6976" w:rsidRDefault="00432450" w:rsidP="003E271C">
      <w:pPr>
        <w:pStyle w:val="enumlev1"/>
        <w:jc w:val="both"/>
      </w:pPr>
      <w:r w:rsidRPr="0076280F">
        <w:rPr>
          <w:rFonts w:eastAsia="Calibri"/>
        </w:rPr>
        <w:t>–</w:t>
      </w:r>
      <w:r w:rsidRPr="0076280F">
        <w:rPr>
          <w:rFonts w:eastAsia="Calibri"/>
        </w:rPr>
        <w:tab/>
      </w:r>
      <w:r w:rsidR="00480E88" w:rsidRPr="008E6976">
        <w:rPr>
          <w:b/>
          <w:bCs/>
        </w:rPr>
        <w:t>Climate change:</w:t>
      </w:r>
      <w:r w:rsidR="00480E88" w:rsidRPr="008E6976">
        <w:t xml:space="preserve"> Collaboration </w:t>
      </w:r>
      <w:r w:rsidR="00480E88" w:rsidRPr="003E271C">
        <w:rPr>
          <w:rFonts w:eastAsia="Calibri"/>
        </w:rPr>
        <w:t>across</w:t>
      </w:r>
      <w:r w:rsidR="00480E88" w:rsidRPr="008E6976">
        <w:t xml:space="preserve"> the three ITU Sectors continues to evolve. This is reflected on the </w:t>
      </w:r>
      <w:r w:rsidR="00480E88">
        <w:t xml:space="preserve">ITU </w:t>
      </w:r>
      <w:r w:rsidR="00480E88" w:rsidRPr="008E6976">
        <w:t xml:space="preserve">website under </w:t>
      </w:r>
      <w:r w:rsidR="00480E88">
        <w:t>“</w:t>
      </w:r>
      <w:hyperlink r:id="rId22" w:history="1">
        <w:r w:rsidR="00480E88" w:rsidRPr="000B0CAF">
          <w:rPr>
            <w:rStyle w:val="Hyperlink"/>
          </w:rPr>
          <w:t>Environment and climate change</w:t>
        </w:r>
      </w:hyperlink>
      <w:r w:rsidR="00480E88">
        <w:t>”</w:t>
      </w:r>
      <w:r w:rsidR="00480E88" w:rsidRPr="008E6976">
        <w:t>.</w:t>
      </w:r>
    </w:p>
    <w:p w14:paraId="23F1018F" w14:textId="75038835" w:rsidR="00480E88" w:rsidRPr="008E6976" w:rsidRDefault="00432450" w:rsidP="003E271C">
      <w:pPr>
        <w:pStyle w:val="enumlev1"/>
        <w:jc w:val="both"/>
      </w:pPr>
      <w:r w:rsidRPr="0076280F">
        <w:rPr>
          <w:rFonts w:eastAsia="Calibri"/>
        </w:rPr>
        <w:t>–</w:t>
      </w:r>
      <w:r w:rsidRPr="0076280F">
        <w:rPr>
          <w:rFonts w:eastAsia="Calibri"/>
        </w:rPr>
        <w:tab/>
      </w:r>
      <w:r w:rsidR="00480E88" w:rsidRPr="008E6976">
        <w:rPr>
          <w:b/>
          <w:bCs/>
        </w:rPr>
        <w:t>ITU website:</w:t>
      </w:r>
      <w:r w:rsidR="00480E88" w:rsidRPr="008E6976">
        <w:t xml:space="preserve"> </w:t>
      </w:r>
      <w:r w:rsidR="00480E88" w:rsidRPr="004F2039">
        <w:t xml:space="preserve">The ISCG has requested the </w:t>
      </w:r>
      <w:r w:rsidR="00032C53">
        <w:t>s</w:t>
      </w:r>
      <w:r w:rsidR="00480E88" w:rsidRPr="004F2039">
        <w:t xml:space="preserve">ecretariat to provide regular updates on the development of the new ITU website, and the </w:t>
      </w:r>
      <w:r w:rsidR="00032C53">
        <w:t>s</w:t>
      </w:r>
      <w:r w:rsidR="00480E88" w:rsidRPr="004F2039">
        <w:t xml:space="preserve">ecretariat continues to engage with members and gather their feedback. As noted </w:t>
      </w:r>
      <w:r w:rsidR="00480E88" w:rsidRPr="003E271C">
        <w:rPr>
          <w:rFonts w:eastAsia="Calibri"/>
        </w:rPr>
        <w:t>above</w:t>
      </w:r>
      <w:r w:rsidR="00480E88" w:rsidRPr="004F2039">
        <w:t xml:space="preserve">, the Accessibility Coordinator has expressed interest in being actively involved to ensure that the project appropriately </w:t>
      </w:r>
      <w:proofErr w:type="gramStart"/>
      <w:r w:rsidR="00480E88" w:rsidRPr="004F2039">
        <w:t>takes into account</w:t>
      </w:r>
      <w:proofErr w:type="gramEnd"/>
      <w:r w:rsidR="00480E88" w:rsidRPr="004F2039">
        <w:t xml:space="preserve"> the needs of persons with disabilities throughout the review process</w:t>
      </w:r>
      <w:r w:rsidR="00480E88" w:rsidRPr="008E6976">
        <w:t>.</w:t>
      </w:r>
    </w:p>
    <w:p w14:paraId="6FD59773" w14:textId="499D57D2" w:rsidR="00480E88" w:rsidRPr="008E6976" w:rsidRDefault="6CAAE4F2" w:rsidP="003E271C">
      <w:pPr>
        <w:pStyle w:val="enumlev1"/>
        <w:jc w:val="both"/>
      </w:pPr>
      <w:r w:rsidRPr="0CA6B8D0">
        <w:rPr>
          <w:rFonts w:eastAsia="Calibri"/>
        </w:rPr>
        <w:t>–</w:t>
      </w:r>
      <w:r w:rsidR="00432450">
        <w:tab/>
      </w:r>
      <w:r w:rsidR="07A50749" w:rsidRPr="0CA6B8D0">
        <w:rPr>
          <w:b/>
          <w:bCs/>
        </w:rPr>
        <w:t>Remote participation:</w:t>
      </w:r>
      <w:r w:rsidR="07A50749">
        <w:t xml:space="preserve"> The ISCG promotes alignment between ITU-T </w:t>
      </w:r>
      <w:hyperlink r:id="rId23">
        <w:r w:rsidR="07A50749" w:rsidRPr="0CA6B8D0">
          <w:rPr>
            <w:rStyle w:val="Hyperlink"/>
          </w:rPr>
          <w:t>A-series Supplement 4 “Guidelines for remote participation”</w:t>
        </w:r>
      </w:hyperlink>
      <w:r w:rsidR="07A50749">
        <w:t xml:space="preserve"> and the </w:t>
      </w:r>
      <w:r w:rsidR="26B96E5E">
        <w:t>“</w:t>
      </w:r>
      <w:hyperlink r:id="rId24">
        <w:r w:rsidR="07A50749" w:rsidRPr="0CA6B8D0">
          <w:rPr>
            <w:rStyle w:val="Hyperlink"/>
          </w:rPr>
          <w:t>Guidelines on the management of fully virtual meetings and physical meetings with remote participation</w:t>
        </w:r>
        <w:r w:rsidR="26B96E5E">
          <w:t>”</w:t>
        </w:r>
      </w:hyperlink>
      <w:r w:rsidR="07A50749">
        <w:t>, in accordance with</w:t>
      </w:r>
      <w:r w:rsidR="26B96E5E">
        <w:t xml:space="preserve"> Resolution </w:t>
      </w:r>
      <w:hyperlink r:id="rId25">
        <w:r w:rsidR="07A50749" w:rsidRPr="0CA6B8D0">
          <w:rPr>
            <w:rStyle w:val="Hyperlink"/>
          </w:rPr>
          <w:t>167 (Rev. Bucharest, 2022)</w:t>
        </w:r>
      </w:hyperlink>
      <w:r w:rsidR="00480E88">
        <w:t xml:space="preserve"> of the </w:t>
      </w:r>
      <w:r w:rsidR="00480E88" w:rsidRPr="007C5341">
        <w:t>Plenipotentiary Conference</w:t>
      </w:r>
      <w:r w:rsidR="00480E88" w:rsidRPr="008E6976">
        <w:t>.</w:t>
      </w:r>
      <w:r w:rsidR="00480E88">
        <w:t xml:space="preserve"> </w:t>
      </w:r>
      <w:r w:rsidR="00480E88" w:rsidRPr="00291846">
        <w:t xml:space="preserve">The ISCG has also highlighted the need to review </w:t>
      </w:r>
      <w:r w:rsidR="00480E88">
        <w:t xml:space="preserve">and update </w:t>
      </w:r>
      <w:r w:rsidR="00480E88" w:rsidRPr="003E271C">
        <w:rPr>
          <w:rFonts w:eastAsia="Calibri"/>
        </w:rPr>
        <w:t>members’</w:t>
      </w:r>
      <w:r w:rsidR="00480E88" w:rsidRPr="00291846">
        <w:t xml:space="preserve"> rights when attending meetings online</w:t>
      </w:r>
      <w:r w:rsidR="00480E88">
        <w:t>.</w:t>
      </w:r>
    </w:p>
    <w:p w14:paraId="70200212" w14:textId="555CC344" w:rsidR="00480E88" w:rsidRPr="008E6976" w:rsidRDefault="00432450" w:rsidP="003E271C">
      <w:pPr>
        <w:pStyle w:val="enumlev1"/>
        <w:jc w:val="both"/>
      </w:pPr>
      <w:r w:rsidRPr="0076280F">
        <w:rPr>
          <w:rFonts w:eastAsia="Calibri"/>
        </w:rPr>
        <w:t>–</w:t>
      </w:r>
      <w:r w:rsidRPr="0076280F">
        <w:rPr>
          <w:rFonts w:eastAsia="Calibri"/>
        </w:rPr>
        <w:tab/>
      </w:r>
      <w:r w:rsidR="00480E88" w:rsidRPr="008E6976">
        <w:rPr>
          <w:b/>
          <w:bCs/>
        </w:rPr>
        <w:t xml:space="preserve">Sustainable digital transformation: </w:t>
      </w:r>
      <w:r w:rsidR="00480E88" w:rsidRPr="0013405A">
        <w:t>The ISCG continues to encourage stronger coordination of related activities across the three Sectors. A Rapporteur Group on Sustainable Digital Transformation (RG</w:t>
      </w:r>
      <w:r w:rsidR="00480E88" w:rsidRPr="0013405A">
        <w:rPr>
          <w:rFonts w:ascii="Cambria Math" w:hAnsi="Cambria Math" w:cs="Cambria Math"/>
        </w:rPr>
        <w:t>‑</w:t>
      </w:r>
      <w:r w:rsidR="00480E88" w:rsidRPr="0013405A">
        <w:t>DT) was approved as part of the Telecommunication Standardization Advisory Group (TSAG) structure for the 2025</w:t>
      </w:r>
      <w:r w:rsidR="00A86F76">
        <w:rPr>
          <w:rFonts w:cs="Calibri"/>
        </w:rPr>
        <w:t>-</w:t>
      </w:r>
      <w:r w:rsidR="00480E88" w:rsidRPr="0013405A">
        <w:t>2028 study period and has already engaged with the ISCG to request inputs from the other Sectors</w:t>
      </w:r>
      <w:r w:rsidR="00480E88">
        <w:t xml:space="preserve"> (see </w:t>
      </w:r>
      <w:r w:rsidR="00A86F76">
        <w:t xml:space="preserve">Document </w:t>
      </w:r>
      <w:hyperlink r:id="rId26" w:history="1">
        <w:r w:rsidR="00480E88" w:rsidRPr="000B0CAF">
          <w:rPr>
            <w:rStyle w:val="Hyperlink"/>
            <w:rFonts w:cs="Calibri"/>
            <w:lang w:eastAsia="en-GB"/>
          </w:rPr>
          <w:t>ISCG/26-1/8</w:t>
        </w:r>
      </w:hyperlink>
      <w:r w:rsidR="00480E88" w:rsidRPr="008E6976">
        <w:t>).</w:t>
      </w:r>
    </w:p>
    <w:p w14:paraId="6D857F87" w14:textId="77777777" w:rsidR="00480E88" w:rsidRPr="008E6976" w:rsidRDefault="00480E88" w:rsidP="0076280F">
      <w:r w:rsidRPr="008E6976">
        <w:t xml:space="preserve">The ISCG has </w:t>
      </w:r>
      <w:r>
        <w:t xml:space="preserve">also initiated </w:t>
      </w:r>
      <w:r w:rsidRPr="008E6976">
        <w:t>work on the following topic</w:t>
      </w:r>
      <w:r>
        <w:t>s</w:t>
      </w:r>
      <w:r w:rsidRPr="008E6976">
        <w:t>:</w:t>
      </w:r>
    </w:p>
    <w:p w14:paraId="357A3DCD" w14:textId="3218FF12" w:rsidR="00480E88" w:rsidRPr="008E6976" w:rsidRDefault="00432450" w:rsidP="003E271C">
      <w:pPr>
        <w:pStyle w:val="enumlev1"/>
        <w:jc w:val="both"/>
      </w:pPr>
      <w:r w:rsidRPr="0076280F">
        <w:rPr>
          <w:rFonts w:eastAsia="Calibri"/>
        </w:rPr>
        <w:t>–</w:t>
      </w:r>
      <w:r w:rsidRPr="0076280F">
        <w:rPr>
          <w:rFonts w:eastAsia="Calibri"/>
        </w:rPr>
        <w:tab/>
      </w:r>
      <w:r w:rsidR="00480E88" w:rsidRPr="008E6976">
        <w:rPr>
          <w:b/>
          <w:bCs/>
        </w:rPr>
        <w:t xml:space="preserve">Industry engagement: </w:t>
      </w:r>
      <w:r w:rsidR="00480E88" w:rsidRPr="00767B39">
        <w:t>ITU</w:t>
      </w:r>
      <w:r w:rsidR="00480E88" w:rsidRPr="00767B39">
        <w:rPr>
          <w:rFonts w:ascii="Cambria Math" w:hAnsi="Cambria Math" w:cs="Cambria Math"/>
        </w:rPr>
        <w:t>‑</w:t>
      </w:r>
      <w:r w:rsidR="00480E88" w:rsidRPr="00767B39">
        <w:t>T</w:t>
      </w:r>
      <w:r w:rsidR="00480E88" w:rsidRPr="00767B39">
        <w:rPr>
          <w:rFonts w:cs="Calibri"/>
        </w:rPr>
        <w:t>’</w:t>
      </w:r>
      <w:r w:rsidR="00480E88" w:rsidRPr="00767B39">
        <w:t xml:space="preserve">s industry engagement efforts were presented at the most recent ISCG meeting, highlighting ongoing </w:t>
      </w:r>
      <w:r w:rsidR="00480E88" w:rsidRPr="003E271C">
        <w:rPr>
          <w:rFonts w:eastAsia="Calibri"/>
        </w:rPr>
        <w:t>initiatives</w:t>
      </w:r>
      <w:r w:rsidR="00480E88" w:rsidRPr="00767B39">
        <w:t xml:space="preserve"> to build on the success of the 2024 Industry Engagement Workshop</w:t>
      </w:r>
      <w:r w:rsidR="00480E88" w:rsidRPr="008E6976">
        <w:t>.</w:t>
      </w:r>
    </w:p>
    <w:p w14:paraId="2DA1C0B5" w14:textId="275E8E15" w:rsidR="00480E88" w:rsidRPr="008E6976" w:rsidRDefault="00432450" w:rsidP="003E271C">
      <w:pPr>
        <w:pStyle w:val="enumlev1"/>
        <w:jc w:val="both"/>
        <w:rPr>
          <w:b/>
          <w:bCs/>
        </w:rPr>
      </w:pPr>
      <w:r w:rsidRPr="0076280F">
        <w:rPr>
          <w:rFonts w:eastAsia="Calibri"/>
        </w:rPr>
        <w:t>–</w:t>
      </w:r>
      <w:r w:rsidRPr="0076280F">
        <w:rPr>
          <w:rFonts w:eastAsia="Calibri"/>
        </w:rPr>
        <w:tab/>
      </w:r>
      <w:r w:rsidR="00480E88" w:rsidRPr="008E6976">
        <w:rPr>
          <w:b/>
          <w:bCs/>
        </w:rPr>
        <w:t xml:space="preserve">Rapporteur Group on streamlining resolutions: </w:t>
      </w:r>
      <w:r w:rsidR="00480E88" w:rsidRPr="00DC6ABD">
        <w:t xml:space="preserve">This Rapporteur Group was approved at the last ISCG meeting in 2025. The Rapporteur </w:t>
      </w:r>
      <w:r w:rsidR="00480E88" w:rsidRPr="003E271C">
        <w:rPr>
          <w:rFonts w:eastAsia="Calibri"/>
        </w:rPr>
        <w:t>has</w:t>
      </w:r>
      <w:r w:rsidR="00480E88" w:rsidRPr="00DC6ABD">
        <w:t xml:space="preserve"> already submitted two proposals to streamline </w:t>
      </w:r>
      <w:r w:rsidR="00480E88" w:rsidRPr="008E6976">
        <w:t xml:space="preserve">Resolution 154 (Rev. Bucharest, 2022), </w:t>
      </w:r>
      <w:r w:rsidR="00480E88">
        <w:t>presented</w:t>
      </w:r>
      <w:r w:rsidR="00480E88" w:rsidRPr="008E6976">
        <w:t xml:space="preserve"> in Document </w:t>
      </w:r>
      <w:hyperlink r:id="rId27" w:history="1">
        <w:r w:rsidR="00480E88" w:rsidRPr="000B0CAF">
          <w:rPr>
            <w:rStyle w:val="Hyperlink"/>
            <w:rFonts w:cs="Calibri"/>
            <w:lang w:eastAsia="en-GB"/>
          </w:rPr>
          <w:t>ISCG/26-1/7</w:t>
        </w:r>
      </w:hyperlink>
      <w:r w:rsidR="00D910AD">
        <w:t>,</w:t>
      </w:r>
      <w:r w:rsidR="00480E88" w:rsidRPr="008E6976">
        <w:t xml:space="preserve"> </w:t>
      </w:r>
      <w:r w:rsidR="00480E88" w:rsidRPr="00D910AD">
        <w:t>Addendum 1, and Resolution 191 (Rev. Bucharest, 2022), contained in Addendum</w:t>
      </w:r>
      <w:r w:rsidR="00D910AD">
        <w:t> </w:t>
      </w:r>
      <w:r w:rsidR="00480E88" w:rsidRPr="00D910AD">
        <w:t>2. The ISCG considered and</w:t>
      </w:r>
      <w:r w:rsidR="00480E88" w:rsidRPr="008E6976">
        <w:t xml:space="preserve"> supported both proposals.</w:t>
      </w:r>
    </w:p>
    <w:p w14:paraId="659876D0" w14:textId="77777777" w:rsidR="00480E88" w:rsidRDefault="00480E88" w:rsidP="0076280F">
      <w:pPr>
        <w:jc w:val="both"/>
      </w:pPr>
      <w:r>
        <w:t>At its last meeting, the ISCG agreed to include “efficiencies” as a potential new theme, intended to facilitate the sharing of best practices that are already generating organizational efficiencies across the Union.</w:t>
      </w:r>
    </w:p>
    <w:p w14:paraId="62F7FD94" w14:textId="2647DB0A" w:rsidR="00480E88" w:rsidRDefault="00480E88" w:rsidP="0076280F">
      <w:pPr>
        <w:jc w:val="both"/>
      </w:pPr>
      <w:r>
        <w:t xml:space="preserve">Outcome reports and calls for action continue to be presented regularly to the Sector Advisory Groups and to the Council Working Group on </w:t>
      </w:r>
      <w:r w:rsidR="00D910AD">
        <w:t xml:space="preserve">financial and human resources </w:t>
      </w:r>
      <w:r>
        <w:t>(CWG</w:t>
      </w:r>
      <w:r>
        <w:rPr>
          <w:rFonts w:ascii="Cambria Math" w:hAnsi="Cambria Math" w:cs="Cambria Math"/>
        </w:rPr>
        <w:t>‑</w:t>
      </w:r>
      <w:r>
        <w:t>FHR).</w:t>
      </w:r>
    </w:p>
    <w:p w14:paraId="37355E2E" w14:textId="77777777" w:rsidR="00480E88" w:rsidRDefault="00480E88" w:rsidP="0076280F">
      <w:pPr>
        <w:jc w:val="both"/>
      </w:pPr>
      <w:r>
        <w:t>The ISCG reiterates that its work is membership</w:t>
      </w:r>
      <w:r>
        <w:rPr>
          <w:rFonts w:ascii="Cambria Math" w:hAnsi="Cambria Math" w:cs="Cambria Math"/>
        </w:rPr>
        <w:t>‑</w:t>
      </w:r>
      <w:r>
        <w:t xml:space="preserve">driven and led by coordinators nominated by the Sector Advisory Groups for each theme. Member States and Sector Members are </w:t>
      </w:r>
      <w:r>
        <w:lastRenderedPageBreak/>
        <w:t>encouraged to submit contributions on themes they believe would benefit from an intersectoral approach.</w:t>
      </w:r>
    </w:p>
    <w:p w14:paraId="3FBDB32E" w14:textId="6337B53D" w:rsidR="00480E88" w:rsidRDefault="00480E88" w:rsidP="0076280F">
      <w:pPr>
        <w:jc w:val="both"/>
      </w:pPr>
      <w:r>
        <w:t>For the cycle to begin after PP</w:t>
      </w:r>
      <w:r>
        <w:rPr>
          <w:rFonts w:ascii="Cambria Math" w:hAnsi="Cambria Math" w:cs="Cambria Math"/>
        </w:rPr>
        <w:t>‑</w:t>
      </w:r>
      <w:r>
        <w:t>26, the ISCG proposes to have a stand</w:t>
      </w:r>
      <w:r>
        <w:rPr>
          <w:rFonts w:ascii="Cambria Math" w:hAnsi="Cambria Math" w:cs="Cambria Math"/>
        </w:rPr>
        <w:t>‑</w:t>
      </w:r>
      <w:r>
        <w:t>alone report, to be presented to the Council</w:t>
      </w:r>
      <w:r w:rsidR="002E7209">
        <w:t>’s</w:t>
      </w:r>
      <w:r>
        <w:t xml:space="preserve"> </w:t>
      </w:r>
      <w:r w:rsidR="00741E02">
        <w:t>Sta</w:t>
      </w:r>
      <w:r w:rsidR="002E7209">
        <w:t xml:space="preserve">nding Committee on </w:t>
      </w:r>
      <w:r>
        <w:t>Administration on an annual basis.</w:t>
      </w:r>
    </w:p>
    <w:p w14:paraId="23A5BB90" w14:textId="77777777" w:rsidR="00480E88" w:rsidRDefault="00480E88" w:rsidP="0076280F">
      <w:pPr>
        <w:jc w:val="both"/>
      </w:pPr>
      <w:r>
        <w:t xml:space="preserve">Further information on the ISCG, including meeting reports and documents under discussion, is available on the </w:t>
      </w:r>
      <w:hyperlink r:id="rId28" w:history="1">
        <w:r w:rsidRPr="00B24F62">
          <w:rPr>
            <w:rStyle w:val="Hyperlink"/>
          </w:rPr>
          <w:t>ISCG webpage</w:t>
        </w:r>
      </w:hyperlink>
      <w:r w:rsidRPr="008E6976">
        <w:t>.</w:t>
      </w:r>
    </w:p>
    <w:p w14:paraId="0C91CA94" w14:textId="77777777" w:rsidR="00D910AD" w:rsidRDefault="00D910AD" w:rsidP="0076280F">
      <w:pPr>
        <w:jc w:val="both"/>
      </w:pPr>
    </w:p>
    <w:p w14:paraId="6A020382" w14:textId="579253CD" w:rsidR="007A3FCD" w:rsidRPr="00C0458D" w:rsidRDefault="007A3FCD" w:rsidP="00480E88">
      <w:pPr>
        <w:jc w:val="center"/>
      </w:pPr>
      <w:r>
        <w:t>______________</w:t>
      </w:r>
    </w:p>
    <w:sectPr w:rsidR="007A3FCD" w:rsidRPr="00C0458D" w:rsidSect="00AD3606">
      <w:footerReference w:type="default" r:id="rId29"/>
      <w:headerReference w:type="first" r:id="rId30"/>
      <w:footerReference w:type="first" r:id="rId31"/>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3E351" w14:textId="77777777" w:rsidR="00B230F9" w:rsidRDefault="00B230F9">
      <w:r>
        <w:separator/>
      </w:r>
    </w:p>
  </w:endnote>
  <w:endnote w:type="continuationSeparator" w:id="0">
    <w:p w14:paraId="1C97F625" w14:textId="77777777" w:rsidR="00B230F9" w:rsidRDefault="00B23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1F6FE97C" w14:textId="77777777">
      <w:trPr>
        <w:jc w:val="center"/>
      </w:trPr>
      <w:tc>
        <w:tcPr>
          <w:tcW w:w="1803" w:type="dxa"/>
          <w:vAlign w:val="center"/>
        </w:tcPr>
        <w:p w14:paraId="47351DB3" w14:textId="77777777" w:rsidR="00EE49E8" w:rsidRDefault="00C6520B" w:rsidP="00EE49E8">
          <w:pPr>
            <w:pStyle w:val="Header"/>
            <w:jc w:val="left"/>
            <w:rPr>
              <w:noProof/>
            </w:rPr>
          </w:pPr>
          <w:r>
            <w:rPr>
              <w:noProof/>
            </w:rPr>
            <w:t>gDoc #</w:t>
          </w:r>
        </w:p>
      </w:tc>
      <w:tc>
        <w:tcPr>
          <w:tcW w:w="8261" w:type="dxa"/>
        </w:tcPr>
        <w:p w14:paraId="5BC13DE2" w14:textId="05CF53F6" w:rsidR="00EE49E8" w:rsidRPr="00E06FD5" w:rsidRDefault="00EE49E8" w:rsidP="001F5569">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DE532B">
            <w:rPr>
              <w:bCs/>
            </w:rPr>
            <w:t>6</w:t>
          </w:r>
          <w:r w:rsidRPr="00623AE3">
            <w:rPr>
              <w:bCs/>
            </w:rPr>
            <w:t>/</w:t>
          </w:r>
          <w:r w:rsidR="00480E88">
            <w:rPr>
              <w:bCs/>
            </w:rPr>
            <w:t>27</w:t>
          </w:r>
          <w:r w:rsidRPr="00623AE3">
            <w:rPr>
              <w:bCs/>
            </w:rPr>
            <w:t>-E</w:t>
          </w:r>
          <w:r>
            <w:rPr>
              <w:bCs/>
            </w:rPr>
            <w:tab/>
          </w:r>
          <w:r>
            <w:fldChar w:fldCharType="begin"/>
          </w:r>
          <w:r>
            <w:instrText>PAGE</w:instrText>
          </w:r>
          <w:r>
            <w:fldChar w:fldCharType="separate"/>
          </w:r>
          <w:r>
            <w:t>1</w:t>
          </w:r>
          <w:r>
            <w:rPr>
              <w:noProof/>
            </w:rPr>
            <w:fldChar w:fldCharType="end"/>
          </w:r>
        </w:p>
      </w:tc>
    </w:tr>
  </w:tbl>
  <w:p w14:paraId="235D007B"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3"/>
      <w:gridCol w:w="8261"/>
    </w:tblGrid>
    <w:tr w:rsidR="00EE49E8" w:rsidRPr="00784011" w14:paraId="7303017B" w14:textId="77777777" w:rsidTr="006B77F1">
      <w:trPr>
        <w:jc w:val="center"/>
      </w:trPr>
      <w:tc>
        <w:tcPr>
          <w:tcW w:w="1803" w:type="dxa"/>
          <w:vAlign w:val="center"/>
        </w:tcPr>
        <w:p w14:paraId="7377FB73" w14:textId="77777777" w:rsidR="00EE49E8" w:rsidRPr="006B77F1" w:rsidRDefault="00DE532B" w:rsidP="00EE49E8">
          <w:pPr>
            <w:pStyle w:val="Header"/>
            <w:jc w:val="left"/>
            <w:rPr>
              <w:noProof/>
            </w:rPr>
          </w:pPr>
          <w:hyperlink r:id="rId1" w:history="1">
            <w:r>
              <w:rPr>
                <w:rStyle w:val="Hyperlink"/>
                <w:u w:val="none"/>
              </w:rPr>
              <w:t>council.itu.int/2026</w:t>
            </w:r>
          </w:hyperlink>
        </w:p>
      </w:tc>
      <w:tc>
        <w:tcPr>
          <w:tcW w:w="8261" w:type="dxa"/>
        </w:tcPr>
        <w:p w14:paraId="5CF66163" w14:textId="6B251615" w:rsidR="00EE49E8" w:rsidRPr="00E06FD5" w:rsidRDefault="00EE49E8" w:rsidP="001F5569">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DE532B">
            <w:rPr>
              <w:bCs/>
            </w:rPr>
            <w:t>6</w:t>
          </w:r>
          <w:r w:rsidRPr="00623AE3">
            <w:rPr>
              <w:bCs/>
            </w:rPr>
            <w:t>/</w:t>
          </w:r>
          <w:r w:rsidR="00480E88">
            <w:rPr>
              <w:bCs/>
            </w:rPr>
            <w:t>27</w:t>
          </w:r>
          <w:r w:rsidRPr="00623AE3">
            <w:rPr>
              <w:bCs/>
            </w:rPr>
            <w:t>-E</w:t>
          </w:r>
          <w:r>
            <w:rPr>
              <w:bCs/>
            </w:rPr>
            <w:tab/>
          </w:r>
          <w:r>
            <w:fldChar w:fldCharType="begin"/>
          </w:r>
          <w:r>
            <w:instrText>PAGE</w:instrText>
          </w:r>
          <w:r>
            <w:fldChar w:fldCharType="separate"/>
          </w:r>
          <w:r>
            <w:t>1</w:t>
          </w:r>
          <w:r>
            <w:rPr>
              <w:noProof/>
            </w:rPr>
            <w:fldChar w:fldCharType="end"/>
          </w:r>
        </w:p>
      </w:tc>
    </w:tr>
  </w:tbl>
  <w:p w14:paraId="555CC8D0"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C14D0" w14:textId="77777777" w:rsidR="00B230F9" w:rsidRDefault="00B230F9">
      <w:r>
        <w:t>____________________</w:t>
      </w:r>
    </w:p>
  </w:footnote>
  <w:footnote w:type="continuationSeparator" w:id="0">
    <w:p w14:paraId="0330C2E1" w14:textId="77777777" w:rsidR="00B230F9" w:rsidRDefault="00B230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79F6D" w14:textId="77777777" w:rsidR="00AD3606" w:rsidRPr="00512087" w:rsidRDefault="00512087" w:rsidP="0049369C">
    <w:pPr>
      <w:pStyle w:val="Header"/>
    </w:pPr>
    <w:r>
      <w:rPr>
        <w:noProof/>
      </w:rPr>
      <w:drawing>
        <wp:inline distT="0" distB="0" distL="0" distR="0" wp14:anchorId="5B4FCA86" wp14:editId="1FAECDCE">
          <wp:extent cx="5760085" cy="840740"/>
          <wp:effectExtent l="0" t="0" r="0" b="0"/>
          <wp:docPr id="9987911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791133" name="Picture 998791133"/>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num w:numId="1" w16cid:durableId="1374816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DCD"/>
    <w:rsid w:val="00016A3F"/>
    <w:rsid w:val="000210D4"/>
    <w:rsid w:val="00032C53"/>
    <w:rsid w:val="0006007D"/>
    <w:rsid w:val="00063016"/>
    <w:rsid w:val="00066795"/>
    <w:rsid w:val="00076AF6"/>
    <w:rsid w:val="00085CF2"/>
    <w:rsid w:val="00090253"/>
    <w:rsid w:val="00092111"/>
    <w:rsid w:val="000B0CAF"/>
    <w:rsid w:val="000B1705"/>
    <w:rsid w:val="000D06A8"/>
    <w:rsid w:val="000D75B2"/>
    <w:rsid w:val="000E02B8"/>
    <w:rsid w:val="000E23A4"/>
    <w:rsid w:val="000E372C"/>
    <w:rsid w:val="000F1CF5"/>
    <w:rsid w:val="000F3B13"/>
    <w:rsid w:val="000F5DDB"/>
    <w:rsid w:val="001121F5"/>
    <w:rsid w:val="001400DC"/>
    <w:rsid w:val="00140CE1"/>
    <w:rsid w:val="0015189A"/>
    <w:rsid w:val="001726F9"/>
    <w:rsid w:val="0017539C"/>
    <w:rsid w:val="00175AC2"/>
    <w:rsid w:val="0017609F"/>
    <w:rsid w:val="00176F47"/>
    <w:rsid w:val="001A3154"/>
    <w:rsid w:val="001A7D1D"/>
    <w:rsid w:val="001B51DD"/>
    <w:rsid w:val="001C628E"/>
    <w:rsid w:val="001E0F7B"/>
    <w:rsid w:val="001E34EA"/>
    <w:rsid w:val="001E4C5A"/>
    <w:rsid w:val="001F5569"/>
    <w:rsid w:val="0020487B"/>
    <w:rsid w:val="002119FD"/>
    <w:rsid w:val="002130E0"/>
    <w:rsid w:val="00214A5B"/>
    <w:rsid w:val="002161DC"/>
    <w:rsid w:val="002209EA"/>
    <w:rsid w:val="00221F46"/>
    <w:rsid w:val="00222335"/>
    <w:rsid w:val="00264425"/>
    <w:rsid w:val="00265875"/>
    <w:rsid w:val="0027303B"/>
    <w:rsid w:val="00277DEA"/>
    <w:rsid w:val="0028109B"/>
    <w:rsid w:val="002916B4"/>
    <w:rsid w:val="002A0615"/>
    <w:rsid w:val="002A133E"/>
    <w:rsid w:val="002A2188"/>
    <w:rsid w:val="002B1F58"/>
    <w:rsid w:val="002C1C7A"/>
    <w:rsid w:val="002C3F32"/>
    <w:rsid w:val="002C54E2"/>
    <w:rsid w:val="002D72A8"/>
    <w:rsid w:val="002E7209"/>
    <w:rsid w:val="0030160F"/>
    <w:rsid w:val="00320223"/>
    <w:rsid w:val="00322D0D"/>
    <w:rsid w:val="00361465"/>
    <w:rsid w:val="00367141"/>
    <w:rsid w:val="003877F5"/>
    <w:rsid w:val="003936D3"/>
    <w:rsid w:val="003942D4"/>
    <w:rsid w:val="003958A8"/>
    <w:rsid w:val="003B29C2"/>
    <w:rsid w:val="003B4FAF"/>
    <w:rsid w:val="003C2533"/>
    <w:rsid w:val="003D3412"/>
    <w:rsid w:val="003D5A7F"/>
    <w:rsid w:val="003E271C"/>
    <w:rsid w:val="003F0228"/>
    <w:rsid w:val="0040435A"/>
    <w:rsid w:val="00416A24"/>
    <w:rsid w:val="00431D9E"/>
    <w:rsid w:val="00432450"/>
    <w:rsid w:val="00433CE8"/>
    <w:rsid w:val="00434A5C"/>
    <w:rsid w:val="00453079"/>
    <w:rsid w:val="004544D9"/>
    <w:rsid w:val="00465C35"/>
    <w:rsid w:val="00472BAD"/>
    <w:rsid w:val="00480E88"/>
    <w:rsid w:val="00484009"/>
    <w:rsid w:val="00490E72"/>
    <w:rsid w:val="00491157"/>
    <w:rsid w:val="00491BA9"/>
    <w:rsid w:val="004921C8"/>
    <w:rsid w:val="0049369C"/>
    <w:rsid w:val="00495615"/>
    <w:rsid w:val="00495B0B"/>
    <w:rsid w:val="004A1B8B"/>
    <w:rsid w:val="004A2AF0"/>
    <w:rsid w:val="004D1851"/>
    <w:rsid w:val="004D599D"/>
    <w:rsid w:val="004E2EA5"/>
    <w:rsid w:val="004E3AEB"/>
    <w:rsid w:val="004F72E2"/>
    <w:rsid w:val="0050223C"/>
    <w:rsid w:val="00512087"/>
    <w:rsid w:val="00514F59"/>
    <w:rsid w:val="005243FF"/>
    <w:rsid w:val="005373C0"/>
    <w:rsid w:val="00555F21"/>
    <w:rsid w:val="00562958"/>
    <w:rsid w:val="00564FBC"/>
    <w:rsid w:val="00567D96"/>
    <w:rsid w:val="0057426A"/>
    <w:rsid w:val="005800BC"/>
    <w:rsid w:val="00582442"/>
    <w:rsid w:val="00585098"/>
    <w:rsid w:val="005B6DCE"/>
    <w:rsid w:val="005B7680"/>
    <w:rsid w:val="005E3D89"/>
    <w:rsid w:val="005F2F7C"/>
    <w:rsid w:val="005F3269"/>
    <w:rsid w:val="0061071E"/>
    <w:rsid w:val="0061339B"/>
    <w:rsid w:val="00623AE3"/>
    <w:rsid w:val="0064737F"/>
    <w:rsid w:val="006535F1"/>
    <w:rsid w:val="0065557D"/>
    <w:rsid w:val="00657DC9"/>
    <w:rsid w:val="00660D50"/>
    <w:rsid w:val="00662984"/>
    <w:rsid w:val="006716BB"/>
    <w:rsid w:val="00697DCD"/>
    <w:rsid w:val="006A2F4B"/>
    <w:rsid w:val="006B1859"/>
    <w:rsid w:val="006B6680"/>
    <w:rsid w:val="006B6DCC"/>
    <w:rsid w:val="006B77F1"/>
    <w:rsid w:val="006F11DE"/>
    <w:rsid w:val="00702D23"/>
    <w:rsid w:val="00702DEF"/>
    <w:rsid w:val="00706861"/>
    <w:rsid w:val="00720631"/>
    <w:rsid w:val="00722551"/>
    <w:rsid w:val="00740B01"/>
    <w:rsid w:val="00741E02"/>
    <w:rsid w:val="0075051B"/>
    <w:rsid w:val="00757EE3"/>
    <w:rsid w:val="0076280F"/>
    <w:rsid w:val="007636E4"/>
    <w:rsid w:val="00765C89"/>
    <w:rsid w:val="00767989"/>
    <w:rsid w:val="0077110E"/>
    <w:rsid w:val="00793188"/>
    <w:rsid w:val="00794D34"/>
    <w:rsid w:val="007A3FCD"/>
    <w:rsid w:val="007B19CF"/>
    <w:rsid w:val="007D01AF"/>
    <w:rsid w:val="007D3895"/>
    <w:rsid w:val="00800424"/>
    <w:rsid w:val="00803A81"/>
    <w:rsid w:val="00813E5E"/>
    <w:rsid w:val="00815E4D"/>
    <w:rsid w:val="00820ED8"/>
    <w:rsid w:val="0083581B"/>
    <w:rsid w:val="0084546D"/>
    <w:rsid w:val="00863874"/>
    <w:rsid w:val="00864AFF"/>
    <w:rsid w:val="00865925"/>
    <w:rsid w:val="00866E85"/>
    <w:rsid w:val="00874C2F"/>
    <w:rsid w:val="008B0428"/>
    <w:rsid w:val="008B4A6A"/>
    <w:rsid w:val="008C7E27"/>
    <w:rsid w:val="008F7448"/>
    <w:rsid w:val="0090147A"/>
    <w:rsid w:val="009173EF"/>
    <w:rsid w:val="00932906"/>
    <w:rsid w:val="00954C49"/>
    <w:rsid w:val="00955293"/>
    <w:rsid w:val="00961B0B"/>
    <w:rsid w:val="00962D33"/>
    <w:rsid w:val="009842A1"/>
    <w:rsid w:val="009A76A8"/>
    <w:rsid w:val="009B38C3"/>
    <w:rsid w:val="009D5D71"/>
    <w:rsid w:val="009E17BD"/>
    <w:rsid w:val="009E485A"/>
    <w:rsid w:val="009E5D73"/>
    <w:rsid w:val="009F4425"/>
    <w:rsid w:val="00A04CEC"/>
    <w:rsid w:val="00A109AF"/>
    <w:rsid w:val="00A14359"/>
    <w:rsid w:val="00A27F92"/>
    <w:rsid w:val="00A32257"/>
    <w:rsid w:val="00A36D20"/>
    <w:rsid w:val="00A514A4"/>
    <w:rsid w:val="00A52DC9"/>
    <w:rsid w:val="00A55622"/>
    <w:rsid w:val="00A83502"/>
    <w:rsid w:val="00A86F76"/>
    <w:rsid w:val="00A94BAB"/>
    <w:rsid w:val="00AA2204"/>
    <w:rsid w:val="00AD15B3"/>
    <w:rsid w:val="00AD3606"/>
    <w:rsid w:val="00AD41A5"/>
    <w:rsid w:val="00AD4A3D"/>
    <w:rsid w:val="00AF6E49"/>
    <w:rsid w:val="00B04A67"/>
    <w:rsid w:val="00B0583C"/>
    <w:rsid w:val="00B21C33"/>
    <w:rsid w:val="00B230F9"/>
    <w:rsid w:val="00B40A81"/>
    <w:rsid w:val="00B44910"/>
    <w:rsid w:val="00B5341B"/>
    <w:rsid w:val="00B60898"/>
    <w:rsid w:val="00B72267"/>
    <w:rsid w:val="00B76EB6"/>
    <w:rsid w:val="00B7737B"/>
    <w:rsid w:val="00B824C8"/>
    <w:rsid w:val="00B84B9D"/>
    <w:rsid w:val="00B9131F"/>
    <w:rsid w:val="00B926D7"/>
    <w:rsid w:val="00BA2806"/>
    <w:rsid w:val="00BB0646"/>
    <w:rsid w:val="00BC251A"/>
    <w:rsid w:val="00BC4A20"/>
    <w:rsid w:val="00BD032B"/>
    <w:rsid w:val="00BE01C6"/>
    <w:rsid w:val="00BE2640"/>
    <w:rsid w:val="00BF1FDE"/>
    <w:rsid w:val="00C01189"/>
    <w:rsid w:val="00C0458D"/>
    <w:rsid w:val="00C0464F"/>
    <w:rsid w:val="00C1032B"/>
    <w:rsid w:val="00C374DE"/>
    <w:rsid w:val="00C47AD4"/>
    <w:rsid w:val="00C52D81"/>
    <w:rsid w:val="00C55198"/>
    <w:rsid w:val="00C5605F"/>
    <w:rsid w:val="00C6520B"/>
    <w:rsid w:val="00CA2055"/>
    <w:rsid w:val="00CA6393"/>
    <w:rsid w:val="00CA7995"/>
    <w:rsid w:val="00CB18FF"/>
    <w:rsid w:val="00CB2DB4"/>
    <w:rsid w:val="00CD0C08"/>
    <w:rsid w:val="00CE03FB"/>
    <w:rsid w:val="00CE0DB5"/>
    <w:rsid w:val="00CE35F1"/>
    <w:rsid w:val="00CE433C"/>
    <w:rsid w:val="00CF0161"/>
    <w:rsid w:val="00CF33F3"/>
    <w:rsid w:val="00CF4A2B"/>
    <w:rsid w:val="00D024CA"/>
    <w:rsid w:val="00D06183"/>
    <w:rsid w:val="00D11765"/>
    <w:rsid w:val="00D165BF"/>
    <w:rsid w:val="00D22C42"/>
    <w:rsid w:val="00D33ABC"/>
    <w:rsid w:val="00D65041"/>
    <w:rsid w:val="00D71077"/>
    <w:rsid w:val="00D910AD"/>
    <w:rsid w:val="00D9300E"/>
    <w:rsid w:val="00DA7024"/>
    <w:rsid w:val="00DB1936"/>
    <w:rsid w:val="00DB384B"/>
    <w:rsid w:val="00DE088D"/>
    <w:rsid w:val="00DE532B"/>
    <w:rsid w:val="00DF0189"/>
    <w:rsid w:val="00DF3A7A"/>
    <w:rsid w:val="00DF5B63"/>
    <w:rsid w:val="00E06FD5"/>
    <w:rsid w:val="00E10E80"/>
    <w:rsid w:val="00E124F0"/>
    <w:rsid w:val="00E227F3"/>
    <w:rsid w:val="00E400DA"/>
    <w:rsid w:val="00E52335"/>
    <w:rsid w:val="00E545C6"/>
    <w:rsid w:val="00E60F04"/>
    <w:rsid w:val="00E65B24"/>
    <w:rsid w:val="00E854E4"/>
    <w:rsid w:val="00E86DBF"/>
    <w:rsid w:val="00E969AF"/>
    <w:rsid w:val="00EB0D6F"/>
    <w:rsid w:val="00EB2232"/>
    <w:rsid w:val="00EC5337"/>
    <w:rsid w:val="00EC6848"/>
    <w:rsid w:val="00EE49E8"/>
    <w:rsid w:val="00F16BAB"/>
    <w:rsid w:val="00F2150A"/>
    <w:rsid w:val="00F231D8"/>
    <w:rsid w:val="00F336D9"/>
    <w:rsid w:val="00F44C00"/>
    <w:rsid w:val="00F45D2C"/>
    <w:rsid w:val="00F46C5F"/>
    <w:rsid w:val="00F501A0"/>
    <w:rsid w:val="00F5111D"/>
    <w:rsid w:val="00F6088F"/>
    <w:rsid w:val="00F632C0"/>
    <w:rsid w:val="00F641E1"/>
    <w:rsid w:val="00F94A63"/>
    <w:rsid w:val="00FA1C28"/>
    <w:rsid w:val="00FB1279"/>
    <w:rsid w:val="00FB6B76"/>
    <w:rsid w:val="00FB7596"/>
    <w:rsid w:val="00FC15D0"/>
    <w:rsid w:val="00FD5C0D"/>
    <w:rsid w:val="00FE2615"/>
    <w:rsid w:val="00FE4077"/>
    <w:rsid w:val="00FE500D"/>
    <w:rsid w:val="00FE77D2"/>
    <w:rsid w:val="00FF39B1"/>
    <w:rsid w:val="07A50749"/>
    <w:rsid w:val="0CA6B8D0"/>
    <w:rsid w:val="0F5074D4"/>
    <w:rsid w:val="1312DF83"/>
    <w:rsid w:val="15957E1C"/>
    <w:rsid w:val="16222C60"/>
    <w:rsid w:val="19BF4DFA"/>
    <w:rsid w:val="19E78031"/>
    <w:rsid w:val="21EE2BC9"/>
    <w:rsid w:val="26B96E5E"/>
    <w:rsid w:val="29E976EB"/>
    <w:rsid w:val="2A1EA20A"/>
    <w:rsid w:val="2DF24982"/>
    <w:rsid w:val="2E498F12"/>
    <w:rsid w:val="30D1EA17"/>
    <w:rsid w:val="354B0C7D"/>
    <w:rsid w:val="44C59A49"/>
    <w:rsid w:val="4739C8F9"/>
    <w:rsid w:val="477A07C7"/>
    <w:rsid w:val="4E70E8A7"/>
    <w:rsid w:val="4F5FFC6E"/>
    <w:rsid w:val="4F942476"/>
    <w:rsid w:val="536D5A3B"/>
    <w:rsid w:val="54E9CCFE"/>
    <w:rsid w:val="5B49A857"/>
    <w:rsid w:val="6B20E52C"/>
    <w:rsid w:val="6CAAE4F2"/>
    <w:rsid w:val="71357A07"/>
    <w:rsid w:val="71504B08"/>
    <w:rsid w:val="73060325"/>
    <w:rsid w:val="746BC6E7"/>
    <w:rsid w:val="77B61741"/>
    <w:rsid w:val="78E2E6F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D53A4C"/>
  <w15:docId w15:val="{57DDF908-B4B9-4F48-AD67-412AAE0C9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B9131F"/>
    <w:pPr>
      <w:keepNext/>
      <w:keepLines/>
      <w:spacing w:before="360"/>
      <w:ind w:left="567" w:hanging="567"/>
      <w:outlineLvl w:val="0"/>
    </w:pPr>
    <w:rPr>
      <w:b/>
      <w:sz w:val="28"/>
    </w:rPr>
  </w:style>
  <w:style w:type="paragraph" w:styleId="Heading2">
    <w:name w:val="heading 2"/>
    <w:basedOn w:val="Heading1"/>
    <w:next w:val="Normal"/>
    <w:qFormat/>
    <w:rsid w:val="00B9131F"/>
    <w:pPr>
      <w:spacing w:before="240"/>
      <w:outlineLvl w:val="1"/>
    </w:pPr>
    <w:rPr>
      <w:sz w:val="24"/>
    </w:rPr>
  </w:style>
  <w:style w:type="paragraph" w:styleId="Heading3">
    <w:name w:val="heading 3"/>
    <w:basedOn w:val="Heading1"/>
    <w:next w:val="Normal"/>
    <w:qFormat/>
    <w:rsid w:val="00B9131F"/>
    <w:pPr>
      <w:spacing w:before="200"/>
      <w:outlineLvl w:val="2"/>
    </w:pPr>
    <w:rPr>
      <w:sz w:val="24"/>
    </w:rPr>
  </w:style>
  <w:style w:type="paragraph" w:styleId="Heading4">
    <w:name w:val="heading 4"/>
    <w:basedOn w:val="Heading3"/>
    <w:next w:val="Normal"/>
    <w:qFormat/>
    <w:rsid w:val="00B9131F"/>
    <w:pPr>
      <w:ind w:left="1134" w:hanging="1134"/>
      <w:outlineLvl w:val="3"/>
    </w:pPr>
  </w:style>
  <w:style w:type="paragraph" w:styleId="Heading5">
    <w:name w:val="heading 5"/>
    <w:basedOn w:val="Heading4"/>
    <w:next w:val="Normal"/>
    <w:qFormat/>
    <w:rsid w:val="00B9131F"/>
    <w:pPr>
      <w:outlineLvl w:val="4"/>
    </w:pPr>
  </w:style>
  <w:style w:type="paragraph" w:styleId="Heading6">
    <w:name w:val="heading 6"/>
    <w:basedOn w:val="Heading4"/>
    <w:next w:val="Normal"/>
    <w:qFormat/>
    <w:rsid w:val="00B9131F"/>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B9131F"/>
    <w:pPr>
      <w:ind w:left="1701" w:hanging="1701"/>
      <w:outlineLvl w:val="7"/>
    </w:pPr>
  </w:style>
  <w:style w:type="paragraph" w:styleId="Heading9">
    <w:name w:val="heading 9"/>
    <w:basedOn w:val="Heading4"/>
    <w:next w:val="Normal"/>
    <w:qFormat/>
    <w:rsid w:val="00B9131F"/>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B9131F"/>
    <w:rPr>
      <w:rFonts w:asciiTheme="minorHAnsi" w:hAnsiTheme="minorHAnsi"/>
      <w:sz w:val="24"/>
    </w:rPr>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D024CA"/>
    <w:pPr>
      <w:keepLines/>
      <w:tabs>
        <w:tab w:val="left" w:pos="284"/>
      </w:tabs>
      <w:ind w:left="284" w:hanging="284"/>
    </w:pPr>
    <w:rPr>
      <w:sz w:val="22"/>
    </w:rPr>
  </w:style>
  <w:style w:type="paragraph" w:styleId="NormalIndent">
    <w:name w:val="Normal Indent"/>
    <w:basedOn w:val="Normal"/>
    <w:rsid w:val="00813E5E"/>
    <w:pPr>
      <w:ind w:left="567"/>
    </w:pPr>
  </w:style>
  <w:style w:type="paragraph" w:customStyle="1" w:styleId="enumlev1">
    <w:name w:val="enumlev1"/>
    <w:basedOn w:val="Normal"/>
    <w:qFormat/>
    <w:rsid w:val="001A3154"/>
    <w:pPr>
      <w:spacing w:before="80"/>
      <w:ind w:left="567" w:hanging="567"/>
    </w:pPr>
  </w:style>
  <w:style w:type="paragraph" w:customStyle="1" w:styleId="enumlev2">
    <w:name w:val="enumlev2"/>
    <w:basedOn w:val="enumlev1"/>
    <w:qFormat/>
    <w:rsid w:val="001A3154"/>
    <w:pPr>
      <w:ind w:left="1134"/>
    </w:pPr>
  </w:style>
  <w:style w:type="paragraph" w:customStyle="1" w:styleId="enumlev3">
    <w:name w:val="enumlev3"/>
    <w:basedOn w:val="enumlev2"/>
    <w:qFormat/>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2C54E2"/>
    <w:pPr>
      <w:framePr w:hSpace="180" w:wrap="around" w:vAnchor="page" w:hAnchor="margin" w:y="2101"/>
      <w:spacing w:before="840"/>
    </w:pPr>
    <w:rPr>
      <w:b/>
      <w:sz w:val="34"/>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9131F"/>
    <w:rPr>
      <w:color w:val="4F81BD" w:themeColor="accent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B9131F"/>
    <w:pPr>
      <w:spacing w:before="160"/>
      <w:ind w:left="0" w:firstLine="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qFormat/>
    <w:rsid w:val="00221F46"/>
    <w:pPr>
      <w:keepNext/>
      <w:keepLines/>
      <w:spacing w:before="720"/>
      <w:jc w:val="center"/>
    </w:pPr>
    <w:rPr>
      <w:caps/>
      <w:sz w:val="28"/>
    </w:rPr>
  </w:style>
  <w:style w:type="paragraph" w:customStyle="1" w:styleId="Annextitle">
    <w:name w:val="Annex_title"/>
    <w:basedOn w:val="Normal"/>
    <w:next w:val="Normal"/>
    <w:qFormat/>
    <w:rsid w:val="00221F46"/>
    <w:pPr>
      <w:keepNext/>
      <w:keepLines/>
      <w:spacing w:after="240"/>
      <w:jc w:val="center"/>
    </w:pPr>
    <w:rPr>
      <w:b/>
      <w:sz w:val="28"/>
    </w:rPr>
  </w:style>
  <w:style w:type="paragraph" w:customStyle="1" w:styleId="Annexref">
    <w:name w:val="Annex_ref"/>
    <w:basedOn w:val="Normal"/>
    <w:next w:val="Annextitle"/>
    <w:qFormat/>
    <w:rsid w:val="00221F46"/>
    <w:pPr>
      <w:keepNext/>
      <w:keepLines/>
      <w:jc w:val="center"/>
    </w:pPr>
  </w:style>
  <w:style w:type="paragraph" w:customStyle="1" w:styleId="Call">
    <w:name w:val="Call"/>
    <w:basedOn w:val="Normal"/>
    <w:next w:val="Normal"/>
    <w:qFormat/>
    <w:rsid w:val="00F641E1"/>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176F47"/>
    <w:pPr>
      <w:framePr w:wrap="around" w:vAnchor="margin" w:hAnchor="page" w:x="1821" w:y="2317"/>
      <w:spacing w:before="120" w:after="120"/>
    </w:pPr>
    <w:rPr>
      <w:sz w:val="32"/>
      <w:szCs w:val="32"/>
    </w:rPr>
  </w:style>
  <w:style w:type="paragraph" w:customStyle="1" w:styleId="Figure">
    <w:name w:val="Figure"/>
    <w:basedOn w:val="Normal"/>
    <w:next w:val="Figuretitle"/>
    <w:qFormat/>
    <w:rsid w:val="001A3154"/>
    <w:pPr>
      <w:spacing w:after="240"/>
      <w:jc w:val="center"/>
    </w:pPr>
  </w:style>
  <w:style w:type="paragraph" w:customStyle="1" w:styleId="Figuretitle">
    <w:name w:val="Figure_title"/>
    <w:basedOn w:val="Tabletitle"/>
    <w:next w:val="Normalaftertitle"/>
    <w:qFormat/>
    <w:rsid w:val="001A3154"/>
    <w:pPr>
      <w:spacing w:before="120" w:after="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qFormat/>
    <w:rsid w:val="00B9131F"/>
    <w:pPr>
      <w:spacing w:before="20" w:after="240"/>
    </w:pPr>
    <w:rPr>
      <w:sz w:val="20"/>
    </w:rPr>
  </w:style>
  <w:style w:type="paragraph" w:customStyle="1" w:styleId="FigureNo">
    <w:name w:val="Figure_No"/>
    <w:basedOn w:val="Normal"/>
    <w:next w:val="Figuretitle"/>
    <w:qFormat/>
    <w:rsid w:val="001A3154"/>
    <w:pPr>
      <w:keepNext/>
      <w:keepLines/>
      <w:spacing w:before="480"/>
      <w:jc w:val="center"/>
    </w:pPr>
    <w:rPr>
      <w:caps/>
    </w:rPr>
  </w:style>
  <w:style w:type="paragraph" w:customStyle="1" w:styleId="Figurewithouttitle">
    <w:name w:val="Figure_without_title"/>
    <w:basedOn w:val="Figure"/>
    <w:next w:val="Normalaftertitle"/>
    <w:rsid w:val="001A3154"/>
  </w:style>
  <w:style w:type="paragraph" w:customStyle="1" w:styleId="Headingi">
    <w:name w:val="Heading_i"/>
    <w:basedOn w:val="Heading3"/>
    <w:next w:val="Normal"/>
    <w:rsid w:val="00B9131F"/>
    <w:pPr>
      <w:spacing w:before="160"/>
      <w:ind w:left="0" w:firstLine="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qFormat/>
    <w:rsid w:val="00F641E1"/>
    <w:pPr>
      <w:keepNext/>
      <w:keepLines/>
      <w:tabs>
        <w:tab w:val="clear" w:pos="567"/>
        <w:tab w:val="clear" w:pos="1134"/>
        <w:tab w:val="clear" w:pos="1701"/>
        <w:tab w:val="clear" w:pos="2268"/>
        <w:tab w:val="clear" w:pos="2835"/>
      </w:tabs>
      <w:spacing w:before="360"/>
      <w:jc w:val="center"/>
    </w:pPr>
    <w:rPr>
      <w:b/>
    </w:rPr>
  </w:style>
  <w:style w:type="paragraph" w:customStyle="1" w:styleId="ArtNo">
    <w:name w:val="Art_No"/>
    <w:basedOn w:val="Normal"/>
    <w:next w:val="Arttitle"/>
    <w:qFormat/>
    <w:rsid w:val="00F641E1"/>
    <w:pPr>
      <w:keepNext/>
      <w:keepLines/>
      <w:tabs>
        <w:tab w:val="clear" w:pos="567"/>
        <w:tab w:val="clear" w:pos="1134"/>
        <w:tab w:val="clear" w:pos="1701"/>
        <w:tab w:val="clear" w:pos="2268"/>
        <w:tab w:val="clear" w:pos="2835"/>
      </w:tabs>
      <w:spacing w:before="480"/>
      <w:jc w:val="center"/>
    </w:pPr>
    <w:rPr>
      <w:caps/>
      <w:sz w:val="28"/>
    </w:rPr>
  </w:style>
  <w:style w:type="paragraph" w:customStyle="1" w:styleId="Arttitle">
    <w:name w:val="Art_title"/>
    <w:basedOn w:val="Normal"/>
    <w:next w:val="Normal"/>
    <w:qFormat/>
    <w:rsid w:val="00F641E1"/>
    <w:pPr>
      <w:keepNext/>
      <w:keepLines/>
      <w:tabs>
        <w:tab w:val="clear" w:pos="567"/>
        <w:tab w:val="clear" w:pos="1134"/>
        <w:tab w:val="clear" w:pos="1701"/>
        <w:tab w:val="clear" w:pos="2268"/>
        <w:tab w:val="clear" w:pos="2835"/>
      </w:tabs>
      <w:spacing w:after="240"/>
      <w:jc w:val="center"/>
    </w:pPr>
    <w:rPr>
      <w:b/>
      <w:sz w:val="28"/>
    </w:rPr>
  </w:style>
  <w:style w:type="paragraph" w:customStyle="1" w:styleId="ChapNo">
    <w:name w:val="Chap_No"/>
    <w:basedOn w:val="ArtNo"/>
    <w:next w:val="Chaptitle"/>
    <w:qFormat/>
    <w:rsid w:val="00813E5E"/>
  </w:style>
  <w:style w:type="paragraph" w:customStyle="1" w:styleId="Chaptitle">
    <w:name w:val="Chap_title"/>
    <w:basedOn w:val="Arttitle"/>
    <w:next w:val="Normal"/>
    <w:qFormat/>
    <w:rsid w:val="001A3154"/>
  </w:style>
  <w:style w:type="character" w:styleId="UnresolvedMention">
    <w:name w:val="Unresolved Mention"/>
    <w:basedOn w:val="DefaultParagraphFont"/>
    <w:uiPriority w:val="99"/>
    <w:semiHidden/>
    <w:unhideWhenUsed/>
    <w:rsid w:val="00BF1FDE"/>
    <w:rPr>
      <w:color w:val="605E5C"/>
      <w:shd w:val="clear" w:color="auto" w:fill="E1DFDD"/>
    </w:rPr>
  </w:style>
  <w:style w:type="character" w:styleId="PlaceholderText">
    <w:name w:val="Placeholder Text"/>
    <w:basedOn w:val="DefaultParagraphFont"/>
    <w:uiPriority w:val="99"/>
    <w:semiHidden/>
    <w:rsid w:val="00CA7995"/>
    <w:rPr>
      <w:color w:val="666666"/>
    </w:rPr>
  </w:style>
  <w:style w:type="paragraph" w:customStyle="1" w:styleId="Reasons">
    <w:name w:val="Reasons"/>
    <w:basedOn w:val="Normal"/>
    <w:qFormat/>
    <w:rsid w:val="007A3FCD"/>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 w:type="paragraph" w:styleId="NormalWeb">
    <w:name w:val="Normal (Web)"/>
    <w:basedOn w:val="Normal"/>
    <w:uiPriority w:val="99"/>
    <w:unhideWhenUsed/>
    <w:rsid w:val="00480E88"/>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ascii="Times New Roman" w:hAnsi="Times New Roman"/>
      <w:szCs w:val="24"/>
      <w:lang w:eastAsia="en-GB"/>
    </w:rPr>
  </w:style>
  <w:style w:type="paragraph" w:styleId="CommentText">
    <w:name w:val="annotation text"/>
    <w:basedOn w:val="Normal"/>
    <w:link w:val="CommentTextChar"/>
    <w:unhideWhenUsed/>
    <w:rsid w:val="000F1CF5"/>
    <w:rPr>
      <w:sz w:val="20"/>
    </w:rPr>
  </w:style>
  <w:style w:type="character" w:customStyle="1" w:styleId="CommentTextChar">
    <w:name w:val="Comment Text Char"/>
    <w:basedOn w:val="DefaultParagraphFont"/>
    <w:link w:val="CommentText"/>
    <w:rsid w:val="000F1CF5"/>
    <w:rPr>
      <w:rFonts w:ascii="Calibri" w:hAnsi="Calibri"/>
      <w:lang w:val="en-GB" w:eastAsia="en-US"/>
    </w:rPr>
  </w:style>
  <w:style w:type="character" w:styleId="CommentReference">
    <w:name w:val="annotation reference"/>
    <w:basedOn w:val="DefaultParagraphFont"/>
    <w:semiHidden/>
    <w:unhideWhenUsed/>
    <w:rsid w:val="000F1CF5"/>
    <w:rPr>
      <w:sz w:val="16"/>
      <w:szCs w:val="16"/>
    </w:rPr>
  </w:style>
  <w:style w:type="paragraph" w:styleId="CommentSubject">
    <w:name w:val="annotation subject"/>
    <w:basedOn w:val="CommentText"/>
    <w:next w:val="CommentText"/>
    <w:link w:val="CommentSubjectChar"/>
    <w:semiHidden/>
    <w:unhideWhenUsed/>
    <w:rsid w:val="000F1CF5"/>
    <w:rPr>
      <w:b/>
      <w:bCs/>
    </w:rPr>
  </w:style>
  <w:style w:type="character" w:customStyle="1" w:styleId="CommentSubjectChar">
    <w:name w:val="Comment Subject Char"/>
    <w:basedOn w:val="CommentTextChar"/>
    <w:link w:val="CommentSubject"/>
    <w:semiHidden/>
    <w:rsid w:val="000F1CF5"/>
    <w:rPr>
      <w:rFonts w:ascii="Calibri" w:hAnsi="Calibri"/>
      <w:b/>
      <w:bCs/>
      <w:lang w:val="en-GB" w:eastAsia="en-US"/>
    </w:rPr>
  </w:style>
  <w:style w:type="character" w:styleId="Mention">
    <w:name w:val="Mention"/>
    <w:basedOn w:val="DefaultParagraphFont"/>
    <w:uiPriority w:val="99"/>
    <w:unhideWhenUsed/>
    <w:rsid w:val="000F1CF5"/>
    <w:rPr>
      <w:color w:val="2B579A"/>
      <w:shd w:val="clear" w:color="auto" w:fill="E1DFDD"/>
    </w:rPr>
  </w:style>
  <w:style w:type="paragraph" w:styleId="Revision">
    <w:name w:val="Revision"/>
    <w:hidden/>
    <w:uiPriority w:val="99"/>
    <w:semiHidden/>
    <w:rsid w:val="000F1CF5"/>
    <w:rPr>
      <w:rFonts w:ascii="Calibri" w:hAnsi="Calibr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en/council/Documents/basic-texts-2023/DEC-005-E.pdf" TargetMode="External"/><Relationship Id="rId18" Type="http://schemas.openxmlformats.org/officeDocument/2006/relationships/hyperlink" Target="https://www.itu.int/en/general-secretariat/ties/ISCGDocumentLibrary/Liaisons%20Statements%20on%20Inter-Sectoral%20Coordination%20Activities/List%20of%20Focal%20Points%20published-Updated%20March2026.pdf" TargetMode="External"/><Relationship Id="rId26" Type="http://schemas.openxmlformats.org/officeDocument/2006/relationships/hyperlink" Target="https://www.itu.int/md/S26-ISCG12026-C-0008/en" TargetMode="External"/><Relationship Id="rId3" Type="http://schemas.openxmlformats.org/officeDocument/2006/relationships/customXml" Target="../customXml/item3.xml"/><Relationship Id="rId21" Type="http://schemas.openxmlformats.org/officeDocument/2006/relationships/hyperlink" Target="https://datahub.itu.int/" TargetMode="External"/><Relationship Id="rId7" Type="http://schemas.openxmlformats.org/officeDocument/2006/relationships/settings" Target="settings.xml"/><Relationship Id="rId12" Type="http://schemas.openxmlformats.org/officeDocument/2006/relationships/hyperlink" Target="https://www.itu.int/en/council/Documents/basic-texts-2023/RES-191-E.pdf" TargetMode="External"/><Relationship Id="rId17" Type="http://schemas.openxmlformats.org/officeDocument/2006/relationships/hyperlink" Target="https://www.itu.int/en/general-secretariat/Pages/intersectoral-coordination.aspx" TargetMode="External"/><Relationship Id="rId25" Type="http://schemas.openxmlformats.org/officeDocument/2006/relationships/hyperlink" Target="https://www.itu.int/en/council/Documents/basic-texts-2023/RES-167-E.pdf"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itu.int/net4/Search/CL26" TargetMode="External"/><Relationship Id="rId20" Type="http://schemas.openxmlformats.org/officeDocument/2006/relationships/hyperlink" Target="https://www.itu.int/md/S26-CL-INF-0001/en"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en/council/Documents/basic-texts-2023/RES-071-E.pdf" TargetMode="External"/><Relationship Id="rId24" Type="http://schemas.openxmlformats.org/officeDocument/2006/relationships/hyperlink" Target="https://itu.int/en/general-secretariat/ICT-Services/remoteparticipation"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itu.int/md/S26-CL-C-0035/en" TargetMode="External"/><Relationship Id="rId23" Type="http://schemas.openxmlformats.org/officeDocument/2006/relationships/hyperlink" Target="http://www.itu.int/md/meetingdoc.asp?lang=en&amp;parent=T25-TSAG-260126-TD-GEN-0333" TargetMode="External"/><Relationship Id="rId28" Type="http://schemas.openxmlformats.org/officeDocument/2006/relationships/hyperlink" Target="https://www.itu.int/en/general-secretariat/Pages/ISCG/default.aspx" TargetMode="External"/><Relationship Id="rId10" Type="http://schemas.openxmlformats.org/officeDocument/2006/relationships/endnotes" Target="endnotes.xml"/><Relationship Id="rId19" Type="http://schemas.openxmlformats.org/officeDocument/2006/relationships/hyperlink" Target="https://www.itu.int/en/general-secretariat/ties/ISCGDocumentLibrary/Liaisons%20Statements%20on%20Inter-Sectoral%20Coordination%20Activities/Mapping-of-resolutions-Updated%20March2026.pdf"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en/general-secretariat/ties/ISCGDocumentLibrary/Liaisons%20Statements%20on%20Inter-Sectoral%20Coordination%20Activities/SO-2024-006-en.pdf" TargetMode="External"/><Relationship Id="rId22" Type="http://schemas.openxmlformats.org/officeDocument/2006/relationships/hyperlink" Target="https://www.itu.int/en/action/environment-and-climate-change/Pages/default.aspx" TargetMode="External"/><Relationship Id="rId27" Type="http://schemas.openxmlformats.org/officeDocument/2006/relationships/hyperlink" Target="https://www.itu.int/md/S26-ISCG12026-C-0007/en" TargetMode="External"/><Relationship Id="rId30" Type="http://schemas.openxmlformats.org/officeDocument/2006/relationships/header" Target="header1.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vino\AppData\Roaming\Microsoft\Templates\PE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4E447ED7B9DA4C9F10BB2808D9DCA9" ma:contentTypeVersion="4" ma:contentTypeDescription="Create a new document." ma:contentTypeScope="" ma:versionID="9be68409d3c2ab4dff34705b6aa0e722">
  <xsd:schema xmlns:xsd="http://www.w3.org/2001/XMLSchema" xmlns:xs="http://www.w3.org/2001/XMLSchema" xmlns:p="http://schemas.microsoft.com/office/2006/metadata/properties" xmlns:ns2="a4c22657-7647-457b-a399-8471255bb166" targetNamespace="http://schemas.microsoft.com/office/2006/metadata/properties" ma:root="true" ma:fieldsID="985c4305570bd1295e0dfd082e17e564" ns2:_="">
    <xsd:import namespace="a4c22657-7647-457b-a399-8471255bb1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obereviewedatCoC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c22657-7647-457b-a399-8471255bb1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obereviewedatCoCo" ma:index="11" nillable="true" ma:displayName="CoCo" ma:format="Dropdown" ma:internalName="TobereviewedatCoCo">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obereviewedatCoCo xmlns="a4c22657-7647-457b-a399-8471255bb166">yes</TobereviewedatCoCo>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B7050A-9EAB-4824-8A76-415FC0DDC3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c22657-7647-457b-a399-8471255bb1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012439-4CFD-484A-B54C-32BCAF7D527B}">
  <ds:schemaRefs>
    <ds:schemaRef ds:uri="http://schemas.microsoft.com/sharepoint/v3/contenttype/forms"/>
  </ds:schemaRefs>
</ds:datastoreItem>
</file>

<file path=customXml/itemProps3.xml><?xml version="1.0" encoding="utf-8"?>
<ds:datastoreItem xmlns:ds="http://schemas.openxmlformats.org/officeDocument/2006/customXml" ds:itemID="{B6B45085-63EB-46B1-9C81-111FEC562B62}">
  <ds:schemaRefs>
    <ds:schemaRef ds:uri="http://schemas.microsoft.com/office/infopath/2007/PartnerControls"/>
    <ds:schemaRef ds:uri="http://www.w3.org/XML/1998/namespace"/>
    <ds:schemaRef ds:uri="http://schemas.microsoft.com/office/2006/documentManagement/types"/>
    <ds:schemaRef ds:uri="http://purl.org/dc/terms/"/>
    <ds:schemaRef ds:uri="http://schemas.microsoft.com/office/2006/metadata/properties"/>
    <ds:schemaRef ds:uri="http://purl.org/dc/dcmitype/"/>
    <ds:schemaRef ds:uri="http://schemas.openxmlformats.org/package/2006/metadata/core-properties"/>
    <ds:schemaRef ds:uri="a4c22657-7647-457b-a399-8471255bb166"/>
    <ds:schemaRef ds:uri="http://purl.org/dc/elements/1.1/"/>
  </ds:schemaRefs>
</ds:datastoreItem>
</file>

<file path=customXml/itemProps4.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PE_Council26</Template>
  <TotalTime>9</TotalTime>
  <Pages>5</Pages>
  <Words>1496</Words>
  <Characters>11205</Characters>
  <Application>Microsoft Office Word</Application>
  <DocSecurity>0</DocSecurity>
  <Lines>193</Lines>
  <Paragraphs>75</Paragraphs>
  <ScaleCrop>false</ScaleCrop>
  <HeadingPairs>
    <vt:vector size="2" baseType="variant">
      <vt:variant>
        <vt:lpstr>Title</vt:lpstr>
      </vt:variant>
      <vt:variant>
        <vt:i4>1</vt:i4>
      </vt:variant>
    </vt:vector>
  </HeadingPairs>
  <TitlesOfParts>
    <vt:vector size="1" baseType="lpstr">
      <vt:lpstr>Enhancing intersectoral coordination across ITU</vt:lpstr>
    </vt:vector>
  </TitlesOfParts>
  <Manager>General Secretariat</Manager>
  <Company>International Telecommunication Union (ITU)</Company>
  <LinksUpToDate>false</LinksUpToDate>
  <CharactersWithSpaces>12626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Enhancing intersectoral coordination across ITU</dc:title>
  <dc:subject>ITU Council 2026</dc:subject>
  <dc:creator/>
  <cp:keywords>C26; C2026; Council 2026; PP26</cp:keywords>
  <dc:description/>
  <cp:lastModifiedBy>GBS</cp:lastModifiedBy>
  <cp:revision>3</cp:revision>
  <cp:lastPrinted>2000-07-18T13:30:00Z</cp:lastPrinted>
  <dcterms:created xsi:type="dcterms:W3CDTF">2026-03-30T15:07:00Z</dcterms:created>
  <dcterms:modified xsi:type="dcterms:W3CDTF">2026-03-30T15:15:00Z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caebc3b039d2086fae139bdca98a6c61c028c4ec16ce6ef236d196610d84ef77</vt:lpwstr>
  </property>
  <property fmtid="{D5CDD505-2E9C-101B-9397-08002B2CF9AE}" pid="9" name="ContentTypeId">
    <vt:lpwstr>0x010100814E447ED7B9DA4C9F10BB2808D9DCA9</vt:lpwstr>
  </property>
  <property fmtid="{D5CDD505-2E9C-101B-9397-08002B2CF9AE}" pid="10" name="docLang">
    <vt:lpwstr>en</vt:lpwstr>
  </property>
</Properties>
</file>