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0AE1AB49" w14:textId="77777777" w:rsidTr="00555C29">
        <w:trPr>
          <w:cantSplit/>
          <w:trHeight w:val="23"/>
        </w:trPr>
        <w:tc>
          <w:tcPr>
            <w:tcW w:w="3969" w:type="dxa"/>
            <w:vMerge w:val="restart"/>
            <w:tcMar>
              <w:left w:w="0" w:type="dxa"/>
            </w:tcMar>
          </w:tcPr>
          <w:p w14:paraId="4D913AA9" w14:textId="226B8C58"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4109A5" w:rsidRPr="004109A5">
              <w:rPr>
                <w:rFonts w:cstheme="minorHAnsi"/>
                <w:b/>
                <w:bCs/>
              </w:rPr>
              <w:t xml:space="preserve">ADM </w:t>
            </w:r>
            <w:r w:rsidR="00A6218D">
              <w:rPr>
                <w:rFonts w:cstheme="minorHAnsi"/>
                <w:b/>
                <w:bCs/>
              </w:rPr>
              <w:t>3</w:t>
            </w:r>
          </w:p>
        </w:tc>
        <w:tc>
          <w:tcPr>
            <w:tcW w:w="5245" w:type="dxa"/>
          </w:tcPr>
          <w:p w14:paraId="578455F0" w14:textId="3E2A93CE"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A6218D">
              <w:rPr>
                <w:b/>
              </w:rPr>
              <w:t>27</w:t>
            </w:r>
            <w:r w:rsidRPr="00E24D59">
              <w:rPr>
                <w:b/>
                <w:lang w:val="fr-CH"/>
              </w:rPr>
              <w:t>-C</w:t>
            </w:r>
          </w:p>
        </w:tc>
      </w:tr>
      <w:tr w:rsidR="00E24D59" w:rsidRPr="00813E5E" w14:paraId="469BFB7D" w14:textId="77777777" w:rsidTr="00555C29">
        <w:trPr>
          <w:cantSplit/>
        </w:trPr>
        <w:tc>
          <w:tcPr>
            <w:tcW w:w="3969" w:type="dxa"/>
            <w:vMerge/>
          </w:tcPr>
          <w:p w14:paraId="0E74D3DC"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32F04536" w14:textId="7C693ECE" w:rsidR="00E24D59" w:rsidRPr="00E85629" w:rsidRDefault="004109A5" w:rsidP="00555C29">
            <w:pPr>
              <w:tabs>
                <w:tab w:val="left" w:pos="851"/>
              </w:tabs>
              <w:spacing w:before="0"/>
              <w:jc w:val="right"/>
              <w:rPr>
                <w:b/>
              </w:rPr>
            </w:pPr>
            <w:r>
              <w:rPr>
                <w:rFonts w:hint="eastAsia"/>
                <w:b/>
                <w:lang w:eastAsia="zh-CN"/>
              </w:rPr>
              <w:t>2026</w:t>
            </w:r>
            <w:r>
              <w:rPr>
                <w:rFonts w:hint="eastAsia"/>
                <w:b/>
                <w:lang w:eastAsia="zh-CN"/>
              </w:rPr>
              <w:t>年</w:t>
            </w:r>
            <w:r w:rsidR="00A6218D">
              <w:rPr>
                <w:b/>
                <w:lang w:eastAsia="zh-CN"/>
              </w:rPr>
              <w:t>3</w:t>
            </w:r>
            <w:r>
              <w:rPr>
                <w:rFonts w:hint="eastAsia"/>
                <w:b/>
                <w:lang w:eastAsia="zh-CN"/>
              </w:rPr>
              <w:t>月</w:t>
            </w:r>
            <w:r w:rsidR="00A6218D">
              <w:rPr>
                <w:b/>
                <w:lang w:eastAsia="zh-CN"/>
              </w:rPr>
              <w:t>30</w:t>
            </w:r>
            <w:r>
              <w:rPr>
                <w:rFonts w:hint="eastAsia"/>
                <w:b/>
                <w:lang w:eastAsia="zh-CN"/>
              </w:rPr>
              <w:t>日</w:t>
            </w:r>
          </w:p>
        </w:tc>
      </w:tr>
      <w:tr w:rsidR="00E24D59" w:rsidRPr="00813E5E" w14:paraId="68DA8D07" w14:textId="77777777" w:rsidTr="00555C29">
        <w:trPr>
          <w:cantSplit/>
          <w:trHeight w:val="23"/>
        </w:trPr>
        <w:tc>
          <w:tcPr>
            <w:tcW w:w="3969" w:type="dxa"/>
            <w:vMerge/>
          </w:tcPr>
          <w:p w14:paraId="690BC033"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02D963E9" w14:textId="0CE18914"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r w:rsidR="00594451" w:rsidRPr="00594451">
              <w:rPr>
                <w:rFonts w:cstheme="minorHAnsi" w:hint="eastAsia"/>
                <w:b/>
                <w:bCs/>
                <w:lang w:val="ru-RU"/>
              </w:rPr>
              <w:t>英文</w:t>
            </w:r>
            <w:proofErr w:type="spellEnd"/>
          </w:p>
        </w:tc>
      </w:tr>
      <w:tr w:rsidR="00E24D59" w:rsidRPr="00813E5E" w14:paraId="22BFFF9B" w14:textId="77777777" w:rsidTr="00555C29">
        <w:trPr>
          <w:cantSplit/>
          <w:trHeight w:val="23"/>
        </w:trPr>
        <w:tc>
          <w:tcPr>
            <w:tcW w:w="3969" w:type="dxa"/>
          </w:tcPr>
          <w:p w14:paraId="236125E8" w14:textId="77777777" w:rsidR="00E24D59" w:rsidRPr="00813E5E" w:rsidRDefault="00E24D59" w:rsidP="00555C29">
            <w:pPr>
              <w:tabs>
                <w:tab w:val="left" w:pos="851"/>
              </w:tabs>
              <w:spacing w:line="240" w:lineRule="atLeast"/>
              <w:rPr>
                <w:b/>
              </w:rPr>
            </w:pPr>
          </w:p>
        </w:tc>
        <w:tc>
          <w:tcPr>
            <w:tcW w:w="5245" w:type="dxa"/>
          </w:tcPr>
          <w:p w14:paraId="60F7F006" w14:textId="77777777" w:rsidR="00E24D59" w:rsidRDefault="00E24D59" w:rsidP="00555C29">
            <w:pPr>
              <w:tabs>
                <w:tab w:val="left" w:pos="851"/>
              </w:tabs>
              <w:spacing w:before="0" w:line="240" w:lineRule="atLeast"/>
              <w:jc w:val="right"/>
              <w:rPr>
                <w:b/>
              </w:rPr>
            </w:pPr>
          </w:p>
        </w:tc>
      </w:tr>
      <w:tr w:rsidR="00E24D59" w:rsidRPr="00813E5E" w14:paraId="18ACBB0F" w14:textId="77777777" w:rsidTr="00555C29">
        <w:trPr>
          <w:cantSplit/>
        </w:trPr>
        <w:tc>
          <w:tcPr>
            <w:tcW w:w="9214" w:type="dxa"/>
            <w:gridSpan w:val="2"/>
            <w:tcMar>
              <w:left w:w="0" w:type="dxa"/>
            </w:tcMar>
          </w:tcPr>
          <w:p w14:paraId="3ABDA697" w14:textId="4D93BDD1" w:rsidR="00E24D59" w:rsidRPr="00C24DAC" w:rsidRDefault="00A6218D" w:rsidP="00C24DAC">
            <w:pPr>
              <w:pStyle w:val="Source"/>
              <w:framePr w:hSpace="0" w:wrap="auto" w:vAnchor="margin" w:hAnchor="text" w:xAlign="left" w:yAlign="inline"/>
            </w:pPr>
            <w:bookmarkStart w:id="5" w:name="dsource" w:colFirst="0" w:colLast="0"/>
            <w:bookmarkEnd w:id="4"/>
            <w:r>
              <w:rPr>
                <w:bCs/>
                <w:color w:val="000000"/>
                <w:lang w:val="zh-CN"/>
              </w:rPr>
              <w:t>秘书长的报告</w:t>
            </w:r>
          </w:p>
        </w:tc>
      </w:tr>
      <w:tr w:rsidR="00E24D59" w:rsidRPr="009470DE" w14:paraId="16684289" w14:textId="77777777" w:rsidTr="00555C29">
        <w:trPr>
          <w:cantSplit/>
        </w:trPr>
        <w:tc>
          <w:tcPr>
            <w:tcW w:w="9214" w:type="dxa"/>
            <w:gridSpan w:val="2"/>
            <w:tcMar>
              <w:left w:w="0" w:type="dxa"/>
            </w:tcMar>
          </w:tcPr>
          <w:p w14:paraId="3590FDE0" w14:textId="0D2A46B7" w:rsidR="00E24D59" w:rsidRPr="00C24DAC" w:rsidRDefault="00A6218D" w:rsidP="00C24DAC">
            <w:pPr>
              <w:pStyle w:val="Subtitle"/>
              <w:framePr w:hSpace="0" w:wrap="auto" w:vAnchor="margin" w:hAnchor="text" w:xAlign="left" w:yAlign="inline"/>
            </w:pPr>
            <w:bookmarkStart w:id="6" w:name="dtitle1" w:colFirst="0" w:colLast="0"/>
            <w:bookmarkEnd w:id="5"/>
            <w:r>
              <w:rPr>
                <w:color w:val="000000"/>
                <w:lang w:val="zh-CN"/>
              </w:rPr>
              <w:t>加强国际电联跨部门协调</w:t>
            </w:r>
          </w:p>
        </w:tc>
      </w:tr>
      <w:tr w:rsidR="00E24D59" w:rsidRPr="00813E5E" w14:paraId="5D14FC72" w14:textId="77777777" w:rsidTr="00555C29">
        <w:trPr>
          <w:cantSplit/>
        </w:trPr>
        <w:tc>
          <w:tcPr>
            <w:tcW w:w="9214" w:type="dxa"/>
            <w:gridSpan w:val="2"/>
            <w:tcBorders>
              <w:top w:val="single" w:sz="4" w:space="0" w:color="auto"/>
              <w:bottom w:val="single" w:sz="4" w:space="0" w:color="auto"/>
            </w:tcBorders>
            <w:tcMar>
              <w:left w:w="0" w:type="dxa"/>
            </w:tcMar>
          </w:tcPr>
          <w:p w14:paraId="38CD322D" w14:textId="694C3807" w:rsidR="003F086E" w:rsidRPr="00E60ECF" w:rsidRDefault="003F086E" w:rsidP="00555C29">
            <w:pPr>
              <w:rPr>
                <w:rFonts w:cs="Calibri"/>
                <w:b/>
                <w:bCs/>
                <w:lang w:eastAsia="zh-CN"/>
              </w:rPr>
            </w:pPr>
            <w:r w:rsidRPr="00E60ECF">
              <w:rPr>
                <w:rFonts w:cs="Calibri"/>
                <w:b/>
                <w:bCs/>
                <w:lang w:eastAsia="zh-CN"/>
              </w:rPr>
              <w:t>目的</w:t>
            </w:r>
          </w:p>
          <w:p w14:paraId="7D00896E" w14:textId="7AE2FF97" w:rsidR="00C0775D" w:rsidRDefault="00A6218D" w:rsidP="00C0775D">
            <w:pPr>
              <w:ind w:firstLineChars="200" w:firstLine="480"/>
              <w:jc w:val="both"/>
              <w:rPr>
                <w:lang w:eastAsia="zh-CN"/>
              </w:rPr>
            </w:pPr>
            <w:r w:rsidRPr="00F62B30">
              <w:rPr>
                <w:rFonts w:hint="eastAsia"/>
                <w:color w:val="000000"/>
                <w:lang w:val="zh-CN" w:eastAsia="zh-CN"/>
              </w:rPr>
              <w:t>本文件</w:t>
            </w:r>
            <w:r>
              <w:rPr>
                <w:rFonts w:hint="eastAsia"/>
                <w:color w:val="000000"/>
                <w:lang w:val="zh-CN" w:eastAsia="zh-CN"/>
              </w:rPr>
              <w:t>报告了</w:t>
            </w:r>
            <w:r w:rsidRPr="00F62B30">
              <w:rPr>
                <w:rFonts w:hint="eastAsia"/>
                <w:color w:val="000000"/>
                <w:lang w:val="zh-CN" w:eastAsia="zh-CN"/>
              </w:rPr>
              <w:t>全权代表大会关于协调国际电联三个部门和总秘书处工作战略的第</w:t>
            </w:r>
            <w:r w:rsidRPr="00F62B30">
              <w:rPr>
                <w:rFonts w:hint="eastAsia"/>
                <w:color w:val="000000"/>
                <w:lang w:val="zh-CN" w:eastAsia="zh-CN"/>
              </w:rPr>
              <w:t>191</w:t>
            </w:r>
            <w:r w:rsidRPr="00F62B30">
              <w:rPr>
                <w:rFonts w:hint="eastAsia"/>
                <w:color w:val="000000"/>
                <w:lang w:val="zh-CN" w:eastAsia="zh-CN"/>
              </w:rPr>
              <w:t>号决议（</w:t>
            </w:r>
            <w:r w:rsidRPr="00F62B30">
              <w:rPr>
                <w:rFonts w:hint="eastAsia"/>
                <w:color w:val="000000"/>
                <w:lang w:val="zh-CN" w:eastAsia="zh-CN"/>
              </w:rPr>
              <w:t>2022</w:t>
            </w:r>
            <w:r w:rsidRPr="00F62B30">
              <w:rPr>
                <w:rFonts w:hint="eastAsia"/>
                <w:color w:val="000000"/>
                <w:lang w:val="zh-CN" w:eastAsia="zh-CN"/>
              </w:rPr>
              <w:t>年，布加勒斯特，修订版）的</w:t>
            </w:r>
            <w:r>
              <w:rPr>
                <w:rFonts w:hint="eastAsia"/>
                <w:color w:val="000000"/>
                <w:lang w:val="zh-CN" w:eastAsia="zh-CN"/>
              </w:rPr>
              <w:t>执行情况</w:t>
            </w:r>
            <w:r w:rsidRPr="00F62B30">
              <w:rPr>
                <w:rFonts w:hint="eastAsia"/>
                <w:color w:val="000000"/>
                <w:lang w:val="zh-CN" w:eastAsia="zh-CN"/>
              </w:rPr>
              <w:t>。</w:t>
            </w:r>
          </w:p>
          <w:p w14:paraId="3AFCE8D2" w14:textId="77777777" w:rsidR="003F086E" w:rsidRPr="00E60ECF" w:rsidRDefault="003F086E" w:rsidP="00555C29">
            <w:pPr>
              <w:rPr>
                <w:rFonts w:cs="Calibri"/>
                <w:b/>
                <w:bCs/>
                <w:lang w:eastAsia="zh-CN"/>
              </w:rPr>
            </w:pPr>
            <w:r w:rsidRPr="00E60ECF">
              <w:rPr>
                <w:rFonts w:cs="Calibri"/>
                <w:b/>
                <w:bCs/>
                <w:lang w:eastAsia="zh-CN"/>
              </w:rPr>
              <w:t>理事会需采取的行动</w:t>
            </w:r>
          </w:p>
          <w:p w14:paraId="137CA585" w14:textId="2202DDC7" w:rsidR="003F086E" w:rsidRDefault="00A6218D" w:rsidP="00E60ECF">
            <w:pPr>
              <w:ind w:firstLineChars="200" w:firstLine="480"/>
              <w:rPr>
                <w:color w:val="000000"/>
                <w:lang w:val="en-US" w:eastAsia="zh-CN"/>
              </w:rPr>
            </w:pPr>
            <w:r>
              <w:rPr>
                <w:color w:val="000000"/>
                <w:lang w:val="zh-CN" w:eastAsia="zh-CN"/>
              </w:rPr>
              <w:t>请理事会将本报告</w:t>
            </w:r>
            <w:r w:rsidRPr="00F62B30">
              <w:rPr>
                <w:b/>
                <w:bCs/>
                <w:color w:val="000000"/>
                <w:lang w:val="zh-CN" w:eastAsia="zh-CN"/>
              </w:rPr>
              <w:t>记录在案</w:t>
            </w:r>
            <w:r>
              <w:rPr>
                <w:color w:val="000000"/>
                <w:lang w:val="zh-CN" w:eastAsia="zh-CN"/>
              </w:rPr>
              <w:t>。</w:t>
            </w:r>
          </w:p>
          <w:p w14:paraId="0E73257A" w14:textId="77777777" w:rsidR="00A6218D" w:rsidRDefault="00A6218D" w:rsidP="00A6218D">
            <w:pPr>
              <w:spacing w:before="160"/>
              <w:rPr>
                <w:b/>
                <w:bCs/>
                <w:sz w:val="26"/>
                <w:szCs w:val="26"/>
                <w:lang w:eastAsia="zh-CN"/>
              </w:rPr>
            </w:pPr>
            <w:r>
              <w:rPr>
                <w:b/>
                <w:bCs/>
                <w:color w:val="000000"/>
                <w:lang w:val="zh-CN" w:eastAsia="zh-CN"/>
              </w:rPr>
              <w:t>与《战略规划》的关联</w:t>
            </w:r>
          </w:p>
          <w:p w14:paraId="72718359" w14:textId="77777777" w:rsidR="00A6218D" w:rsidRPr="00F16BAB" w:rsidRDefault="00A6218D" w:rsidP="00FC5291">
            <w:pPr>
              <w:ind w:firstLineChars="200" w:firstLine="480"/>
              <w:rPr>
                <w:lang w:eastAsia="zh-CN"/>
              </w:rPr>
            </w:pPr>
            <w:r>
              <w:rPr>
                <w:color w:val="000000"/>
                <w:lang w:val="zh-CN" w:eastAsia="zh-CN"/>
              </w:rPr>
              <w:t>卓越的人力资源和组织创新</w:t>
            </w:r>
          </w:p>
          <w:p w14:paraId="07C8D8DC" w14:textId="77777777" w:rsidR="00A6218D" w:rsidRPr="00F62B30" w:rsidRDefault="00A6218D" w:rsidP="00A6218D">
            <w:pPr>
              <w:spacing w:before="160"/>
              <w:rPr>
                <w:b/>
                <w:bCs/>
                <w:sz w:val="26"/>
                <w:szCs w:val="26"/>
                <w:lang w:eastAsia="zh-CN"/>
              </w:rPr>
            </w:pPr>
            <w:r w:rsidRPr="00F62B30">
              <w:rPr>
                <w:rFonts w:hint="eastAsia"/>
                <w:b/>
                <w:bCs/>
                <w:color w:val="000000"/>
                <w:lang w:val="zh-CN" w:eastAsia="zh-CN"/>
              </w:rPr>
              <w:t>财务影响</w:t>
            </w:r>
          </w:p>
          <w:p w14:paraId="10BF1AC8" w14:textId="3F341636" w:rsidR="00A6218D" w:rsidRPr="00A6218D" w:rsidRDefault="00A6218D" w:rsidP="00A6218D">
            <w:pPr>
              <w:ind w:firstLineChars="200" w:firstLine="480"/>
              <w:rPr>
                <w:rFonts w:cs="Calibri"/>
                <w:lang w:val="en-US" w:eastAsia="zh-CN"/>
              </w:rPr>
            </w:pPr>
            <w:r>
              <w:rPr>
                <w:color w:val="000000"/>
                <w:lang w:val="zh-CN" w:eastAsia="zh-CN"/>
              </w:rPr>
              <w:t>在</w:t>
            </w:r>
            <w:r>
              <w:rPr>
                <w:color w:val="000000"/>
                <w:lang w:val="zh-CN" w:eastAsia="zh-CN"/>
              </w:rPr>
              <w:t>2026-2027</w:t>
            </w:r>
            <w:r>
              <w:rPr>
                <w:color w:val="000000"/>
                <w:lang w:val="zh-CN" w:eastAsia="zh-CN"/>
              </w:rPr>
              <w:t>年预算范围内。</w:t>
            </w:r>
          </w:p>
          <w:p w14:paraId="090C9B57" w14:textId="77777777" w:rsidR="00E24D59" w:rsidRPr="00DA2D30" w:rsidRDefault="00DA2D30" w:rsidP="00DA2D30">
            <w:pPr>
              <w:rPr>
                <w:lang w:eastAsia="zh-CN"/>
              </w:rPr>
            </w:pPr>
            <w:r>
              <w:rPr>
                <w:lang w:eastAsia="zh-CN"/>
              </w:rPr>
              <w:t>_______________</w:t>
            </w:r>
          </w:p>
          <w:p w14:paraId="43AFFCF2" w14:textId="77777777" w:rsidR="00E24D59" w:rsidRPr="00477D57" w:rsidRDefault="00E24D59" w:rsidP="00555C29">
            <w:pPr>
              <w:rPr>
                <w:b/>
                <w:bCs/>
                <w:lang w:eastAsia="zh-CN"/>
              </w:rPr>
            </w:pPr>
            <w:r w:rsidRPr="00477D57">
              <w:rPr>
                <w:rFonts w:hint="eastAsia"/>
                <w:b/>
                <w:bCs/>
                <w:lang w:eastAsia="zh-CN"/>
              </w:rPr>
              <w:t>参考文件</w:t>
            </w:r>
          </w:p>
          <w:p w14:paraId="5187AD6C" w14:textId="1FF30668" w:rsidR="00A6218D" w:rsidRPr="00A6218D" w:rsidRDefault="00A6218D" w:rsidP="00A6218D">
            <w:pPr>
              <w:spacing w:after="120"/>
              <w:ind w:firstLineChars="200" w:firstLine="480"/>
              <w:rPr>
                <w:rFonts w:eastAsiaTheme="majorEastAsia" w:cs="Calibri"/>
                <w:sz w:val="22"/>
                <w:szCs w:val="22"/>
                <w:lang w:val="en-US" w:eastAsia="zh-CN"/>
              </w:rPr>
            </w:pPr>
            <w:r w:rsidRPr="00F62B30">
              <w:rPr>
                <w:rFonts w:ascii="STKaiti" w:eastAsia="STKaiti" w:hAnsi="STKaiti"/>
                <w:color w:val="000000"/>
                <w:lang w:val="zh-CN" w:eastAsia="zh-CN"/>
              </w:rPr>
              <w:t>全权代表大会</w:t>
            </w:r>
            <w:r>
              <w:fldChar w:fldCharType="begin"/>
            </w:r>
            <w:r>
              <w:rPr>
                <w:lang w:eastAsia="zh-CN"/>
              </w:rPr>
              <w:instrText>HYPERLINK "https://www.itu.int/en/council/Documents/basic-texts-2023/RES-071-E.pdf"</w:instrText>
            </w:r>
            <w:r>
              <w:fldChar w:fldCharType="separate"/>
            </w:r>
            <w:r w:rsidRPr="004E0CF8">
              <w:rPr>
                <w:rStyle w:val="Hyperlink"/>
                <w:rFonts w:ascii="STKaiti" w:eastAsia="STKaiti" w:hAnsi="STKaiti"/>
                <w:sz w:val="22"/>
                <w:szCs w:val="22"/>
                <w:u w:val="single"/>
                <w:lang w:eastAsia="zh-CN"/>
              </w:rPr>
              <w:t>第</w:t>
            </w:r>
            <w:r w:rsidRPr="00AC67B3">
              <w:rPr>
                <w:rStyle w:val="Hyperlink"/>
                <w:rFonts w:asciiTheme="minorHAnsi" w:eastAsia="STKaiti" w:hAnsiTheme="minorHAnsi" w:cstheme="minorHAnsi"/>
                <w:sz w:val="22"/>
                <w:szCs w:val="22"/>
                <w:u w:val="single"/>
                <w:lang w:eastAsia="zh-CN"/>
              </w:rPr>
              <w:t>71</w:t>
            </w:r>
            <w:r w:rsidRPr="004E0CF8">
              <w:rPr>
                <w:rStyle w:val="Hyperlink"/>
                <w:rFonts w:ascii="STKaiti" w:eastAsia="STKaiti" w:hAnsi="STKaiti"/>
                <w:sz w:val="22"/>
                <w:szCs w:val="22"/>
                <w:u w:val="single"/>
                <w:lang w:eastAsia="zh-CN"/>
              </w:rPr>
              <w:t>号决议（</w:t>
            </w:r>
            <w:r w:rsidRPr="00AC67B3">
              <w:rPr>
                <w:rStyle w:val="Hyperlink"/>
                <w:rFonts w:asciiTheme="minorHAnsi" w:eastAsia="STKaiti" w:hAnsiTheme="minorHAnsi" w:cstheme="minorHAnsi"/>
                <w:sz w:val="22"/>
                <w:szCs w:val="22"/>
                <w:u w:val="single"/>
                <w:lang w:eastAsia="zh-CN"/>
              </w:rPr>
              <w:t>2022</w:t>
            </w:r>
            <w:r w:rsidRPr="004E0CF8">
              <w:rPr>
                <w:rStyle w:val="Hyperlink"/>
                <w:rFonts w:ascii="STKaiti" w:eastAsia="STKaiti" w:hAnsi="STKaiti"/>
                <w:sz w:val="22"/>
                <w:szCs w:val="22"/>
                <w:u w:val="single"/>
                <w:lang w:eastAsia="zh-CN"/>
              </w:rPr>
              <w:t>年，布加勒斯特，修订版）</w:t>
            </w:r>
            <w:r>
              <w:fldChar w:fldCharType="end"/>
            </w:r>
            <w:r w:rsidRPr="00F62B30">
              <w:rPr>
                <w:rFonts w:ascii="STKaiti" w:eastAsia="STKaiti" w:hAnsi="STKaiti"/>
                <w:color w:val="000000"/>
                <w:lang w:val="zh-CN" w:eastAsia="zh-CN"/>
              </w:rPr>
              <w:t>、</w:t>
            </w:r>
            <w:hyperlink r:id="rId8" w:history="1">
              <w:r w:rsidRPr="00A6218D">
                <w:rPr>
                  <w:rStyle w:val="Hyperlink"/>
                  <w:rFonts w:ascii="STKaiti" w:eastAsia="STKaiti" w:hAnsi="STKaiti"/>
                  <w:sz w:val="22"/>
                  <w:szCs w:val="22"/>
                  <w:lang w:eastAsia="zh-CN"/>
                </w:rPr>
                <w:t>第</w:t>
              </w:r>
              <w:r w:rsidRPr="00AC67B3">
                <w:rPr>
                  <w:rStyle w:val="Hyperlink"/>
                  <w:rFonts w:asciiTheme="minorHAnsi" w:eastAsia="STKaiti" w:hAnsiTheme="minorHAnsi" w:cstheme="minorHAnsi"/>
                  <w:sz w:val="22"/>
                  <w:szCs w:val="22"/>
                  <w:u w:val="single"/>
                  <w:lang w:eastAsia="zh-CN"/>
                </w:rPr>
                <w:t>191</w:t>
              </w:r>
              <w:r w:rsidRPr="00A6218D">
                <w:rPr>
                  <w:rStyle w:val="Hyperlink"/>
                  <w:rFonts w:ascii="STKaiti" w:eastAsia="STKaiti" w:hAnsi="STKaiti"/>
                  <w:sz w:val="22"/>
                  <w:szCs w:val="22"/>
                  <w:lang w:eastAsia="zh-CN"/>
                </w:rPr>
                <w:t>号决议（</w:t>
              </w:r>
              <w:r w:rsidRPr="00AC67B3">
                <w:rPr>
                  <w:rStyle w:val="Hyperlink"/>
                  <w:rFonts w:asciiTheme="minorHAnsi" w:eastAsia="STKaiti" w:hAnsiTheme="minorHAnsi" w:cstheme="minorHAnsi"/>
                  <w:sz w:val="22"/>
                  <w:szCs w:val="22"/>
                  <w:u w:val="single"/>
                  <w:lang w:eastAsia="zh-CN"/>
                </w:rPr>
                <w:t>2022</w:t>
              </w:r>
              <w:r w:rsidRPr="00A6218D">
                <w:rPr>
                  <w:rStyle w:val="Hyperlink"/>
                  <w:rFonts w:ascii="STKaiti" w:eastAsia="STKaiti" w:hAnsi="STKaiti"/>
                  <w:sz w:val="22"/>
                  <w:szCs w:val="22"/>
                  <w:lang w:eastAsia="zh-CN"/>
                </w:rPr>
                <w:t>年，布加勒斯特，修订版）</w:t>
              </w:r>
            </w:hyperlink>
            <w:r w:rsidRPr="00F62B30">
              <w:rPr>
                <w:rFonts w:ascii="STKaiti" w:eastAsia="STKaiti" w:hAnsi="STKaiti"/>
                <w:color w:val="000000"/>
                <w:lang w:val="zh-CN" w:eastAsia="zh-CN"/>
              </w:rPr>
              <w:t>以</w:t>
            </w:r>
            <w:r w:rsidRPr="00A6218D">
              <w:rPr>
                <w:rFonts w:ascii="STKaiti" w:eastAsia="STKaiti" w:hAnsi="STKaiti"/>
                <w:color w:val="000000"/>
                <w:lang w:val="zh-CN" w:eastAsia="zh-CN"/>
              </w:rPr>
              <w:t>及</w:t>
            </w:r>
            <w:r w:rsidRPr="004E0CF8">
              <w:rPr>
                <w:rStyle w:val="Hyperlink"/>
                <w:rFonts w:eastAsia="STKaiti"/>
                <w:sz w:val="22"/>
                <w:szCs w:val="22"/>
                <w:u w:val="single"/>
                <w:lang w:eastAsia="zh-CN"/>
              </w:rPr>
              <w:t>第</w:t>
            </w:r>
            <w:hyperlink r:id="rId9" w:history="1">
              <w:r w:rsidRPr="00AC67B3">
                <w:rPr>
                  <w:rStyle w:val="Hyperlink"/>
                  <w:rFonts w:asciiTheme="minorHAnsi" w:eastAsia="STKaiti" w:hAnsiTheme="minorHAnsi" w:cstheme="minorHAnsi"/>
                  <w:sz w:val="22"/>
                  <w:szCs w:val="22"/>
                  <w:u w:val="single"/>
                  <w:lang w:eastAsia="zh-CN"/>
                </w:rPr>
                <w:t>5</w:t>
              </w:r>
              <w:r w:rsidRPr="004E0CF8">
                <w:rPr>
                  <w:rStyle w:val="Hyperlink"/>
                  <w:rFonts w:ascii="STKaiti" w:eastAsia="STKaiti" w:hAnsi="STKaiti"/>
                  <w:sz w:val="22"/>
                  <w:szCs w:val="22"/>
                  <w:u w:val="single"/>
                  <w:lang w:eastAsia="zh-CN"/>
                </w:rPr>
                <w:t>号决定（</w:t>
              </w:r>
              <w:r w:rsidRPr="00AC67B3">
                <w:rPr>
                  <w:rStyle w:val="Hyperlink"/>
                  <w:rFonts w:asciiTheme="minorHAnsi" w:eastAsia="STKaiti" w:hAnsiTheme="minorHAnsi" w:cstheme="minorHAnsi"/>
                  <w:sz w:val="22"/>
                  <w:szCs w:val="22"/>
                  <w:u w:val="single"/>
                  <w:lang w:eastAsia="zh-CN"/>
                </w:rPr>
                <w:t>2022</w:t>
              </w:r>
              <w:r w:rsidRPr="004E0CF8">
                <w:rPr>
                  <w:rStyle w:val="Hyperlink"/>
                  <w:rFonts w:ascii="STKaiti" w:eastAsia="STKaiti" w:hAnsi="STKaiti"/>
                  <w:sz w:val="22"/>
                  <w:szCs w:val="22"/>
                  <w:u w:val="single"/>
                  <w:lang w:eastAsia="zh-CN"/>
                </w:rPr>
                <w:t>年，布加勒斯特，修订版）</w:t>
              </w:r>
            </w:hyperlink>
          </w:p>
        </w:tc>
      </w:tr>
      <w:bookmarkEnd w:id="2"/>
      <w:bookmarkEnd w:id="6"/>
    </w:tbl>
    <w:p w14:paraId="0925970E"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p>
    <w:p w14:paraId="01BAB4D4" w14:textId="77777777" w:rsidR="00A6218D" w:rsidRPr="00484E07" w:rsidRDefault="00E24D59" w:rsidP="00A6218D">
      <w:pPr>
        <w:pStyle w:val="Headingb"/>
        <w:rPr>
          <w:lang w:eastAsia="zh-CN"/>
        </w:rPr>
      </w:pPr>
      <w:r>
        <w:rPr>
          <w:lang w:eastAsia="zh-CN"/>
        </w:rPr>
        <w:br w:type="page"/>
      </w:r>
      <w:r w:rsidR="00A6218D">
        <w:rPr>
          <w:rFonts w:hint="eastAsia"/>
          <w:bCs/>
          <w:lang w:val="zh-CN" w:eastAsia="zh-CN"/>
        </w:rPr>
        <w:lastRenderedPageBreak/>
        <w:t>引言</w:t>
      </w:r>
    </w:p>
    <w:p w14:paraId="72B7D2BF" w14:textId="77777777" w:rsidR="00A6218D" w:rsidRPr="00A6218D" w:rsidRDefault="00A6218D" w:rsidP="00A6218D">
      <w:pPr>
        <w:ind w:firstLineChars="200" w:firstLine="480"/>
        <w:rPr>
          <w:rFonts w:cs="Calibri"/>
          <w:lang w:eastAsia="zh-CN"/>
        </w:rPr>
      </w:pPr>
      <w:r w:rsidRPr="00A6218D">
        <w:rPr>
          <w:rFonts w:cs="Calibri" w:hint="eastAsia"/>
          <w:lang w:val="zh-CN" w:eastAsia="zh-CN"/>
        </w:rPr>
        <w:t>2022</w:t>
      </w:r>
      <w:r w:rsidRPr="00A6218D">
        <w:rPr>
          <w:rFonts w:cs="Calibri" w:hint="eastAsia"/>
          <w:lang w:val="zh-CN" w:eastAsia="zh-CN"/>
        </w:rPr>
        <w:t>年全权代表大会（</w:t>
      </w:r>
      <w:r w:rsidRPr="00A6218D">
        <w:rPr>
          <w:rFonts w:cs="Calibri" w:hint="eastAsia"/>
          <w:lang w:val="zh-CN" w:eastAsia="zh-CN"/>
        </w:rPr>
        <w:t>PP-22</w:t>
      </w:r>
      <w:r w:rsidRPr="00A6218D">
        <w:rPr>
          <w:rFonts w:cs="Calibri" w:hint="eastAsia"/>
          <w:lang w:val="zh-CN" w:eastAsia="zh-CN"/>
        </w:rPr>
        <w:t>）通过第</w:t>
      </w:r>
      <w:r w:rsidRPr="00A6218D">
        <w:rPr>
          <w:rFonts w:cs="Calibri" w:hint="eastAsia"/>
          <w:lang w:val="zh-CN" w:eastAsia="zh-CN"/>
        </w:rPr>
        <w:t>191</w:t>
      </w:r>
      <w:r w:rsidRPr="00A6218D">
        <w:rPr>
          <w:rFonts w:cs="Calibri" w:hint="eastAsia"/>
          <w:lang w:val="zh-CN" w:eastAsia="zh-CN"/>
        </w:rPr>
        <w:t>号决议（</w:t>
      </w:r>
      <w:r w:rsidRPr="00A6218D">
        <w:rPr>
          <w:rFonts w:cs="Calibri" w:hint="eastAsia"/>
          <w:lang w:val="zh-CN" w:eastAsia="zh-CN"/>
        </w:rPr>
        <w:t>2022</w:t>
      </w:r>
      <w:r w:rsidRPr="00A6218D">
        <w:rPr>
          <w:rFonts w:cs="Calibri" w:hint="eastAsia"/>
          <w:lang w:val="zh-CN" w:eastAsia="zh-CN"/>
        </w:rPr>
        <w:t>年，布加勒斯特，修订版）责成秘书长继续加强三个部门和总秘书处之间的协调与合作，以避免工作重复并优化国际电联的资源。该决议进一步请秘书长查明各部门与总秘书处之间所有形式的职能和活动重叠，并提出适当的解决方案。</w:t>
      </w:r>
    </w:p>
    <w:p w14:paraId="111CF043" w14:textId="77777777" w:rsidR="00A6218D" w:rsidRPr="00A6218D" w:rsidRDefault="00A6218D" w:rsidP="00A6218D">
      <w:pPr>
        <w:ind w:firstLineChars="200" w:firstLine="480"/>
        <w:rPr>
          <w:rFonts w:cs="Calibri"/>
          <w:lang w:eastAsia="zh-CN"/>
        </w:rPr>
      </w:pPr>
      <w:r w:rsidRPr="00A6218D">
        <w:rPr>
          <w:rFonts w:cs="Calibri"/>
          <w:lang w:val="zh-CN" w:eastAsia="zh-CN"/>
        </w:rPr>
        <w:t>为履行这些职责，秘书长授权副秘书长实施跨部门协调战略和机制，通过跨部门团队实现各部门和总秘书处之间的有效协作，支持国际电联实现战略目标和组织卓越</w:t>
      </w:r>
      <w:r w:rsidRPr="00A6218D">
        <w:rPr>
          <w:rFonts w:cs="Calibri" w:hint="eastAsia"/>
          <w:lang w:val="zh-CN" w:eastAsia="zh-CN"/>
        </w:rPr>
        <w:t>性</w:t>
      </w:r>
      <w:r w:rsidRPr="00A6218D">
        <w:rPr>
          <w:rFonts w:cs="Calibri"/>
          <w:lang w:val="zh-CN" w:eastAsia="zh-CN"/>
        </w:rPr>
        <w:t>。</w:t>
      </w:r>
    </w:p>
    <w:p w14:paraId="1E3A0319" w14:textId="74F9F55F" w:rsidR="00A6218D" w:rsidRPr="00A6218D" w:rsidRDefault="00A6218D" w:rsidP="00A6218D">
      <w:pPr>
        <w:ind w:firstLineChars="200" w:firstLine="480"/>
        <w:rPr>
          <w:rFonts w:cs="Calibri"/>
          <w:szCs w:val="24"/>
          <w:lang w:eastAsia="zh-CN"/>
        </w:rPr>
      </w:pPr>
      <w:r w:rsidRPr="00A6218D">
        <w:rPr>
          <w:rFonts w:cs="Calibri"/>
          <w:lang w:val="zh-CN" w:eastAsia="zh-CN"/>
        </w:rPr>
        <w:t>2024</w:t>
      </w:r>
      <w:r w:rsidRPr="00A6218D">
        <w:rPr>
          <w:rFonts w:cs="Calibri"/>
          <w:lang w:val="zh-CN" w:eastAsia="zh-CN"/>
        </w:rPr>
        <w:t>年，设立跨部门协调任务组（</w:t>
      </w:r>
      <w:r w:rsidRPr="00A6218D">
        <w:rPr>
          <w:rFonts w:cs="Calibri"/>
          <w:lang w:val="zh-CN" w:eastAsia="zh-CN"/>
        </w:rPr>
        <w:t>ISC-TF</w:t>
      </w:r>
      <w:r w:rsidRPr="00A6218D">
        <w:rPr>
          <w:rFonts w:cs="Calibri"/>
          <w:lang w:val="zh-CN" w:eastAsia="zh-CN"/>
        </w:rPr>
        <w:t>）的行政规定（</w:t>
      </w:r>
      <w:hyperlink r:id="rId10" w:history="1">
        <w:r w:rsidR="004E0CF8" w:rsidRPr="004E0CF8">
          <w:rPr>
            <w:rStyle w:val="Hyperlink"/>
            <w:rFonts w:eastAsia="SimSun"/>
            <w:u w:val="single"/>
            <w:lang w:val="en-US" w:eastAsia="zh-CN"/>
          </w:rPr>
          <w:t>SO 24/06</w:t>
        </w:r>
      </w:hyperlink>
      <w:r w:rsidRPr="00A6218D">
        <w:rPr>
          <w:rFonts w:cs="Calibri"/>
          <w:lang w:val="zh-CN" w:eastAsia="zh-CN"/>
        </w:rPr>
        <w:t>）</w:t>
      </w:r>
      <w:r w:rsidRPr="00A6218D">
        <w:rPr>
          <w:rFonts w:cs="Calibri" w:hint="eastAsia"/>
          <w:lang w:val="zh-CN" w:eastAsia="zh-CN"/>
        </w:rPr>
        <w:t>得到</w:t>
      </w:r>
      <w:r w:rsidRPr="00A6218D">
        <w:rPr>
          <w:rFonts w:cs="Calibri"/>
          <w:lang w:val="zh-CN" w:eastAsia="zh-CN"/>
        </w:rPr>
        <w:t>更新。在协调委员会（</w:t>
      </w:r>
      <w:r w:rsidRPr="00A6218D">
        <w:rPr>
          <w:rFonts w:cs="Calibri"/>
          <w:lang w:val="zh-CN" w:eastAsia="zh-CN"/>
        </w:rPr>
        <w:t>CoCo</w:t>
      </w:r>
      <w:r w:rsidRPr="00A6218D">
        <w:rPr>
          <w:rFonts w:cs="Calibri"/>
          <w:lang w:val="zh-CN" w:eastAsia="zh-CN"/>
        </w:rPr>
        <w:t>）的领导下，</w:t>
      </w:r>
      <w:r w:rsidRPr="00A6218D">
        <w:rPr>
          <w:rFonts w:cs="Calibri"/>
          <w:lang w:val="zh-CN" w:eastAsia="zh-CN"/>
        </w:rPr>
        <w:t>ISC-TF</w:t>
      </w:r>
      <w:r w:rsidRPr="00A6218D">
        <w:rPr>
          <w:rFonts w:cs="Calibri"/>
          <w:lang w:val="zh-CN" w:eastAsia="zh-CN"/>
        </w:rPr>
        <w:t>被授权加强三个局和总秘书处之间的协调与协作，以防止内部</w:t>
      </w:r>
      <w:r w:rsidRPr="00A6218D">
        <w:rPr>
          <w:rFonts w:cs="Calibri" w:hint="eastAsia"/>
          <w:lang w:val="zh-CN" w:eastAsia="zh-CN"/>
        </w:rPr>
        <w:t>工作</w:t>
      </w:r>
      <w:r w:rsidRPr="00A6218D">
        <w:rPr>
          <w:rFonts w:cs="Calibri"/>
          <w:lang w:val="zh-CN" w:eastAsia="zh-CN"/>
        </w:rPr>
        <w:t>重复并确保国际电联资源</w:t>
      </w:r>
      <w:r w:rsidRPr="00A6218D">
        <w:rPr>
          <w:rFonts w:cs="Calibri" w:hint="eastAsia"/>
          <w:lang w:val="zh-CN" w:eastAsia="zh-CN"/>
        </w:rPr>
        <w:t>得到</w:t>
      </w:r>
      <w:r w:rsidRPr="00A6218D">
        <w:rPr>
          <w:rFonts w:cs="Calibri"/>
          <w:lang w:val="zh-CN" w:eastAsia="zh-CN"/>
        </w:rPr>
        <w:t>最佳利用。</w:t>
      </w:r>
      <w:hyperlink r:id="rId11" w:history="1"/>
    </w:p>
    <w:p w14:paraId="329597DF" w14:textId="4747CCC3" w:rsidR="00A6218D" w:rsidRPr="00A6218D" w:rsidRDefault="00A6218D" w:rsidP="00A6218D">
      <w:pPr>
        <w:ind w:firstLineChars="200" w:firstLine="480"/>
        <w:rPr>
          <w:rFonts w:cs="Calibri"/>
          <w:lang w:eastAsia="zh-CN"/>
        </w:rPr>
      </w:pPr>
      <w:r w:rsidRPr="00A6218D">
        <w:rPr>
          <w:rFonts w:cs="Calibri" w:hint="eastAsia"/>
          <w:lang w:val="zh-CN" w:eastAsia="zh-CN"/>
        </w:rPr>
        <w:t>秘书处内部的协调</w:t>
      </w:r>
      <w:r w:rsidRPr="00A6218D">
        <w:rPr>
          <w:rFonts w:cs="Calibri"/>
          <w:lang w:val="zh-CN" w:eastAsia="zh-CN"/>
        </w:rPr>
        <w:t>跨部门协调任务组（</w:t>
      </w:r>
      <w:r w:rsidRPr="00A6218D">
        <w:rPr>
          <w:rFonts w:cs="Calibri"/>
          <w:lang w:val="zh-CN" w:eastAsia="zh-CN"/>
        </w:rPr>
        <w:t>ISC-TF</w:t>
      </w:r>
      <w:r w:rsidRPr="00A6218D">
        <w:rPr>
          <w:rFonts w:cs="Calibri"/>
          <w:lang w:val="zh-CN" w:eastAsia="zh-CN"/>
        </w:rPr>
        <w:t>）：</w:t>
      </w:r>
      <w:r w:rsidRPr="00A6218D">
        <w:rPr>
          <w:rFonts w:cs="Calibri"/>
          <w:lang w:val="zh-CN" w:eastAsia="zh-CN"/>
        </w:rPr>
        <w:t>ISC-TF</w:t>
      </w:r>
      <w:r w:rsidRPr="00A6218D">
        <w:rPr>
          <w:rFonts w:cs="Calibri"/>
          <w:lang w:val="zh-CN" w:eastAsia="zh-CN"/>
        </w:rPr>
        <w:t>是秘书处内部的主要内部协调机制，促进三个局和总秘书处之间的协作，确保各项活动与国际电联的战略重点保持一致。</w:t>
      </w:r>
      <w:r w:rsidRPr="00A6218D">
        <w:rPr>
          <w:rFonts w:cs="Calibri"/>
          <w:lang w:val="zh-CN" w:eastAsia="zh-CN"/>
        </w:rPr>
        <w:t>ISC-TF</w:t>
      </w:r>
      <w:r w:rsidRPr="00A6218D">
        <w:rPr>
          <w:rFonts w:cs="Calibri"/>
          <w:lang w:val="zh-CN" w:eastAsia="zh-CN"/>
        </w:rPr>
        <w:t>与跨部门协调组（</w:t>
      </w:r>
      <w:r w:rsidRPr="00A6218D">
        <w:rPr>
          <w:rFonts w:cs="Calibri"/>
          <w:lang w:val="zh-CN" w:eastAsia="zh-CN"/>
        </w:rPr>
        <w:t>ISCG</w:t>
      </w:r>
      <w:r w:rsidRPr="00A6218D">
        <w:rPr>
          <w:rFonts w:cs="Calibri"/>
          <w:lang w:val="zh-CN" w:eastAsia="zh-CN"/>
        </w:rPr>
        <w:t>）</w:t>
      </w:r>
      <w:r w:rsidRPr="00A6218D">
        <w:rPr>
          <w:rFonts w:cs="Calibri" w:hint="eastAsia"/>
          <w:lang w:val="zh-CN" w:eastAsia="zh-CN"/>
        </w:rPr>
        <w:t>进行</w:t>
      </w:r>
      <w:r w:rsidRPr="00A6218D">
        <w:rPr>
          <w:rFonts w:cs="Calibri"/>
          <w:lang w:val="zh-CN" w:eastAsia="zh-CN"/>
        </w:rPr>
        <w:t>联络，以确定成员的需求，同时提供旨在改进整个国际电联合作和协调的可选方案。</w:t>
      </w:r>
    </w:p>
    <w:p w14:paraId="2FF00BEC" w14:textId="77777777" w:rsidR="00A6218D" w:rsidRPr="00A6218D" w:rsidRDefault="00A6218D" w:rsidP="00A6218D">
      <w:pPr>
        <w:ind w:firstLineChars="200" w:firstLine="480"/>
        <w:rPr>
          <w:rFonts w:cs="Calibri"/>
          <w:szCs w:val="24"/>
          <w:lang w:eastAsia="zh-CN"/>
        </w:rPr>
      </w:pPr>
      <w:r w:rsidRPr="00A6218D">
        <w:rPr>
          <w:rFonts w:cs="Calibri" w:hint="eastAsia"/>
          <w:lang w:val="zh-CN" w:eastAsia="zh-CN"/>
        </w:rPr>
        <w:t>自去年向理事会提交报告以来，</w:t>
      </w:r>
      <w:r w:rsidRPr="00A6218D">
        <w:rPr>
          <w:rFonts w:cs="Calibri" w:hint="eastAsia"/>
          <w:lang w:val="zh-CN" w:eastAsia="zh-CN"/>
        </w:rPr>
        <w:t>ISC-TF</w:t>
      </w:r>
      <w:r w:rsidRPr="00A6218D">
        <w:rPr>
          <w:rFonts w:cs="Calibri" w:hint="eastAsia"/>
          <w:lang w:val="zh-CN" w:eastAsia="zh-CN"/>
        </w:rPr>
        <w:t>一直通过综合运用治理机制、共享分析工具以及具体的跨部门举措，持续加强</w:t>
      </w:r>
      <w:r w:rsidRPr="00A6218D">
        <w:rPr>
          <w:rFonts w:cs="Calibri"/>
          <w:lang w:val="zh-CN" w:eastAsia="zh-CN"/>
        </w:rPr>
        <w:t>国际电联</w:t>
      </w:r>
      <w:r w:rsidRPr="00A6218D">
        <w:rPr>
          <w:rFonts w:cs="Calibri" w:hint="eastAsia"/>
          <w:lang w:val="zh-CN" w:eastAsia="zh-CN"/>
        </w:rPr>
        <w:t>范围内的协调工作。</w:t>
      </w:r>
    </w:p>
    <w:p w14:paraId="27062245" w14:textId="77777777" w:rsidR="00A6218D" w:rsidRPr="00A6218D" w:rsidRDefault="00A6218D" w:rsidP="00A6218D">
      <w:pPr>
        <w:ind w:firstLineChars="200" w:firstLine="480"/>
        <w:rPr>
          <w:rFonts w:cs="Calibri"/>
          <w:lang w:eastAsia="zh-CN"/>
        </w:rPr>
      </w:pPr>
      <w:r w:rsidRPr="00A6218D">
        <w:rPr>
          <w:rFonts w:cs="Calibri"/>
          <w:lang w:val="zh-CN" w:eastAsia="zh-CN"/>
        </w:rPr>
        <w:t>部门间协调为国际电联年度报告中反映的若干项国际电联主要举措的落实提供了支持，这些活动越来越多地结合了来自无线电通信、标准化、发展和总秘书处的专业技能。例如</w:t>
      </w:r>
      <w:r w:rsidRPr="00A6218D">
        <w:rPr>
          <w:rFonts w:cs="Calibri" w:hint="eastAsia"/>
          <w:lang w:val="zh-CN" w:eastAsia="zh-CN"/>
        </w:rPr>
        <w:t>：</w:t>
      </w:r>
    </w:p>
    <w:p w14:paraId="315D7A1F" w14:textId="77777777" w:rsidR="00A6218D" w:rsidRPr="00983FD1" w:rsidRDefault="00A6218D" w:rsidP="00A6218D">
      <w:pPr>
        <w:pStyle w:val="enumlev1"/>
        <w:spacing w:line="259" w:lineRule="auto"/>
        <w:rPr>
          <w:rFonts w:eastAsia="Calibri"/>
          <w:lang w:eastAsia="zh-CN"/>
        </w:rPr>
      </w:pPr>
      <w:r>
        <w:rPr>
          <w:lang w:val="zh-CN" w:eastAsia="zh-CN"/>
        </w:rPr>
        <w:t>–</w:t>
      </w:r>
      <w:r>
        <w:rPr>
          <w:lang w:val="zh-CN" w:eastAsia="zh-CN"/>
        </w:rPr>
        <w:tab/>
      </w:r>
      <w:r w:rsidRPr="00670635">
        <w:rPr>
          <w:b/>
          <w:bCs/>
          <w:lang w:val="zh-CN" w:eastAsia="zh-CN"/>
        </w:rPr>
        <w:t>网络安全和数字信任</w:t>
      </w:r>
      <w:r>
        <w:rPr>
          <w:lang w:val="zh-CN" w:eastAsia="zh-CN"/>
        </w:rPr>
        <w:t>：</w:t>
      </w:r>
      <w:r>
        <w:rPr>
          <w:lang w:val="zh-CN" w:eastAsia="zh-CN"/>
        </w:rPr>
        <w:t>ITU-D</w:t>
      </w:r>
      <w:r>
        <w:rPr>
          <w:lang w:val="zh-CN" w:eastAsia="zh-CN"/>
        </w:rPr>
        <w:t>、</w:t>
      </w:r>
      <w:r>
        <w:rPr>
          <w:lang w:val="zh-CN" w:eastAsia="zh-CN"/>
        </w:rPr>
        <w:t>ITU-T</w:t>
      </w:r>
      <w:r>
        <w:rPr>
          <w:lang w:val="zh-CN" w:eastAsia="zh-CN"/>
        </w:rPr>
        <w:t>和</w:t>
      </w:r>
      <w:r>
        <w:rPr>
          <w:lang w:val="zh-CN" w:eastAsia="zh-CN"/>
        </w:rPr>
        <w:t>ITU-R</w:t>
      </w:r>
      <w:r>
        <w:rPr>
          <w:lang w:val="zh-CN" w:eastAsia="zh-CN"/>
        </w:rPr>
        <w:t>的工作将政策指导、标准制定和能力建设活动相结合，为建立全面的全球网络安全框架做出了贡献。通过这些协调努力，拥有国家计算机事件响应团队的国家</w:t>
      </w:r>
      <w:r>
        <w:rPr>
          <w:rFonts w:hint="eastAsia"/>
          <w:lang w:val="zh-CN" w:eastAsia="zh-CN"/>
        </w:rPr>
        <w:t>数量</w:t>
      </w:r>
      <w:r>
        <w:rPr>
          <w:lang w:val="zh-CN" w:eastAsia="zh-CN"/>
        </w:rPr>
        <w:t>从</w:t>
      </w:r>
      <w:r>
        <w:rPr>
          <w:lang w:val="zh-CN" w:eastAsia="zh-CN"/>
        </w:rPr>
        <w:t>2020</w:t>
      </w:r>
      <w:r>
        <w:rPr>
          <w:lang w:val="zh-CN" w:eastAsia="zh-CN"/>
        </w:rPr>
        <w:t>年的</w:t>
      </w:r>
      <w:r>
        <w:rPr>
          <w:lang w:val="zh-CN" w:eastAsia="zh-CN"/>
        </w:rPr>
        <w:t>109</w:t>
      </w:r>
      <w:r>
        <w:rPr>
          <w:lang w:val="zh-CN" w:eastAsia="zh-CN"/>
        </w:rPr>
        <w:t>个增加到</w:t>
      </w:r>
      <w:r>
        <w:rPr>
          <w:lang w:val="zh-CN" w:eastAsia="zh-CN"/>
        </w:rPr>
        <w:t>2025</w:t>
      </w:r>
      <w:r>
        <w:rPr>
          <w:lang w:val="zh-CN" w:eastAsia="zh-CN"/>
        </w:rPr>
        <w:t>年的</w:t>
      </w:r>
      <w:r>
        <w:rPr>
          <w:lang w:val="zh-CN" w:eastAsia="zh-CN"/>
        </w:rPr>
        <w:t>132</w:t>
      </w:r>
      <w:r>
        <w:rPr>
          <w:lang w:val="zh-CN" w:eastAsia="zh-CN"/>
        </w:rPr>
        <w:t>个，国家网络安全战略在全球范围内显著扩展。</w:t>
      </w:r>
    </w:p>
    <w:p w14:paraId="6A22D4EB" w14:textId="77777777" w:rsidR="00A6218D" w:rsidRPr="00983FD1" w:rsidRDefault="00A6218D" w:rsidP="00A6218D">
      <w:pPr>
        <w:pStyle w:val="enumlev1"/>
        <w:rPr>
          <w:rFonts w:eastAsia="Calibri" w:cs="Calibri"/>
          <w:szCs w:val="24"/>
          <w:lang w:eastAsia="zh-CN"/>
        </w:rPr>
      </w:pPr>
      <w:r>
        <w:rPr>
          <w:lang w:val="zh-CN" w:eastAsia="zh-CN"/>
        </w:rPr>
        <w:t>–</w:t>
      </w:r>
      <w:r>
        <w:rPr>
          <w:lang w:val="zh-CN" w:eastAsia="zh-CN"/>
        </w:rPr>
        <w:tab/>
      </w:r>
      <w:r w:rsidRPr="00670635">
        <w:rPr>
          <w:b/>
          <w:bCs/>
          <w:lang w:val="zh-CN" w:eastAsia="zh-CN"/>
        </w:rPr>
        <w:t>数字包容性和无障碍获取</w:t>
      </w:r>
      <w:r>
        <w:rPr>
          <w:lang w:val="zh-CN" w:eastAsia="zh-CN"/>
        </w:rPr>
        <w:t>：三个部门共同努力，通过专家建议、培训计划和技术资源，推进残疾人的数字无障碍获取。这种协调一致的方式有助于扩大国家</w:t>
      </w:r>
      <w:r>
        <w:rPr>
          <w:lang w:val="zh-CN" w:eastAsia="zh-CN"/>
        </w:rPr>
        <w:t>ICT</w:t>
      </w:r>
      <w:r>
        <w:rPr>
          <w:lang w:val="zh-CN" w:eastAsia="zh-CN"/>
        </w:rPr>
        <w:t>无障碍获取监管框架，在本报告所述期间，该框架已覆盖</w:t>
      </w:r>
      <w:r>
        <w:rPr>
          <w:lang w:val="zh-CN" w:eastAsia="zh-CN"/>
        </w:rPr>
        <w:t>100</w:t>
      </w:r>
      <w:r>
        <w:rPr>
          <w:lang w:val="zh-CN" w:eastAsia="zh-CN"/>
        </w:rPr>
        <w:t>多个国家。</w:t>
      </w:r>
    </w:p>
    <w:p w14:paraId="554F3D85" w14:textId="77777777" w:rsidR="00A6218D" w:rsidRPr="00983FD1" w:rsidRDefault="00A6218D" w:rsidP="00A6218D">
      <w:pPr>
        <w:pStyle w:val="enumlev1"/>
        <w:rPr>
          <w:rFonts w:eastAsia="Calibri" w:cs="Calibri"/>
          <w:szCs w:val="24"/>
          <w:lang w:eastAsia="zh-CN"/>
        </w:rPr>
      </w:pPr>
      <w:r>
        <w:rPr>
          <w:lang w:val="zh-CN" w:eastAsia="zh-CN"/>
        </w:rPr>
        <w:t>–</w:t>
      </w:r>
      <w:r>
        <w:rPr>
          <w:lang w:val="zh-CN" w:eastAsia="zh-CN"/>
        </w:rPr>
        <w:tab/>
      </w:r>
      <w:r w:rsidRPr="00670635">
        <w:rPr>
          <w:b/>
          <w:bCs/>
          <w:lang w:val="zh-CN" w:eastAsia="zh-CN"/>
        </w:rPr>
        <w:t>缩小标准化差距和能力开发</w:t>
      </w:r>
      <w:r>
        <w:rPr>
          <w:lang w:val="zh-CN" w:eastAsia="zh-CN"/>
        </w:rPr>
        <w:t>：电信标准化局（</w:t>
      </w:r>
      <w:r>
        <w:rPr>
          <w:lang w:val="zh-CN" w:eastAsia="zh-CN"/>
        </w:rPr>
        <w:t>TSB</w:t>
      </w:r>
      <w:r>
        <w:rPr>
          <w:lang w:val="zh-CN" w:eastAsia="zh-CN"/>
        </w:rPr>
        <w:t>）和电信发展局（</w:t>
      </w:r>
      <w:r>
        <w:rPr>
          <w:lang w:val="zh-CN" w:eastAsia="zh-CN"/>
        </w:rPr>
        <w:t>BDT</w:t>
      </w:r>
      <w:r>
        <w:rPr>
          <w:lang w:val="zh-CN" w:eastAsia="zh-CN"/>
        </w:rPr>
        <w:t>）之间的协调，包括通过区域代表处的协调，继续支持</w:t>
      </w:r>
      <w:r>
        <w:rPr>
          <w:rFonts w:hint="eastAsia"/>
          <w:lang w:val="zh-CN" w:eastAsia="zh-CN"/>
        </w:rPr>
        <w:t>各项</w:t>
      </w:r>
      <w:r>
        <w:rPr>
          <w:lang w:val="zh-CN" w:eastAsia="zh-CN"/>
        </w:rPr>
        <w:t>培训和能力开发活动</w:t>
      </w:r>
      <w:r>
        <w:rPr>
          <w:rFonts w:hint="eastAsia"/>
          <w:lang w:val="zh-CN" w:eastAsia="zh-CN"/>
        </w:rPr>
        <w:t>，目的是</w:t>
      </w:r>
      <w:r>
        <w:rPr>
          <w:lang w:val="zh-CN" w:eastAsia="zh-CN"/>
        </w:rPr>
        <w:t>提高发展中国家对国际标准化进程的参与</w:t>
      </w:r>
      <w:r>
        <w:rPr>
          <w:rFonts w:hint="eastAsia"/>
          <w:lang w:val="zh-CN" w:eastAsia="zh-CN"/>
        </w:rPr>
        <w:t>度</w:t>
      </w:r>
      <w:r>
        <w:rPr>
          <w:lang w:val="zh-CN" w:eastAsia="zh-CN"/>
        </w:rPr>
        <w:t>。培训材料和课程通过国际电联学院平台以多种</w:t>
      </w:r>
      <w:r>
        <w:rPr>
          <w:rFonts w:hint="eastAsia"/>
          <w:lang w:val="zh-CN" w:eastAsia="zh-CN"/>
        </w:rPr>
        <w:t>语文</w:t>
      </w:r>
      <w:r>
        <w:rPr>
          <w:lang w:val="zh-CN" w:eastAsia="zh-CN"/>
        </w:rPr>
        <w:t>提供。</w:t>
      </w:r>
    </w:p>
    <w:p w14:paraId="5BF804B6" w14:textId="62519C5F" w:rsidR="00A6218D" w:rsidRPr="0063310A" w:rsidRDefault="00A6218D" w:rsidP="00A6218D">
      <w:pPr>
        <w:ind w:firstLineChars="200" w:firstLine="480"/>
        <w:rPr>
          <w:rFonts w:eastAsia="Calibri"/>
          <w:lang w:eastAsia="zh-CN"/>
        </w:rPr>
      </w:pPr>
      <w:r>
        <w:rPr>
          <w:lang w:val="zh-CN" w:eastAsia="zh-CN"/>
        </w:rPr>
        <w:t>跨部门小组协调工作的更具体成果见理事会关于国际电联战略规划的执行情况和活动的</w:t>
      </w:r>
      <w:hyperlink r:id="rId12" w:history="1">
        <w:r w:rsidR="004E0CF8" w:rsidRPr="004E0CF8">
          <w:rPr>
            <w:rStyle w:val="Hyperlink"/>
            <w:rFonts w:eastAsia="Calibri" w:cs="Calibri"/>
            <w:szCs w:val="24"/>
            <w:u w:val="single"/>
            <w:lang w:eastAsia="zh-CN"/>
          </w:rPr>
          <w:t>C26/35</w:t>
        </w:r>
      </w:hyperlink>
      <w:r>
        <w:rPr>
          <w:lang w:val="zh-CN" w:eastAsia="zh-CN"/>
        </w:rPr>
        <w:t>号文件，包括为报告全权代表大会决议执行情况而开发的网络平台，可</w:t>
      </w:r>
      <w:r>
        <w:rPr>
          <w:rFonts w:hint="eastAsia"/>
          <w:lang w:val="zh-CN" w:eastAsia="zh-CN"/>
        </w:rPr>
        <w:t>通过</w:t>
      </w:r>
      <w:hyperlink r:id="rId13" w:history="1">
        <w:r w:rsidR="004E0CF8" w:rsidRPr="004E0CF8">
          <w:rPr>
            <w:rStyle w:val="Hyperlink"/>
            <w:rFonts w:eastAsia="SimSun" w:cs="Calibri" w:hint="eastAsia"/>
            <w:szCs w:val="24"/>
            <w:u w:val="single"/>
            <w:lang w:eastAsia="zh-CN"/>
          </w:rPr>
          <w:t>此处</w:t>
        </w:r>
      </w:hyperlink>
      <w:r>
        <w:rPr>
          <w:rFonts w:hint="eastAsia"/>
          <w:lang w:val="zh-CN" w:eastAsia="zh-CN"/>
        </w:rPr>
        <w:t>访问</w:t>
      </w:r>
      <w:r>
        <w:rPr>
          <w:lang w:val="zh-CN" w:eastAsia="zh-CN"/>
        </w:rPr>
        <w:t>。</w:t>
      </w:r>
      <w:hyperlink r:id="rId14" w:history="1"/>
      <w:hyperlink r:id="rId15" w:history="1"/>
    </w:p>
    <w:p w14:paraId="54D99B73" w14:textId="77777777" w:rsidR="00A6218D" w:rsidRPr="0063310A" w:rsidRDefault="00A6218D" w:rsidP="00A6218D">
      <w:pPr>
        <w:ind w:firstLineChars="200" w:firstLine="480"/>
        <w:rPr>
          <w:rFonts w:eastAsia="Calibri"/>
          <w:lang w:eastAsia="zh-CN"/>
        </w:rPr>
      </w:pPr>
      <w:r>
        <w:rPr>
          <w:lang w:val="zh-CN" w:eastAsia="zh-CN"/>
        </w:rPr>
        <w:t>秘书处还通过以下方式继续加强协调：</w:t>
      </w:r>
    </w:p>
    <w:p w14:paraId="3B2D62BE" w14:textId="79C2BF12" w:rsidR="00A6218D" w:rsidRPr="00983FD1" w:rsidRDefault="00A6218D" w:rsidP="00A6218D">
      <w:pPr>
        <w:pStyle w:val="enumlev1"/>
        <w:rPr>
          <w:rFonts w:eastAsia="Calibri" w:cs="Calibri"/>
          <w:lang w:eastAsia="zh-CN"/>
        </w:rPr>
      </w:pPr>
      <w:r>
        <w:rPr>
          <w:lang w:val="zh-CN" w:eastAsia="zh-CN"/>
        </w:rPr>
        <w:t>–</w:t>
      </w:r>
      <w:r>
        <w:rPr>
          <w:lang w:val="zh-CN" w:eastAsia="zh-CN"/>
        </w:rPr>
        <w:tab/>
      </w:r>
      <w:hyperlink r:id="rId16">
        <w:r w:rsidR="002E6D04" w:rsidRPr="003C5227">
          <w:rPr>
            <w:rStyle w:val="Hyperlink"/>
            <w:rFonts w:eastAsia="SimSun" w:cs="Calibri" w:hint="eastAsia"/>
            <w:u w:val="single"/>
            <w:lang w:eastAsia="zh-CN"/>
          </w:rPr>
          <w:t>跨部门协调网页</w:t>
        </w:r>
      </w:hyperlink>
      <w:r w:rsidRPr="001210BF">
        <w:rPr>
          <w:rFonts w:hint="eastAsia"/>
          <w:lang w:val="zh-CN" w:eastAsia="zh-CN"/>
        </w:rPr>
        <w:t>：</w:t>
      </w:r>
      <w:r>
        <w:rPr>
          <w:rFonts w:hint="eastAsia"/>
          <w:lang w:val="zh-CN" w:eastAsia="zh-CN"/>
        </w:rPr>
        <w:t>应</w:t>
      </w:r>
      <w:r w:rsidRPr="001210BF">
        <w:rPr>
          <w:rFonts w:hint="eastAsia"/>
          <w:lang w:val="zh-CN" w:eastAsia="zh-CN"/>
        </w:rPr>
        <w:t>理事会财务和人力资源工作组（</w:t>
      </w:r>
      <w:r w:rsidRPr="001210BF">
        <w:rPr>
          <w:rFonts w:hint="eastAsia"/>
          <w:lang w:val="zh-CN" w:eastAsia="zh-CN"/>
        </w:rPr>
        <w:t>CWG-FHR</w:t>
      </w:r>
      <w:r w:rsidRPr="001210BF">
        <w:rPr>
          <w:rFonts w:hint="eastAsia"/>
          <w:lang w:val="zh-CN" w:eastAsia="zh-CN"/>
        </w:rPr>
        <w:t>）的要求，</w:t>
      </w:r>
      <w:r w:rsidRPr="001210BF">
        <w:rPr>
          <w:rFonts w:hint="eastAsia"/>
          <w:lang w:val="zh-CN" w:eastAsia="zh-CN"/>
        </w:rPr>
        <w:t>ISCG</w:t>
      </w:r>
      <w:r w:rsidRPr="001210BF">
        <w:rPr>
          <w:rFonts w:hint="eastAsia"/>
          <w:lang w:val="zh-CN" w:eastAsia="zh-CN"/>
        </w:rPr>
        <w:t>网站也</w:t>
      </w:r>
      <w:r w:rsidRPr="008F5A37">
        <w:rPr>
          <w:rFonts w:hint="eastAsia"/>
          <w:lang w:val="zh-CN" w:eastAsia="zh-CN"/>
        </w:rPr>
        <w:t>已</w:t>
      </w:r>
      <w:r w:rsidRPr="001210BF">
        <w:rPr>
          <w:rFonts w:hint="eastAsia"/>
          <w:lang w:val="zh-CN" w:eastAsia="zh-CN"/>
        </w:rPr>
        <w:t>更新，以反映修订后的格式和文件出版程序</w:t>
      </w:r>
      <w:r>
        <w:rPr>
          <w:rFonts w:hint="eastAsia"/>
          <w:lang w:val="zh-CN" w:eastAsia="zh-CN"/>
        </w:rPr>
        <w:t>，</w:t>
      </w:r>
      <w:r w:rsidRPr="008F5A37">
        <w:rPr>
          <w:rFonts w:hint="eastAsia"/>
          <w:lang w:val="zh-CN" w:eastAsia="zh-CN"/>
        </w:rPr>
        <w:t>这符合</w:t>
      </w:r>
      <w:r w:rsidRPr="001210BF">
        <w:rPr>
          <w:rFonts w:hint="eastAsia"/>
          <w:lang w:val="zh-CN" w:eastAsia="zh-CN"/>
        </w:rPr>
        <w:t>成员国的要求</w:t>
      </w:r>
      <w:r w:rsidRPr="008F5A37">
        <w:rPr>
          <w:rFonts w:hint="eastAsia"/>
          <w:lang w:val="zh-CN" w:eastAsia="zh-CN"/>
        </w:rPr>
        <w:t>以及总秘书处其他会议所采用的做法</w:t>
      </w:r>
      <w:r>
        <w:rPr>
          <w:rFonts w:hint="eastAsia"/>
          <w:lang w:val="zh-CN" w:eastAsia="zh-CN"/>
        </w:rPr>
        <w:t>；</w:t>
      </w:r>
      <w:hyperlink r:id="rId17"/>
    </w:p>
    <w:p w14:paraId="5731F64D" w14:textId="2FDF1A25" w:rsidR="00A6218D" w:rsidRPr="009C3584" w:rsidRDefault="00A6218D" w:rsidP="00A6218D">
      <w:pPr>
        <w:pStyle w:val="enumlev1"/>
        <w:rPr>
          <w:rFonts w:cs="Calibri"/>
          <w:lang w:eastAsia="zh-CN"/>
        </w:rPr>
      </w:pPr>
      <w:r>
        <w:rPr>
          <w:lang w:val="zh-CN" w:eastAsia="zh-CN"/>
        </w:rPr>
        <w:lastRenderedPageBreak/>
        <w:t>–</w:t>
      </w:r>
      <w:r>
        <w:rPr>
          <w:lang w:val="zh-CN" w:eastAsia="zh-CN"/>
        </w:rPr>
        <w:tab/>
      </w:r>
      <w:r w:rsidRPr="008F5A37">
        <w:rPr>
          <w:rFonts w:hint="eastAsia"/>
          <w:lang w:val="zh-CN" w:eastAsia="zh-CN"/>
        </w:rPr>
        <w:t>已</w:t>
      </w:r>
      <w:r>
        <w:rPr>
          <w:lang w:val="zh-CN" w:eastAsia="zh-CN"/>
        </w:rPr>
        <w:t>公布</w:t>
      </w:r>
      <w:r w:rsidRPr="008F5A37">
        <w:rPr>
          <w:rFonts w:hint="eastAsia"/>
          <w:lang w:val="zh-CN" w:eastAsia="zh-CN"/>
        </w:rPr>
        <w:t>需要</w:t>
      </w:r>
      <w:r>
        <w:rPr>
          <w:lang w:val="zh-CN" w:eastAsia="zh-CN"/>
        </w:rPr>
        <w:t>开展跨部门协调的</w:t>
      </w:r>
      <w:hyperlink r:id="rId18">
        <w:r w:rsidR="002E6D04" w:rsidRPr="002E6D04">
          <w:rPr>
            <w:rStyle w:val="Hyperlink"/>
            <w:rFonts w:eastAsia="SimSun" w:cs="Calibri" w:hint="eastAsia"/>
            <w:u w:val="single"/>
            <w:lang w:eastAsia="zh-CN"/>
          </w:rPr>
          <w:t>主题清单</w:t>
        </w:r>
      </w:hyperlink>
      <w:r>
        <w:rPr>
          <w:lang w:val="zh-CN" w:eastAsia="zh-CN"/>
        </w:rPr>
        <w:t>以及各部门和总秘书处任命的联系人</w:t>
      </w:r>
      <w:r w:rsidRPr="008F5A37">
        <w:rPr>
          <w:rFonts w:hint="eastAsia"/>
          <w:lang w:val="zh-CN" w:eastAsia="zh-CN"/>
        </w:rPr>
        <w:t>，该清单可在跨部门协调网页上查阅</w:t>
      </w:r>
      <w:r w:rsidR="001F2E5E">
        <w:rPr>
          <w:rFonts w:hint="eastAsia"/>
          <w:lang w:val="zh-CN" w:eastAsia="zh-CN"/>
        </w:rPr>
        <w:t>；</w:t>
      </w:r>
      <w:hyperlink r:id="rId19"/>
    </w:p>
    <w:p w14:paraId="32C2DBAA" w14:textId="29BAC79B" w:rsidR="00A6218D" w:rsidRDefault="00A6218D" w:rsidP="00A6218D">
      <w:pPr>
        <w:pStyle w:val="enumlev1"/>
        <w:rPr>
          <w:rFonts w:cs="Calibri"/>
          <w:lang w:eastAsia="zh-CN"/>
        </w:rPr>
      </w:pPr>
      <w:r>
        <w:rPr>
          <w:lang w:val="zh-CN" w:eastAsia="zh-CN"/>
        </w:rPr>
        <w:t>–</w:t>
      </w:r>
      <w:r>
        <w:rPr>
          <w:lang w:val="zh-CN" w:eastAsia="zh-CN"/>
        </w:rPr>
        <w:tab/>
      </w:r>
      <w:r>
        <w:rPr>
          <w:lang w:val="zh-CN" w:eastAsia="zh-CN"/>
        </w:rPr>
        <w:t>继续</w:t>
      </w:r>
      <w:r w:rsidRPr="008F5A37">
        <w:rPr>
          <w:rFonts w:hint="eastAsia"/>
          <w:lang w:val="zh-CN" w:eastAsia="zh-CN"/>
        </w:rPr>
        <w:t>开展</w:t>
      </w:r>
      <w:r>
        <w:rPr>
          <w:lang w:val="zh-CN" w:eastAsia="zh-CN"/>
        </w:rPr>
        <w:t>国际电联主要大会和全会</w:t>
      </w:r>
      <w:r>
        <w:rPr>
          <w:rFonts w:hint="eastAsia"/>
          <w:lang w:val="zh-CN" w:eastAsia="zh-CN"/>
        </w:rPr>
        <w:t>的</w:t>
      </w:r>
      <w:hyperlink r:id="rId20" w:history="1">
        <w:r w:rsidR="002E6D04" w:rsidRPr="003C5227">
          <w:rPr>
            <w:rStyle w:val="Hyperlink"/>
            <w:rFonts w:eastAsia="SimSun" w:cs="Calibri" w:hint="eastAsia"/>
            <w:u w:val="single"/>
            <w:lang w:eastAsia="zh-CN"/>
          </w:rPr>
          <w:t>决议对照</w:t>
        </w:r>
      </w:hyperlink>
      <w:r>
        <w:rPr>
          <w:lang w:val="zh-CN" w:eastAsia="zh-CN"/>
        </w:rPr>
        <w:t>工作（</w:t>
      </w:r>
      <w:r w:rsidRPr="008F5A37">
        <w:rPr>
          <w:rFonts w:hint="eastAsia"/>
          <w:lang w:val="zh-CN" w:eastAsia="zh-CN"/>
        </w:rPr>
        <w:t>上次更新于</w:t>
      </w:r>
      <w:r>
        <w:rPr>
          <w:lang w:val="zh-CN" w:eastAsia="zh-CN"/>
        </w:rPr>
        <w:t>WTDC-25</w:t>
      </w:r>
      <w:r>
        <w:rPr>
          <w:rFonts w:hint="eastAsia"/>
          <w:lang w:val="zh-CN" w:eastAsia="zh-CN"/>
        </w:rPr>
        <w:t>之后</w:t>
      </w:r>
      <w:r>
        <w:rPr>
          <w:lang w:val="zh-CN" w:eastAsia="zh-CN"/>
        </w:rPr>
        <w:t>），</w:t>
      </w:r>
      <w:r w:rsidRPr="008F5A37">
        <w:rPr>
          <w:rFonts w:hint="eastAsia"/>
          <w:lang w:val="zh-CN" w:eastAsia="zh-CN"/>
        </w:rPr>
        <w:t>现应</w:t>
      </w:r>
      <w:r>
        <w:rPr>
          <w:lang w:val="zh-CN" w:eastAsia="zh-CN"/>
        </w:rPr>
        <w:t>成员国的要求，还</w:t>
      </w:r>
      <w:r w:rsidRPr="008F5A37">
        <w:rPr>
          <w:rFonts w:hint="eastAsia"/>
          <w:lang w:val="zh-CN" w:eastAsia="zh-CN"/>
        </w:rPr>
        <w:t>纳入了</w:t>
      </w:r>
      <w:r>
        <w:rPr>
          <w:lang w:val="zh-CN" w:eastAsia="zh-CN"/>
        </w:rPr>
        <w:t>国际电信世界大会（</w:t>
      </w:r>
      <w:r>
        <w:rPr>
          <w:lang w:val="zh-CN" w:eastAsia="zh-CN"/>
        </w:rPr>
        <w:t>2012</w:t>
      </w:r>
      <w:r>
        <w:rPr>
          <w:lang w:val="zh-CN" w:eastAsia="zh-CN"/>
        </w:rPr>
        <w:t>年，迪拜）的决议</w:t>
      </w:r>
      <w:r>
        <w:rPr>
          <w:rFonts w:hint="eastAsia"/>
          <w:lang w:val="zh-CN" w:eastAsia="zh-CN"/>
        </w:rPr>
        <w:t>；</w:t>
      </w:r>
      <w:r w:rsidRPr="008F5A37">
        <w:rPr>
          <w:rFonts w:hint="eastAsia"/>
          <w:lang w:val="zh-CN" w:eastAsia="zh-CN"/>
        </w:rPr>
        <w:t>该工具</w:t>
      </w:r>
      <w:r>
        <w:rPr>
          <w:lang w:val="zh-CN" w:eastAsia="zh-CN"/>
        </w:rPr>
        <w:t>旨在协助成员国起草提交</w:t>
      </w:r>
      <w:r>
        <w:rPr>
          <w:lang w:val="zh-CN" w:eastAsia="zh-CN"/>
        </w:rPr>
        <w:t>2026</w:t>
      </w:r>
      <w:r>
        <w:rPr>
          <w:lang w:val="zh-CN" w:eastAsia="zh-CN"/>
        </w:rPr>
        <w:t>年全权代表大会</w:t>
      </w:r>
      <w:r>
        <w:rPr>
          <w:rFonts w:hint="eastAsia"/>
          <w:lang w:val="zh-CN" w:eastAsia="zh-CN"/>
        </w:rPr>
        <w:t>（</w:t>
      </w:r>
      <w:r w:rsidRPr="00183D31">
        <w:rPr>
          <w:rFonts w:cs="Calibri"/>
          <w:lang w:eastAsia="zh-CN"/>
        </w:rPr>
        <w:t>PP</w:t>
      </w:r>
      <w:r w:rsidRPr="00183D31">
        <w:rPr>
          <w:rFonts w:ascii="Cambria Math" w:hAnsi="Cambria Math" w:cs="Cambria Math"/>
          <w:lang w:eastAsia="zh-CN"/>
        </w:rPr>
        <w:t>‑</w:t>
      </w:r>
      <w:r w:rsidRPr="00183D31">
        <w:rPr>
          <w:rFonts w:cs="Calibri"/>
          <w:lang w:eastAsia="zh-CN"/>
        </w:rPr>
        <w:t>26</w:t>
      </w:r>
      <w:r>
        <w:rPr>
          <w:rFonts w:hint="eastAsia"/>
          <w:lang w:val="zh-CN" w:eastAsia="zh-CN"/>
        </w:rPr>
        <w:t>）</w:t>
      </w:r>
      <w:r>
        <w:rPr>
          <w:lang w:val="zh-CN" w:eastAsia="zh-CN"/>
        </w:rPr>
        <w:t>的文稿</w:t>
      </w:r>
      <w:r w:rsidR="001F2E5E">
        <w:rPr>
          <w:rFonts w:hint="eastAsia"/>
          <w:lang w:val="zh-CN" w:eastAsia="zh-CN"/>
        </w:rPr>
        <w:t>；</w:t>
      </w:r>
      <w:hyperlink r:id="rId21" w:history="1"/>
    </w:p>
    <w:p w14:paraId="7871CD9D" w14:textId="7B3DF92F" w:rsidR="00A6218D" w:rsidRDefault="00A6218D" w:rsidP="00A6218D">
      <w:pPr>
        <w:pStyle w:val="enumlev1"/>
        <w:rPr>
          <w:rFonts w:cs="Calibri"/>
          <w:lang w:eastAsia="zh-CN"/>
        </w:rPr>
      </w:pPr>
      <w:r>
        <w:rPr>
          <w:lang w:val="zh-CN" w:eastAsia="zh-CN"/>
        </w:rPr>
        <w:t>–</w:t>
      </w:r>
      <w:r>
        <w:rPr>
          <w:lang w:val="zh-CN" w:eastAsia="zh-CN"/>
        </w:rPr>
        <w:tab/>
      </w:r>
      <w:r>
        <w:rPr>
          <w:lang w:val="zh-CN" w:eastAsia="zh-CN"/>
        </w:rPr>
        <w:t>同样关于</w:t>
      </w:r>
      <w:r>
        <w:rPr>
          <w:lang w:val="zh-CN" w:eastAsia="zh-CN"/>
        </w:rPr>
        <w:t>PP-26</w:t>
      </w:r>
      <w:r>
        <w:rPr>
          <w:lang w:val="zh-CN" w:eastAsia="zh-CN"/>
        </w:rPr>
        <w:t>，</w:t>
      </w:r>
      <w:r>
        <w:rPr>
          <w:lang w:val="zh-CN" w:eastAsia="zh-CN"/>
        </w:rPr>
        <w:t>ISC-TF</w:t>
      </w:r>
      <w:r>
        <w:rPr>
          <w:rFonts w:hint="eastAsia"/>
          <w:lang w:val="zh-CN" w:eastAsia="zh-CN"/>
        </w:rPr>
        <w:t>对</w:t>
      </w:r>
      <w:r>
        <w:rPr>
          <w:lang w:val="zh-CN" w:eastAsia="zh-CN"/>
        </w:rPr>
        <w:t>理事会</w:t>
      </w:r>
      <w:r>
        <w:rPr>
          <w:lang w:val="zh-CN" w:eastAsia="zh-CN"/>
        </w:rPr>
        <w:t>2028-2031</w:t>
      </w:r>
      <w:r>
        <w:rPr>
          <w:lang w:val="zh-CN" w:eastAsia="zh-CN"/>
        </w:rPr>
        <w:t>年战略规划和财务规划工作组（</w:t>
      </w:r>
      <w:r>
        <w:rPr>
          <w:lang w:val="zh-CN" w:eastAsia="zh-CN"/>
        </w:rPr>
        <w:t>CWG-SFP</w:t>
      </w:r>
      <w:r>
        <w:rPr>
          <w:lang w:val="zh-CN" w:eastAsia="zh-CN"/>
        </w:rPr>
        <w:t>）制定的</w:t>
      </w:r>
      <w:hyperlink r:id="rId22" w:history="1">
        <w:r w:rsidR="002E6D04" w:rsidRPr="003C5227">
          <w:rPr>
            <w:rStyle w:val="Hyperlink"/>
            <w:rFonts w:eastAsia="SimSun" w:cs="Calibri" w:hint="eastAsia"/>
            <w:u w:val="single"/>
            <w:lang w:eastAsia="zh-CN"/>
          </w:rPr>
          <w:t>统一全权代表大会决议和决定的导则</w:t>
        </w:r>
      </w:hyperlink>
      <w:r>
        <w:rPr>
          <w:rFonts w:hint="eastAsia"/>
          <w:lang w:val="zh-CN" w:eastAsia="zh-CN"/>
        </w:rPr>
        <w:t>表示</w:t>
      </w:r>
      <w:r>
        <w:rPr>
          <w:lang w:val="zh-CN" w:eastAsia="zh-CN"/>
        </w:rPr>
        <w:t>欢迎</w:t>
      </w:r>
      <w:r>
        <w:rPr>
          <w:rFonts w:hint="eastAsia"/>
          <w:lang w:val="zh-CN" w:eastAsia="zh-CN"/>
        </w:rPr>
        <w:t>；</w:t>
      </w:r>
      <w:r>
        <w:rPr>
          <w:lang w:val="zh-CN" w:eastAsia="zh-CN"/>
        </w:rPr>
        <w:t>这些导则是一个额外的、不具约束力的工具，旨在帮助感兴趣的成员国起草提案，以提高国际电联的工作效率</w:t>
      </w:r>
      <w:r>
        <w:rPr>
          <w:rFonts w:hint="eastAsia"/>
          <w:lang w:val="zh-CN" w:eastAsia="zh-CN"/>
        </w:rPr>
        <w:t>；</w:t>
      </w:r>
      <w:hyperlink r:id="rId23" w:history="1"/>
    </w:p>
    <w:p w14:paraId="40E9FD77" w14:textId="5516017D" w:rsidR="00A6218D" w:rsidRPr="009C3584" w:rsidRDefault="00A6218D" w:rsidP="00A6218D">
      <w:pPr>
        <w:pStyle w:val="enumlev1"/>
        <w:rPr>
          <w:rFonts w:cs="Calibri"/>
          <w:lang w:eastAsia="zh-CN"/>
        </w:rPr>
      </w:pPr>
      <w:r>
        <w:rPr>
          <w:lang w:val="zh-CN" w:eastAsia="zh-CN"/>
        </w:rPr>
        <w:t>–</w:t>
      </w:r>
      <w:r>
        <w:rPr>
          <w:lang w:val="zh-CN" w:eastAsia="zh-CN"/>
        </w:rPr>
        <w:tab/>
      </w:r>
      <w:r>
        <w:rPr>
          <w:lang w:val="zh-CN" w:eastAsia="zh-CN"/>
        </w:rPr>
        <w:t>衡量</w:t>
      </w:r>
      <w:r>
        <w:rPr>
          <w:lang w:val="zh-CN" w:eastAsia="zh-CN"/>
        </w:rPr>
        <w:t>ICT</w:t>
      </w:r>
      <w:r>
        <w:rPr>
          <w:lang w:val="zh-CN" w:eastAsia="zh-CN"/>
        </w:rPr>
        <w:t>促发展伙伴关系：</w:t>
      </w:r>
      <w:r>
        <w:rPr>
          <w:rFonts w:hint="eastAsia"/>
          <w:lang w:val="zh-CN" w:eastAsia="zh-CN"/>
        </w:rPr>
        <w:t>这一</w:t>
      </w:r>
      <w:r>
        <w:rPr>
          <w:lang w:val="zh-CN" w:eastAsia="zh-CN"/>
        </w:rPr>
        <w:t>伙伴关系致力于提高促进可持续发展的</w:t>
      </w:r>
      <w:r>
        <w:rPr>
          <w:lang w:val="zh-CN" w:eastAsia="zh-CN"/>
        </w:rPr>
        <w:t>ICT</w:t>
      </w:r>
      <w:r>
        <w:rPr>
          <w:lang w:val="zh-CN" w:eastAsia="zh-CN"/>
        </w:rPr>
        <w:t>数据的质量和可用性，并</w:t>
      </w:r>
      <w:r>
        <w:rPr>
          <w:rFonts w:hint="eastAsia"/>
          <w:lang w:val="zh-CN" w:eastAsia="zh-CN"/>
        </w:rPr>
        <w:t>将</w:t>
      </w:r>
      <w:r>
        <w:rPr>
          <w:lang w:val="zh-CN" w:eastAsia="zh-CN"/>
        </w:rPr>
        <w:t>核心指标</w:t>
      </w:r>
      <w:r>
        <w:rPr>
          <w:rFonts w:hint="eastAsia"/>
          <w:lang w:val="zh-CN" w:eastAsia="zh-CN"/>
        </w:rPr>
        <w:t>与</w:t>
      </w:r>
      <w:r>
        <w:rPr>
          <w:lang w:val="zh-CN" w:eastAsia="zh-CN"/>
        </w:rPr>
        <w:t>WSIS</w:t>
      </w:r>
      <w:r>
        <w:rPr>
          <w:lang w:val="zh-CN" w:eastAsia="zh-CN"/>
        </w:rPr>
        <w:t>行动方面、</w:t>
      </w:r>
      <w:r>
        <w:rPr>
          <w:rFonts w:hint="eastAsia"/>
          <w:lang w:val="zh-CN" w:eastAsia="zh-CN"/>
        </w:rPr>
        <w:t>《</w:t>
      </w:r>
      <w:r>
        <w:rPr>
          <w:lang w:val="zh-CN" w:eastAsia="zh-CN"/>
        </w:rPr>
        <w:t>全球数字契约</w:t>
      </w:r>
      <w:r>
        <w:rPr>
          <w:rFonts w:hint="eastAsia"/>
          <w:lang w:val="zh-CN" w:eastAsia="zh-CN"/>
        </w:rPr>
        <w:t>》</w:t>
      </w:r>
      <w:r>
        <w:rPr>
          <w:lang w:val="zh-CN" w:eastAsia="zh-CN"/>
        </w:rPr>
        <w:t>和联合国有意义的连接框架</w:t>
      </w:r>
      <w:r>
        <w:rPr>
          <w:rFonts w:hint="eastAsia"/>
          <w:lang w:val="zh-CN" w:eastAsia="zh-CN"/>
        </w:rPr>
        <w:t>进行对照；</w:t>
      </w:r>
      <w:r>
        <w:rPr>
          <w:lang w:val="zh-CN" w:eastAsia="zh-CN"/>
        </w:rPr>
        <w:t>其输出</w:t>
      </w:r>
      <w:r>
        <w:rPr>
          <w:rFonts w:hint="eastAsia"/>
          <w:lang w:val="zh-CN" w:eastAsia="zh-CN"/>
        </w:rPr>
        <w:t>成果</w:t>
      </w:r>
      <w:r>
        <w:rPr>
          <w:lang w:val="zh-CN" w:eastAsia="zh-CN"/>
        </w:rPr>
        <w:t>托管在</w:t>
      </w:r>
      <w:hyperlink r:id="rId24" w:history="1">
        <w:r w:rsidR="002E6D04" w:rsidRPr="003C5227">
          <w:rPr>
            <w:rStyle w:val="Hyperlink"/>
            <w:rFonts w:eastAsia="SimSun" w:cs="Calibri" w:hint="eastAsia"/>
            <w:u w:val="single"/>
            <w:lang w:eastAsia="zh-CN"/>
          </w:rPr>
          <w:t>国际电联数据中心</w:t>
        </w:r>
      </w:hyperlink>
      <w:r>
        <w:rPr>
          <w:lang w:val="zh-CN" w:eastAsia="zh-CN"/>
        </w:rPr>
        <w:t>。</w:t>
      </w:r>
      <w:hyperlink r:id="rId25" w:history="1"/>
    </w:p>
    <w:p w14:paraId="6BAD9AC4" w14:textId="77777777" w:rsidR="00A6218D" w:rsidRDefault="00A6218D" w:rsidP="00A6218D">
      <w:pPr>
        <w:ind w:firstLineChars="200" w:firstLine="480"/>
        <w:rPr>
          <w:lang w:eastAsia="zh-CN"/>
        </w:rPr>
      </w:pPr>
      <w:r>
        <w:rPr>
          <w:lang w:val="zh-CN" w:eastAsia="zh-CN"/>
        </w:rPr>
        <w:t>2026</w:t>
      </w:r>
      <w:r>
        <w:rPr>
          <w:lang w:val="zh-CN" w:eastAsia="zh-CN"/>
        </w:rPr>
        <w:t>年，</w:t>
      </w:r>
      <w:r>
        <w:rPr>
          <w:lang w:val="zh-CN" w:eastAsia="zh-CN"/>
        </w:rPr>
        <w:t>ISC-TF</w:t>
      </w:r>
      <w:r>
        <w:rPr>
          <w:lang w:val="zh-CN" w:eastAsia="zh-CN"/>
        </w:rPr>
        <w:t>将优先</w:t>
      </w:r>
      <w:r>
        <w:rPr>
          <w:lang w:eastAsia="zh-CN"/>
        </w:rPr>
        <w:t>加强</w:t>
      </w:r>
      <w:r>
        <w:rPr>
          <w:lang w:val="zh-CN" w:eastAsia="zh-CN"/>
        </w:rPr>
        <w:t>活动、出版物和宣传</w:t>
      </w:r>
      <w:r>
        <w:rPr>
          <w:rFonts w:hint="eastAsia"/>
          <w:lang w:val="zh-CN" w:eastAsia="zh-CN"/>
        </w:rPr>
        <w:t>工作</w:t>
      </w:r>
      <w:r>
        <w:rPr>
          <w:lang w:val="zh-CN" w:eastAsia="zh-CN"/>
        </w:rPr>
        <w:t>的协调，目的是</w:t>
      </w:r>
      <w:r>
        <w:rPr>
          <w:rFonts w:hint="eastAsia"/>
          <w:lang w:val="zh-CN" w:eastAsia="zh-CN"/>
        </w:rPr>
        <w:t>提高</w:t>
      </w:r>
      <w:r>
        <w:rPr>
          <w:lang w:val="zh-CN" w:eastAsia="zh-CN"/>
        </w:rPr>
        <w:t>国际电联的机构</w:t>
      </w:r>
      <w:r>
        <w:rPr>
          <w:rFonts w:hint="eastAsia"/>
          <w:lang w:val="zh-CN" w:eastAsia="zh-CN"/>
        </w:rPr>
        <w:t>代表性</w:t>
      </w:r>
      <w:r>
        <w:rPr>
          <w:lang w:val="zh-CN" w:eastAsia="zh-CN"/>
        </w:rPr>
        <w:t>和整体影响</w:t>
      </w:r>
      <w:r>
        <w:rPr>
          <w:rFonts w:hint="eastAsia"/>
          <w:lang w:val="zh-CN" w:eastAsia="zh-CN"/>
        </w:rPr>
        <w:t>力</w:t>
      </w:r>
      <w:r>
        <w:rPr>
          <w:lang w:val="zh-CN" w:eastAsia="zh-CN"/>
        </w:rPr>
        <w:t>。</w:t>
      </w:r>
    </w:p>
    <w:p w14:paraId="7E17378D" w14:textId="77777777" w:rsidR="00A6218D" w:rsidRDefault="00A6218D" w:rsidP="0099164D">
      <w:pPr>
        <w:pStyle w:val="Headingb"/>
        <w:tabs>
          <w:tab w:val="clear" w:pos="794"/>
          <w:tab w:val="clear" w:pos="2127"/>
          <w:tab w:val="clear" w:pos="2410"/>
          <w:tab w:val="clear" w:pos="2921"/>
          <w:tab w:val="clear" w:pos="3261"/>
          <w:tab w:val="left" w:pos="567"/>
          <w:tab w:val="left" w:pos="1134"/>
          <w:tab w:val="left" w:pos="1701"/>
          <w:tab w:val="left" w:pos="2268"/>
          <w:tab w:val="left" w:pos="2835"/>
        </w:tabs>
        <w:overflowPunct w:val="0"/>
        <w:autoSpaceDE w:val="0"/>
        <w:autoSpaceDN w:val="0"/>
        <w:adjustRightInd w:val="0"/>
        <w:textAlignment w:val="baseline"/>
        <w:outlineLvl w:val="0"/>
        <w:rPr>
          <w:lang w:eastAsia="zh-CN"/>
        </w:rPr>
      </w:pPr>
      <w:r>
        <w:rPr>
          <w:bCs/>
          <w:lang w:val="zh-CN" w:eastAsia="zh-CN"/>
        </w:rPr>
        <w:t>支持战略规划和组织协调</w:t>
      </w:r>
      <w:r>
        <w:rPr>
          <w:rFonts w:hint="eastAsia"/>
          <w:bCs/>
          <w:lang w:val="zh-CN" w:eastAsia="zh-CN"/>
        </w:rPr>
        <w:t>统一</w:t>
      </w:r>
      <w:r>
        <w:rPr>
          <w:bCs/>
          <w:lang w:val="zh-CN" w:eastAsia="zh-CN"/>
        </w:rPr>
        <w:t>：</w:t>
      </w:r>
    </w:p>
    <w:p w14:paraId="5BBB2138" w14:textId="77777777" w:rsidR="00A6218D" w:rsidRDefault="00A6218D" w:rsidP="00A6218D">
      <w:pPr>
        <w:ind w:firstLineChars="200" w:firstLine="480"/>
        <w:rPr>
          <w:lang w:eastAsia="zh-CN"/>
        </w:rPr>
      </w:pPr>
      <w:r>
        <w:rPr>
          <w:lang w:val="zh-CN" w:eastAsia="zh-CN"/>
        </w:rPr>
        <w:t>成立了由副秘书长领导的跨部门战略和财务规划工作组（</w:t>
      </w:r>
      <w:r>
        <w:rPr>
          <w:lang w:val="zh-CN" w:eastAsia="zh-CN"/>
        </w:rPr>
        <w:t>SFP-WG</w:t>
      </w:r>
      <w:r>
        <w:rPr>
          <w:lang w:val="zh-CN" w:eastAsia="zh-CN"/>
        </w:rPr>
        <w:t>），以协调秘书处为制定</w:t>
      </w:r>
      <w:r>
        <w:rPr>
          <w:lang w:val="zh-CN" w:eastAsia="zh-CN"/>
        </w:rPr>
        <w:t>2028-2031</w:t>
      </w:r>
      <w:r>
        <w:rPr>
          <w:lang w:val="zh-CN" w:eastAsia="zh-CN"/>
        </w:rPr>
        <w:t>年战略和财务规划做出贡献。这种协作方式使秘书处能够统一各部门的观点，并确保各局和总秘书处在筹备下一个规划周期时的一致性。由行政和财务主任领导的一个项目组也在协调各局和总秘书处的工作，以确保战略、财务和运作规划之间的</w:t>
      </w:r>
      <w:r>
        <w:rPr>
          <w:rFonts w:hint="eastAsia"/>
          <w:lang w:val="zh-CN" w:eastAsia="zh-CN"/>
        </w:rPr>
        <w:t>关联性</w:t>
      </w:r>
      <w:r>
        <w:rPr>
          <w:lang w:val="zh-CN" w:eastAsia="zh-CN"/>
        </w:rPr>
        <w:t>。</w:t>
      </w:r>
    </w:p>
    <w:p w14:paraId="34F64B12" w14:textId="166BCCB9" w:rsidR="00A6218D" w:rsidRPr="00F97729" w:rsidRDefault="00A6218D" w:rsidP="0099164D">
      <w:pPr>
        <w:pStyle w:val="Headingb"/>
        <w:tabs>
          <w:tab w:val="clear" w:pos="794"/>
          <w:tab w:val="clear" w:pos="2127"/>
          <w:tab w:val="clear" w:pos="2410"/>
          <w:tab w:val="clear" w:pos="2921"/>
          <w:tab w:val="clear" w:pos="3261"/>
          <w:tab w:val="left" w:pos="567"/>
          <w:tab w:val="left" w:pos="1134"/>
          <w:tab w:val="left" w:pos="1701"/>
          <w:tab w:val="left" w:pos="2268"/>
          <w:tab w:val="left" w:pos="2835"/>
        </w:tabs>
        <w:overflowPunct w:val="0"/>
        <w:autoSpaceDE w:val="0"/>
        <w:autoSpaceDN w:val="0"/>
        <w:adjustRightInd w:val="0"/>
        <w:textAlignment w:val="baseline"/>
        <w:outlineLvl w:val="0"/>
        <w:rPr>
          <w:bCs/>
          <w:lang w:eastAsia="zh-CN"/>
        </w:rPr>
      </w:pPr>
      <w:r>
        <w:rPr>
          <w:bCs/>
          <w:lang w:val="zh-CN" w:eastAsia="zh-CN"/>
        </w:rPr>
        <w:t>成员之间的协调</w:t>
      </w:r>
      <w:r>
        <w:rPr>
          <w:bCs/>
          <w:lang w:val="zh-CN" w:eastAsia="zh-CN"/>
        </w:rPr>
        <w:t xml:space="preserve"> </w:t>
      </w:r>
      <w:r w:rsidR="00A650C3" w:rsidRPr="00A650C3">
        <w:rPr>
          <w:bCs/>
          <w:lang w:val="zh-CN" w:eastAsia="zh-CN"/>
        </w:rPr>
        <w:t>–</w:t>
      </w:r>
      <w:r w:rsidR="00A650C3">
        <w:rPr>
          <w:rFonts w:hint="eastAsia"/>
          <w:bCs/>
          <w:lang w:val="zh-CN" w:eastAsia="zh-CN"/>
        </w:rPr>
        <w:t xml:space="preserve"> </w:t>
      </w:r>
      <w:r>
        <w:rPr>
          <w:bCs/>
          <w:lang w:val="zh-CN" w:eastAsia="zh-CN"/>
        </w:rPr>
        <w:t>跨部门协调组（</w:t>
      </w:r>
      <w:r>
        <w:rPr>
          <w:bCs/>
          <w:lang w:val="zh-CN" w:eastAsia="zh-CN"/>
        </w:rPr>
        <w:t>ISCG</w:t>
      </w:r>
      <w:r>
        <w:rPr>
          <w:bCs/>
          <w:lang w:val="zh-CN" w:eastAsia="zh-CN"/>
        </w:rPr>
        <w:t>）</w:t>
      </w:r>
    </w:p>
    <w:p w14:paraId="67AAB054" w14:textId="77777777" w:rsidR="00A6218D" w:rsidRDefault="00A6218D" w:rsidP="00A6218D">
      <w:pPr>
        <w:ind w:firstLineChars="200" w:firstLine="480"/>
        <w:rPr>
          <w:lang w:eastAsia="zh-CN"/>
        </w:rPr>
      </w:pPr>
      <w:r>
        <w:rPr>
          <w:lang w:val="zh-CN" w:eastAsia="zh-CN"/>
        </w:rPr>
        <w:t>成员协调工作继续由</w:t>
      </w:r>
      <w:r>
        <w:rPr>
          <w:lang w:val="zh-CN" w:eastAsia="zh-CN"/>
        </w:rPr>
        <w:t>ISCG</w:t>
      </w:r>
      <w:r>
        <w:rPr>
          <w:lang w:val="zh-CN" w:eastAsia="zh-CN"/>
        </w:rPr>
        <w:t>负责，</w:t>
      </w:r>
      <w:r>
        <w:rPr>
          <w:lang w:val="zh-CN" w:eastAsia="zh-CN"/>
        </w:rPr>
        <w:t>ISCG</w:t>
      </w:r>
      <w:r>
        <w:rPr>
          <w:lang w:val="zh-CN" w:eastAsia="zh-CN"/>
        </w:rPr>
        <w:t>由</w:t>
      </w:r>
      <w:r>
        <w:rPr>
          <w:lang w:val="zh-CN" w:eastAsia="zh-CN"/>
        </w:rPr>
        <w:t>Fabio Bigi</w:t>
      </w:r>
      <w:r>
        <w:rPr>
          <w:lang w:val="zh-CN" w:eastAsia="zh-CN"/>
        </w:rPr>
        <w:t>先生（意大利）担任主席，是一个文稿驱动小组。</w:t>
      </w:r>
    </w:p>
    <w:p w14:paraId="1A3B6899" w14:textId="77777777" w:rsidR="00A6218D" w:rsidRDefault="00A6218D" w:rsidP="00A6218D">
      <w:pPr>
        <w:ind w:firstLineChars="200" w:firstLine="480"/>
        <w:rPr>
          <w:lang w:eastAsia="zh-CN"/>
        </w:rPr>
      </w:pPr>
      <w:r>
        <w:rPr>
          <w:lang w:val="zh-CN" w:eastAsia="zh-CN"/>
        </w:rPr>
        <w:t>ISCG</w:t>
      </w:r>
      <w:r>
        <w:rPr>
          <w:lang w:val="zh-CN" w:eastAsia="zh-CN"/>
        </w:rPr>
        <w:t>继续处理以下议题：</w:t>
      </w:r>
    </w:p>
    <w:p w14:paraId="74288680" w14:textId="77777777" w:rsidR="00A6218D" w:rsidRPr="008E6976" w:rsidRDefault="00A6218D" w:rsidP="00A6218D">
      <w:pPr>
        <w:pStyle w:val="enumlev1"/>
        <w:rPr>
          <w:lang w:eastAsia="zh-CN"/>
        </w:rPr>
      </w:pPr>
      <w:r>
        <w:rPr>
          <w:lang w:val="zh-CN" w:eastAsia="zh-CN"/>
        </w:rPr>
        <w:t>–</w:t>
      </w:r>
      <w:r>
        <w:rPr>
          <w:lang w:val="zh-CN" w:eastAsia="zh-CN"/>
        </w:rPr>
        <w:tab/>
      </w:r>
      <w:r w:rsidRPr="00501869">
        <w:rPr>
          <w:b/>
          <w:bCs/>
          <w:lang w:val="zh-CN" w:eastAsia="zh-CN"/>
        </w:rPr>
        <w:t>无障碍获取</w:t>
      </w:r>
      <w:r>
        <w:rPr>
          <w:lang w:val="zh-CN" w:eastAsia="zh-CN"/>
        </w:rPr>
        <w:t>：</w:t>
      </w:r>
      <w:r>
        <w:rPr>
          <w:lang w:val="zh-CN" w:eastAsia="zh-CN"/>
        </w:rPr>
        <w:t>ISCG</w:t>
      </w:r>
      <w:r>
        <w:rPr>
          <w:lang w:val="zh-CN" w:eastAsia="zh-CN"/>
        </w:rPr>
        <w:t>表示有兴趣为与新办公楼项目有关的讨论做出贡献，并密切关注与国际电联新网站相关的发展，以帮助确保所有用户</w:t>
      </w:r>
      <w:r>
        <w:rPr>
          <w:rFonts w:hint="eastAsia"/>
          <w:lang w:val="zh-CN" w:eastAsia="zh-CN"/>
        </w:rPr>
        <w:t>均可获取</w:t>
      </w:r>
      <w:r w:rsidRPr="00501869">
        <w:rPr>
          <w:rFonts w:hint="eastAsia"/>
          <w:lang w:val="zh-CN" w:eastAsia="zh-CN"/>
        </w:rPr>
        <w:t>这两项工作</w:t>
      </w:r>
      <w:r>
        <w:rPr>
          <w:rFonts w:hint="eastAsia"/>
          <w:lang w:val="zh-CN" w:eastAsia="zh-CN"/>
        </w:rPr>
        <w:t>的信息</w:t>
      </w:r>
      <w:r w:rsidRPr="00501869">
        <w:rPr>
          <w:rFonts w:hint="eastAsia"/>
          <w:lang w:val="zh-CN" w:eastAsia="zh-CN"/>
        </w:rPr>
        <w:t>。</w:t>
      </w:r>
    </w:p>
    <w:p w14:paraId="51BCE34C" w14:textId="3C391DF3" w:rsidR="00A6218D" w:rsidRPr="008E6976" w:rsidRDefault="00A6218D" w:rsidP="00A6218D">
      <w:pPr>
        <w:pStyle w:val="enumlev1"/>
        <w:rPr>
          <w:lang w:eastAsia="zh-CN"/>
        </w:rPr>
      </w:pPr>
      <w:r>
        <w:rPr>
          <w:lang w:val="zh-CN" w:eastAsia="zh-CN"/>
        </w:rPr>
        <w:t>–</w:t>
      </w:r>
      <w:r>
        <w:rPr>
          <w:lang w:val="zh-CN" w:eastAsia="zh-CN"/>
        </w:rPr>
        <w:tab/>
      </w:r>
      <w:r w:rsidRPr="00501869">
        <w:rPr>
          <w:b/>
          <w:bCs/>
          <w:lang w:val="zh-CN" w:eastAsia="zh-CN"/>
        </w:rPr>
        <w:t>气候变化</w:t>
      </w:r>
      <w:r>
        <w:rPr>
          <w:lang w:val="zh-CN" w:eastAsia="zh-CN"/>
        </w:rPr>
        <w:t>：国际电联三个部门之间的协作继续</w:t>
      </w:r>
      <w:r>
        <w:rPr>
          <w:lang w:eastAsia="zh-CN"/>
        </w:rPr>
        <w:t>发展</w:t>
      </w:r>
      <w:r>
        <w:rPr>
          <w:lang w:val="zh-CN" w:eastAsia="zh-CN"/>
        </w:rPr>
        <w:t>。</w:t>
      </w:r>
      <w:r>
        <w:rPr>
          <w:lang w:eastAsia="zh-CN"/>
        </w:rPr>
        <w:t>这一情况在国际电联网站的</w:t>
      </w:r>
      <w:r>
        <w:rPr>
          <w:rFonts w:hint="eastAsia"/>
          <w:lang w:eastAsia="zh-CN"/>
        </w:rPr>
        <w:t>“</w:t>
      </w:r>
      <w:hyperlink r:id="rId26" w:history="1">
        <w:r w:rsidR="002E6D04" w:rsidRPr="003C5227">
          <w:rPr>
            <w:rStyle w:val="Hyperlink"/>
            <w:rFonts w:eastAsia="SimSun" w:cs="Calibri" w:hint="eastAsia"/>
            <w:u w:val="single"/>
            <w:lang w:eastAsia="zh-CN"/>
          </w:rPr>
          <w:t>环境与气候变化</w:t>
        </w:r>
      </w:hyperlink>
      <w:r>
        <w:rPr>
          <w:rFonts w:hint="eastAsia"/>
          <w:lang w:eastAsia="zh-CN"/>
        </w:rPr>
        <w:t>”</w:t>
      </w:r>
      <w:r>
        <w:rPr>
          <w:lang w:eastAsia="zh-CN"/>
        </w:rPr>
        <w:t>栏目中有所体现</w:t>
      </w:r>
      <w:r>
        <w:rPr>
          <w:rFonts w:ascii="SimSun" w:hAnsi="SimSun" w:cs="SimSun" w:hint="eastAsia"/>
          <w:lang w:eastAsia="zh-CN"/>
        </w:rPr>
        <w:t>。</w:t>
      </w:r>
      <w:hyperlink r:id="rId27" w:history="1"/>
    </w:p>
    <w:p w14:paraId="5668ABC1" w14:textId="77777777" w:rsidR="00A6218D" w:rsidRPr="008E6976" w:rsidRDefault="00A6218D" w:rsidP="00A6218D">
      <w:pPr>
        <w:pStyle w:val="enumlev1"/>
        <w:rPr>
          <w:lang w:eastAsia="zh-CN"/>
        </w:rPr>
      </w:pPr>
      <w:r>
        <w:rPr>
          <w:lang w:val="zh-CN" w:eastAsia="zh-CN"/>
        </w:rPr>
        <w:t>–</w:t>
      </w:r>
      <w:r>
        <w:rPr>
          <w:lang w:val="zh-CN" w:eastAsia="zh-CN"/>
        </w:rPr>
        <w:tab/>
      </w:r>
      <w:r w:rsidRPr="00501869">
        <w:rPr>
          <w:b/>
          <w:bCs/>
          <w:lang w:val="zh-CN" w:eastAsia="zh-CN"/>
        </w:rPr>
        <w:t>国际电联网站</w:t>
      </w:r>
      <w:r>
        <w:rPr>
          <w:lang w:val="zh-CN" w:eastAsia="zh-CN"/>
        </w:rPr>
        <w:t>：</w:t>
      </w:r>
      <w:r>
        <w:rPr>
          <w:lang w:val="zh-CN" w:eastAsia="zh-CN"/>
        </w:rPr>
        <w:t>ISCG</w:t>
      </w:r>
      <w:r>
        <w:rPr>
          <w:lang w:val="zh-CN" w:eastAsia="zh-CN"/>
        </w:rPr>
        <w:t>已要求秘书处定期提供关于国际电联新网站开发的最新情况，秘书处将继续与成员接触并收集他们的反馈</w:t>
      </w:r>
      <w:r>
        <w:rPr>
          <w:rFonts w:hint="eastAsia"/>
          <w:lang w:val="zh-CN" w:eastAsia="zh-CN"/>
        </w:rPr>
        <w:t>意见</w:t>
      </w:r>
      <w:r>
        <w:rPr>
          <w:lang w:val="zh-CN" w:eastAsia="zh-CN"/>
        </w:rPr>
        <w:t>。如上所述，无障碍获取协调员表示愿意积极参与，以确保项目在整个审查过程中</w:t>
      </w:r>
      <w:r>
        <w:rPr>
          <w:rFonts w:hint="eastAsia"/>
          <w:lang w:val="zh-CN" w:eastAsia="zh-CN"/>
        </w:rPr>
        <w:t>充分</w:t>
      </w:r>
      <w:r>
        <w:rPr>
          <w:lang w:val="zh-CN" w:eastAsia="zh-CN"/>
        </w:rPr>
        <w:t>考虑</w:t>
      </w:r>
      <w:r>
        <w:rPr>
          <w:rFonts w:hint="eastAsia"/>
          <w:lang w:val="zh-CN" w:eastAsia="zh-CN"/>
        </w:rPr>
        <w:t>到</w:t>
      </w:r>
      <w:r>
        <w:rPr>
          <w:lang w:val="zh-CN" w:eastAsia="zh-CN"/>
        </w:rPr>
        <w:t>残疾人的需求。</w:t>
      </w:r>
    </w:p>
    <w:p w14:paraId="08920074" w14:textId="4D140146" w:rsidR="00A6218D" w:rsidRPr="008E6976" w:rsidRDefault="00A6218D" w:rsidP="00A6218D">
      <w:pPr>
        <w:pStyle w:val="enumlev1"/>
        <w:rPr>
          <w:lang w:eastAsia="zh-CN"/>
        </w:rPr>
      </w:pPr>
      <w:r>
        <w:rPr>
          <w:lang w:val="zh-CN" w:eastAsia="zh-CN"/>
        </w:rPr>
        <w:t>–</w:t>
      </w:r>
      <w:r>
        <w:rPr>
          <w:lang w:val="zh-CN" w:eastAsia="zh-CN"/>
        </w:rPr>
        <w:tab/>
      </w:r>
      <w:r w:rsidRPr="00501869">
        <w:rPr>
          <w:b/>
          <w:bCs/>
          <w:lang w:val="zh-CN" w:eastAsia="zh-CN"/>
        </w:rPr>
        <w:t>远程参会</w:t>
      </w:r>
      <w:r>
        <w:rPr>
          <w:lang w:val="zh-CN" w:eastAsia="zh-CN"/>
        </w:rPr>
        <w:t>：根据全权代表大会</w:t>
      </w:r>
      <w:hyperlink r:id="rId28">
        <w:r w:rsidR="00632742" w:rsidRPr="00632742">
          <w:rPr>
            <w:rStyle w:val="Hyperlink"/>
            <w:rFonts w:eastAsia="SimSun" w:cs="Calibri" w:hint="eastAsia"/>
            <w:u w:val="single"/>
            <w:lang w:eastAsia="zh-CN"/>
          </w:rPr>
          <w:t>第</w:t>
        </w:r>
        <w:r w:rsidR="00632742" w:rsidRPr="00632742">
          <w:rPr>
            <w:rStyle w:val="Hyperlink"/>
            <w:rFonts w:eastAsia="SimSun" w:cs="Calibri"/>
            <w:u w:val="single"/>
            <w:lang w:eastAsia="zh-CN"/>
          </w:rPr>
          <w:t>167</w:t>
        </w:r>
        <w:r w:rsidR="00632742" w:rsidRPr="00632742">
          <w:rPr>
            <w:rStyle w:val="Hyperlink"/>
            <w:rFonts w:eastAsia="SimSun" w:cs="Calibri" w:hint="eastAsia"/>
            <w:u w:val="single"/>
            <w:lang w:eastAsia="zh-CN"/>
          </w:rPr>
          <w:t>号决议（</w:t>
        </w:r>
        <w:r w:rsidR="00632742" w:rsidRPr="00632742">
          <w:rPr>
            <w:rStyle w:val="Hyperlink"/>
            <w:rFonts w:eastAsia="SimSun" w:cs="Calibri"/>
            <w:u w:val="single"/>
            <w:lang w:eastAsia="zh-CN"/>
          </w:rPr>
          <w:t>2022</w:t>
        </w:r>
        <w:r w:rsidR="00632742" w:rsidRPr="00632742">
          <w:rPr>
            <w:rStyle w:val="Hyperlink"/>
            <w:rFonts w:eastAsia="SimSun" w:cs="Calibri" w:hint="eastAsia"/>
            <w:u w:val="single"/>
            <w:lang w:eastAsia="zh-CN"/>
          </w:rPr>
          <w:t>年，布加勒斯特，修订版）</w:t>
        </w:r>
      </w:hyperlink>
      <w:r>
        <w:rPr>
          <w:lang w:val="zh-CN" w:eastAsia="zh-CN"/>
        </w:rPr>
        <w:t>，</w:t>
      </w:r>
      <w:r>
        <w:rPr>
          <w:lang w:val="zh-CN" w:eastAsia="zh-CN"/>
        </w:rPr>
        <w:t>ISCG</w:t>
      </w:r>
      <w:r>
        <w:rPr>
          <w:lang w:val="zh-CN" w:eastAsia="zh-CN"/>
        </w:rPr>
        <w:t>促进</w:t>
      </w:r>
      <w:r>
        <w:rPr>
          <w:lang w:val="zh-CN" w:eastAsia="zh-CN"/>
        </w:rPr>
        <w:t xml:space="preserve">ITU-T </w:t>
      </w:r>
      <w:hyperlink r:id="rId29">
        <w:r w:rsidR="002E6D04" w:rsidRPr="002E6D04">
          <w:rPr>
            <w:rStyle w:val="Hyperlink"/>
            <w:rFonts w:eastAsia="SimSun" w:cs="Calibri"/>
            <w:u w:val="single"/>
            <w:lang w:eastAsia="zh-CN"/>
          </w:rPr>
          <w:t>A</w:t>
        </w:r>
        <w:r w:rsidR="002E6D04" w:rsidRPr="002E6D04">
          <w:rPr>
            <w:rStyle w:val="Hyperlink"/>
            <w:rFonts w:eastAsia="SimSun" w:cs="Calibri" w:hint="eastAsia"/>
            <w:u w:val="single"/>
            <w:lang w:eastAsia="zh-CN"/>
          </w:rPr>
          <w:t>系列增补</w:t>
        </w:r>
        <w:r w:rsidR="002E6D04" w:rsidRPr="002E6D04">
          <w:rPr>
            <w:rStyle w:val="Hyperlink"/>
            <w:rFonts w:eastAsia="SimSun" w:cs="Calibri"/>
            <w:u w:val="single"/>
            <w:lang w:eastAsia="zh-CN"/>
          </w:rPr>
          <w:t>4</w:t>
        </w:r>
        <w:r w:rsidR="002E6D04" w:rsidRPr="002E6D04">
          <w:rPr>
            <w:rStyle w:val="Hyperlink"/>
            <w:rFonts w:ascii="SimSun" w:eastAsia="SimSun" w:hAnsi="SimSun" w:cs="Calibri"/>
            <w:u w:val="single"/>
            <w:lang w:eastAsia="zh-CN"/>
          </w:rPr>
          <w:t>“</w:t>
        </w:r>
        <w:r w:rsidR="002E6D04" w:rsidRPr="002E6D04">
          <w:rPr>
            <w:rStyle w:val="Hyperlink"/>
            <w:rFonts w:eastAsia="SimSun" w:cs="Calibri" w:hint="eastAsia"/>
            <w:u w:val="single"/>
            <w:lang w:eastAsia="zh-CN"/>
          </w:rPr>
          <w:t>远程参会导则</w:t>
        </w:r>
        <w:r w:rsidR="002E6D04" w:rsidRPr="002E6D04">
          <w:rPr>
            <w:rStyle w:val="Hyperlink"/>
            <w:rFonts w:ascii="SimSun" w:eastAsia="SimSun" w:hAnsi="SimSun" w:cs="Calibri"/>
            <w:u w:val="single"/>
            <w:lang w:eastAsia="zh-CN"/>
          </w:rPr>
          <w:t>”</w:t>
        </w:r>
      </w:hyperlink>
      <w:r>
        <w:rPr>
          <w:lang w:val="zh-CN" w:eastAsia="zh-CN"/>
        </w:rPr>
        <w:t>和</w:t>
      </w:r>
      <w:r w:rsidR="00632742" w:rsidRPr="00632742">
        <w:rPr>
          <w:rStyle w:val="Hyperlink"/>
          <w:rFonts w:eastAsia="SimSun" w:cs="Calibri" w:hint="eastAsia"/>
          <w:lang w:eastAsia="zh-CN"/>
        </w:rPr>
        <w:t>“</w:t>
      </w:r>
      <w:hyperlink r:id="rId30" w:history="1">
        <w:r w:rsidR="002E6D04" w:rsidRPr="002E6D04">
          <w:rPr>
            <w:rStyle w:val="Hyperlink"/>
            <w:rFonts w:eastAsia="SimSun" w:cs="Calibri" w:hint="eastAsia"/>
            <w:u w:val="single"/>
            <w:lang w:eastAsia="zh-CN"/>
          </w:rPr>
          <w:t>全虚拟会议和可远程参会的实体会议管理导则</w:t>
        </w:r>
        <w:r w:rsidR="002E6D04" w:rsidRPr="00632742">
          <w:rPr>
            <w:rStyle w:val="Hyperlink"/>
            <w:rFonts w:ascii="SimSun" w:eastAsia="SimSun" w:hAnsi="SimSun" w:cs="Calibri"/>
            <w:lang w:eastAsia="zh-CN"/>
          </w:rPr>
          <w:t>”</w:t>
        </w:r>
      </w:hyperlink>
      <w:r>
        <w:rPr>
          <w:lang w:val="zh-CN" w:eastAsia="zh-CN"/>
        </w:rPr>
        <w:t>之间的统一。</w:t>
      </w:r>
      <w:r>
        <w:rPr>
          <w:lang w:val="zh-CN" w:eastAsia="zh-CN"/>
        </w:rPr>
        <w:t>ISCG</w:t>
      </w:r>
      <w:r>
        <w:rPr>
          <w:lang w:val="zh-CN" w:eastAsia="zh-CN"/>
        </w:rPr>
        <w:t>还强调需要审查和更新成员在在线参加会议时的权利。</w:t>
      </w:r>
      <w:r>
        <w:fldChar w:fldCharType="begin"/>
      </w:r>
      <w:r>
        <w:rPr>
          <w:lang w:eastAsia="zh-CN"/>
        </w:rPr>
        <w:instrText>HYPERLINK "http://www.itu.int/md/meetingdoc.asp?lang=en&amp;parent=T25-TSAG-260126-TD-GEN-0333" \h</w:instrText>
      </w:r>
      <w:r>
        <w:fldChar w:fldCharType="separate"/>
      </w:r>
      <w:r>
        <w:fldChar w:fldCharType="end"/>
      </w:r>
      <w:hyperlink r:id="rId31"/>
      <w:hyperlink r:id="rId32"/>
    </w:p>
    <w:p w14:paraId="642826D9" w14:textId="349797E8" w:rsidR="00A6218D" w:rsidRPr="008E6976" w:rsidRDefault="00A6218D" w:rsidP="00A6218D">
      <w:pPr>
        <w:pStyle w:val="enumlev1"/>
        <w:rPr>
          <w:lang w:eastAsia="zh-CN"/>
        </w:rPr>
      </w:pPr>
      <w:r>
        <w:rPr>
          <w:lang w:val="zh-CN" w:eastAsia="zh-CN"/>
        </w:rPr>
        <w:t>–</w:t>
      </w:r>
      <w:r>
        <w:rPr>
          <w:lang w:val="zh-CN" w:eastAsia="zh-CN"/>
        </w:rPr>
        <w:tab/>
      </w:r>
      <w:r w:rsidRPr="00501869">
        <w:rPr>
          <w:b/>
          <w:bCs/>
          <w:lang w:val="zh-CN" w:eastAsia="zh-CN"/>
        </w:rPr>
        <w:t>可持续的数字化转型</w:t>
      </w:r>
      <w:r>
        <w:rPr>
          <w:lang w:val="zh-CN" w:eastAsia="zh-CN"/>
        </w:rPr>
        <w:t>：</w:t>
      </w:r>
      <w:r>
        <w:rPr>
          <w:lang w:val="zh-CN" w:eastAsia="zh-CN"/>
        </w:rPr>
        <w:t>ISCG</w:t>
      </w:r>
      <w:r>
        <w:rPr>
          <w:lang w:val="zh-CN" w:eastAsia="zh-CN"/>
        </w:rPr>
        <w:t>继续鼓励加强三个部门之间相关活动的协调。可持续数字化转型报告人组（</w:t>
      </w:r>
      <w:r>
        <w:rPr>
          <w:lang w:val="zh-CN" w:eastAsia="zh-CN"/>
        </w:rPr>
        <w:t>RG-DT</w:t>
      </w:r>
      <w:r>
        <w:rPr>
          <w:lang w:val="zh-CN" w:eastAsia="zh-CN"/>
        </w:rPr>
        <w:t>）已获批作为电信标准化顾问组（</w:t>
      </w:r>
      <w:r>
        <w:rPr>
          <w:lang w:val="zh-CN" w:eastAsia="zh-CN"/>
        </w:rPr>
        <w:t>TSAG</w:t>
      </w:r>
      <w:r>
        <w:rPr>
          <w:lang w:val="zh-CN" w:eastAsia="zh-CN"/>
        </w:rPr>
        <w:t>）</w:t>
      </w:r>
      <w:r>
        <w:rPr>
          <w:rFonts w:hint="eastAsia"/>
          <w:lang w:val="zh-CN" w:eastAsia="zh-CN"/>
        </w:rPr>
        <w:t>在</w:t>
      </w:r>
      <w:r>
        <w:rPr>
          <w:lang w:val="zh-CN" w:eastAsia="zh-CN"/>
        </w:rPr>
        <w:lastRenderedPageBreak/>
        <w:t>2025-2028</w:t>
      </w:r>
      <w:r>
        <w:rPr>
          <w:lang w:val="zh-CN" w:eastAsia="zh-CN"/>
        </w:rPr>
        <w:t>年研究期</w:t>
      </w:r>
      <w:r>
        <w:rPr>
          <w:lang w:eastAsia="zh-CN"/>
        </w:rPr>
        <w:t>内的组成</w:t>
      </w:r>
      <w:r>
        <w:rPr>
          <w:lang w:val="zh-CN" w:eastAsia="zh-CN"/>
        </w:rPr>
        <w:t>部分，并已与</w:t>
      </w:r>
      <w:r>
        <w:rPr>
          <w:lang w:val="zh-CN" w:eastAsia="zh-CN"/>
        </w:rPr>
        <w:t>ISCG</w:t>
      </w:r>
      <w:r>
        <w:rPr>
          <w:lang w:val="zh-CN" w:eastAsia="zh-CN"/>
        </w:rPr>
        <w:t>接触，要求其他部门提供意见（见</w:t>
      </w:r>
      <w:r w:rsidR="009B68D1">
        <w:fldChar w:fldCharType="begin"/>
      </w:r>
      <w:r w:rsidR="009B68D1">
        <w:rPr>
          <w:lang w:eastAsia="zh-CN"/>
        </w:rPr>
        <w:instrText>HYPERLINK "https://www.itu.int/md/S26-ISCG12026-C-0008/en"</w:instrText>
      </w:r>
      <w:r w:rsidR="009B68D1">
        <w:fldChar w:fldCharType="separate"/>
      </w:r>
      <w:r w:rsidR="009B68D1" w:rsidRPr="009B68D1">
        <w:rPr>
          <w:rStyle w:val="Hyperlink"/>
          <w:rFonts w:eastAsia="SimSun" w:cs="Calibri"/>
          <w:u w:val="single"/>
          <w:lang w:eastAsia="zh-CN"/>
        </w:rPr>
        <w:t>ISCG/26-1/8</w:t>
      </w:r>
      <w:r w:rsidR="009B68D1">
        <w:fldChar w:fldCharType="end"/>
      </w:r>
      <w:r>
        <w:rPr>
          <w:lang w:val="zh-CN" w:eastAsia="zh-CN"/>
        </w:rPr>
        <w:t>号文件）。</w:t>
      </w:r>
      <w:r>
        <w:fldChar w:fldCharType="begin"/>
      </w:r>
      <w:r>
        <w:rPr>
          <w:lang w:eastAsia="zh-CN"/>
        </w:rPr>
        <w:instrText>HYPERLINK "https://www.itu.int/md/S26-ISCG12026-C-0008/en"</w:instrText>
      </w:r>
      <w:r>
        <w:fldChar w:fldCharType="separate"/>
      </w:r>
      <w:r>
        <w:fldChar w:fldCharType="end"/>
      </w:r>
    </w:p>
    <w:p w14:paraId="73674253" w14:textId="77777777" w:rsidR="00A6218D" w:rsidRPr="008E6976" w:rsidRDefault="00A6218D" w:rsidP="00A6218D">
      <w:pPr>
        <w:ind w:firstLineChars="200" w:firstLine="480"/>
        <w:rPr>
          <w:lang w:eastAsia="zh-CN"/>
        </w:rPr>
      </w:pPr>
      <w:r>
        <w:rPr>
          <w:lang w:val="zh-CN" w:eastAsia="zh-CN"/>
        </w:rPr>
        <w:t>ISCG</w:t>
      </w:r>
      <w:r>
        <w:rPr>
          <w:lang w:val="zh-CN" w:eastAsia="zh-CN"/>
        </w:rPr>
        <w:t>已开始就以下议题开展工作：</w:t>
      </w:r>
    </w:p>
    <w:p w14:paraId="5B684EC8" w14:textId="77777777" w:rsidR="00A6218D" w:rsidRPr="008E6976" w:rsidRDefault="00A6218D" w:rsidP="00A6218D">
      <w:pPr>
        <w:pStyle w:val="enumlev1"/>
        <w:rPr>
          <w:lang w:eastAsia="zh-CN"/>
        </w:rPr>
      </w:pPr>
      <w:r>
        <w:rPr>
          <w:lang w:val="zh-CN" w:eastAsia="zh-CN"/>
        </w:rPr>
        <w:t>–</w:t>
      </w:r>
      <w:r>
        <w:rPr>
          <w:lang w:val="zh-CN" w:eastAsia="zh-CN"/>
        </w:rPr>
        <w:tab/>
      </w:r>
      <w:r w:rsidRPr="00B56572">
        <w:rPr>
          <w:b/>
          <w:bCs/>
          <w:lang w:eastAsia="zh-CN"/>
        </w:rPr>
        <w:t>行业参与</w:t>
      </w:r>
      <w:r>
        <w:rPr>
          <w:lang w:eastAsia="zh-CN"/>
        </w:rPr>
        <w:t>：在最近的</w:t>
      </w:r>
      <w:proofErr w:type="spellStart"/>
      <w:r>
        <w:rPr>
          <w:lang w:eastAsia="zh-CN"/>
        </w:rPr>
        <w:t>ISCG</w:t>
      </w:r>
      <w:proofErr w:type="spellEnd"/>
      <w:r>
        <w:rPr>
          <w:lang w:eastAsia="zh-CN"/>
        </w:rPr>
        <w:t>会议上介绍了</w:t>
      </w:r>
      <w:r>
        <w:rPr>
          <w:lang w:eastAsia="zh-CN"/>
        </w:rPr>
        <w:t>ITU-T</w:t>
      </w:r>
      <w:r>
        <w:rPr>
          <w:lang w:eastAsia="zh-CN"/>
        </w:rPr>
        <w:t>在行业参与方面的</w:t>
      </w:r>
      <w:r>
        <w:rPr>
          <w:rFonts w:hint="eastAsia"/>
          <w:lang w:eastAsia="zh-CN"/>
        </w:rPr>
        <w:t>工作</w:t>
      </w:r>
      <w:r>
        <w:rPr>
          <w:lang w:eastAsia="zh-CN"/>
        </w:rPr>
        <w:t>，</w:t>
      </w:r>
      <w:r w:rsidRPr="00B56572">
        <w:rPr>
          <w:rFonts w:hint="eastAsia"/>
          <w:lang w:eastAsia="zh-CN"/>
        </w:rPr>
        <w:t>重点介绍了旨在延续</w:t>
      </w:r>
      <w:r w:rsidRPr="00B56572">
        <w:rPr>
          <w:rFonts w:hint="eastAsia"/>
          <w:lang w:eastAsia="zh-CN"/>
        </w:rPr>
        <w:t>2024</w:t>
      </w:r>
      <w:r w:rsidRPr="00B56572">
        <w:rPr>
          <w:rFonts w:hint="eastAsia"/>
          <w:lang w:eastAsia="zh-CN"/>
        </w:rPr>
        <w:t>年行业参与</w:t>
      </w:r>
      <w:r>
        <w:rPr>
          <w:rFonts w:hint="eastAsia"/>
          <w:lang w:eastAsia="zh-CN"/>
        </w:rPr>
        <w:t>讲习班</w:t>
      </w:r>
      <w:r w:rsidRPr="00B56572">
        <w:rPr>
          <w:rFonts w:hint="eastAsia"/>
          <w:lang w:eastAsia="zh-CN"/>
        </w:rPr>
        <w:t>成功经验的各项举措。</w:t>
      </w:r>
    </w:p>
    <w:p w14:paraId="4BA32666" w14:textId="73217F05" w:rsidR="00A6218D" w:rsidRPr="008E6976" w:rsidRDefault="00A6218D" w:rsidP="00A6218D">
      <w:pPr>
        <w:pStyle w:val="enumlev1"/>
        <w:rPr>
          <w:b/>
          <w:bCs/>
          <w:lang w:eastAsia="zh-CN"/>
        </w:rPr>
      </w:pPr>
      <w:r>
        <w:rPr>
          <w:lang w:val="zh-CN" w:eastAsia="zh-CN"/>
        </w:rPr>
        <w:t>––</w:t>
      </w:r>
      <w:r>
        <w:rPr>
          <w:lang w:val="zh-CN" w:eastAsia="zh-CN"/>
        </w:rPr>
        <w:tab/>
      </w:r>
      <w:r w:rsidRPr="00B56572">
        <w:rPr>
          <w:b/>
          <w:bCs/>
          <w:lang w:val="zh-CN" w:eastAsia="zh-CN"/>
        </w:rPr>
        <w:t>关于精简决议的报告人组</w:t>
      </w:r>
      <w:r>
        <w:rPr>
          <w:lang w:val="zh-CN" w:eastAsia="zh-CN"/>
        </w:rPr>
        <w:t>：</w:t>
      </w:r>
      <w:r>
        <w:rPr>
          <w:lang w:eastAsia="zh-CN"/>
        </w:rPr>
        <w:t>该报告人组在</w:t>
      </w:r>
      <w:r>
        <w:rPr>
          <w:lang w:eastAsia="zh-CN"/>
        </w:rPr>
        <w:t>2025</w:t>
      </w:r>
      <w:r>
        <w:rPr>
          <w:lang w:eastAsia="zh-CN"/>
        </w:rPr>
        <w:t>年的</w:t>
      </w:r>
      <w:proofErr w:type="spellStart"/>
      <w:r>
        <w:rPr>
          <w:lang w:eastAsia="zh-CN"/>
        </w:rPr>
        <w:t>ISCG</w:t>
      </w:r>
      <w:proofErr w:type="spellEnd"/>
      <w:r>
        <w:rPr>
          <w:lang w:eastAsia="zh-CN"/>
        </w:rPr>
        <w:t>上一次会议上获得批准。报告人已</w:t>
      </w:r>
      <w:r w:rsidRPr="00B56572">
        <w:rPr>
          <w:rFonts w:ascii="SimSun" w:hAnsi="SimSun" w:cs="SimSun" w:hint="eastAsia"/>
          <w:lang w:eastAsia="zh-CN"/>
        </w:rPr>
        <w:t>就</w:t>
      </w:r>
      <w:r>
        <w:rPr>
          <w:lang w:eastAsia="zh-CN"/>
        </w:rPr>
        <w:t>简化第</w:t>
      </w:r>
      <w:r>
        <w:rPr>
          <w:lang w:eastAsia="zh-CN"/>
        </w:rPr>
        <w:t>154</w:t>
      </w:r>
      <w:r>
        <w:rPr>
          <w:lang w:eastAsia="zh-CN"/>
        </w:rPr>
        <w:t>号决议（</w:t>
      </w:r>
      <w:r>
        <w:rPr>
          <w:lang w:eastAsia="zh-CN"/>
        </w:rPr>
        <w:t>2022</w:t>
      </w:r>
      <w:r>
        <w:rPr>
          <w:lang w:eastAsia="zh-CN"/>
        </w:rPr>
        <w:t>年，布加勒斯特，修订版）和第</w:t>
      </w:r>
      <w:r>
        <w:rPr>
          <w:lang w:eastAsia="zh-CN"/>
        </w:rPr>
        <w:t>191</w:t>
      </w:r>
      <w:r>
        <w:rPr>
          <w:lang w:eastAsia="zh-CN"/>
        </w:rPr>
        <w:t>号决议（</w:t>
      </w:r>
      <w:r>
        <w:rPr>
          <w:lang w:eastAsia="zh-CN"/>
        </w:rPr>
        <w:t>2022</w:t>
      </w:r>
      <w:r>
        <w:rPr>
          <w:lang w:eastAsia="zh-CN"/>
        </w:rPr>
        <w:t>年，布加勒斯特，修订版）提交了两份提案</w:t>
      </w:r>
      <w:r>
        <w:rPr>
          <w:rFonts w:hint="eastAsia"/>
          <w:lang w:eastAsia="zh-CN"/>
        </w:rPr>
        <w:t>，</w:t>
      </w:r>
      <w:r w:rsidRPr="00B56572">
        <w:rPr>
          <w:rFonts w:ascii="SimSun" w:hAnsi="SimSun" w:cs="SimSun" w:hint="eastAsia"/>
          <w:lang w:eastAsia="zh-CN"/>
        </w:rPr>
        <w:t>其中前者载于</w:t>
      </w:r>
      <w:hyperlink r:id="rId33" w:history="1">
        <w:r w:rsidR="009B68D1" w:rsidRPr="009B68D1">
          <w:rPr>
            <w:rStyle w:val="Hyperlink"/>
            <w:rFonts w:eastAsia="SimSun" w:cs="Calibri"/>
            <w:u w:val="single"/>
            <w:lang w:eastAsia="zh-CN"/>
          </w:rPr>
          <w:t>ISCG/26-1/7</w:t>
        </w:r>
      </w:hyperlink>
      <w:r>
        <w:rPr>
          <w:lang w:eastAsia="zh-CN"/>
        </w:rPr>
        <w:t>号文件补遗</w:t>
      </w:r>
      <w:r>
        <w:rPr>
          <w:lang w:eastAsia="zh-CN"/>
        </w:rPr>
        <w:t>1</w:t>
      </w:r>
      <w:r>
        <w:rPr>
          <w:rFonts w:hint="eastAsia"/>
          <w:lang w:eastAsia="zh-CN"/>
        </w:rPr>
        <w:t>，</w:t>
      </w:r>
      <w:r w:rsidRPr="00B56572">
        <w:rPr>
          <w:rFonts w:ascii="SimSun" w:hAnsi="SimSun" w:cs="SimSun" w:hint="eastAsia"/>
          <w:lang w:eastAsia="zh-CN"/>
        </w:rPr>
        <w:t>后者</w:t>
      </w:r>
      <w:r>
        <w:rPr>
          <w:rFonts w:hint="eastAsia"/>
          <w:lang w:eastAsia="zh-CN"/>
        </w:rPr>
        <w:t>载于</w:t>
      </w:r>
      <w:r>
        <w:rPr>
          <w:lang w:eastAsia="zh-CN"/>
        </w:rPr>
        <w:t>补遗</w:t>
      </w:r>
      <w:r>
        <w:rPr>
          <w:lang w:eastAsia="zh-CN"/>
        </w:rPr>
        <w:t>2</w:t>
      </w:r>
      <w:r>
        <w:rPr>
          <w:lang w:eastAsia="zh-CN"/>
        </w:rPr>
        <w:t>。</w:t>
      </w:r>
      <w:proofErr w:type="spellStart"/>
      <w:r>
        <w:rPr>
          <w:lang w:eastAsia="zh-CN"/>
        </w:rPr>
        <w:t>ISCG</w:t>
      </w:r>
      <w:proofErr w:type="spellEnd"/>
      <w:r>
        <w:rPr>
          <w:lang w:eastAsia="zh-CN"/>
        </w:rPr>
        <w:t>审议</w:t>
      </w:r>
      <w:r>
        <w:rPr>
          <w:rFonts w:hint="eastAsia"/>
          <w:lang w:eastAsia="zh-CN"/>
        </w:rPr>
        <w:t>了</w:t>
      </w:r>
      <w:r>
        <w:rPr>
          <w:lang w:eastAsia="zh-CN"/>
        </w:rPr>
        <w:t>这两项提案并</w:t>
      </w:r>
      <w:r>
        <w:rPr>
          <w:rFonts w:hint="eastAsia"/>
          <w:lang w:eastAsia="zh-CN"/>
        </w:rPr>
        <w:t>表示</w:t>
      </w:r>
      <w:r>
        <w:rPr>
          <w:lang w:eastAsia="zh-CN"/>
        </w:rPr>
        <w:t>支持</w:t>
      </w:r>
      <w:r>
        <w:rPr>
          <w:rFonts w:ascii="SimSun" w:hAnsi="SimSun" w:cs="SimSun" w:hint="eastAsia"/>
          <w:lang w:eastAsia="zh-CN"/>
        </w:rPr>
        <w:t>。</w:t>
      </w:r>
      <w:hyperlink r:id="rId34" w:history="1"/>
    </w:p>
    <w:p w14:paraId="4D04E56E" w14:textId="2112F15B" w:rsidR="00A6218D" w:rsidRDefault="00A6218D" w:rsidP="00A6218D">
      <w:pPr>
        <w:ind w:firstLineChars="200" w:firstLine="480"/>
        <w:rPr>
          <w:lang w:eastAsia="zh-CN"/>
        </w:rPr>
      </w:pPr>
      <w:r>
        <w:rPr>
          <w:lang w:val="zh-CN" w:eastAsia="zh-CN"/>
        </w:rPr>
        <w:t>在上次会议上，</w:t>
      </w:r>
      <w:r>
        <w:rPr>
          <w:lang w:val="zh-CN" w:eastAsia="zh-CN"/>
        </w:rPr>
        <w:t>ISCG</w:t>
      </w:r>
      <w:r>
        <w:rPr>
          <w:lang w:val="zh-CN" w:eastAsia="zh-CN"/>
        </w:rPr>
        <w:t>同意将</w:t>
      </w:r>
      <w:r w:rsidR="009B68D1">
        <w:rPr>
          <w:rFonts w:hint="eastAsia"/>
          <w:lang w:val="zh-CN" w:eastAsia="zh-CN"/>
        </w:rPr>
        <w:t>“</w:t>
      </w:r>
      <w:r>
        <w:rPr>
          <w:lang w:val="zh-CN" w:eastAsia="zh-CN"/>
        </w:rPr>
        <w:t>效率</w:t>
      </w:r>
      <w:r w:rsidR="009B68D1">
        <w:rPr>
          <w:rFonts w:hint="eastAsia"/>
          <w:lang w:val="zh-CN" w:eastAsia="zh-CN"/>
        </w:rPr>
        <w:t>”</w:t>
      </w:r>
      <w:r>
        <w:rPr>
          <w:lang w:val="zh-CN" w:eastAsia="zh-CN"/>
        </w:rPr>
        <w:t>作为一个潜在的新主题，旨在促进分享已经在整个国际电联产生组织效率的最佳做法。</w:t>
      </w:r>
    </w:p>
    <w:p w14:paraId="4FE286A6" w14:textId="77777777" w:rsidR="00A6218D" w:rsidRDefault="00A6218D" w:rsidP="009B68D1">
      <w:pPr>
        <w:ind w:firstLineChars="200" w:firstLine="480"/>
        <w:rPr>
          <w:lang w:eastAsia="zh-CN"/>
        </w:rPr>
      </w:pPr>
      <w:r>
        <w:rPr>
          <w:lang w:val="zh-CN" w:eastAsia="zh-CN"/>
        </w:rPr>
        <w:t>成果报告和行动呼吁定期提交各部门顾问组，并在必要时提交理事会财务和人力资源工作组（</w:t>
      </w:r>
      <w:r>
        <w:rPr>
          <w:lang w:val="zh-CN" w:eastAsia="zh-CN"/>
        </w:rPr>
        <w:t>CWG-FHR</w:t>
      </w:r>
      <w:r>
        <w:rPr>
          <w:lang w:val="zh-CN" w:eastAsia="zh-CN"/>
        </w:rPr>
        <w:t>）。</w:t>
      </w:r>
    </w:p>
    <w:p w14:paraId="40547867" w14:textId="77777777" w:rsidR="00A6218D" w:rsidRDefault="00A6218D" w:rsidP="00A6218D">
      <w:pPr>
        <w:ind w:firstLineChars="200" w:firstLine="480"/>
        <w:rPr>
          <w:lang w:eastAsia="zh-CN"/>
        </w:rPr>
      </w:pPr>
      <w:r>
        <w:rPr>
          <w:lang w:val="zh-CN" w:eastAsia="zh-CN"/>
        </w:rPr>
        <w:t>ISCG</w:t>
      </w:r>
      <w:r>
        <w:rPr>
          <w:lang w:val="zh-CN" w:eastAsia="zh-CN"/>
        </w:rPr>
        <w:t>重申，其工作是由成员驱动的，并由各部门顾问组为每个主题提名的协调员领导。鼓励成员国和部门成员就其认为</w:t>
      </w:r>
      <w:r>
        <w:rPr>
          <w:rFonts w:hint="eastAsia"/>
          <w:lang w:val="zh-CN" w:eastAsia="zh-CN"/>
        </w:rPr>
        <w:t>可</w:t>
      </w:r>
      <w:r>
        <w:rPr>
          <w:lang w:val="zh-CN" w:eastAsia="zh-CN"/>
        </w:rPr>
        <w:t>受益于跨部门方式的主题提交文稿。</w:t>
      </w:r>
    </w:p>
    <w:p w14:paraId="039BE90E" w14:textId="77777777" w:rsidR="00A6218D" w:rsidRDefault="00A6218D" w:rsidP="009B68D1">
      <w:pPr>
        <w:ind w:firstLineChars="200" w:firstLine="480"/>
        <w:rPr>
          <w:lang w:eastAsia="zh-CN"/>
        </w:rPr>
      </w:pPr>
      <w:r>
        <w:rPr>
          <w:lang w:val="zh-CN" w:eastAsia="zh-CN"/>
        </w:rPr>
        <w:t>对于</w:t>
      </w:r>
      <w:r>
        <w:rPr>
          <w:lang w:val="zh-CN" w:eastAsia="zh-CN"/>
        </w:rPr>
        <w:t>PP-26</w:t>
      </w:r>
      <w:r>
        <w:rPr>
          <w:lang w:val="zh-CN" w:eastAsia="zh-CN"/>
        </w:rPr>
        <w:t>之后开始的周期，</w:t>
      </w:r>
      <w:r>
        <w:rPr>
          <w:lang w:val="zh-CN" w:eastAsia="zh-CN"/>
        </w:rPr>
        <w:t>ISCG</w:t>
      </w:r>
      <w:r>
        <w:rPr>
          <w:lang w:val="zh-CN" w:eastAsia="zh-CN"/>
        </w:rPr>
        <w:t>建议每年向理事会行政常设委员会提交一份独立报告。</w:t>
      </w:r>
    </w:p>
    <w:p w14:paraId="44FC445F" w14:textId="77777777" w:rsidR="00E871D3" w:rsidRDefault="00A6218D" w:rsidP="00A6218D">
      <w:pPr>
        <w:ind w:firstLineChars="200" w:firstLine="480"/>
        <w:rPr>
          <w:lang w:val="es-ES" w:eastAsia="zh-CN"/>
        </w:rPr>
      </w:pPr>
      <w:r>
        <w:rPr>
          <w:lang w:val="zh-CN" w:eastAsia="zh-CN"/>
        </w:rPr>
        <w:t>有关</w:t>
      </w:r>
      <w:r>
        <w:rPr>
          <w:lang w:val="zh-CN" w:eastAsia="zh-CN"/>
        </w:rPr>
        <w:t>ISCG</w:t>
      </w:r>
      <w:r>
        <w:rPr>
          <w:lang w:val="zh-CN" w:eastAsia="zh-CN"/>
        </w:rPr>
        <w:t>的更多信息，如会议报告和讨论的文件，可查阅</w:t>
      </w:r>
      <w:hyperlink r:id="rId35" w:history="1">
        <w:r w:rsidR="009B68D1" w:rsidRPr="009B68D1">
          <w:rPr>
            <w:rStyle w:val="Hyperlink"/>
            <w:rFonts w:eastAsia="SimSun" w:cs="Calibri"/>
            <w:u w:val="single"/>
            <w:lang w:eastAsia="zh-CN"/>
          </w:rPr>
          <w:t>ISCG</w:t>
        </w:r>
        <w:r w:rsidR="009B68D1" w:rsidRPr="009B68D1">
          <w:rPr>
            <w:rStyle w:val="Hyperlink"/>
            <w:rFonts w:eastAsia="SimSun" w:cs="Calibri" w:hint="eastAsia"/>
            <w:u w:val="single"/>
            <w:lang w:eastAsia="zh-CN"/>
          </w:rPr>
          <w:t>网页</w:t>
        </w:r>
      </w:hyperlink>
      <w:r>
        <w:rPr>
          <w:lang w:val="zh-CN" w:eastAsia="zh-CN"/>
        </w:rPr>
        <w:t>。</w:t>
      </w:r>
    </w:p>
    <w:p w14:paraId="0F486534" w14:textId="79A18871" w:rsidR="00A6218D" w:rsidRDefault="00A6218D" w:rsidP="00A6218D">
      <w:pPr>
        <w:ind w:firstLineChars="200" w:firstLine="480"/>
        <w:rPr>
          <w:lang w:eastAsia="zh-CN"/>
        </w:rPr>
      </w:pPr>
      <w:hyperlink r:id="rId36" w:history="1"/>
    </w:p>
    <w:p w14:paraId="489AC6FA" w14:textId="77777777" w:rsidR="00A6218D" w:rsidRPr="00C0458D" w:rsidRDefault="00A6218D" w:rsidP="00A6218D">
      <w:pPr>
        <w:jc w:val="center"/>
      </w:pPr>
      <w:r>
        <w:rPr>
          <w:lang w:val="zh-CN"/>
        </w:rPr>
        <w:t>______________</w:t>
      </w:r>
    </w:p>
    <w:sectPr w:rsidR="00A6218D" w:rsidRPr="00C0458D" w:rsidSect="00E24D59">
      <w:footerReference w:type="default" r:id="rId37"/>
      <w:headerReference w:type="first" r:id="rId38"/>
      <w:footerReference w:type="first" r:id="rId3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D550D" w14:textId="77777777" w:rsidR="00445E49" w:rsidRDefault="00445E49">
      <w:r>
        <w:separator/>
      </w:r>
    </w:p>
  </w:endnote>
  <w:endnote w:type="continuationSeparator" w:id="0">
    <w:p w14:paraId="0BF4889D" w14:textId="77777777" w:rsidR="00445E49" w:rsidRDefault="0044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4A131A82" w14:textId="77777777" w:rsidTr="00E31DCE">
      <w:trPr>
        <w:jc w:val="center"/>
      </w:trPr>
      <w:tc>
        <w:tcPr>
          <w:tcW w:w="1803" w:type="dxa"/>
          <w:vAlign w:val="center"/>
        </w:tcPr>
        <w:p w14:paraId="1D74BEF0" w14:textId="6E2C2794" w:rsidR="00E24D59" w:rsidRPr="00A13406" w:rsidRDefault="00171D0F" w:rsidP="00E24D59">
          <w:pPr>
            <w:pStyle w:val="Header"/>
            <w:jc w:val="left"/>
            <w:rPr>
              <w:noProof/>
              <w:color w:val="808080" w:themeColor="background1" w:themeShade="80"/>
            </w:rPr>
          </w:pPr>
          <w:r w:rsidRPr="00171D0F">
            <w:rPr>
              <w:noProof/>
              <w:color w:val="808080" w:themeColor="background1" w:themeShade="80"/>
            </w:rPr>
            <w:t>2600731</w:t>
          </w:r>
        </w:p>
      </w:tc>
      <w:tc>
        <w:tcPr>
          <w:tcW w:w="8261" w:type="dxa"/>
        </w:tcPr>
        <w:p w14:paraId="22CDBE88" w14:textId="1F908208"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87C3A">
            <w:rPr>
              <w:bCs/>
              <w:color w:val="808080" w:themeColor="background1" w:themeShade="80"/>
            </w:rPr>
            <w:t>6</w:t>
          </w:r>
          <w:proofErr w:type="spellEnd"/>
          <w:r w:rsidRPr="00A13406">
            <w:rPr>
              <w:bCs/>
              <w:color w:val="808080" w:themeColor="background1" w:themeShade="80"/>
            </w:rPr>
            <w:t>/</w:t>
          </w:r>
          <w:proofErr w:type="spellStart"/>
          <w:r w:rsidR="00171D0F">
            <w:rPr>
              <w:rFonts w:eastAsiaTheme="minorEastAsia" w:hint="eastAsia"/>
              <w:bCs/>
              <w:color w:val="808080" w:themeColor="background1" w:themeShade="80"/>
              <w:lang w:eastAsia="zh-CN"/>
            </w:rPr>
            <w:t>27</w:t>
          </w:r>
          <w:r w:rsidRPr="00A13406">
            <w:rPr>
              <w:bCs/>
              <w:color w:val="808080" w:themeColor="background1" w:themeShade="80"/>
            </w:rPr>
            <w:t>C</w:t>
          </w:r>
          <w:proofErr w:type="spellEnd"/>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59ECC26B"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01CB0F89" w14:textId="77777777" w:rsidTr="00E31DCE">
      <w:trPr>
        <w:jc w:val="center"/>
      </w:trPr>
      <w:tc>
        <w:tcPr>
          <w:tcW w:w="1803" w:type="dxa"/>
          <w:vAlign w:val="center"/>
        </w:tcPr>
        <w:p w14:paraId="36696192"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03D0F170" w14:textId="260D2668"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D87C3A">
            <w:rPr>
              <w:bCs/>
              <w:color w:val="808080" w:themeColor="background1" w:themeShade="80"/>
            </w:rPr>
            <w:t>6</w:t>
          </w:r>
          <w:proofErr w:type="spellEnd"/>
          <w:r w:rsidRPr="003F086E">
            <w:rPr>
              <w:bCs/>
              <w:color w:val="808080" w:themeColor="background1" w:themeShade="80"/>
            </w:rPr>
            <w:t>/</w:t>
          </w:r>
          <w:r w:rsidR="00FC5291">
            <w:rPr>
              <w:rFonts w:eastAsiaTheme="minorEastAsia" w:hint="eastAsia"/>
              <w:bCs/>
              <w:color w:val="808080" w:themeColor="background1" w:themeShade="80"/>
              <w:lang w:eastAsia="zh-CN"/>
            </w:rPr>
            <w:t>27</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661FB6EF"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002FF" w14:textId="77777777" w:rsidR="00445E49" w:rsidRDefault="00445E49">
      <w:r>
        <w:t>____________________</w:t>
      </w:r>
    </w:p>
  </w:footnote>
  <w:footnote w:type="continuationSeparator" w:id="0">
    <w:p w14:paraId="077F58C3" w14:textId="77777777" w:rsidR="00445E49" w:rsidRDefault="00445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5C100"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9A5"/>
    <w:rsid w:val="00001B77"/>
    <w:rsid w:val="0000517A"/>
    <w:rsid w:val="0000538F"/>
    <w:rsid w:val="00031E72"/>
    <w:rsid w:val="000404D2"/>
    <w:rsid w:val="000445DC"/>
    <w:rsid w:val="00064124"/>
    <w:rsid w:val="000646BD"/>
    <w:rsid w:val="000853C0"/>
    <w:rsid w:val="00093DD9"/>
    <w:rsid w:val="0009409E"/>
    <w:rsid w:val="000A1C21"/>
    <w:rsid w:val="000C0BC5"/>
    <w:rsid w:val="000C60BE"/>
    <w:rsid w:val="000D15EA"/>
    <w:rsid w:val="000D61FE"/>
    <w:rsid w:val="000D7012"/>
    <w:rsid w:val="00100D84"/>
    <w:rsid w:val="00124C9D"/>
    <w:rsid w:val="001305DE"/>
    <w:rsid w:val="0015333E"/>
    <w:rsid w:val="00157773"/>
    <w:rsid w:val="00171D0F"/>
    <w:rsid w:val="0017287B"/>
    <w:rsid w:val="0018251A"/>
    <w:rsid w:val="00190272"/>
    <w:rsid w:val="00193244"/>
    <w:rsid w:val="00195C6C"/>
    <w:rsid w:val="00195FED"/>
    <w:rsid w:val="001A4BD6"/>
    <w:rsid w:val="001B6E2B"/>
    <w:rsid w:val="001D5A18"/>
    <w:rsid w:val="001F2E5E"/>
    <w:rsid w:val="00215132"/>
    <w:rsid w:val="00220C45"/>
    <w:rsid w:val="00224449"/>
    <w:rsid w:val="00247EC4"/>
    <w:rsid w:val="002764AD"/>
    <w:rsid w:val="00277DEA"/>
    <w:rsid w:val="00280EB8"/>
    <w:rsid w:val="002916B4"/>
    <w:rsid w:val="002A1D39"/>
    <w:rsid w:val="002A6670"/>
    <w:rsid w:val="002C3F32"/>
    <w:rsid w:val="002E6D04"/>
    <w:rsid w:val="00303502"/>
    <w:rsid w:val="00317064"/>
    <w:rsid w:val="00325C25"/>
    <w:rsid w:val="00372C8F"/>
    <w:rsid w:val="00380ECE"/>
    <w:rsid w:val="00393DDF"/>
    <w:rsid w:val="00397F55"/>
    <w:rsid w:val="003B4454"/>
    <w:rsid w:val="003C1BD8"/>
    <w:rsid w:val="003C2E37"/>
    <w:rsid w:val="003E20AE"/>
    <w:rsid w:val="003F086E"/>
    <w:rsid w:val="003F1415"/>
    <w:rsid w:val="003F252F"/>
    <w:rsid w:val="0040144C"/>
    <w:rsid w:val="00403EB7"/>
    <w:rsid w:val="00404FAC"/>
    <w:rsid w:val="004109A5"/>
    <w:rsid w:val="004178E6"/>
    <w:rsid w:val="00430BF0"/>
    <w:rsid w:val="00445E49"/>
    <w:rsid w:val="00454AF4"/>
    <w:rsid w:val="00465C35"/>
    <w:rsid w:val="004672E6"/>
    <w:rsid w:val="00474ED1"/>
    <w:rsid w:val="00476588"/>
    <w:rsid w:val="00477D57"/>
    <w:rsid w:val="00491BA9"/>
    <w:rsid w:val="00493085"/>
    <w:rsid w:val="004A36EC"/>
    <w:rsid w:val="004D163F"/>
    <w:rsid w:val="004E0CF8"/>
    <w:rsid w:val="004E2B4D"/>
    <w:rsid w:val="004E4BFF"/>
    <w:rsid w:val="004F2598"/>
    <w:rsid w:val="005017CF"/>
    <w:rsid w:val="005403F7"/>
    <w:rsid w:val="00540632"/>
    <w:rsid w:val="00541CF4"/>
    <w:rsid w:val="005451E8"/>
    <w:rsid w:val="005507F2"/>
    <w:rsid w:val="00551CB5"/>
    <w:rsid w:val="00555C29"/>
    <w:rsid w:val="005759CC"/>
    <w:rsid w:val="00576C08"/>
    <w:rsid w:val="00594451"/>
    <w:rsid w:val="005A72E1"/>
    <w:rsid w:val="005C6632"/>
    <w:rsid w:val="005D1C9E"/>
    <w:rsid w:val="005E4EE8"/>
    <w:rsid w:val="00602842"/>
    <w:rsid w:val="00630DD5"/>
    <w:rsid w:val="00632742"/>
    <w:rsid w:val="00637584"/>
    <w:rsid w:val="00654257"/>
    <w:rsid w:val="0065435A"/>
    <w:rsid w:val="00670D8A"/>
    <w:rsid w:val="00682E97"/>
    <w:rsid w:val="006976F0"/>
    <w:rsid w:val="006A2DD3"/>
    <w:rsid w:val="006A5113"/>
    <w:rsid w:val="006A5AF8"/>
    <w:rsid w:val="006C36CD"/>
    <w:rsid w:val="00700D1F"/>
    <w:rsid w:val="007205CB"/>
    <w:rsid w:val="0072138B"/>
    <w:rsid w:val="00726073"/>
    <w:rsid w:val="00734FE8"/>
    <w:rsid w:val="007360CE"/>
    <w:rsid w:val="0077110E"/>
    <w:rsid w:val="00772315"/>
    <w:rsid w:val="00775157"/>
    <w:rsid w:val="007813AE"/>
    <w:rsid w:val="007846F6"/>
    <w:rsid w:val="007A37DB"/>
    <w:rsid w:val="007E189D"/>
    <w:rsid w:val="007F0210"/>
    <w:rsid w:val="00804CE8"/>
    <w:rsid w:val="00806E3F"/>
    <w:rsid w:val="00811259"/>
    <w:rsid w:val="00813AA2"/>
    <w:rsid w:val="008173A3"/>
    <w:rsid w:val="008418F5"/>
    <w:rsid w:val="0084546D"/>
    <w:rsid w:val="0086059C"/>
    <w:rsid w:val="00864589"/>
    <w:rsid w:val="00874C82"/>
    <w:rsid w:val="00890AFB"/>
    <w:rsid w:val="00890FC4"/>
    <w:rsid w:val="00895905"/>
    <w:rsid w:val="008D40AB"/>
    <w:rsid w:val="008E1DFD"/>
    <w:rsid w:val="008F64AD"/>
    <w:rsid w:val="00911230"/>
    <w:rsid w:val="00911867"/>
    <w:rsid w:val="009164A9"/>
    <w:rsid w:val="009258CB"/>
    <w:rsid w:val="0093362E"/>
    <w:rsid w:val="00944563"/>
    <w:rsid w:val="009470DE"/>
    <w:rsid w:val="00953160"/>
    <w:rsid w:val="009625D8"/>
    <w:rsid w:val="00962E9E"/>
    <w:rsid w:val="00972E7A"/>
    <w:rsid w:val="00983878"/>
    <w:rsid w:val="0098459B"/>
    <w:rsid w:val="00986943"/>
    <w:rsid w:val="0099164D"/>
    <w:rsid w:val="00997185"/>
    <w:rsid w:val="009A3456"/>
    <w:rsid w:val="009A76A8"/>
    <w:rsid w:val="009B1114"/>
    <w:rsid w:val="009B68D1"/>
    <w:rsid w:val="009B6A7E"/>
    <w:rsid w:val="009C2458"/>
    <w:rsid w:val="009C4A7B"/>
    <w:rsid w:val="009C6123"/>
    <w:rsid w:val="009F1E3E"/>
    <w:rsid w:val="00A01F4F"/>
    <w:rsid w:val="00A109AF"/>
    <w:rsid w:val="00A1213C"/>
    <w:rsid w:val="00A13406"/>
    <w:rsid w:val="00A272FF"/>
    <w:rsid w:val="00A5354B"/>
    <w:rsid w:val="00A6218D"/>
    <w:rsid w:val="00A650C3"/>
    <w:rsid w:val="00A71B57"/>
    <w:rsid w:val="00AA2E08"/>
    <w:rsid w:val="00AB42C1"/>
    <w:rsid w:val="00AC516F"/>
    <w:rsid w:val="00AC67B3"/>
    <w:rsid w:val="00AE195F"/>
    <w:rsid w:val="00AE2926"/>
    <w:rsid w:val="00B0184B"/>
    <w:rsid w:val="00B035CD"/>
    <w:rsid w:val="00B0769D"/>
    <w:rsid w:val="00B217F8"/>
    <w:rsid w:val="00B326AA"/>
    <w:rsid w:val="00B332EA"/>
    <w:rsid w:val="00B40A53"/>
    <w:rsid w:val="00B45365"/>
    <w:rsid w:val="00B46A65"/>
    <w:rsid w:val="00B60184"/>
    <w:rsid w:val="00B62D20"/>
    <w:rsid w:val="00B81E75"/>
    <w:rsid w:val="00B91673"/>
    <w:rsid w:val="00B93453"/>
    <w:rsid w:val="00B9445B"/>
    <w:rsid w:val="00BC2E3B"/>
    <w:rsid w:val="00BD0954"/>
    <w:rsid w:val="00BD1A5A"/>
    <w:rsid w:val="00BD5B00"/>
    <w:rsid w:val="00BD7A9B"/>
    <w:rsid w:val="00BD7BE1"/>
    <w:rsid w:val="00BE5D7C"/>
    <w:rsid w:val="00BF3F8B"/>
    <w:rsid w:val="00BF416B"/>
    <w:rsid w:val="00C0775D"/>
    <w:rsid w:val="00C127AE"/>
    <w:rsid w:val="00C205F9"/>
    <w:rsid w:val="00C24DAC"/>
    <w:rsid w:val="00C45EB2"/>
    <w:rsid w:val="00C50C86"/>
    <w:rsid w:val="00C51CE0"/>
    <w:rsid w:val="00C63BAC"/>
    <w:rsid w:val="00C64E4E"/>
    <w:rsid w:val="00C66E64"/>
    <w:rsid w:val="00C7504E"/>
    <w:rsid w:val="00C761A0"/>
    <w:rsid w:val="00C77FB8"/>
    <w:rsid w:val="00C854E8"/>
    <w:rsid w:val="00C85F7E"/>
    <w:rsid w:val="00C90D53"/>
    <w:rsid w:val="00C912CE"/>
    <w:rsid w:val="00CA0B2E"/>
    <w:rsid w:val="00CA260A"/>
    <w:rsid w:val="00CA6EF7"/>
    <w:rsid w:val="00CD47F0"/>
    <w:rsid w:val="00CD5566"/>
    <w:rsid w:val="00CD64D7"/>
    <w:rsid w:val="00CE6F22"/>
    <w:rsid w:val="00CF41F6"/>
    <w:rsid w:val="00CF7D3E"/>
    <w:rsid w:val="00D0269B"/>
    <w:rsid w:val="00D02B4E"/>
    <w:rsid w:val="00D21F11"/>
    <w:rsid w:val="00D36817"/>
    <w:rsid w:val="00D416DA"/>
    <w:rsid w:val="00D453EE"/>
    <w:rsid w:val="00D5666C"/>
    <w:rsid w:val="00D64CDC"/>
    <w:rsid w:val="00D666BC"/>
    <w:rsid w:val="00D773A8"/>
    <w:rsid w:val="00D83542"/>
    <w:rsid w:val="00D87C3A"/>
    <w:rsid w:val="00D92F45"/>
    <w:rsid w:val="00D94637"/>
    <w:rsid w:val="00D9725C"/>
    <w:rsid w:val="00DA0E66"/>
    <w:rsid w:val="00DA2D30"/>
    <w:rsid w:val="00DA7006"/>
    <w:rsid w:val="00DA722E"/>
    <w:rsid w:val="00DB2988"/>
    <w:rsid w:val="00DB3621"/>
    <w:rsid w:val="00DC4F1E"/>
    <w:rsid w:val="00DC6427"/>
    <w:rsid w:val="00DD62F5"/>
    <w:rsid w:val="00DD66A1"/>
    <w:rsid w:val="00DE196D"/>
    <w:rsid w:val="00DF1257"/>
    <w:rsid w:val="00DF6B49"/>
    <w:rsid w:val="00E067C5"/>
    <w:rsid w:val="00E24D59"/>
    <w:rsid w:val="00E265BF"/>
    <w:rsid w:val="00E323D0"/>
    <w:rsid w:val="00E34C96"/>
    <w:rsid w:val="00E378D8"/>
    <w:rsid w:val="00E43A12"/>
    <w:rsid w:val="00E53A5A"/>
    <w:rsid w:val="00E60ECF"/>
    <w:rsid w:val="00E656EC"/>
    <w:rsid w:val="00E67C67"/>
    <w:rsid w:val="00E77476"/>
    <w:rsid w:val="00E8228B"/>
    <w:rsid w:val="00E871D3"/>
    <w:rsid w:val="00EA33B9"/>
    <w:rsid w:val="00EE5706"/>
    <w:rsid w:val="00EF373D"/>
    <w:rsid w:val="00EF61C0"/>
    <w:rsid w:val="00F051C3"/>
    <w:rsid w:val="00F07053"/>
    <w:rsid w:val="00F11595"/>
    <w:rsid w:val="00F13BC9"/>
    <w:rsid w:val="00F254AC"/>
    <w:rsid w:val="00F357B2"/>
    <w:rsid w:val="00F36556"/>
    <w:rsid w:val="00F57247"/>
    <w:rsid w:val="00F60EDE"/>
    <w:rsid w:val="00F63FCE"/>
    <w:rsid w:val="00F6736A"/>
    <w:rsid w:val="00F705DF"/>
    <w:rsid w:val="00F70622"/>
    <w:rsid w:val="00F85624"/>
    <w:rsid w:val="00F87C05"/>
    <w:rsid w:val="00F93191"/>
    <w:rsid w:val="00F93A17"/>
    <w:rsid w:val="00F942D3"/>
    <w:rsid w:val="00FA2AF6"/>
    <w:rsid w:val="00FB073D"/>
    <w:rsid w:val="00FB771F"/>
    <w:rsid w:val="00FC5291"/>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F7C5E"/>
  <w15:docId w15:val="{B1CC1209-690F-49FC-8FC0-FE8FB2502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qFormat/>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net4/Search/CL26" TargetMode="External"/><Relationship Id="rId18" Type="http://schemas.openxmlformats.org/officeDocument/2006/relationships/hyperlink" Target="https://www.itu.int/en/general-secretariat/ties/ISCGDocumentLibrary/Liaisons%20Statements%20on%20Inter-Sectoral%20Coordination%20Activities/List%20of%20Focal%20Points%20published-Updated%20March2026.pdf" TargetMode="External"/><Relationship Id="rId26" Type="http://schemas.openxmlformats.org/officeDocument/2006/relationships/hyperlink" Target="https://www.itu.int/en/action/environment-and-climate-change/Pages/default.aspx" TargetMode="External"/><Relationship Id="rId39" Type="http://schemas.openxmlformats.org/officeDocument/2006/relationships/footer" Target="footer2.xml"/><Relationship Id="rId21" Type="http://schemas.openxmlformats.org/officeDocument/2006/relationships/hyperlink" Target="https://www.itu.int/en/general-secretariat/ties/ISCGDocumentLibrary/Liaisons%20Statements%20on%20Inter-Sectoral%20Coordination%20Activities/Mapping-of-resolutions-Updated%20March2026.pdf" TargetMode="External"/><Relationship Id="rId34" Type="http://schemas.openxmlformats.org/officeDocument/2006/relationships/hyperlink" Target="https://www.itu.int/md/S26-ISCG12026-C-0007/e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en/general-secretariat/Pages/intersectoral-coordination.aspx" TargetMode="External"/><Relationship Id="rId20" Type="http://schemas.openxmlformats.org/officeDocument/2006/relationships/hyperlink" Target="https://www.itu.int/en/general-secretariat/ties/ISCGDocumentLibrary/Liaisons%20Statements%20on%20Inter-Sectoral%20Coordination%20Activities/Mapping-of-resolutions-Updated%20March2026.pdf" TargetMode="External"/><Relationship Id="rId29" Type="http://schemas.openxmlformats.org/officeDocument/2006/relationships/hyperlink" Target="http://www.itu.int/md/meetingdoc.asp?lang=en&amp;parent=T25-TSAG-260126-TD-GEN-033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general-secretariat/ties/ISCGDocumentLibrary/Liaisons%20Statements%20on%20Inter-Sectoral%20Coordination%20Activities/SO-2024-006-en.pdf" TargetMode="External"/><Relationship Id="rId24" Type="http://schemas.openxmlformats.org/officeDocument/2006/relationships/hyperlink" Target="https://datahub.itu.int/" TargetMode="External"/><Relationship Id="rId32" Type="http://schemas.openxmlformats.org/officeDocument/2006/relationships/hyperlink" Target="https://www.itu.int/en/council/Documents/basic-texts-2023/RES-167-E.pdf"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net4/Search/CL26" TargetMode="External"/><Relationship Id="rId23" Type="http://schemas.openxmlformats.org/officeDocument/2006/relationships/hyperlink" Target="https://www.itu.int/md/S26-CL-INF-0001/en" TargetMode="External"/><Relationship Id="rId28" Type="http://schemas.openxmlformats.org/officeDocument/2006/relationships/hyperlink" Target="https://www.itu.int/en/council/Documents/basic-texts-2023/RES-167-E.pdf" TargetMode="External"/><Relationship Id="rId36" Type="http://schemas.openxmlformats.org/officeDocument/2006/relationships/hyperlink" Target="https://www.itu.int/en/general-secretariat/Pages/ISCG/default.aspx" TargetMode="External"/><Relationship Id="rId10" Type="http://schemas.openxmlformats.org/officeDocument/2006/relationships/hyperlink" Target="https://www.itu.int/en/general-secretariat/ties/ISCGDocumentLibrary/Liaisons%20Statements%20on%20Inter-Sectoral%20Coordination%20Activities/SO-2024-006-en.pdf" TargetMode="External"/><Relationship Id="rId19" Type="http://schemas.openxmlformats.org/officeDocument/2006/relationships/hyperlink" Target="https://www.itu.int/en/general-secretariat/ties/ISCGDocumentLibrary/Liaisons%20Statements%20on%20Inter-Sectoral%20Coordination%20Activities/List%20of%20Focal%20Points%20published-Updated%20March2026.pdf" TargetMode="External"/><Relationship Id="rId31" Type="http://schemas.openxmlformats.org/officeDocument/2006/relationships/hyperlink" Target="https://itu.int/en/general-secretariat/ICT-Services/remoteparticipation" TargetMode="External"/><Relationship Id="rId4" Type="http://schemas.openxmlformats.org/officeDocument/2006/relationships/settings" Target="settings.xml"/><Relationship Id="rId9" Type="http://schemas.openxmlformats.org/officeDocument/2006/relationships/hyperlink" Target="https://www.itu.int/en/council/Documents/basic-texts-2023/DEC-005-E.pdf" TargetMode="External"/><Relationship Id="rId14" Type="http://schemas.openxmlformats.org/officeDocument/2006/relationships/hyperlink" Target="https://www.itu.int/md/S26-CL-C-0035/en" TargetMode="External"/><Relationship Id="rId22" Type="http://schemas.openxmlformats.org/officeDocument/2006/relationships/hyperlink" Target="https://www.itu.int/md/S26-CL-INF-0001/en" TargetMode="External"/><Relationship Id="rId27" Type="http://schemas.openxmlformats.org/officeDocument/2006/relationships/hyperlink" Target="https://www.itu.int/en/action/environment-and-climate-change/Pages/default.aspx" TargetMode="External"/><Relationship Id="rId30" Type="http://schemas.openxmlformats.org/officeDocument/2006/relationships/hyperlink" Target="https://itu.int/en/general-secretariat/ICT-Services/remoteparticipation" TargetMode="External"/><Relationship Id="rId35" Type="http://schemas.openxmlformats.org/officeDocument/2006/relationships/hyperlink" Target="https://www.itu.int/en/general-secretariat/Pages/ISCG/default.aspx" TargetMode="External"/><Relationship Id="rId8" Type="http://schemas.openxmlformats.org/officeDocument/2006/relationships/hyperlink" Target="https://www.itu.int/en/council/Documents/basic-texts-2023/RES-191-E.pdf" TargetMode="External"/><Relationship Id="rId3" Type="http://schemas.openxmlformats.org/officeDocument/2006/relationships/styles" Target="styles.xml"/><Relationship Id="rId12" Type="http://schemas.openxmlformats.org/officeDocument/2006/relationships/hyperlink" Target="https://www.itu.int/md/S26-CL-C-0035/en" TargetMode="External"/><Relationship Id="rId17" Type="http://schemas.openxmlformats.org/officeDocument/2006/relationships/hyperlink" Target="https://www.itu.int/en/general-secretariat/Pages/intersectoral-coordination.aspx" TargetMode="External"/><Relationship Id="rId25" Type="http://schemas.openxmlformats.org/officeDocument/2006/relationships/hyperlink" Target="https://datahub.itu.int/" TargetMode="External"/><Relationship Id="rId33" Type="http://schemas.openxmlformats.org/officeDocument/2006/relationships/hyperlink" Target="https://www.itu.int/md/S26-ISCG12026-C-0007/en" TargetMode="External"/><Relationship Id="rId38"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youqi\Desktop\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PC_Council26.dotx</Template>
  <TotalTime>1</TotalTime>
  <Pages>4</Pages>
  <Words>2758</Words>
  <Characters>3694</Characters>
  <Application>Microsoft Office Word</Application>
  <DocSecurity>0</DocSecurity>
  <Lines>147</Lines>
  <Paragraphs>109</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6343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Enhancing intersectoral coordination across ITU</dc:title>
  <dc:subject>ITU Council 2026</dc:subject>
  <cp:keywords>C26; C2026; Council 2026; PP26</cp:keywords>
  <dc:description/>
  <cp:lastPrinted>2015-02-24T13:23:00Z</cp:lastPrinted>
  <dcterms:created xsi:type="dcterms:W3CDTF">2026-04-23T16:26:00Z</dcterms:created>
  <dcterms:modified xsi:type="dcterms:W3CDTF">2026-04-23T16:26:00Z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