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40CE7AA" w14:textId="77777777" w:rsidTr="00F363FE">
        <w:tc>
          <w:tcPr>
            <w:tcW w:w="6512" w:type="dxa"/>
          </w:tcPr>
          <w:p w14:paraId="52924424" w14:textId="32C48517"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541F1D">
              <w:rPr>
                <w:rFonts w:hint="cs"/>
                <w:b/>
                <w:bCs/>
                <w:rtl/>
                <w:lang w:bidi="ar-EG"/>
              </w:rPr>
              <w:t xml:space="preserve"> </w:t>
            </w:r>
            <w:r w:rsidR="00541F1D">
              <w:rPr>
                <w:b/>
                <w:bCs/>
                <w:lang w:bidi="ar-EG"/>
              </w:rPr>
              <w:t>ADM 3</w:t>
            </w:r>
          </w:p>
        </w:tc>
        <w:tc>
          <w:tcPr>
            <w:tcW w:w="3117" w:type="dxa"/>
          </w:tcPr>
          <w:p w14:paraId="504CF983" w14:textId="226F417B"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541F1D">
              <w:rPr>
                <w:b/>
                <w:bCs/>
                <w:lang w:bidi="ar-EG"/>
              </w:rPr>
              <w:t>27</w:t>
            </w:r>
            <w:r w:rsidRPr="007B0AA0">
              <w:rPr>
                <w:b/>
                <w:bCs/>
                <w:lang w:bidi="ar-EG"/>
              </w:rPr>
              <w:t>-A</w:t>
            </w:r>
          </w:p>
        </w:tc>
      </w:tr>
      <w:tr w:rsidR="007B0AA0" w14:paraId="470D3606" w14:textId="77777777" w:rsidTr="00F363FE">
        <w:tc>
          <w:tcPr>
            <w:tcW w:w="6512" w:type="dxa"/>
          </w:tcPr>
          <w:p w14:paraId="6E202CC3" w14:textId="77777777" w:rsidR="007B0AA0" w:rsidRPr="007B0AA0" w:rsidRDefault="007B0AA0" w:rsidP="00F363FE">
            <w:pPr>
              <w:spacing w:before="60" w:after="60" w:line="260" w:lineRule="exact"/>
              <w:rPr>
                <w:b/>
                <w:bCs/>
                <w:rtl/>
                <w:lang w:bidi="ar-EG"/>
              </w:rPr>
            </w:pPr>
          </w:p>
        </w:tc>
        <w:tc>
          <w:tcPr>
            <w:tcW w:w="3117" w:type="dxa"/>
          </w:tcPr>
          <w:p w14:paraId="63622408" w14:textId="08679F17" w:rsidR="007B0AA0" w:rsidRPr="007B0AA0" w:rsidRDefault="00541F1D" w:rsidP="00F363FE">
            <w:pPr>
              <w:spacing w:before="60" w:after="60" w:line="260" w:lineRule="exact"/>
              <w:rPr>
                <w:b/>
                <w:bCs/>
                <w:rtl/>
                <w:lang w:bidi="ar-EG"/>
              </w:rPr>
            </w:pPr>
            <w:r>
              <w:rPr>
                <w:rFonts w:hint="cs"/>
                <w:b/>
                <w:bCs/>
                <w:rtl/>
              </w:rPr>
              <w:t>‏30‏ مارس‏ 2026</w:t>
            </w:r>
          </w:p>
        </w:tc>
      </w:tr>
      <w:tr w:rsidR="007B0AA0" w14:paraId="151A10EB" w14:textId="77777777" w:rsidTr="00F363FE">
        <w:tc>
          <w:tcPr>
            <w:tcW w:w="6512" w:type="dxa"/>
          </w:tcPr>
          <w:p w14:paraId="60DE6C54" w14:textId="77777777" w:rsidR="007B0AA0" w:rsidRPr="007B0AA0" w:rsidRDefault="007B0AA0" w:rsidP="00F363FE">
            <w:pPr>
              <w:spacing w:before="60" w:after="60" w:line="260" w:lineRule="exact"/>
              <w:rPr>
                <w:b/>
                <w:bCs/>
                <w:rtl/>
                <w:lang w:bidi="ar-EG"/>
              </w:rPr>
            </w:pPr>
          </w:p>
        </w:tc>
        <w:tc>
          <w:tcPr>
            <w:tcW w:w="3117" w:type="dxa"/>
          </w:tcPr>
          <w:p w14:paraId="4FEEBEC9"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08F696C4" w14:textId="77777777" w:rsidTr="00F363FE">
        <w:tc>
          <w:tcPr>
            <w:tcW w:w="6512" w:type="dxa"/>
          </w:tcPr>
          <w:p w14:paraId="2407D06E" w14:textId="77777777" w:rsidR="007B0AA0" w:rsidRDefault="007B0AA0" w:rsidP="00F363FE">
            <w:pPr>
              <w:spacing w:before="60" w:after="60" w:line="260" w:lineRule="exact"/>
              <w:rPr>
                <w:lang w:bidi="ar-EG"/>
              </w:rPr>
            </w:pPr>
          </w:p>
        </w:tc>
        <w:tc>
          <w:tcPr>
            <w:tcW w:w="3117" w:type="dxa"/>
          </w:tcPr>
          <w:p w14:paraId="5AD3C342" w14:textId="77777777" w:rsidR="007B0AA0" w:rsidRDefault="007B0AA0" w:rsidP="00F363FE">
            <w:pPr>
              <w:spacing w:before="60" w:after="60" w:line="260" w:lineRule="exact"/>
              <w:rPr>
                <w:rtl/>
                <w:lang w:bidi="ar-EG"/>
              </w:rPr>
            </w:pPr>
          </w:p>
        </w:tc>
      </w:tr>
      <w:tr w:rsidR="007B0AA0" w14:paraId="3B637321" w14:textId="77777777" w:rsidTr="00EE7446">
        <w:tc>
          <w:tcPr>
            <w:tcW w:w="9629" w:type="dxa"/>
            <w:gridSpan w:val="2"/>
          </w:tcPr>
          <w:p w14:paraId="7702A43B" w14:textId="77777777" w:rsidR="007B0AA0" w:rsidRDefault="001D64C7" w:rsidP="007B0AA0">
            <w:pPr>
              <w:pStyle w:val="Source"/>
              <w:jc w:val="left"/>
              <w:rPr>
                <w:lang w:bidi="ar-EG"/>
              </w:rPr>
            </w:pPr>
            <w:r>
              <w:rPr>
                <w:rFonts w:hint="cs"/>
                <w:rtl/>
                <w:lang w:bidi="ar-EG"/>
              </w:rPr>
              <w:t>تقرير من الأمينة العامة</w:t>
            </w:r>
          </w:p>
        </w:tc>
      </w:tr>
      <w:tr w:rsidR="007B0AA0" w14:paraId="6E7CA3CA" w14:textId="77777777" w:rsidTr="007B0AA0">
        <w:tc>
          <w:tcPr>
            <w:tcW w:w="9629" w:type="dxa"/>
            <w:gridSpan w:val="2"/>
            <w:tcBorders>
              <w:bottom w:val="single" w:sz="4" w:space="0" w:color="auto"/>
            </w:tcBorders>
          </w:tcPr>
          <w:p w14:paraId="71449107" w14:textId="3930F13D" w:rsidR="007B0AA0" w:rsidRPr="005546CF" w:rsidRDefault="00541F1D" w:rsidP="007B0AA0">
            <w:pPr>
              <w:pStyle w:val="Subtitle0"/>
              <w:rPr>
                <w:sz w:val="32"/>
                <w:szCs w:val="32"/>
              </w:rPr>
            </w:pPr>
            <w:r w:rsidRPr="00541F1D">
              <w:rPr>
                <w:sz w:val="32"/>
                <w:szCs w:val="32"/>
                <w:rtl/>
              </w:rPr>
              <w:t>تعزيز التنسيق بين القطاعات في الاتحاد</w:t>
            </w:r>
          </w:p>
        </w:tc>
      </w:tr>
      <w:tr w:rsidR="007B0AA0" w14:paraId="37CFEE1C" w14:textId="77777777" w:rsidTr="007B0AA0">
        <w:tc>
          <w:tcPr>
            <w:tcW w:w="9629" w:type="dxa"/>
            <w:gridSpan w:val="2"/>
            <w:tcBorders>
              <w:top w:val="single" w:sz="4" w:space="0" w:color="auto"/>
              <w:bottom w:val="single" w:sz="4" w:space="0" w:color="auto"/>
            </w:tcBorders>
          </w:tcPr>
          <w:p w14:paraId="3EA46C1A" w14:textId="77777777" w:rsidR="007B0AA0" w:rsidRPr="007B0AA0" w:rsidRDefault="007B0AA0" w:rsidP="007B0AA0">
            <w:pPr>
              <w:rPr>
                <w:b/>
                <w:bCs/>
                <w:rtl/>
              </w:rPr>
            </w:pPr>
            <w:r w:rsidRPr="00494119">
              <w:rPr>
                <w:rFonts w:hint="cs"/>
                <w:b/>
                <w:bCs/>
                <w:rtl/>
              </w:rPr>
              <w:t>الغرض</w:t>
            </w:r>
          </w:p>
          <w:p w14:paraId="44D3F4B1" w14:textId="41658365" w:rsidR="007B0AA0" w:rsidRDefault="00541F1D" w:rsidP="007B0AA0">
            <w:pPr>
              <w:rPr>
                <w:rtl/>
              </w:rPr>
            </w:pPr>
            <w:r w:rsidRPr="00541F1D">
              <w:rPr>
                <w:rtl/>
              </w:rPr>
              <w:t xml:space="preserve">تعرض هذه الوثيقة تقريراً بشأن تنفيذ القرار 191 (المراجَع في بوخارست، 2022) لمؤتمر المندوبين المفوضين </w:t>
            </w:r>
            <w:r w:rsidR="00F6249B">
              <w:rPr>
                <w:rFonts w:hint="cs"/>
                <w:rtl/>
              </w:rPr>
              <w:t>بشأن</w:t>
            </w:r>
            <w:r w:rsidRPr="00541F1D">
              <w:rPr>
                <w:rtl/>
              </w:rPr>
              <w:t xml:space="preserve"> استراتيجية تنسيق الجهود بين قطاعات الاتحاد الثلاثة والأمانة العامة.</w:t>
            </w:r>
          </w:p>
          <w:p w14:paraId="125EFC93" w14:textId="77777777" w:rsidR="007B0AA0" w:rsidRPr="007B0AA0" w:rsidRDefault="007B0AA0" w:rsidP="007B0AA0">
            <w:pPr>
              <w:rPr>
                <w:b/>
                <w:bCs/>
                <w:rtl/>
              </w:rPr>
            </w:pPr>
            <w:r w:rsidRPr="007B0AA0">
              <w:rPr>
                <w:rFonts w:hint="cs"/>
                <w:b/>
                <w:bCs/>
                <w:rtl/>
              </w:rPr>
              <w:t>الإجراء المطلوب من المجلس</w:t>
            </w:r>
          </w:p>
          <w:p w14:paraId="610C57CF" w14:textId="1A03023E" w:rsidR="007B0AA0" w:rsidRDefault="00541F1D" w:rsidP="007B0AA0">
            <w:pPr>
              <w:rPr>
                <w:rtl/>
              </w:rPr>
            </w:pPr>
            <w:r w:rsidRPr="00541F1D">
              <w:rPr>
                <w:rtl/>
              </w:rPr>
              <w:t xml:space="preserve">يُدعى المجلس إلى </w:t>
            </w:r>
            <w:r w:rsidRPr="00541F1D">
              <w:rPr>
                <w:b/>
                <w:bCs/>
                <w:rtl/>
              </w:rPr>
              <w:t>الإحاطة علماً</w:t>
            </w:r>
            <w:r w:rsidRPr="00541F1D">
              <w:rPr>
                <w:rtl/>
              </w:rPr>
              <w:t xml:space="preserve"> بالتقرير.</w:t>
            </w:r>
          </w:p>
          <w:p w14:paraId="31919A2F"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39D4CBD3" w14:textId="7308B6B7" w:rsidR="007B0AA0" w:rsidRDefault="00541F1D" w:rsidP="007B0AA0">
            <w:pPr>
              <w:rPr>
                <w:rtl/>
              </w:rPr>
            </w:pPr>
            <w:r w:rsidRPr="00541F1D">
              <w:rPr>
                <w:rtl/>
              </w:rPr>
              <w:t>التميُّز في مجال الموارد البشرية والابتكار التنظيمي</w:t>
            </w:r>
          </w:p>
          <w:p w14:paraId="339C33D2" w14:textId="77777777" w:rsidR="007B0AA0" w:rsidRDefault="007B0AA0" w:rsidP="00B97F32">
            <w:pPr>
              <w:rPr>
                <w:b/>
                <w:bCs/>
              </w:rPr>
            </w:pPr>
            <w:r w:rsidRPr="007B0AA0">
              <w:rPr>
                <w:rFonts w:hint="cs"/>
                <w:b/>
                <w:bCs/>
                <w:rtl/>
              </w:rPr>
              <w:t>الآثار المالية</w:t>
            </w:r>
          </w:p>
          <w:p w14:paraId="0A7CD4C9" w14:textId="7DFBA116" w:rsidR="006F363C" w:rsidRPr="005546CF" w:rsidRDefault="00541F1D" w:rsidP="007B0AA0">
            <w:pPr>
              <w:rPr>
                <w:rtl/>
              </w:rPr>
            </w:pPr>
            <w:r w:rsidRPr="00541F1D">
              <w:rPr>
                <w:rtl/>
              </w:rPr>
              <w:t>ضمن الميزانية المخصصة لفترة السنتين 2026-2027.</w:t>
            </w:r>
          </w:p>
          <w:p w14:paraId="71FBE029"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66D36720" w14:textId="77777777" w:rsidR="007B0AA0" w:rsidRPr="007B0AA0" w:rsidRDefault="007B0AA0" w:rsidP="007B0AA0">
            <w:pPr>
              <w:rPr>
                <w:b/>
                <w:bCs/>
                <w:rtl/>
              </w:rPr>
            </w:pPr>
            <w:r w:rsidRPr="007B0AA0">
              <w:rPr>
                <w:rFonts w:hint="cs"/>
                <w:b/>
                <w:bCs/>
                <w:rtl/>
              </w:rPr>
              <w:t>المراجع</w:t>
            </w:r>
          </w:p>
          <w:p w14:paraId="5728158F" w14:textId="16C18435" w:rsidR="007B0AA0" w:rsidRPr="005546CF" w:rsidRDefault="00541F1D" w:rsidP="007B0AA0">
            <w:pPr>
              <w:rPr>
                <w:i/>
                <w:iCs/>
                <w:rtl/>
              </w:rPr>
            </w:pPr>
            <w:r w:rsidRPr="00541F1D">
              <w:rPr>
                <w:i/>
                <w:iCs/>
                <w:rtl/>
              </w:rPr>
              <w:t xml:space="preserve">القرار </w:t>
            </w:r>
            <w:hyperlink r:id="rId8" w:history="1">
              <w:r w:rsidRPr="00541F1D">
                <w:rPr>
                  <w:rStyle w:val="Hyperlink"/>
                  <w:i/>
                  <w:iCs/>
                  <w:noProof w:val="0"/>
                  <w:rtl/>
                  <w:lang w:val="en-US" w:eastAsia="zh-CN"/>
                </w:rPr>
                <w:t>71 (المراجَع في بوخارست، 2022)</w:t>
              </w:r>
            </w:hyperlink>
            <w:r w:rsidRPr="00541F1D">
              <w:rPr>
                <w:i/>
                <w:iCs/>
                <w:rtl/>
              </w:rPr>
              <w:t xml:space="preserve"> والقرار </w:t>
            </w:r>
            <w:hyperlink r:id="rId9" w:history="1">
              <w:r w:rsidRPr="00541F1D">
                <w:rPr>
                  <w:rStyle w:val="Hyperlink"/>
                  <w:i/>
                  <w:iCs/>
                  <w:noProof w:val="0"/>
                  <w:rtl/>
                  <w:lang w:val="en-US" w:eastAsia="zh-CN"/>
                </w:rPr>
                <w:t>191 (المراجَع في بوخارست، 2022)</w:t>
              </w:r>
            </w:hyperlink>
            <w:r w:rsidRPr="00541F1D">
              <w:rPr>
                <w:i/>
                <w:iCs/>
                <w:rtl/>
              </w:rPr>
              <w:t xml:space="preserve">، والمقرر </w:t>
            </w:r>
            <w:hyperlink r:id="rId10" w:history="1">
              <w:r w:rsidRPr="00541F1D">
                <w:rPr>
                  <w:rStyle w:val="Hyperlink"/>
                  <w:i/>
                  <w:iCs/>
                  <w:noProof w:val="0"/>
                  <w:rtl/>
                  <w:lang w:val="en-US" w:eastAsia="zh-CN"/>
                </w:rPr>
                <w:t>5 (المراجَع في</w:t>
              </w:r>
              <w:r w:rsidR="00830998">
                <w:rPr>
                  <w:rStyle w:val="Hyperlink"/>
                  <w:rFonts w:hint="eastAsia"/>
                  <w:i/>
                  <w:iCs/>
                  <w:noProof w:val="0"/>
                  <w:rtl/>
                  <w:lang w:val="en-US" w:eastAsia="zh-CN" w:bidi="ar-EG"/>
                </w:rPr>
                <w:t> </w:t>
              </w:r>
              <w:r w:rsidRPr="00541F1D">
                <w:rPr>
                  <w:rStyle w:val="Hyperlink"/>
                  <w:i/>
                  <w:iCs/>
                  <w:noProof w:val="0"/>
                  <w:rtl/>
                  <w:lang w:val="en-US" w:eastAsia="zh-CN"/>
                </w:rPr>
                <w:t>بوخارست، 2022)</w:t>
              </w:r>
            </w:hyperlink>
            <w:r w:rsidRPr="00541F1D">
              <w:rPr>
                <w:i/>
                <w:iCs/>
                <w:rtl/>
              </w:rPr>
              <w:t xml:space="preserve"> لمؤتمر المندوبين المفوضين</w:t>
            </w:r>
          </w:p>
        </w:tc>
      </w:tr>
    </w:tbl>
    <w:p w14:paraId="5D2CD3B6" w14:textId="77777777" w:rsidR="00F50E3F" w:rsidRDefault="00F50E3F" w:rsidP="0043260A">
      <w:pPr>
        <w:rPr>
          <w:rtl/>
          <w:lang w:bidi="ar-EG"/>
        </w:rPr>
      </w:pPr>
      <w:r>
        <w:rPr>
          <w:rtl/>
          <w:lang w:bidi="ar-EG"/>
        </w:rPr>
        <w:br w:type="page"/>
      </w:r>
    </w:p>
    <w:p w14:paraId="386B1160" w14:textId="77777777" w:rsidR="00F6249B" w:rsidRPr="00F6249B" w:rsidRDefault="00F6249B" w:rsidP="00F6249B">
      <w:pPr>
        <w:pStyle w:val="Headingb"/>
        <w:rPr>
          <w:lang w:val="ar-SA" w:bidi="ar-EG"/>
        </w:rPr>
      </w:pPr>
      <w:r w:rsidRPr="00F6249B">
        <w:rPr>
          <w:rtl/>
        </w:rPr>
        <w:lastRenderedPageBreak/>
        <w:t>مقدمة</w:t>
      </w:r>
    </w:p>
    <w:p w14:paraId="7E865149" w14:textId="6601BC80" w:rsidR="00F6249B" w:rsidRPr="00BB1036" w:rsidRDefault="00F6249B" w:rsidP="00F6249B">
      <w:pPr>
        <w:rPr>
          <w:lang w:val="ar-SA" w:bidi="ar-EG"/>
        </w:rPr>
      </w:pPr>
      <w:r w:rsidRPr="00BB1036">
        <w:rPr>
          <w:rtl/>
        </w:rPr>
        <w:t>يكلف مؤتمر المندوبين المفوضين لعام 2022 (PP-22)، من خلال القرار 191 (المراج</w:t>
      </w:r>
      <w:r w:rsidRPr="00BB1036">
        <w:rPr>
          <w:rFonts w:hint="cs"/>
          <w:rtl/>
        </w:rPr>
        <w:t>َ</w:t>
      </w:r>
      <w:r w:rsidRPr="00BB1036">
        <w:rPr>
          <w:rtl/>
        </w:rPr>
        <w:t>ع في بوخارست، 2022)، الأمين العام بمواصلة تعزيز التنسيق والتعاون بين القطاعات الثلاثة والأمانة العامة، بغية تجنب ازدواجية الجهود وتحقيق الاستخدام الأمثل لموارد الاتحاد. ويطلب القرار كذلك إلى الأمين العام تحديد جميع أشكال التداخل بين المهام والأنشطة بين القطاعات والأمانة العامة واقتراح الحلول المناسبة.</w:t>
      </w:r>
    </w:p>
    <w:p w14:paraId="01E94D51" w14:textId="4CB08B19" w:rsidR="00F6249B" w:rsidRPr="00F6249B" w:rsidRDefault="00F6249B" w:rsidP="00F6249B">
      <w:pPr>
        <w:rPr>
          <w:lang w:val="ar-SA" w:bidi="ar-EG"/>
        </w:rPr>
      </w:pPr>
      <w:r w:rsidRPr="00BB1036">
        <w:rPr>
          <w:rtl/>
        </w:rPr>
        <w:t>ولتنفيذ هذه الاختصاصات، فوضت الأمينة العامة نائب الأمين</w:t>
      </w:r>
      <w:r w:rsidR="00BB1036" w:rsidRPr="00BB1036">
        <w:rPr>
          <w:rFonts w:hint="cs"/>
          <w:rtl/>
        </w:rPr>
        <w:t>ة</w:t>
      </w:r>
      <w:r w:rsidRPr="00BB1036">
        <w:rPr>
          <w:rtl/>
        </w:rPr>
        <w:t xml:space="preserve"> العام</w:t>
      </w:r>
      <w:r w:rsidR="00BB1036" w:rsidRPr="00BB1036">
        <w:rPr>
          <w:rFonts w:hint="cs"/>
          <w:rtl/>
        </w:rPr>
        <w:t>ة</w:t>
      </w:r>
      <w:r w:rsidRPr="00BB1036">
        <w:rPr>
          <w:rtl/>
        </w:rPr>
        <w:t xml:space="preserve"> تنفيذ استراتيجيات وآليات التنسيق بين القطاعات للتمكين من إقامة تعاون فعال بين القطاعات والأمانة العامة، من خلال أفرقة مشتركة بين القطاعات لدعم الأهداف الاستراتيجية للاتحاد والتميز التنظيمي.</w:t>
      </w:r>
    </w:p>
    <w:p w14:paraId="6E47D033" w14:textId="77BA77C4" w:rsidR="00F6249B" w:rsidRPr="00F6249B" w:rsidRDefault="00F6249B" w:rsidP="00F6249B">
      <w:pPr>
        <w:rPr>
          <w:lang w:val="ar-SA" w:bidi="ar-EG"/>
        </w:rPr>
      </w:pPr>
      <w:r w:rsidRPr="00F6249B">
        <w:rPr>
          <w:rtl/>
        </w:rPr>
        <w:t xml:space="preserve">وفي عام 2024، حُدِّث الأمر الإداري المنشئ لفريق المهام المعني بالتنسيق بين القطاعات </w:t>
      </w:r>
      <w:r w:rsidRPr="00F6249B">
        <w:rPr>
          <w:lang w:bidi="ar-EG"/>
        </w:rPr>
        <w:t>(ISC-TF)</w:t>
      </w:r>
      <w:r w:rsidRPr="00F6249B">
        <w:rPr>
          <w:rtl/>
        </w:rPr>
        <w:t xml:space="preserve"> (</w:t>
      </w:r>
      <w:hyperlink r:id="rId11" w:history="1">
        <w:r w:rsidRPr="00F6249B">
          <w:rPr>
            <w:rStyle w:val="Hyperlink"/>
            <w:noProof w:val="0"/>
            <w:rtl/>
            <w:lang w:val="en-US" w:eastAsia="zh-CN"/>
          </w:rPr>
          <w:t>الأمر الإداري</w:t>
        </w:r>
        <w:r w:rsidRPr="00F6249B">
          <w:rPr>
            <w:rStyle w:val="Hyperlink"/>
            <w:rFonts w:hint="cs"/>
            <w:noProof w:val="0"/>
            <w:rtl/>
            <w:lang w:val="en-US" w:eastAsia="zh-CN"/>
          </w:rPr>
          <w:t> </w:t>
        </w:r>
        <w:r w:rsidRPr="00F6249B">
          <w:rPr>
            <w:rStyle w:val="Hyperlink"/>
            <w:noProof w:val="0"/>
            <w:lang w:val="en-US" w:eastAsia="zh-CN"/>
          </w:rPr>
          <w:t>24/06</w:t>
        </w:r>
      </w:hyperlink>
      <w:r w:rsidRPr="00F6249B">
        <w:rPr>
          <w:rtl/>
        </w:rPr>
        <w:t xml:space="preserve">). وبتوجيه من لجنة التنسيق </w:t>
      </w:r>
      <w:r w:rsidRPr="00F6249B">
        <w:rPr>
          <w:lang w:bidi="ar-EG"/>
        </w:rPr>
        <w:t>(</w:t>
      </w:r>
      <w:proofErr w:type="spellStart"/>
      <w:r w:rsidRPr="00F6249B">
        <w:rPr>
          <w:lang w:bidi="ar-EG"/>
        </w:rPr>
        <w:t>CoCo</w:t>
      </w:r>
      <w:proofErr w:type="spellEnd"/>
      <w:r w:rsidRPr="00F6249B">
        <w:rPr>
          <w:lang w:bidi="ar-EG"/>
        </w:rPr>
        <w:t>)</w:t>
      </w:r>
      <w:r w:rsidRPr="00F6249B">
        <w:rPr>
          <w:rtl/>
        </w:rPr>
        <w:t>، كلف فريق المهام بتعزيز التنسيق والتعاون بين المكاتب الثلاثة والأمانة العامة، بهدف منع الازدواجية الداخلية وضمان الاستخدام الأمثل لموارد الاتحاد.</w:t>
      </w:r>
    </w:p>
    <w:p w14:paraId="540B2213" w14:textId="4DEBBDD4" w:rsidR="00F6249B" w:rsidRPr="00F6249B" w:rsidRDefault="00F6249B" w:rsidP="00F6249B">
      <w:pPr>
        <w:rPr>
          <w:lang w:val="ar-SA" w:bidi="ar-EG"/>
        </w:rPr>
      </w:pPr>
      <w:r w:rsidRPr="00F6249B">
        <w:rPr>
          <w:rtl/>
        </w:rPr>
        <w:t>التنسيق داخل الأمانة</w:t>
      </w:r>
      <w:r w:rsidR="00BB1036">
        <w:rPr>
          <w:rFonts w:hint="cs"/>
          <w:rtl/>
        </w:rPr>
        <w:t>،</w:t>
      </w:r>
      <w:r w:rsidRPr="00F6249B">
        <w:rPr>
          <w:rtl/>
        </w:rPr>
        <w:t xml:space="preserve"> فريق المهام المعني بالتنسيق بين القطاعات </w:t>
      </w:r>
      <w:r w:rsidRPr="00F6249B">
        <w:rPr>
          <w:lang w:bidi="ar-EG"/>
        </w:rPr>
        <w:t>(ISC-TF)</w:t>
      </w:r>
      <w:r>
        <w:rPr>
          <w:rFonts w:hint="cs"/>
          <w:rtl/>
          <w:lang w:bidi="ar-EG"/>
        </w:rPr>
        <w:t xml:space="preserve">: </w:t>
      </w:r>
      <w:r w:rsidRPr="00F6249B">
        <w:rPr>
          <w:rtl/>
        </w:rPr>
        <w:t xml:space="preserve">يعمل </w:t>
      </w:r>
      <w:r w:rsidR="00BB1036">
        <w:rPr>
          <w:rFonts w:hint="cs"/>
          <w:rtl/>
        </w:rPr>
        <w:t>ال</w:t>
      </w:r>
      <w:r w:rsidRPr="00F6249B">
        <w:rPr>
          <w:rtl/>
        </w:rPr>
        <w:t>فريق بوصفه آلية التنسيق الداخلية الرئيسية داخل الأمانة، مما يسهل التعاون بين المكاتب الثلاثة والأمانة العامة ويضمن مواءمة الأنشطة مع الأولويات الاستراتيجية للاتحاد. ويتواصل أيضا</w:t>
      </w:r>
      <w:r>
        <w:rPr>
          <w:rFonts w:hint="cs"/>
          <w:rtl/>
        </w:rPr>
        <w:t>ً</w:t>
      </w:r>
      <w:r w:rsidRPr="00F6249B">
        <w:rPr>
          <w:rtl/>
        </w:rPr>
        <w:t xml:space="preserve"> مع فريق التنسيق</w:t>
      </w:r>
      <w:r w:rsidR="009A325A" w:rsidRPr="009A325A">
        <w:rPr>
          <w:rtl/>
        </w:rPr>
        <w:t xml:space="preserve"> </w:t>
      </w:r>
      <w:r w:rsidR="009A325A" w:rsidRPr="00F6249B">
        <w:rPr>
          <w:rtl/>
        </w:rPr>
        <w:t>بين القطاعات</w:t>
      </w:r>
      <w:r w:rsidR="009A325A">
        <w:rPr>
          <w:rFonts w:hint="cs"/>
          <w:rtl/>
        </w:rPr>
        <w:t xml:space="preserve"> </w:t>
      </w:r>
      <w:r w:rsidR="009A325A">
        <w:t>(ISCG)</w:t>
      </w:r>
      <w:r w:rsidRPr="00F6249B">
        <w:rPr>
          <w:rtl/>
        </w:rPr>
        <w:t xml:space="preserve"> لتحديد احتياجات الأعضاء وتوفير خيارات لتحسين التعاون والتنسيق عبر الاتحاد.</w:t>
      </w:r>
    </w:p>
    <w:p w14:paraId="4A2712E3" w14:textId="7F38C161" w:rsidR="00F6249B" w:rsidRPr="00BB1036" w:rsidRDefault="00F6249B" w:rsidP="00F6249B">
      <w:pPr>
        <w:rPr>
          <w:spacing w:val="-2"/>
          <w:lang w:val="ar-SA" w:bidi="ar-EG"/>
        </w:rPr>
      </w:pPr>
      <w:r w:rsidRPr="00BB1036">
        <w:rPr>
          <w:spacing w:val="-2"/>
          <w:rtl/>
        </w:rPr>
        <w:t xml:space="preserve">ومنذ تقديم التقرير إلى المجلس في العام الماضي، واصل فريق </w:t>
      </w:r>
      <w:r w:rsidR="00BB1036" w:rsidRPr="00BB1036">
        <w:rPr>
          <w:spacing w:val="-2"/>
          <w:rtl/>
        </w:rPr>
        <w:t xml:space="preserve">المهام المعني بالتنسيق بين القطاعات </w:t>
      </w:r>
      <w:r w:rsidRPr="00BB1036">
        <w:rPr>
          <w:spacing w:val="-2"/>
          <w:rtl/>
        </w:rPr>
        <w:t>تعزيز التنسيق عبر الاتحاد من خلال مجموعة من آليات الحوكمة والأدوات التحليلية المشتركة والمبادرات الملموسة المشتركة بين القطاعات.</w:t>
      </w:r>
    </w:p>
    <w:p w14:paraId="580C5C17" w14:textId="77777777" w:rsidR="00F6249B" w:rsidRPr="00F6249B" w:rsidRDefault="00F6249B" w:rsidP="00F6249B">
      <w:pPr>
        <w:rPr>
          <w:lang w:val="ar-SA" w:bidi="ar-EG"/>
        </w:rPr>
      </w:pPr>
      <w:r w:rsidRPr="00F6249B">
        <w:rPr>
          <w:rtl/>
        </w:rPr>
        <w:t>ودعم التنسيق بين القطاعات تنفيذ العديد من مبادرات الاتحاد الرئيسية الواردة في التقرير السنوي للاتحاد، حيث تجمع الأنشطة بشكل متزايد بين خبرات الاتصالات الراديوية والتقييس والتنمية والأمانة العامة. ومن الأمثلة على ذلك:</w:t>
      </w:r>
    </w:p>
    <w:p w14:paraId="6D35BF16" w14:textId="74960043" w:rsidR="00F6249B" w:rsidRPr="00F6249B" w:rsidRDefault="00F6249B" w:rsidP="009A325A">
      <w:pPr>
        <w:pStyle w:val="enumlev1"/>
        <w:rPr>
          <w:lang w:val="ar-SA" w:bidi="ar-EG"/>
        </w:rPr>
      </w:pPr>
      <w:r w:rsidRPr="00F6249B">
        <w:rPr>
          <w:lang w:bidi="ar-EG"/>
        </w:rPr>
        <w:t>–</w:t>
      </w:r>
      <w:r w:rsidRPr="00F6249B">
        <w:rPr>
          <w:rtl/>
        </w:rPr>
        <w:tab/>
      </w:r>
      <w:r w:rsidRPr="00F6249B">
        <w:rPr>
          <w:b/>
          <w:bCs/>
          <w:rtl/>
        </w:rPr>
        <w:t>الأمن السيبراني والثقة الرقمية</w:t>
      </w:r>
      <w:r w:rsidRPr="009A325A">
        <w:rPr>
          <w:b/>
          <w:bCs/>
          <w:rtl/>
        </w:rPr>
        <w:t>:</w:t>
      </w:r>
      <w:r w:rsidRPr="00F6249B">
        <w:rPr>
          <w:rtl/>
        </w:rPr>
        <w:t xml:space="preserve"> أسهمت أعمال قطاعات تنمية الاتصالات وتقييس الاتصالات والاتصالات الراديوية في وضع إطار عالمي شامل للأمن السيبراني، يجمع بين التوجيه في مجال السياسات ووضع المعايير وأنشطة بناء القدرات. ومن خلال هذه الجهود المنسقة، زاد عدد البلدان التي لديها أفرقة استجابة وطنية للحوادث الحاسوبية من 109 فِرَق في عام 2020 إلى 132 فرقة بحلول عام 2025، بينما توسعت استراتيجيات الأمن السيبراني الوطنية توسعا</w:t>
      </w:r>
      <w:r w:rsidR="00BA153F">
        <w:rPr>
          <w:rFonts w:hint="cs"/>
          <w:rtl/>
        </w:rPr>
        <w:t>ً</w:t>
      </w:r>
      <w:r w:rsidRPr="00F6249B">
        <w:rPr>
          <w:rtl/>
        </w:rPr>
        <w:t xml:space="preserve"> كبيرا</w:t>
      </w:r>
      <w:r w:rsidR="00BA153F">
        <w:rPr>
          <w:rFonts w:hint="cs"/>
          <w:rtl/>
        </w:rPr>
        <w:t>ً</w:t>
      </w:r>
      <w:r w:rsidRPr="00F6249B">
        <w:rPr>
          <w:rtl/>
        </w:rPr>
        <w:t xml:space="preserve"> في جميع أنحاء العالم.</w:t>
      </w:r>
    </w:p>
    <w:p w14:paraId="41F09BF0" w14:textId="2183B921" w:rsidR="00F6249B" w:rsidRPr="00F6249B" w:rsidRDefault="00F6249B" w:rsidP="009A325A">
      <w:pPr>
        <w:pStyle w:val="enumlev1"/>
        <w:rPr>
          <w:lang w:val="ar-SA" w:bidi="ar-EG"/>
        </w:rPr>
      </w:pPr>
      <w:r w:rsidRPr="00F6249B">
        <w:rPr>
          <w:lang w:bidi="ar-EG"/>
        </w:rPr>
        <w:t>–</w:t>
      </w:r>
      <w:r w:rsidRPr="00F6249B">
        <w:rPr>
          <w:rtl/>
        </w:rPr>
        <w:tab/>
      </w:r>
      <w:r w:rsidRPr="00F6249B">
        <w:rPr>
          <w:b/>
          <w:bCs/>
          <w:rtl/>
        </w:rPr>
        <w:t>الشمول الرقمي وإمكانية النفاذ</w:t>
      </w:r>
      <w:r w:rsidRPr="009A325A">
        <w:rPr>
          <w:b/>
          <w:bCs/>
          <w:rtl/>
        </w:rPr>
        <w:t xml:space="preserve">: </w:t>
      </w:r>
      <w:r w:rsidRPr="00F6249B">
        <w:rPr>
          <w:rtl/>
        </w:rPr>
        <w:t>عملت القطاعات الثلاثة معا</w:t>
      </w:r>
      <w:r w:rsidR="00BA153F">
        <w:rPr>
          <w:rFonts w:hint="cs"/>
          <w:rtl/>
        </w:rPr>
        <w:t>ً</w:t>
      </w:r>
      <w:r w:rsidRPr="00F6249B">
        <w:rPr>
          <w:rtl/>
        </w:rPr>
        <w:t xml:space="preserve"> على النهوض بإمكانية النفاذ الرقمي للأشخاص ذوي الإعاقة من خلال مشورة الخبراء وبرامج التدريب والموارد التقنية. وساهم هذا النهج المنسق في نمو الأطر التنظيمية الوطنية بشأن إمكانية النفاذ إلى تكنولوجيا المعلومات والاتصالات، التي شملت أكثر من 100 بلد خلال الفترة المشمولة بالتقرير.</w:t>
      </w:r>
    </w:p>
    <w:p w14:paraId="469B2439" w14:textId="77777777" w:rsidR="00F6249B" w:rsidRPr="00F6249B" w:rsidRDefault="00F6249B" w:rsidP="009A325A">
      <w:pPr>
        <w:pStyle w:val="enumlev1"/>
        <w:rPr>
          <w:lang w:val="ar-SA" w:bidi="ar-EG"/>
        </w:rPr>
      </w:pPr>
      <w:r w:rsidRPr="00F6249B">
        <w:rPr>
          <w:lang w:bidi="ar-EG"/>
        </w:rPr>
        <w:t>–</w:t>
      </w:r>
      <w:r w:rsidRPr="00F6249B">
        <w:rPr>
          <w:rtl/>
        </w:rPr>
        <w:tab/>
      </w:r>
      <w:r w:rsidRPr="00F6249B">
        <w:rPr>
          <w:b/>
          <w:bCs/>
          <w:rtl/>
        </w:rPr>
        <w:t>سد الفجوة التقييسية وتنمية القدرات</w:t>
      </w:r>
      <w:r w:rsidRPr="009A325A">
        <w:rPr>
          <w:b/>
          <w:bCs/>
          <w:rtl/>
        </w:rPr>
        <w:t>:</w:t>
      </w:r>
      <w:r w:rsidRPr="00F6249B">
        <w:rPr>
          <w:rtl/>
        </w:rPr>
        <w:t xml:space="preserve"> يواصل التنسيق بين مكتب تقييس الاتصالات </w:t>
      </w:r>
      <w:r w:rsidRPr="00F6249B">
        <w:rPr>
          <w:lang w:bidi="ar-EG"/>
        </w:rPr>
        <w:t>(TSB)</w:t>
      </w:r>
      <w:r w:rsidRPr="00F6249B">
        <w:rPr>
          <w:rtl/>
        </w:rPr>
        <w:t xml:space="preserve"> ومكتب تنمية الاتصالات </w:t>
      </w:r>
      <w:r w:rsidRPr="00F6249B">
        <w:rPr>
          <w:lang w:bidi="ar-EG"/>
        </w:rPr>
        <w:t>(BDT)</w:t>
      </w:r>
      <w:r w:rsidRPr="00F6249B">
        <w:rPr>
          <w:rtl/>
        </w:rPr>
        <w:t>، عبر المكاتب الإقليمية وغيرها، دعم أنشطة التدريب وتنمية القدرات الرامية إلى زيادة مشاركة البلدان النامية في عمليات التقييس الدولية. وتتاح المواد التدريبية والدورات التدريبية بلغات متعددة من خلال منصة أكاديمية الاتحاد.</w:t>
      </w:r>
    </w:p>
    <w:p w14:paraId="48C976F9" w14:textId="59D32FB4" w:rsidR="00F6249B" w:rsidRPr="00F6249B" w:rsidRDefault="00F6249B" w:rsidP="00F6249B">
      <w:pPr>
        <w:rPr>
          <w:lang w:val="ar-SA" w:bidi="ar-EG"/>
        </w:rPr>
      </w:pPr>
      <w:r w:rsidRPr="00F6249B">
        <w:rPr>
          <w:rtl/>
        </w:rPr>
        <w:t>ويمكن الاطلاع على نتائج أكثر واقعية لجهود التنسيق التي تبذلها الأفرقة المشتركة بين القطاعات في وثيقة المجلس</w:t>
      </w:r>
      <w:r w:rsidR="009A325A">
        <w:rPr>
          <w:rFonts w:hint="eastAsia"/>
          <w:rtl/>
          <w:lang w:bidi="ar-EG"/>
        </w:rPr>
        <w:t> </w:t>
      </w:r>
      <w:hyperlink r:id="rId12" w:history="1">
        <w:r w:rsidRPr="00F6249B">
          <w:rPr>
            <w:rStyle w:val="Hyperlink"/>
            <w:noProof w:val="0"/>
            <w:lang w:val="en-US" w:eastAsia="zh-CN"/>
          </w:rPr>
          <w:t>C26/35</w:t>
        </w:r>
      </w:hyperlink>
      <w:r w:rsidRPr="00F6249B">
        <w:rPr>
          <w:rtl/>
        </w:rPr>
        <w:t xml:space="preserve">، بشأن تنفيذ الخطة الاستراتيجية للاتحاد وأنشطته، بما في ذلك منصة الويب التي أعدت للإبلاغ عن تنفيذ قرارات مؤتمر المندوبين المفوضين، وهي متاحة </w:t>
      </w:r>
      <w:hyperlink r:id="rId13" w:history="1">
        <w:r w:rsidRPr="00F6249B">
          <w:rPr>
            <w:rStyle w:val="Hyperlink"/>
            <w:noProof w:val="0"/>
            <w:rtl/>
            <w:lang w:val="en-US" w:eastAsia="zh-CN"/>
          </w:rPr>
          <w:t>هنا</w:t>
        </w:r>
      </w:hyperlink>
      <w:r w:rsidRPr="00F6249B">
        <w:rPr>
          <w:rtl/>
        </w:rPr>
        <w:t>.</w:t>
      </w:r>
    </w:p>
    <w:p w14:paraId="73E6073F" w14:textId="15DA0554" w:rsidR="00F6249B" w:rsidRPr="00F6249B" w:rsidRDefault="00F6249B" w:rsidP="009A325A">
      <w:pPr>
        <w:rPr>
          <w:lang w:val="ar-SA" w:bidi="ar-EG"/>
        </w:rPr>
      </w:pPr>
      <w:r w:rsidRPr="00F6249B">
        <w:rPr>
          <w:rtl/>
        </w:rPr>
        <w:t>وتواصل الأمانة أيضا</w:t>
      </w:r>
      <w:r w:rsidR="009A325A">
        <w:rPr>
          <w:rFonts w:hint="cs"/>
          <w:rtl/>
        </w:rPr>
        <w:t>ً</w:t>
      </w:r>
      <w:r w:rsidRPr="00F6249B">
        <w:rPr>
          <w:rtl/>
        </w:rPr>
        <w:t xml:space="preserve"> تعزيز التنسيق من خلال:</w:t>
      </w:r>
    </w:p>
    <w:p w14:paraId="5AB0DF17" w14:textId="5561F836" w:rsidR="00F6249B" w:rsidRPr="00F6249B" w:rsidRDefault="00F6249B" w:rsidP="009A325A">
      <w:pPr>
        <w:pStyle w:val="enumlev1"/>
        <w:rPr>
          <w:lang w:val="ar-SA" w:bidi="ar-EG"/>
        </w:rPr>
      </w:pPr>
      <w:r w:rsidRPr="00F6249B">
        <w:rPr>
          <w:lang w:bidi="ar-EG"/>
        </w:rPr>
        <w:t>–</w:t>
      </w:r>
      <w:r w:rsidRPr="00F6249B">
        <w:rPr>
          <w:rtl/>
        </w:rPr>
        <w:tab/>
      </w:r>
      <w:hyperlink r:id="rId14" w:anchor="/ar" w:history="1">
        <w:r w:rsidR="009A325A" w:rsidRPr="009A325A">
          <w:rPr>
            <w:rStyle w:val="Hyperlink"/>
            <w:noProof w:val="0"/>
            <w:rtl/>
            <w:lang w:val="en-US" w:eastAsia="zh-CN"/>
          </w:rPr>
          <w:t>الصفحة الإلكترونية للتنسيق بين القطاعات</w:t>
        </w:r>
      </w:hyperlink>
      <w:r w:rsidR="009A325A">
        <w:rPr>
          <w:rFonts w:hint="cs"/>
          <w:rtl/>
        </w:rPr>
        <w:t xml:space="preserve">: </w:t>
      </w:r>
      <w:r w:rsidRPr="00F6249B">
        <w:rPr>
          <w:rtl/>
        </w:rPr>
        <w:t>بناء</w:t>
      </w:r>
      <w:r w:rsidR="009A325A">
        <w:rPr>
          <w:rFonts w:hint="cs"/>
          <w:rtl/>
        </w:rPr>
        <w:t>ً</w:t>
      </w:r>
      <w:r w:rsidRPr="00F6249B">
        <w:rPr>
          <w:rtl/>
        </w:rPr>
        <w:t xml:space="preserve"> على الطلبات المقدمة إلى فريق العمل التابع للمجلس </w:t>
      </w:r>
      <w:r w:rsidR="009A325A">
        <w:rPr>
          <w:rFonts w:hint="cs"/>
          <w:rtl/>
        </w:rPr>
        <w:t>و</w:t>
      </w:r>
      <w:r w:rsidRPr="00F6249B">
        <w:rPr>
          <w:rtl/>
        </w:rPr>
        <w:t xml:space="preserve">المعني بالموارد المالية والبشرية </w:t>
      </w:r>
      <w:r w:rsidRPr="00F6249B">
        <w:rPr>
          <w:lang w:bidi="ar-EG"/>
        </w:rPr>
        <w:t>(CWG-FHR)</w:t>
      </w:r>
      <w:r w:rsidRPr="00F6249B">
        <w:rPr>
          <w:rtl/>
        </w:rPr>
        <w:t>، جرى أيضا</w:t>
      </w:r>
      <w:r w:rsidR="009A325A">
        <w:rPr>
          <w:rFonts w:hint="cs"/>
          <w:rtl/>
        </w:rPr>
        <w:t>ً</w:t>
      </w:r>
      <w:r w:rsidRPr="00F6249B">
        <w:rPr>
          <w:rtl/>
        </w:rPr>
        <w:t xml:space="preserve"> تحديث الموقع الإلكتروني لفريق التنسيق بين القطاعات</w:t>
      </w:r>
      <w:r w:rsidR="00D41C1C">
        <w:rPr>
          <w:rtl/>
        </w:rPr>
        <w:t xml:space="preserve"> </w:t>
      </w:r>
      <w:r w:rsidRPr="00F6249B">
        <w:rPr>
          <w:lang w:bidi="ar-EG"/>
        </w:rPr>
        <w:t>(ISCG)</w:t>
      </w:r>
      <w:r w:rsidRPr="00F6249B">
        <w:rPr>
          <w:rtl/>
        </w:rPr>
        <w:t xml:space="preserve"> ليعكس الأنساق المنقحة وإجراءات نشر الوثائق، تماشيا</w:t>
      </w:r>
      <w:r w:rsidR="00BA153F">
        <w:rPr>
          <w:rFonts w:hint="cs"/>
          <w:rtl/>
        </w:rPr>
        <w:t>ً</w:t>
      </w:r>
      <w:r w:rsidRPr="00F6249B">
        <w:rPr>
          <w:rtl/>
        </w:rPr>
        <w:t xml:space="preserve"> مع طلبات الدول الأعضاء والممارسات المطبقة في اجتماعات الأمانة العامة الأخرى؛</w:t>
      </w:r>
    </w:p>
    <w:p w14:paraId="4E6B6213" w14:textId="732CEFAF" w:rsidR="00F6249B" w:rsidRPr="00F6249B" w:rsidRDefault="00F6249B" w:rsidP="009A325A">
      <w:pPr>
        <w:pStyle w:val="enumlev1"/>
        <w:rPr>
          <w:lang w:val="ar-SA" w:bidi="ar-EG"/>
        </w:rPr>
      </w:pPr>
      <w:r w:rsidRPr="00F6249B">
        <w:rPr>
          <w:lang w:bidi="ar-EG"/>
        </w:rPr>
        <w:t>–</w:t>
      </w:r>
      <w:r w:rsidRPr="00F6249B">
        <w:rPr>
          <w:rtl/>
        </w:rPr>
        <w:tab/>
        <w:t xml:space="preserve">نشر </w:t>
      </w:r>
      <w:hyperlink r:id="rId15" w:history="1">
        <w:r w:rsidRPr="009A325A">
          <w:rPr>
            <w:rStyle w:val="Hyperlink"/>
            <w:noProof w:val="0"/>
            <w:rtl/>
            <w:lang w:val="en-US" w:eastAsia="zh-CN"/>
          </w:rPr>
          <w:t>قائمة المواضيع</w:t>
        </w:r>
      </w:hyperlink>
      <w:r w:rsidRPr="009A325A">
        <w:rPr>
          <w:rtl/>
        </w:rPr>
        <w:t xml:space="preserve"> </w:t>
      </w:r>
      <w:r w:rsidRPr="00F6249B">
        <w:rPr>
          <w:rtl/>
        </w:rPr>
        <w:t>التي تتطلب التنسيق بين القطاعات، إلى جانب جهات الاتصال التي تعينها القطاعات والأمانة العامة، والمتاحة في الصفحة الإلكترونية للتنسيق بين القطاعات.</w:t>
      </w:r>
    </w:p>
    <w:p w14:paraId="089E6240" w14:textId="373F79DD" w:rsidR="00F6249B" w:rsidRPr="00F6249B" w:rsidRDefault="00F6249B" w:rsidP="009A325A">
      <w:pPr>
        <w:pStyle w:val="enumlev1"/>
        <w:rPr>
          <w:lang w:val="ar-SA" w:bidi="ar-EG"/>
        </w:rPr>
      </w:pPr>
      <w:r w:rsidRPr="00F6249B">
        <w:rPr>
          <w:lang w:bidi="ar-EG"/>
        </w:rPr>
        <w:lastRenderedPageBreak/>
        <w:t>–</w:t>
      </w:r>
      <w:r w:rsidRPr="00F6249B">
        <w:rPr>
          <w:rtl/>
        </w:rPr>
        <w:tab/>
        <w:t xml:space="preserve">مواصلة </w:t>
      </w:r>
      <w:hyperlink r:id="rId16" w:history="1">
        <w:r w:rsidRPr="009A325A">
          <w:rPr>
            <w:rStyle w:val="Hyperlink"/>
            <w:noProof w:val="0"/>
            <w:rtl/>
            <w:lang w:val="en-US" w:eastAsia="zh-CN"/>
          </w:rPr>
          <w:t>التقابل بين قرارات</w:t>
        </w:r>
      </w:hyperlink>
      <w:r w:rsidRPr="00F6249B">
        <w:rPr>
          <w:rtl/>
        </w:rPr>
        <w:t xml:space="preserve"> المؤتمرات والجمعيات الرئيسية للاتحاد (آخر تحديث بعد المؤتمر العالمي لتنمية الاتصالات لعام 2025)، الذي يشمل الآن أيضا</w:t>
      </w:r>
      <w:r w:rsidR="009A325A">
        <w:rPr>
          <w:rFonts w:hint="cs"/>
          <w:rtl/>
        </w:rPr>
        <w:t>ً</w:t>
      </w:r>
      <w:r w:rsidRPr="00F6249B">
        <w:rPr>
          <w:rtl/>
        </w:rPr>
        <w:t xml:space="preserve"> قرارات المؤتمر العالمي للاتصالات الدولية (دبي، 2012)، بناء</w:t>
      </w:r>
      <w:r w:rsidR="009A325A">
        <w:rPr>
          <w:rFonts w:hint="cs"/>
          <w:rtl/>
        </w:rPr>
        <w:t>ً</w:t>
      </w:r>
      <w:r w:rsidRPr="00F6249B">
        <w:rPr>
          <w:rtl/>
        </w:rPr>
        <w:t xml:space="preserve"> على طلب الدول الأعضاء؛ تهدف هذه الأداة إلى دعم الدول الأعضاء في إعداد مساهماتها إلى مؤتمر المندوبين المفوضين لعام 2026 (PP-26)؛</w:t>
      </w:r>
    </w:p>
    <w:p w14:paraId="3F2BE194" w14:textId="5B840CE5" w:rsidR="00F6249B" w:rsidRPr="00F6249B" w:rsidRDefault="00F6249B" w:rsidP="009A325A">
      <w:pPr>
        <w:pStyle w:val="enumlev1"/>
        <w:rPr>
          <w:lang w:val="ar-SA" w:bidi="ar-EG"/>
        </w:rPr>
      </w:pPr>
      <w:r w:rsidRPr="00F6249B">
        <w:rPr>
          <w:lang w:bidi="ar-EG"/>
        </w:rPr>
        <w:t>–</w:t>
      </w:r>
      <w:r w:rsidRPr="00F6249B">
        <w:rPr>
          <w:rtl/>
        </w:rPr>
        <w:tab/>
        <w:t>فيما يتعلق أيضا</w:t>
      </w:r>
      <w:r w:rsidR="009A325A">
        <w:rPr>
          <w:rFonts w:hint="cs"/>
          <w:rtl/>
        </w:rPr>
        <w:t>ً</w:t>
      </w:r>
      <w:r w:rsidRPr="00F6249B">
        <w:rPr>
          <w:rtl/>
        </w:rPr>
        <w:t xml:space="preserve"> بمؤتمر المندوبين المفوضين لعام 2026، رحب فريق المهام المعني بالتنسيق بين القطاعات </w:t>
      </w:r>
      <w:r w:rsidRPr="00F6249B">
        <w:rPr>
          <w:lang w:bidi="ar-EG"/>
        </w:rPr>
        <w:t>(ISC-TF)</w:t>
      </w:r>
      <w:r w:rsidRPr="00F6249B">
        <w:rPr>
          <w:rtl/>
        </w:rPr>
        <w:t xml:space="preserve"> </w:t>
      </w:r>
      <w:hyperlink r:id="rId17" w:history="1">
        <w:r w:rsidRPr="009A325A">
          <w:rPr>
            <w:rStyle w:val="Hyperlink"/>
            <w:noProof w:val="0"/>
            <w:rtl/>
            <w:lang w:val="en-US" w:eastAsia="zh-CN"/>
          </w:rPr>
          <w:t>بالمبادئ التوجيهية لتنسيق قرارات ومقررات مؤتمر المندوبين المفوضين</w:t>
        </w:r>
      </w:hyperlink>
      <w:r w:rsidRPr="00F6249B">
        <w:rPr>
          <w:rtl/>
        </w:rPr>
        <w:t xml:space="preserve"> التي وضعها فريق العمل التابع للمجلس </w:t>
      </w:r>
      <w:r w:rsidR="009A325A">
        <w:rPr>
          <w:rFonts w:hint="cs"/>
          <w:rtl/>
        </w:rPr>
        <w:t>و</w:t>
      </w:r>
      <w:r w:rsidRPr="00F6249B">
        <w:rPr>
          <w:rtl/>
        </w:rPr>
        <w:t xml:space="preserve">المعني بالخطتين الاستراتيجية والمالية للفترة </w:t>
      </w:r>
      <w:r w:rsidRPr="00F6249B">
        <w:t>2031-2028</w:t>
      </w:r>
      <w:r w:rsidRPr="00F6249B">
        <w:rPr>
          <w:rtl/>
        </w:rPr>
        <w:t xml:space="preserve"> (CWG-SFP)؛ وتشكل هذه المبادئ التوجيهية أداة إضافية غير ملزمة لمساعدة الدول الأعضاء المهتمة في إعداد مقترحاتها بهدف زيادة كفاءة عمل الاتحاد؛</w:t>
      </w:r>
    </w:p>
    <w:p w14:paraId="1179CAAD" w14:textId="5762CF44" w:rsidR="00F6249B" w:rsidRPr="00F6249B" w:rsidRDefault="00F6249B" w:rsidP="009A325A">
      <w:pPr>
        <w:pStyle w:val="enumlev1"/>
        <w:rPr>
          <w:lang w:val="ar-SA" w:bidi="ar-EG"/>
        </w:rPr>
      </w:pPr>
      <w:r w:rsidRPr="00F6249B">
        <w:rPr>
          <w:lang w:bidi="ar-EG"/>
        </w:rPr>
        <w:t>–</w:t>
      </w:r>
      <w:r w:rsidRPr="00F6249B">
        <w:rPr>
          <w:rtl/>
        </w:rPr>
        <w:tab/>
        <w:t xml:space="preserve">الشراكة المعنية بقياس تكنولوجيا المعلومات والاتصالات لأغراض التنمية: تعمل هذه الشراكة على تحسين جودة بيانات تكنولوجيا المعلومات والاتصالات وتوافرها لأغراض التنمية المستدامة وترسم المؤشرات الأساسية مقابل خطوط عمل القمة العالمية لمجتمع المعلومات </w:t>
      </w:r>
      <w:r w:rsidRPr="00F6249B">
        <w:rPr>
          <w:lang w:bidi="ar-EG"/>
        </w:rPr>
        <w:t>(WSIS)</w:t>
      </w:r>
      <w:r w:rsidRPr="00F6249B">
        <w:rPr>
          <w:rtl/>
        </w:rPr>
        <w:t xml:space="preserve"> والتعاهد الرقمي العالمي وإطار الأمم المتحدة للتوصيلية الهادفة؛ وتُستضاف مخرجاته في </w:t>
      </w:r>
      <w:hyperlink r:id="rId18" w:history="1">
        <w:r w:rsidRPr="009A325A">
          <w:rPr>
            <w:rStyle w:val="Hyperlink"/>
            <w:noProof w:val="0"/>
            <w:rtl/>
            <w:lang w:val="en-US" w:eastAsia="zh-CN"/>
          </w:rPr>
          <w:t>مركز بيانات الاتحاد</w:t>
        </w:r>
      </w:hyperlink>
      <w:r w:rsidRPr="00F6249B">
        <w:rPr>
          <w:rtl/>
        </w:rPr>
        <w:t>.</w:t>
      </w:r>
    </w:p>
    <w:p w14:paraId="08611582" w14:textId="77777777" w:rsidR="00F6249B" w:rsidRPr="00F6249B" w:rsidRDefault="00F6249B" w:rsidP="00F6249B">
      <w:pPr>
        <w:rPr>
          <w:lang w:val="ar-SA" w:bidi="ar-EG"/>
        </w:rPr>
      </w:pPr>
      <w:r w:rsidRPr="00F6249B">
        <w:rPr>
          <w:rtl/>
        </w:rPr>
        <w:t>وفي عام 2026، سيعطي فريق المهام الأولوية لتحسين تنسيق الفعاليات والمنشورات والاتصالات، بهدف تعزيز الحضور المؤسسي للاتحاد وتأثيره العام.</w:t>
      </w:r>
    </w:p>
    <w:p w14:paraId="0F82DAB8" w14:textId="11A17381" w:rsidR="00F6249B" w:rsidRPr="00F6249B" w:rsidRDefault="00F6249B" w:rsidP="009A325A">
      <w:pPr>
        <w:pStyle w:val="Headingb"/>
        <w:rPr>
          <w:lang w:val="ar-SA" w:bidi="ar-EG"/>
        </w:rPr>
      </w:pPr>
      <w:r w:rsidRPr="00F6249B">
        <w:rPr>
          <w:rtl/>
        </w:rPr>
        <w:t>دعم التخطيط الاستراتيجي والمواءمة التنظيمية</w:t>
      </w:r>
      <w:r w:rsidRPr="00F6249B">
        <w:rPr>
          <w:lang w:bidi="ar-EG"/>
        </w:rPr>
        <w:t>:</w:t>
      </w:r>
    </w:p>
    <w:p w14:paraId="2A0D8B0E" w14:textId="00E7C26B" w:rsidR="00F6249B" w:rsidRPr="00F6249B" w:rsidRDefault="00F6249B" w:rsidP="00F6249B">
      <w:pPr>
        <w:rPr>
          <w:lang w:val="ar-SA" w:bidi="ar-EG"/>
        </w:rPr>
      </w:pPr>
      <w:r w:rsidRPr="00BA153F">
        <w:rPr>
          <w:rtl/>
        </w:rPr>
        <w:t xml:space="preserve">أنشئ فريق عمل </w:t>
      </w:r>
      <w:r w:rsidR="00BA153F" w:rsidRPr="00BA153F">
        <w:rPr>
          <w:rtl/>
        </w:rPr>
        <w:t xml:space="preserve">مشترك بين القطاعات </w:t>
      </w:r>
      <w:r w:rsidRPr="00BA153F">
        <w:rPr>
          <w:rtl/>
        </w:rPr>
        <w:t xml:space="preserve">المعني بالتخطيط الاستراتيجي والمالي </w:t>
      </w:r>
      <w:r w:rsidRPr="00BA153F">
        <w:rPr>
          <w:lang w:bidi="ar-EG"/>
        </w:rPr>
        <w:t>(SFP-WG)</w:t>
      </w:r>
      <w:r w:rsidRPr="00BA153F">
        <w:rPr>
          <w:rtl/>
        </w:rPr>
        <w:t xml:space="preserve"> بقيادة نائب الأمين</w:t>
      </w:r>
      <w:r w:rsidR="00D41C1C" w:rsidRPr="00BA153F">
        <w:rPr>
          <w:rFonts w:hint="cs"/>
          <w:rtl/>
        </w:rPr>
        <w:t>ة</w:t>
      </w:r>
      <w:r w:rsidRPr="00BA153F">
        <w:rPr>
          <w:rtl/>
        </w:rPr>
        <w:t xml:space="preserve"> العام</w:t>
      </w:r>
      <w:r w:rsidR="00D41C1C" w:rsidRPr="00BA153F">
        <w:rPr>
          <w:rFonts w:hint="cs"/>
          <w:rtl/>
        </w:rPr>
        <w:t>ة</w:t>
      </w:r>
      <w:r w:rsidRPr="00BA153F">
        <w:rPr>
          <w:rtl/>
        </w:rPr>
        <w:t xml:space="preserve"> لتنسيق مساهمات الأمانة في إعداد الخطتين الاستراتيجية والمالية للفترة </w:t>
      </w:r>
      <w:r w:rsidRPr="00BA153F">
        <w:t>2031-2028</w:t>
      </w:r>
      <w:r w:rsidRPr="00BA153F">
        <w:rPr>
          <w:rtl/>
        </w:rPr>
        <w:t>. وقد مكن هذا النهج التعاوني الأمانة من مواءمة وجهات النظر القطاعية وضمان الاتساق بين المكاتب والأمانة العامة في التحضير لدورة التخطيط المقبلة. ويضطلع فريق مشاريع بقيادة رئيس دائرة الشؤون الإدارية والمالية بتنسيق العمل عبر المكاتب والأمانة العامة لضمان الربط بين الخطط الاستراتيجية والمالية والتشغيلية.</w:t>
      </w:r>
    </w:p>
    <w:p w14:paraId="649C5321" w14:textId="761931B7" w:rsidR="00F6249B" w:rsidRPr="00F6249B" w:rsidRDefault="00F6249B" w:rsidP="009A325A">
      <w:pPr>
        <w:pStyle w:val="Headingb"/>
        <w:rPr>
          <w:lang w:val="ar-SA" w:bidi="ar-EG"/>
        </w:rPr>
      </w:pPr>
      <w:r w:rsidRPr="00F6249B">
        <w:rPr>
          <w:rtl/>
        </w:rPr>
        <w:t>التنسيق بين الأعضاء - فريق التنسيق بين القطاعات</w:t>
      </w:r>
      <w:r w:rsidR="00D41C1C">
        <w:rPr>
          <w:rFonts w:hint="cs"/>
          <w:rtl/>
        </w:rPr>
        <w:t xml:space="preserve"> </w:t>
      </w:r>
      <w:r w:rsidR="00D41C1C">
        <w:t>(ISCG)</w:t>
      </w:r>
    </w:p>
    <w:p w14:paraId="5C2DF7EC" w14:textId="77777777" w:rsidR="00F6249B" w:rsidRPr="00F6249B" w:rsidRDefault="00F6249B" w:rsidP="00F6249B">
      <w:pPr>
        <w:rPr>
          <w:lang w:val="ar-SA" w:bidi="ar-EG"/>
        </w:rPr>
      </w:pPr>
      <w:r w:rsidRPr="00F6249B">
        <w:rPr>
          <w:rtl/>
        </w:rPr>
        <w:t xml:space="preserve">لا يزال التنسيق بين الأعضاء في إطار فريق التنسيق بين القطاعات </w:t>
      </w:r>
      <w:r w:rsidRPr="00F6249B">
        <w:rPr>
          <w:lang w:bidi="ar-EG"/>
        </w:rPr>
        <w:t>(ISCG)</w:t>
      </w:r>
      <w:r w:rsidRPr="00F6249B">
        <w:rPr>
          <w:rtl/>
        </w:rPr>
        <w:t xml:space="preserve"> برئاسة السيد فابيو بيجي (إيطاليا)، بوصفه فريقاً يقوم على المساهمات.</w:t>
      </w:r>
    </w:p>
    <w:p w14:paraId="6A8CF7E4" w14:textId="76A9E5F6" w:rsidR="00F6249B" w:rsidRPr="00F6249B" w:rsidRDefault="00F6249B" w:rsidP="00F6249B">
      <w:pPr>
        <w:rPr>
          <w:lang w:val="ar-SA" w:bidi="ar-EG"/>
        </w:rPr>
      </w:pPr>
      <w:r w:rsidRPr="00F6249B">
        <w:rPr>
          <w:rtl/>
        </w:rPr>
        <w:t>يواصل فريق التنسيق</w:t>
      </w:r>
      <w:r w:rsidR="00BA153F">
        <w:rPr>
          <w:rFonts w:hint="cs"/>
          <w:rtl/>
        </w:rPr>
        <w:t xml:space="preserve"> </w:t>
      </w:r>
      <w:r w:rsidR="00BA153F" w:rsidRPr="00F6249B">
        <w:rPr>
          <w:rtl/>
        </w:rPr>
        <w:t>بين القطاعات</w:t>
      </w:r>
      <w:r w:rsidRPr="00F6249B">
        <w:rPr>
          <w:rtl/>
        </w:rPr>
        <w:t xml:space="preserve"> معالجة المواضيع التالية:</w:t>
      </w:r>
    </w:p>
    <w:p w14:paraId="3D0ED9E4" w14:textId="70C0DB48" w:rsidR="00F6249B" w:rsidRPr="00F6249B" w:rsidRDefault="00F6249B" w:rsidP="009A325A">
      <w:pPr>
        <w:pStyle w:val="enumlev1"/>
        <w:rPr>
          <w:lang w:val="ar-SA" w:bidi="ar-EG"/>
        </w:rPr>
      </w:pPr>
      <w:r w:rsidRPr="00F6249B">
        <w:rPr>
          <w:lang w:bidi="ar-EG"/>
        </w:rPr>
        <w:t>–</w:t>
      </w:r>
      <w:r w:rsidRPr="00F6249B">
        <w:rPr>
          <w:rtl/>
        </w:rPr>
        <w:tab/>
      </w:r>
      <w:r w:rsidRPr="00F6249B">
        <w:rPr>
          <w:b/>
          <w:bCs/>
          <w:rtl/>
        </w:rPr>
        <w:t>إمكانية النفاذ</w:t>
      </w:r>
      <w:r w:rsidRPr="00D41C1C">
        <w:rPr>
          <w:b/>
          <w:bCs/>
          <w:rtl/>
        </w:rPr>
        <w:t>:</w:t>
      </w:r>
      <w:r w:rsidRPr="00F6249B">
        <w:rPr>
          <w:rtl/>
        </w:rPr>
        <w:t xml:space="preserve"> أعرب فريق التنسيق</w:t>
      </w:r>
      <w:r w:rsidR="00BA153F">
        <w:rPr>
          <w:rFonts w:hint="cs"/>
          <w:rtl/>
        </w:rPr>
        <w:t xml:space="preserve"> </w:t>
      </w:r>
      <w:r w:rsidR="00BA153F" w:rsidRPr="00F6249B">
        <w:rPr>
          <w:rtl/>
        </w:rPr>
        <w:t>بين القطاعات</w:t>
      </w:r>
      <w:r w:rsidRPr="00F6249B">
        <w:rPr>
          <w:rtl/>
        </w:rPr>
        <w:t xml:space="preserve"> عن رغبته في المساهمة في المناقشات المتعلقة بمشروع المبنى الجديد ويتابع عن كثب التطورات المتعلقة بالموقع الإلكتروني الجديد للاتحاد، للمساعدة في ضمان استمرار سهولة استخدام جميع المستخدمين للموقعين كليهما.</w:t>
      </w:r>
    </w:p>
    <w:p w14:paraId="7DC9E787" w14:textId="31E5530E" w:rsidR="00F6249B" w:rsidRPr="00F6249B" w:rsidRDefault="00F6249B" w:rsidP="009A325A">
      <w:pPr>
        <w:pStyle w:val="enumlev1"/>
        <w:rPr>
          <w:lang w:val="ar-SA" w:bidi="ar-EG"/>
        </w:rPr>
      </w:pPr>
      <w:r w:rsidRPr="00F6249B">
        <w:rPr>
          <w:lang w:bidi="ar-EG"/>
        </w:rPr>
        <w:t>–</w:t>
      </w:r>
      <w:r w:rsidRPr="00F6249B">
        <w:rPr>
          <w:rtl/>
        </w:rPr>
        <w:tab/>
      </w:r>
      <w:r w:rsidRPr="00F6249B">
        <w:rPr>
          <w:b/>
          <w:bCs/>
          <w:rtl/>
        </w:rPr>
        <w:t>تغير المناخ</w:t>
      </w:r>
      <w:r w:rsidRPr="00D41C1C">
        <w:rPr>
          <w:b/>
          <w:bCs/>
          <w:rtl/>
        </w:rPr>
        <w:t>:</w:t>
      </w:r>
      <w:r w:rsidRPr="00F6249B">
        <w:rPr>
          <w:rtl/>
        </w:rPr>
        <w:t xml:space="preserve"> يتواصل تطور التعاون بين قطاعات الاتحاد الثلاثة في هذا الشأن. ويظهر ذلك جلياً في قسم </w:t>
      </w:r>
      <w:hyperlink r:id="rId19" w:anchor="/ar" w:history="1">
        <w:r w:rsidRPr="00D41C1C">
          <w:rPr>
            <w:rStyle w:val="Hyperlink"/>
            <w:noProof w:val="0"/>
            <w:rtl/>
            <w:lang w:val="en-US" w:eastAsia="zh-CN"/>
          </w:rPr>
          <w:t>البيئة وتغير المناخ</w:t>
        </w:r>
      </w:hyperlink>
      <w:r w:rsidRPr="00F6249B">
        <w:rPr>
          <w:rtl/>
        </w:rPr>
        <w:t xml:space="preserve"> على الموقع الإلكتروني للاتحاد.</w:t>
      </w:r>
    </w:p>
    <w:p w14:paraId="45C40EDE" w14:textId="07FEE4B2" w:rsidR="00F6249B" w:rsidRPr="00F6249B" w:rsidRDefault="00F6249B" w:rsidP="009A325A">
      <w:pPr>
        <w:pStyle w:val="enumlev1"/>
        <w:rPr>
          <w:lang w:val="ar-SA" w:bidi="ar-EG"/>
        </w:rPr>
      </w:pPr>
      <w:r w:rsidRPr="00F6249B">
        <w:rPr>
          <w:lang w:bidi="ar-EG"/>
        </w:rPr>
        <w:t>–</w:t>
      </w:r>
      <w:r w:rsidRPr="00F6249B">
        <w:rPr>
          <w:rtl/>
        </w:rPr>
        <w:tab/>
      </w:r>
      <w:r w:rsidRPr="00F6249B">
        <w:rPr>
          <w:b/>
          <w:bCs/>
          <w:rtl/>
        </w:rPr>
        <w:t>الموقع الإلكتروني للاتحاد</w:t>
      </w:r>
      <w:r w:rsidRPr="00D41C1C">
        <w:rPr>
          <w:b/>
          <w:bCs/>
          <w:rtl/>
        </w:rPr>
        <w:t>:</w:t>
      </w:r>
      <w:r w:rsidRPr="00F6249B">
        <w:rPr>
          <w:rtl/>
        </w:rPr>
        <w:t xml:space="preserve"> طلب فريق التنسيق</w:t>
      </w:r>
      <w:r w:rsidR="00BA153F" w:rsidRPr="00BA153F">
        <w:rPr>
          <w:rtl/>
        </w:rPr>
        <w:t xml:space="preserve"> </w:t>
      </w:r>
      <w:r w:rsidR="00BA153F" w:rsidRPr="00F6249B">
        <w:rPr>
          <w:rtl/>
        </w:rPr>
        <w:t>بين القطاعات</w:t>
      </w:r>
      <w:r w:rsidRPr="00F6249B">
        <w:rPr>
          <w:rtl/>
        </w:rPr>
        <w:t xml:space="preserve"> من الأمانة تقديم تحديثات منتظمة بشأن تطوير الموقع الإلكتروني الجديد للاتحاد، وتواصل الأمانة التواصل مع الأعضاء وجمع تعليقاتهم. وكما ذكر أعلاه، أعرب منسق إمكانية النفاذ عن رغبته في المشاركة بنشاط لضمان أن يأخذ المشروع في الاعتبار بشكل مناسب احتياجات الأشخاص ذوي الإعاقة طوال عملية الاستعراض.</w:t>
      </w:r>
    </w:p>
    <w:p w14:paraId="0D7B38FD" w14:textId="74160E0A" w:rsidR="00F6249B" w:rsidRPr="00F6249B" w:rsidRDefault="00F6249B" w:rsidP="009A325A">
      <w:pPr>
        <w:pStyle w:val="enumlev1"/>
        <w:rPr>
          <w:lang w:val="ar-SA" w:bidi="ar-EG"/>
        </w:rPr>
      </w:pPr>
      <w:r w:rsidRPr="00F6249B">
        <w:rPr>
          <w:lang w:bidi="ar-EG"/>
        </w:rPr>
        <w:t>–</w:t>
      </w:r>
      <w:r w:rsidRPr="00F6249B">
        <w:rPr>
          <w:rtl/>
        </w:rPr>
        <w:tab/>
      </w:r>
      <w:r w:rsidRPr="00F6249B">
        <w:rPr>
          <w:b/>
          <w:bCs/>
          <w:rtl/>
        </w:rPr>
        <w:t>المشاركة عن ب</w:t>
      </w:r>
      <w:r w:rsidR="00D41C1C">
        <w:rPr>
          <w:rFonts w:hint="cs"/>
          <w:b/>
          <w:bCs/>
          <w:rtl/>
        </w:rPr>
        <w:t>ُ</w:t>
      </w:r>
      <w:r w:rsidRPr="00F6249B">
        <w:rPr>
          <w:b/>
          <w:bCs/>
          <w:rtl/>
        </w:rPr>
        <w:t>عد</w:t>
      </w:r>
      <w:r w:rsidRPr="00D41C1C">
        <w:rPr>
          <w:b/>
          <w:bCs/>
          <w:rtl/>
        </w:rPr>
        <w:t>:</w:t>
      </w:r>
      <w:r w:rsidRPr="00F6249B">
        <w:rPr>
          <w:rtl/>
        </w:rPr>
        <w:t xml:space="preserve"> يعزز فريق التنسيق بين القطاعات المواءمة بين </w:t>
      </w:r>
      <w:hyperlink r:id="rId20" w:history="1">
        <w:r w:rsidRPr="00D41C1C">
          <w:rPr>
            <w:rStyle w:val="Hyperlink"/>
            <w:noProof w:val="0"/>
            <w:rtl/>
            <w:lang w:val="en-US" w:eastAsia="zh-CN"/>
          </w:rPr>
          <w:t xml:space="preserve">الإضافة 4 للسلسلة </w:t>
        </w:r>
        <w:r w:rsidRPr="00D41C1C">
          <w:rPr>
            <w:rStyle w:val="Hyperlink"/>
            <w:noProof w:val="0"/>
            <w:lang w:val="en-US" w:eastAsia="zh-CN" w:bidi="ar-EG"/>
          </w:rPr>
          <w:t>A</w:t>
        </w:r>
        <w:r w:rsidRPr="00D41C1C">
          <w:rPr>
            <w:rStyle w:val="Hyperlink"/>
            <w:noProof w:val="0"/>
            <w:rtl/>
            <w:lang w:val="en-US" w:eastAsia="zh-CN"/>
          </w:rPr>
          <w:t xml:space="preserve"> </w:t>
        </w:r>
        <w:r w:rsidR="00D41C1C" w:rsidRPr="00D41C1C">
          <w:rPr>
            <w:rStyle w:val="Hyperlink"/>
            <w:noProof w:val="0"/>
            <w:rtl/>
            <w:lang w:val="en-US" w:eastAsia="zh-CN"/>
          </w:rPr>
          <w:t>"المبادئ التوجيهية للمشاركة عن بُعد"</w:t>
        </w:r>
      </w:hyperlink>
      <w:r w:rsidR="00D41C1C" w:rsidRPr="00F6249B">
        <w:rPr>
          <w:rtl/>
        </w:rPr>
        <w:t xml:space="preserve"> </w:t>
      </w:r>
      <w:r w:rsidR="00203DA0">
        <w:rPr>
          <w:rFonts w:hint="cs"/>
          <w:rtl/>
        </w:rPr>
        <w:t>الصادرة عن</w:t>
      </w:r>
      <w:r w:rsidRPr="00F6249B">
        <w:rPr>
          <w:rtl/>
        </w:rPr>
        <w:t xml:space="preserve"> قطاع تقييس الاتصالات</w:t>
      </w:r>
      <w:r w:rsidR="00D41C1C">
        <w:rPr>
          <w:rFonts w:hint="cs"/>
          <w:rtl/>
        </w:rPr>
        <w:t>،</w:t>
      </w:r>
      <w:r w:rsidRPr="00F6249B">
        <w:rPr>
          <w:rtl/>
        </w:rPr>
        <w:t xml:space="preserve"> </w:t>
      </w:r>
      <w:r w:rsidR="0018674F">
        <w:rPr>
          <w:rFonts w:hint="cs"/>
          <w:rtl/>
        </w:rPr>
        <w:t>و</w:t>
      </w:r>
      <w:hyperlink r:id="rId21" w:anchor="/ar" w:history="1">
        <w:r w:rsidRPr="0018674F">
          <w:rPr>
            <w:rtl/>
          </w:rPr>
          <w:t>"</w:t>
        </w:r>
        <w:r w:rsidRPr="00D41C1C">
          <w:rPr>
            <w:rStyle w:val="Hyperlink"/>
            <w:noProof w:val="0"/>
            <w:rtl/>
            <w:lang w:val="en-US" w:eastAsia="zh-CN"/>
          </w:rPr>
          <w:t>المبادئ التوجيهية لإدارة الاجتماعات الافتراضية بالكامل والاجتماعات الحضورية التي تتاح فيها إمكانية المشاركة عن بُعد</w:t>
        </w:r>
        <w:r w:rsidRPr="0018674F">
          <w:rPr>
            <w:rtl/>
          </w:rPr>
          <w:t>"</w:t>
        </w:r>
      </w:hyperlink>
      <w:r w:rsidRPr="00F6249B">
        <w:rPr>
          <w:rtl/>
        </w:rPr>
        <w:t>، وفقا</w:t>
      </w:r>
      <w:r w:rsidR="00D41C1C">
        <w:rPr>
          <w:rFonts w:hint="cs"/>
          <w:rtl/>
        </w:rPr>
        <w:t>ً</w:t>
      </w:r>
      <w:r w:rsidRPr="00F6249B">
        <w:rPr>
          <w:rtl/>
        </w:rPr>
        <w:t xml:space="preserve"> للقرار </w:t>
      </w:r>
      <w:hyperlink r:id="rId22" w:history="1">
        <w:r w:rsidRPr="00D41C1C">
          <w:rPr>
            <w:rStyle w:val="Hyperlink"/>
            <w:noProof w:val="0"/>
            <w:rtl/>
            <w:lang w:val="en-US" w:eastAsia="zh-CN"/>
          </w:rPr>
          <w:t>167 (المراج</w:t>
        </w:r>
        <w:r w:rsidR="00D41C1C">
          <w:rPr>
            <w:rStyle w:val="Hyperlink"/>
            <w:rFonts w:hint="cs"/>
            <w:noProof w:val="0"/>
            <w:rtl/>
            <w:lang w:val="en-US" w:eastAsia="zh-CN"/>
          </w:rPr>
          <w:t>َ</w:t>
        </w:r>
        <w:r w:rsidRPr="00D41C1C">
          <w:rPr>
            <w:rStyle w:val="Hyperlink"/>
            <w:noProof w:val="0"/>
            <w:rtl/>
            <w:lang w:val="en-US" w:eastAsia="zh-CN"/>
          </w:rPr>
          <w:t>ع في بوخارست، 2022)</w:t>
        </w:r>
      </w:hyperlink>
      <w:r w:rsidRPr="00F6249B">
        <w:rPr>
          <w:rtl/>
        </w:rPr>
        <w:t xml:space="preserve"> لمؤتمر المندوبين المفوضين. وسلط فريق التنسيق الضوء أيضا</w:t>
      </w:r>
      <w:r w:rsidR="00203DA0">
        <w:rPr>
          <w:rFonts w:hint="cs"/>
          <w:rtl/>
        </w:rPr>
        <w:t>ً</w:t>
      </w:r>
      <w:r w:rsidRPr="00F6249B">
        <w:rPr>
          <w:rtl/>
        </w:rPr>
        <w:t xml:space="preserve"> على الحاجة إلى مراجعة حقوق الأعضاء وتحديثها عند حضور الاجتماعات عبر الإنترنت.</w:t>
      </w:r>
    </w:p>
    <w:p w14:paraId="4B45E952" w14:textId="79BAC742" w:rsidR="00F6249B" w:rsidRPr="00203DA0" w:rsidRDefault="00F6249B" w:rsidP="00D41C1C">
      <w:pPr>
        <w:pStyle w:val="enumlev1"/>
        <w:keepLines/>
        <w:rPr>
          <w:spacing w:val="-2"/>
          <w:lang w:val="ar-SA" w:bidi="ar-EG"/>
        </w:rPr>
      </w:pPr>
      <w:r w:rsidRPr="00203DA0">
        <w:rPr>
          <w:spacing w:val="-2"/>
          <w:lang w:bidi="ar-EG"/>
        </w:rPr>
        <w:lastRenderedPageBreak/>
        <w:t>–</w:t>
      </w:r>
      <w:r w:rsidRPr="00203DA0">
        <w:rPr>
          <w:spacing w:val="-2"/>
          <w:rtl/>
        </w:rPr>
        <w:tab/>
      </w:r>
      <w:r w:rsidRPr="00203DA0">
        <w:rPr>
          <w:b/>
          <w:bCs/>
          <w:spacing w:val="-2"/>
          <w:rtl/>
        </w:rPr>
        <w:t>التحول الرقمي المستدام:</w:t>
      </w:r>
      <w:r w:rsidRPr="00203DA0">
        <w:rPr>
          <w:spacing w:val="-2"/>
          <w:rtl/>
        </w:rPr>
        <w:t xml:space="preserve"> يواصل فريق التنسيق</w:t>
      </w:r>
      <w:r w:rsidR="00203DA0" w:rsidRPr="00203DA0">
        <w:rPr>
          <w:spacing w:val="-2"/>
          <w:rtl/>
        </w:rPr>
        <w:t xml:space="preserve"> بين القطاعات</w:t>
      </w:r>
      <w:r w:rsidRPr="00203DA0">
        <w:rPr>
          <w:spacing w:val="-2"/>
          <w:rtl/>
        </w:rPr>
        <w:t xml:space="preserve"> التشجيع على تعزيز التنسيق بين الأنشطة ذات الصلة عبر القطاعات الثلاثة. صدرت الموافقة على فريق مقرر معني بالتحول الرقمي المستدام </w:t>
      </w:r>
      <w:r w:rsidRPr="00203DA0">
        <w:rPr>
          <w:spacing w:val="-2"/>
          <w:lang w:bidi="ar-EG"/>
        </w:rPr>
        <w:t>(RG-DT)</w:t>
      </w:r>
      <w:r w:rsidRPr="00203DA0">
        <w:rPr>
          <w:spacing w:val="-2"/>
          <w:rtl/>
        </w:rPr>
        <w:t xml:space="preserve"> كجزء من هيكل الفريق الاستشاري لتقييس الاتصالات </w:t>
      </w:r>
      <w:r w:rsidRPr="00203DA0">
        <w:rPr>
          <w:spacing w:val="-2"/>
          <w:lang w:bidi="ar-EG"/>
        </w:rPr>
        <w:t>(TSAG)</w:t>
      </w:r>
      <w:r w:rsidRPr="00203DA0">
        <w:rPr>
          <w:spacing w:val="-2"/>
          <w:rtl/>
        </w:rPr>
        <w:t xml:space="preserve"> لفترة الدراسة </w:t>
      </w:r>
      <w:r w:rsidRPr="00203DA0">
        <w:rPr>
          <w:spacing w:val="-2"/>
        </w:rPr>
        <w:t>2028-2025</w:t>
      </w:r>
      <w:r w:rsidRPr="00203DA0">
        <w:rPr>
          <w:spacing w:val="-2"/>
          <w:rtl/>
        </w:rPr>
        <w:t xml:space="preserve"> وعمل بالفعل مع فريق التنسيق بين </w:t>
      </w:r>
      <w:r w:rsidR="00C916DA" w:rsidRPr="00203DA0">
        <w:rPr>
          <w:spacing w:val="-2"/>
          <w:rtl/>
        </w:rPr>
        <w:t xml:space="preserve">القطاعات </w:t>
      </w:r>
      <w:r w:rsidRPr="00203DA0">
        <w:rPr>
          <w:spacing w:val="-2"/>
          <w:rtl/>
        </w:rPr>
        <w:t xml:space="preserve">لطلب مدخلات من القطاعين الآخرين (انظر الوثيقة </w:t>
      </w:r>
      <w:hyperlink r:id="rId23" w:history="1">
        <w:r w:rsidRPr="00203DA0">
          <w:rPr>
            <w:rStyle w:val="Hyperlink"/>
            <w:noProof w:val="0"/>
            <w:spacing w:val="-2"/>
            <w:lang w:val="en-US" w:eastAsia="zh-CN" w:bidi="ar-EG"/>
          </w:rPr>
          <w:t>ISCG/26-1/8</w:t>
        </w:r>
      </w:hyperlink>
      <w:r w:rsidR="00D41C1C" w:rsidRPr="00203DA0">
        <w:rPr>
          <w:rFonts w:hint="cs"/>
          <w:spacing w:val="-2"/>
          <w:rtl/>
          <w:lang w:bidi="ar-EG"/>
        </w:rPr>
        <w:t>)</w:t>
      </w:r>
      <w:r w:rsidRPr="00203DA0">
        <w:rPr>
          <w:spacing w:val="-2"/>
          <w:rtl/>
        </w:rPr>
        <w:t>.</w:t>
      </w:r>
    </w:p>
    <w:p w14:paraId="5414DD75" w14:textId="2755187E" w:rsidR="00F6249B" w:rsidRPr="00F6249B" w:rsidRDefault="00F6249B" w:rsidP="00D41C1C">
      <w:pPr>
        <w:rPr>
          <w:lang w:val="ar-SA" w:bidi="ar-EG"/>
        </w:rPr>
      </w:pPr>
      <w:r w:rsidRPr="00F6249B">
        <w:rPr>
          <w:rtl/>
        </w:rPr>
        <w:t xml:space="preserve">وبدأ فريق التنسيق </w:t>
      </w:r>
      <w:r w:rsidR="00203DA0" w:rsidRPr="00203DA0">
        <w:rPr>
          <w:spacing w:val="-2"/>
          <w:rtl/>
        </w:rPr>
        <w:t xml:space="preserve">بين القطاعات </w:t>
      </w:r>
      <w:r w:rsidRPr="00F6249B">
        <w:rPr>
          <w:rtl/>
        </w:rPr>
        <w:t>العمل كذلك على المواضيع التالية:</w:t>
      </w:r>
    </w:p>
    <w:p w14:paraId="3F80B635" w14:textId="4399E1F2" w:rsidR="00F6249B" w:rsidRPr="00F6249B" w:rsidRDefault="00F6249B" w:rsidP="009A325A">
      <w:pPr>
        <w:pStyle w:val="enumlev1"/>
        <w:rPr>
          <w:lang w:val="ar-SA" w:bidi="ar-EG"/>
        </w:rPr>
      </w:pPr>
      <w:r w:rsidRPr="00F6249B">
        <w:rPr>
          <w:lang w:bidi="ar-EG"/>
        </w:rPr>
        <w:t>–</w:t>
      </w:r>
      <w:r w:rsidRPr="00F6249B">
        <w:rPr>
          <w:rtl/>
        </w:rPr>
        <w:tab/>
      </w:r>
      <w:r w:rsidRPr="00F6249B">
        <w:rPr>
          <w:b/>
          <w:bCs/>
          <w:rtl/>
        </w:rPr>
        <w:t>مشاركة دوائر الصناعة</w:t>
      </w:r>
      <w:r w:rsidRPr="00F6249B">
        <w:rPr>
          <w:rtl/>
        </w:rPr>
        <w:t xml:space="preserve">: عرضت جهود قطاع تقييس الاتصالات في </w:t>
      </w:r>
      <w:r w:rsidR="0018674F" w:rsidRPr="00F6249B">
        <w:rPr>
          <w:rtl/>
        </w:rPr>
        <w:t xml:space="preserve">إشراك </w:t>
      </w:r>
      <w:r w:rsidRPr="00F6249B">
        <w:rPr>
          <w:rtl/>
        </w:rPr>
        <w:t>دوائر الصناعة في آخر اجتماع لفريق التنسيق</w:t>
      </w:r>
      <w:r w:rsidR="00203DA0" w:rsidRPr="00203DA0">
        <w:rPr>
          <w:spacing w:val="-2"/>
          <w:rtl/>
        </w:rPr>
        <w:t xml:space="preserve"> بين القطاعات</w:t>
      </w:r>
      <w:r w:rsidRPr="00F6249B">
        <w:rPr>
          <w:rtl/>
        </w:rPr>
        <w:t>، مع تسليط الضوء على المبادرات الجارية للاستفادة من نجاح ورشة عمل مشاركة دوائر الصناعة لعام 2024.</w:t>
      </w:r>
    </w:p>
    <w:p w14:paraId="47DAEDE3" w14:textId="4AEBA423" w:rsidR="00F6249B" w:rsidRPr="00D41C1C" w:rsidRDefault="00F6249B" w:rsidP="009A325A">
      <w:pPr>
        <w:pStyle w:val="enumlev1"/>
        <w:rPr>
          <w:spacing w:val="-4"/>
          <w:lang w:val="ar-SA" w:bidi="ar-EG"/>
        </w:rPr>
      </w:pPr>
      <w:r w:rsidRPr="00D41C1C">
        <w:rPr>
          <w:spacing w:val="-4"/>
          <w:lang w:bidi="ar-EG"/>
        </w:rPr>
        <w:t>–</w:t>
      </w:r>
      <w:r w:rsidRPr="00D41C1C">
        <w:rPr>
          <w:spacing w:val="-4"/>
          <w:rtl/>
        </w:rPr>
        <w:tab/>
      </w:r>
      <w:r w:rsidRPr="00D41C1C">
        <w:rPr>
          <w:b/>
          <w:bCs/>
          <w:spacing w:val="-4"/>
          <w:rtl/>
        </w:rPr>
        <w:t>فريق المقررين المعني بتبسيط القرارات</w:t>
      </w:r>
      <w:r w:rsidRPr="00D41C1C">
        <w:rPr>
          <w:spacing w:val="-4"/>
          <w:rtl/>
        </w:rPr>
        <w:t xml:space="preserve">: صدرت الموافقة على فريق المقررين هذا خلال الاجتماع الأخير </w:t>
      </w:r>
      <w:r w:rsidR="00585BF6" w:rsidRPr="00F6249B">
        <w:rPr>
          <w:rtl/>
        </w:rPr>
        <w:t>لفريق التنسيق</w:t>
      </w:r>
      <w:r w:rsidR="00585BF6" w:rsidRPr="00203DA0">
        <w:rPr>
          <w:spacing w:val="-2"/>
          <w:rtl/>
        </w:rPr>
        <w:t xml:space="preserve"> بين القطاعات</w:t>
      </w:r>
      <w:r w:rsidR="00585BF6" w:rsidRPr="00D41C1C">
        <w:rPr>
          <w:spacing w:val="-4"/>
          <w:rtl/>
        </w:rPr>
        <w:t xml:space="preserve"> </w:t>
      </w:r>
      <w:r w:rsidRPr="00D41C1C">
        <w:rPr>
          <w:spacing w:val="-4"/>
          <w:rtl/>
        </w:rPr>
        <w:t>الذي عُقِد في عام 2025. وقد قدم المقرر بالفعل مقترحين لتبسيط القرار 154 (المراج</w:t>
      </w:r>
      <w:r w:rsidR="00D41C1C" w:rsidRPr="00D41C1C">
        <w:rPr>
          <w:rFonts w:hint="cs"/>
          <w:spacing w:val="-4"/>
          <w:rtl/>
        </w:rPr>
        <w:t>َ</w:t>
      </w:r>
      <w:r w:rsidRPr="00D41C1C">
        <w:rPr>
          <w:spacing w:val="-4"/>
          <w:rtl/>
        </w:rPr>
        <w:t xml:space="preserve">ع في بوخارست، 2022)، معروضين في الوثيقة </w:t>
      </w:r>
      <w:hyperlink r:id="rId24" w:history="1">
        <w:r w:rsidRPr="00D41C1C">
          <w:rPr>
            <w:rStyle w:val="Hyperlink"/>
            <w:noProof w:val="0"/>
            <w:spacing w:val="-4"/>
            <w:lang w:val="en-US" w:eastAsia="zh-CN" w:bidi="ar-EG"/>
          </w:rPr>
          <w:t>ISCG/26-1/7</w:t>
        </w:r>
      </w:hyperlink>
      <w:r w:rsidRPr="00D41C1C">
        <w:rPr>
          <w:spacing w:val="-4"/>
          <w:rtl/>
        </w:rPr>
        <w:t>، الإضافة 1، والقرار 191 (المراج</w:t>
      </w:r>
      <w:r w:rsidR="00D41C1C" w:rsidRPr="00D41C1C">
        <w:rPr>
          <w:rFonts w:hint="cs"/>
          <w:spacing w:val="-4"/>
          <w:rtl/>
        </w:rPr>
        <w:t>َ</w:t>
      </w:r>
      <w:r w:rsidRPr="00D41C1C">
        <w:rPr>
          <w:spacing w:val="-4"/>
          <w:rtl/>
        </w:rPr>
        <w:t>ع في بوخارست، 2022)، على النحو الوارد في</w:t>
      </w:r>
      <w:r w:rsidR="00D41C1C">
        <w:rPr>
          <w:rFonts w:hint="cs"/>
          <w:spacing w:val="-4"/>
          <w:rtl/>
        </w:rPr>
        <w:t> </w:t>
      </w:r>
      <w:r w:rsidRPr="00D41C1C">
        <w:rPr>
          <w:spacing w:val="-4"/>
          <w:rtl/>
        </w:rPr>
        <w:t>الإضافة 2. وقد نظر فريق التنسيق بين القطاعات في كلا المقترحين وأيدهما.</w:t>
      </w:r>
    </w:p>
    <w:p w14:paraId="34E5071D" w14:textId="0A57936E" w:rsidR="00F6249B" w:rsidRPr="008632C9" w:rsidRDefault="00F6249B" w:rsidP="00F6249B">
      <w:pPr>
        <w:rPr>
          <w:spacing w:val="-2"/>
          <w:lang w:val="ar-SA" w:bidi="ar-EG"/>
        </w:rPr>
      </w:pPr>
      <w:r w:rsidRPr="008632C9">
        <w:rPr>
          <w:spacing w:val="-2"/>
          <w:rtl/>
        </w:rPr>
        <w:t>ووافق فريق التنسيق</w:t>
      </w:r>
      <w:r w:rsidR="00C916DA" w:rsidRPr="00C916DA">
        <w:rPr>
          <w:spacing w:val="-4"/>
          <w:rtl/>
        </w:rPr>
        <w:t xml:space="preserve"> </w:t>
      </w:r>
      <w:r w:rsidR="00C916DA" w:rsidRPr="00D41C1C">
        <w:rPr>
          <w:spacing w:val="-4"/>
          <w:rtl/>
        </w:rPr>
        <w:t>بين القطاعات</w:t>
      </w:r>
      <w:r w:rsidRPr="008632C9">
        <w:rPr>
          <w:spacing w:val="-2"/>
          <w:rtl/>
        </w:rPr>
        <w:t xml:space="preserve"> في اجتماعه الأخير على إدراج "الكفاءات" كموضوع جديد محتمل يهدف إلى تيسير تبادل الممارسات الفضلى التي تولد بالفعل الكفاءات التنظيمية في جميع أنحاء الاتحاد.</w:t>
      </w:r>
    </w:p>
    <w:p w14:paraId="514EC1B8" w14:textId="77777777" w:rsidR="00F6249B" w:rsidRPr="00F6249B" w:rsidRDefault="00F6249B" w:rsidP="00F6249B">
      <w:pPr>
        <w:rPr>
          <w:lang w:val="ar-SA" w:bidi="ar-EG"/>
        </w:rPr>
      </w:pPr>
      <w:r w:rsidRPr="00F6249B">
        <w:rPr>
          <w:rtl/>
        </w:rPr>
        <w:t xml:space="preserve">وتواصل عرض تقارير النواتج والدعوات لاتخاذ إجراءات بانتظام على الأفرقة الاستشارية للقطاعات وعلى فريق العمل التابع للمجلس والمعني بالموارد المالية والبشرية </w:t>
      </w:r>
      <w:r w:rsidRPr="00F6249B">
        <w:rPr>
          <w:lang w:bidi="ar-EG"/>
        </w:rPr>
        <w:t>(CWG-FHR)</w:t>
      </w:r>
      <w:r w:rsidRPr="00F6249B">
        <w:rPr>
          <w:rtl/>
        </w:rPr>
        <w:t>.</w:t>
      </w:r>
    </w:p>
    <w:p w14:paraId="556A960C" w14:textId="7447B040" w:rsidR="00F6249B" w:rsidRPr="00F6249B" w:rsidRDefault="00F6249B" w:rsidP="00F6249B">
      <w:pPr>
        <w:rPr>
          <w:lang w:val="ar-SA" w:bidi="ar-EG"/>
        </w:rPr>
      </w:pPr>
      <w:r w:rsidRPr="00F6249B">
        <w:rPr>
          <w:rtl/>
        </w:rPr>
        <w:t xml:space="preserve">ويؤكد فريق التنسيق بين القطاعات من جديد أن عمله </w:t>
      </w:r>
      <w:r w:rsidR="0018674F">
        <w:rPr>
          <w:rFonts w:hint="cs"/>
          <w:rtl/>
        </w:rPr>
        <w:t>محوره</w:t>
      </w:r>
      <w:r w:rsidRPr="00F6249B">
        <w:rPr>
          <w:rtl/>
        </w:rPr>
        <w:t xml:space="preserve"> الأعضاء ويقوده منسقون ترشحهم الأفرقة الاستشارية للقطاعات لكل موضوع. وتشجع الدول الأعضاء وأعضاء القطاع على تقديم مساهمات بشأن المواضيع التي ترى أنها ستستفيد من اتباع نهج مشترك بين القطاعات.</w:t>
      </w:r>
    </w:p>
    <w:p w14:paraId="750B1AE8" w14:textId="69441977" w:rsidR="00F6249B" w:rsidRPr="00F6249B" w:rsidRDefault="0018674F" w:rsidP="00F6249B">
      <w:pPr>
        <w:rPr>
          <w:lang w:val="ar-SA" w:bidi="ar-EG"/>
        </w:rPr>
      </w:pPr>
      <w:r>
        <w:rPr>
          <w:rFonts w:hint="cs"/>
          <w:rtl/>
        </w:rPr>
        <w:t>وبالنسبة</w:t>
      </w:r>
      <w:r w:rsidR="00F6249B" w:rsidRPr="00F6249B">
        <w:rPr>
          <w:rtl/>
        </w:rPr>
        <w:t xml:space="preserve"> </w:t>
      </w:r>
      <w:r>
        <w:rPr>
          <w:rFonts w:hint="cs"/>
          <w:rtl/>
        </w:rPr>
        <w:t>لل</w:t>
      </w:r>
      <w:r w:rsidR="00F6249B" w:rsidRPr="00F6249B">
        <w:rPr>
          <w:rtl/>
        </w:rPr>
        <w:t xml:space="preserve">دورة </w:t>
      </w:r>
      <w:r>
        <w:rPr>
          <w:rFonts w:hint="cs"/>
          <w:rtl/>
        </w:rPr>
        <w:t xml:space="preserve">التي ستبدأ </w:t>
      </w:r>
      <w:r w:rsidR="00F6249B" w:rsidRPr="00F6249B">
        <w:rPr>
          <w:rtl/>
        </w:rPr>
        <w:t>بعد مؤتمر المندوبين المفوضين لعام 2026، يقترح فريق التنسيق</w:t>
      </w:r>
      <w:r w:rsidR="008632C9" w:rsidRPr="008632C9">
        <w:rPr>
          <w:rtl/>
        </w:rPr>
        <w:t xml:space="preserve"> </w:t>
      </w:r>
      <w:r w:rsidR="008632C9" w:rsidRPr="00F6249B">
        <w:rPr>
          <w:rtl/>
        </w:rPr>
        <w:t>بين القطاعات</w:t>
      </w:r>
      <w:r w:rsidR="00F6249B" w:rsidRPr="00F6249B">
        <w:rPr>
          <w:rtl/>
        </w:rPr>
        <w:t xml:space="preserve"> إعداد تقرير قائم بذاته لتقديمه إلى اللجنة الدائمة للإدارة التابعة للمجلس على أساس سنوي.</w:t>
      </w:r>
    </w:p>
    <w:p w14:paraId="4F735E5E" w14:textId="698AF171" w:rsidR="00F50E3F" w:rsidRPr="008632C9" w:rsidRDefault="00F6249B" w:rsidP="00F6249B">
      <w:pPr>
        <w:rPr>
          <w:lang w:bidi="ar-EG"/>
        </w:rPr>
      </w:pPr>
      <w:r w:rsidRPr="008632C9">
        <w:rPr>
          <w:rtl/>
        </w:rPr>
        <w:t>ويتاح مزيد من المعلومات عن فريق التنسيق</w:t>
      </w:r>
      <w:r w:rsidR="008632C9" w:rsidRPr="008632C9">
        <w:rPr>
          <w:rtl/>
        </w:rPr>
        <w:t xml:space="preserve"> بين القطاعات</w:t>
      </w:r>
      <w:r w:rsidRPr="008632C9">
        <w:rPr>
          <w:rtl/>
        </w:rPr>
        <w:t>، بما في ذلك تقارير الاجتماعات والوثائق قيد المناقشة، في</w:t>
      </w:r>
      <w:r w:rsidR="008632C9" w:rsidRPr="008632C9">
        <w:rPr>
          <w:rFonts w:hint="cs"/>
          <w:rtl/>
        </w:rPr>
        <w:t> </w:t>
      </w:r>
      <w:r w:rsidRPr="008632C9">
        <w:rPr>
          <w:rtl/>
        </w:rPr>
        <w:t xml:space="preserve">الصفحة </w:t>
      </w:r>
      <w:hyperlink r:id="rId25" w:anchor="/ar" w:history="1">
        <w:r w:rsidRPr="008632C9">
          <w:rPr>
            <w:rStyle w:val="Hyperlink"/>
            <w:noProof w:val="0"/>
            <w:rtl/>
            <w:lang w:val="en-US" w:eastAsia="zh-CN"/>
          </w:rPr>
          <w:t>الإلكترونية للفريق</w:t>
        </w:r>
      </w:hyperlink>
      <w:r w:rsidRPr="008632C9">
        <w:rPr>
          <w:rtl/>
        </w:rPr>
        <w:t>.</w:t>
      </w:r>
    </w:p>
    <w:p w14:paraId="17F82EF1"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6"/>
      <w:headerReference w:type="first" r:id="rId27"/>
      <w:footerReference w:type="first" r:id="rId2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2413" w14:textId="77777777" w:rsidR="00D53A52" w:rsidRDefault="00D53A52" w:rsidP="006C3242">
      <w:pPr>
        <w:spacing w:before="0" w:line="240" w:lineRule="auto"/>
      </w:pPr>
      <w:r>
        <w:separator/>
      </w:r>
    </w:p>
  </w:endnote>
  <w:endnote w:type="continuationSeparator" w:id="0">
    <w:p w14:paraId="06F6FD8F" w14:textId="77777777" w:rsidR="00D53A52" w:rsidRDefault="00D53A5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7ADE4C8" w14:textId="77777777" w:rsidTr="00A67F05">
      <w:trPr>
        <w:jc w:val="center"/>
      </w:trPr>
      <w:tc>
        <w:tcPr>
          <w:tcW w:w="868" w:type="pct"/>
          <w:vAlign w:val="center"/>
        </w:tcPr>
        <w:p w14:paraId="18D74386" w14:textId="0BA41BEE" w:rsidR="00F50E3F" w:rsidRPr="007B0AA0" w:rsidRDefault="00F6249B"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F6249B">
            <w:rPr>
              <w:rFonts w:ascii="Calibri" w:hAnsi="Calibri" w:cs="Arial"/>
              <w:sz w:val="18"/>
              <w:szCs w:val="14"/>
            </w:rPr>
            <w:t>2600731</w:t>
          </w:r>
        </w:p>
      </w:tc>
      <w:tc>
        <w:tcPr>
          <w:tcW w:w="3912" w:type="pct"/>
        </w:tcPr>
        <w:p w14:paraId="15463DA7" w14:textId="6C7CD5A2"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F6249B">
            <w:rPr>
              <w:rFonts w:ascii="Calibri" w:hAnsi="Calibri" w:cs="Arial"/>
              <w:bCs/>
              <w:color w:val="7F7F7F"/>
              <w:sz w:val="18"/>
            </w:rPr>
            <w:t>27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2B7FE91"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52E99E8"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88F1D35" w14:textId="77777777" w:rsidTr="00A67F05">
      <w:trPr>
        <w:jc w:val="center"/>
      </w:trPr>
      <w:tc>
        <w:tcPr>
          <w:tcW w:w="1013" w:type="pct"/>
          <w:vAlign w:val="center"/>
        </w:tcPr>
        <w:p w14:paraId="0E3CDF57"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050BE22" w14:textId="0307A66C"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F6249B">
            <w:rPr>
              <w:rFonts w:ascii="Calibri" w:hAnsi="Calibri" w:cs="Arial"/>
              <w:bCs/>
              <w:color w:val="7F7F7F"/>
              <w:sz w:val="18"/>
            </w:rPr>
            <w:t>27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49AFAAA"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5603EBC"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9185" w14:textId="77777777" w:rsidR="00D53A52" w:rsidRDefault="00D53A52" w:rsidP="006C3242">
      <w:pPr>
        <w:spacing w:before="0" w:line="240" w:lineRule="auto"/>
      </w:pPr>
      <w:r>
        <w:separator/>
      </w:r>
    </w:p>
  </w:footnote>
  <w:footnote w:type="continuationSeparator" w:id="0">
    <w:p w14:paraId="64FEA510" w14:textId="77777777" w:rsidR="00D53A52" w:rsidRDefault="00D53A5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8BF4" w14:textId="77777777" w:rsidR="001A3E13" w:rsidRPr="00057769" w:rsidRDefault="001A3E13" w:rsidP="001A3E13">
    <w:pPr>
      <w:pStyle w:val="Header"/>
    </w:pPr>
    <w:r>
      <w:rPr>
        <w:noProof/>
      </w:rPr>
      <w:drawing>
        <wp:inline distT="0" distB="0" distL="0" distR="0" wp14:anchorId="26973627" wp14:editId="12054406">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52"/>
    <w:rsid w:val="000116AF"/>
    <w:rsid w:val="0006468A"/>
    <w:rsid w:val="00077A58"/>
    <w:rsid w:val="00090574"/>
    <w:rsid w:val="000C1C0E"/>
    <w:rsid w:val="000C548A"/>
    <w:rsid w:val="00130BAE"/>
    <w:rsid w:val="0018674F"/>
    <w:rsid w:val="00191059"/>
    <w:rsid w:val="001A3E13"/>
    <w:rsid w:val="001B6E2B"/>
    <w:rsid w:val="001C0169"/>
    <w:rsid w:val="001C0C21"/>
    <w:rsid w:val="001D1D50"/>
    <w:rsid w:val="001D64C7"/>
    <w:rsid w:val="001D6745"/>
    <w:rsid w:val="001E446E"/>
    <w:rsid w:val="00203DA0"/>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1F1D"/>
    <w:rsid w:val="005434E0"/>
    <w:rsid w:val="005546CF"/>
    <w:rsid w:val="0055516A"/>
    <w:rsid w:val="0058491B"/>
    <w:rsid w:val="00585BF6"/>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0998"/>
    <w:rsid w:val="008339C0"/>
    <w:rsid w:val="00840B10"/>
    <w:rsid w:val="008513CB"/>
    <w:rsid w:val="008632C9"/>
    <w:rsid w:val="00874E9F"/>
    <w:rsid w:val="008A7F84"/>
    <w:rsid w:val="008F42B6"/>
    <w:rsid w:val="0091702E"/>
    <w:rsid w:val="00923B0C"/>
    <w:rsid w:val="00924F46"/>
    <w:rsid w:val="00935AAC"/>
    <w:rsid w:val="0093725D"/>
    <w:rsid w:val="0094021C"/>
    <w:rsid w:val="00952F86"/>
    <w:rsid w:val="0096716C"/>
    <w:rsid w:val="00982B28"/>
    <w:rsid w:val="009868AC"/>
    <w:rsid w:val="009A325A"/>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BA153F"/>
    <w:rsid w:val="00BB1036"/>
    <w:rsid w:val="00C002DE"/>
    <w:rsid w:val="00C0602B"/>
    <w:rsid w:val="00C10021"/>
    <w:rsid w:val="00C224DA"/>
    <w:rsid w:val="00C53BF8"/>
    <w:rsid w:val="00C66157"/>
    <w:rsid w:val="00C674FE"/>
    <w:rsid w:val="00C67501"/>
    <w:rsid w:val="00C75633"/>
    <w:rsid w:val="00C916DA"/>
    <w:rsid w:val="00CE2EE1"/>
    <w:rsid w:val="00CE3349"/>
    <w:rsid w:val="00CE36E5"/>
    <w:rsid w:val="00CE4360"/>
    <w:rsid w:val="00CF27F5"/>
    <w:rsid w:val="00CF3FFD"/>
    <w:rsid w:val="00D10CCF"/>
    <w:rsid w:val="00D13941"/>
    <w:rsid w:val="00D23F5F"/>
    <w:rsid w:val="00D41C1C"/>
    <w:rsid w:val="00D43F7D"/>
    <w:rsid w:val="00D53A52"/>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6249B"/>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DA9F0"/>
  <w15:chartTrackingRefBased/>
  <w15:docId w15:val="{4ED19811-B2C7-4FBE-915B-A0AD3F89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71-a.pdf" TargetMode="External"/><Relationship Id="rId13" Type="http://schemas.openxmlformats.org/officeDocument/2006/relationships/hyperlink" Target="https://www.itu.int/net4/Search/CL26" TargetMode="External"/><Relationship Id="rId18" Type="http://schemas.openxmlformats.org/officeDocument/2006/relationships/hyperlink" Target="https://datahub.itu.i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en/general-secretariat/ICT-Services/remoteparticipation/Pages/default.aspx" TargetMode="External"/><Relationship Id="rId7" Type="http://schemas.openxmlformats.org/officeDocument/2006/relationships/endnotes" Target="endnotes.xml"/><Relationship Id="rId12" Type="http://schemas.openxmlformats.org/officeDocument/2006/relationships/hyperlink" Target="https://www.itu.int/md/S26-CL-C-0035/en" TargetMode="External"/><Relationship Id="rId17" Type="http://schemas.openxmlformats.org/officeDocument/2006/relationships/hyperlink" Target="https://www.itu.int/md/S26-CL-INF-0001/en" TargetMode="External"/><Relationship Id="rId25" Type="http://schemas.openxmlformats.org/officeDocument/2006/relationships/hyperlink" Target="https://www.itu.int/en/general-secretariat/Pages/ISCG/default.aspx" TargetMode="External"/><Relationship Id="rId2" Type="http://schemas.openxmlformats.org/officeDocument/2006/relationships/numbering" Target="numbering.xml"/><Relationship Id="rId16"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20" Type="http://schemas.openxmlformats.org/officeDocument/2006/relationships/hyperlink" Target="http://www.itu.int/md/meetingdoc.asp?lang=en&amp;parent=T25-TSAG-260126-TD-GEN-033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general-secretariat/ties/ISCGDocumentLibrary/Liaisons%20Statements%20on%20Inter-Sectoral%20Coordination%20Activities/SO-2024-006-en.pdf" TargetMode="External"/><Relationship Id="rId24" Type="http://schemas.openxmlformats.org/officeDocument/2006/relationships/hyperlink" Target="https://www.itu.int/md/S26-ISCG12026-C-0007/en" TargetMode="External"/><Relationship Id="rId5" Type="http://schemas.openxmlformats.org/officeDocument/2006/relationships/webSettings" Target="webSettings.xml"/><Relationship Id="rId15" Type="http://schemas.openxmlformats.org/officeDocument/2006/relationships/hyperlink" Target="https://www.itu.int/en/general-secretariat/ties/ISCGDocumentLibrary/Liaisons%20Statements%20on%20Inter-Sectoral%20Coordination%20Activities/List%20of%20Focal%20Points%20published-Updated%20March2026.pdf" TargetMode="External"/><Relationship Id="rId23" Type="http://schemas.openxmlformats.org/officeDocument/2006/relationships/hyperlink" Target="https://www.itu.int/md/S26-ISCG12026-C-0008/en" TargetMode="External"/><Relationship Id="rId28" Type="http://schemas.openxmlformats.org/officeDocument/2006/relationships/footer" Target="footer2.xml"/><Relationship Id="rId10" Type="http://schemas.openxmlformats.org/officeDocument/2006/relationships/hyperlink" Target="https://www.itu.int/en/council/Documents/basic-texts-2023/DEC-005-a.pdf" TargetMode="External"/><Relationship Id="rId19" Type="http://schemas.openxmlformats.org/officeDocument/2006/relationships/hyperlink" Target="https://www.itu.int/en/action/environment-and-climate-change/Pages/default.aspx" TargetMode="External"/><Relationship Id="rId4" Type="http://schemas.openxmlformats.org/officeDocument/2006/relationships/settings" Target="settings.xml"/><Relationship Id="rId9" Type="http://schemas.openxmlformats.org/officeDocument/2006/relationships/hyperlink" Target="https://www.itu.int/en/council/Documents/basic-texts-2023/RES-191-a.pdf" TargetMode="External"/><Relationship Id="rId14" Type="http://schemas.openxmlformats.org/officeDocument/2006/relationships/hyperlink" Target="https://www.itu.int/en/general-secretariat/Pages/intersectoral-coordination.aspx" TargetMode="External"/><Relationship Id="rId22" Type="http://schemas.openxmlformats.org/officeDocument/2006/relationships/hyperlink" Target="https://www.itu.int/en/council/Documents/basic-texts-2023/RES-167-a.pdf"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4</Pages>
  <Words>1405</Words>
  <Characters>10032</Characters>
  <Application>Microsoft Office Word</Application>
  <DocSecurity>0</DocSecurity>
  <Lines>159</Lines>
  <Paragraphs>74</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intersectoral coordination across ITU</dc:title>
  <dc:subject>ITU Council 2026</dc:subject>
  <cp:keywords>C26; C2026; Council 2026; PP26</cp:keywords>
  <dc:description/>
  <dcterms:created xsi:type="dcterms:W3CDTF">2026-04-27T18:44:00Z</dcterms:created>
  <dcterms:modified xsi:type="dcterms:W3CDTF">2026-04-27T18:45:00Z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