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813E5E" w14:paraId="5975AACB" w14:textId="77777777" w:rsidTr="00796BDB">
        <w:trPr>
          <w:cantSplit/>
          <w:trHeight w:val="23"/>
        </w:trPr>
        <w:tc>
          <w:tcPr>
            <w:tcW w:w="3969" w:type="dxa"/>
            <w:vMerge w:val="restart"/>
            <w:tcMar>
              <w:left w:w="0" w:type="dxa"/>
            </w:tcMar>
          </w:tcPr>
          <w:p w14:paraId="4298568A" w14:textId="35DFFE77" w:rsidR="00D72F49" w:rsidRPr="00E85629" w:rsidRDefault="00D72F49" w:rsidP="00796BDB">
            <w:pPr>
              <w:tabs>
                <w:tab w:val="left" w:pos="851"/>
              </w:tabs>
              <w:spacing w:before="0" w:line="240" w:lineRule="atLeast"/>
              <w:rPr>
                <w:b/>
              </w:rPr>
            </w:pPr>
            <w:r w:rsidRPr="00122CE1">
              <w:rPr>
                <w:b/>
              </w:rPr>
              <w:t xml:space="preserve">Point de l'ordre du </w:t>
            </w:r>
            <w:proofErr w:type="gramStart"/>
            <w:r w:rsidRPr="00122CE1">
              <w:rPr>
                <w:b/>
              </w:rPr>
              <w:t>jour</w:t>
            </w:r>
            <w:r>
              <w:rPr>
                <w:b/>
              </w:rPr>
              <w:t>:</w:t>
            </w:r>
            <w:proofErr w:type="gramEnd"/>
            <w:r w:rsidR="000208B4">
              <w:rPr>
                <w:b/>
              </w:rPr>
              <w:t xml:space="preserve"> </w:t>
            </w:r>
            <w:proofErr w:type="spellStart"/>
            <w:r w:rsidR="007170D3">
              <w:rPr>
                <w:b/>
              </w:rPr>
              <w:t>PL</w:t>
            </w:r>
            <w:r w:rsidR="00B813C1">
              <w:rPr>
                <w:b/>
              </w:rPr>
              <w:t>-</w:t>
            </w:r>
            <w:r w:rsidR="007170D3">
              <w:rPr>
                <w:b/>
              </w:rPr>
              <w:t>2</w:t>
            </w:r>
            <w:proofErr w:type="spellEnd"/>
          </w:p>
        </w:tc>
        <w:tc>
          <w:tcPr>
            <w:tcW w:w="5245" w:type="dxa"/>
          </w:tcPr>
          <w:p w14:paraId="693CB842" w14:textId="29B6619B" w:rsidR="00D72F49" w:rsidRPr="00E85629" w:rsidRDefault="00D72F49" w:rsidP="00796BDB">
            <w:pPr>
              <w:tabs>
                <w:tab w:val="left" w:pos="851"/>
              </w:tabs>
              <w:spacing w:before="0" w:line="240" w:lineRule="atLeast"/>
              <w:jc w:val="right"/>
              <w:rPr>
                <w:b/>
              </w:rPr>
            </w:pPr>
            <w:r>
              <w:rPr>
                <w:b/>
              </w:rPr>
              <w:t>Document C2</w:t>
            </w:r>
            <w:r w:rsidR="00E4448E">
              <w:rPr>
                <w:b/>
              </w:rPr>
              <w:t>6</w:t>
            </w:r>
            <w:r>
              <w:rPr>
                <w:b/>
              </w:rPr>
              <w:t>/</w:t>
            </w:r>
            <w:r w:rsidR="00FB5FE7">
              <w:rPr>
                <w:b/>
              </w:rPr>
              <w:t>26</w:t>
            </w:r>
            <w:r>
              <w:rPr>
                <w:b/>
              </w:rPr>
              <w:t>-F</w:t>
            </w:r>
          </w:p>
        </w:tc>
      </w:tr>
      <w:tr w:rsidR="00D72F49" w:rsidRPr="00C049D7" w14:paraId="553F2975" w14:textId="77777777" w:rsidTr="00796BDB">
        <w:trPr>
          <w:cantSplit/>
        </w:trPr>
        <w:tc>
          <w:tcPr>
            <w:tcW w:w="3969" w:type="dxa"/>
            <w:vMerge/>
          </w:tcPr>
          <w:p w14:paraId="12262064" w14:textId="77777777" w:rsidR="00D72F49" w:rsidRPr="00813E5E" w:rsidRDefault="00D72F49" w:rsidP="00796BDB">
            <w:pPr>
              <w:tabs>
                <w:tab w:val="left" w:pos="851"/>
              </w:tabs>
              <w:spacing w:line="240" w:lineRule="atLeast"/>
              <w:rPr>
                <w:b/>
              </w:rPr>
            </w:pPr>
          </w:p>
        </w:tc>
        <w:tc>
          <w:tcPr>
            <w:tcW w:w="5245" w:type="dxa"/>
          </w:tcPr>
          <w:p w14:paraId="5BB54C5B" w14:textId="4E63C157" w:rsidR="00D72F49" w:rsidRPr="00FC6D7D" w:rsidRDefault="00FB5FE7" w:rsidP="00796BDB">
            <w:pPr>
              <w:tabs>
                <w:tab w:val="left" w:pos="851"/>
              </w:tabs>
              <w:spacing w:before="0"/>
              <w:jc w:val="right"/>
              <w:rPr>
                <w:b/>
                <w:lang w:val="en-GB"/>
              </w:rPr>
            </w:pPr>
            <w:r>
              <w:rPr>
                <w:b/>
              </w:rPr>
              <w:t>1</w:t>
            </w:r>
            <w:r w:rsidR="00AA3A9C">
              <w:rPr>
                <w:b/>
              </w:rPr>
              <w:t>8</w:t>
            </w:r>
            <w:r>
              <w:rPr>
                <w:b/>
              </w:rPr>
              <w:t xml:space="preserve"> </w:t>
            </w:r>
            <w:r w:rsidR="00D75432">
              <w:rPr>
                <w:b/>
              </w:rPr>
              <w:t>mars</w:t>
            </w:r>
            <w:r>
              <w:rPr>
                <w:b/>
              </w:rPr>
              <w:t xml:space="preserve"> 2026</w:t>
            </w:r>
          </w:p>
        </w:tc>
      </w:tr>
      <w:tr w:rsidR="00D72F49" w:rsidRPr="00813E5E" w14:paraId="724FA50D" w14:textId="77777777" w:rsidTr="00796BDB">
        <w:trPr>
          <w:cantSplit/>
          <w:trHeight w:val="23"/>
        </w:trPr>
        <w:tc>
          <w:tcPr>
            <w:tcW w:w="3969" w:type="dxa"/>
            <w:vMerge/>
          </w:tcPr>
          <w:p w14:paraId="732644A5" w14:textId="77777777" w:rsidR="00D72F49" w:rsidRPr="00FC6D7D" w:rsidRDefault="00D72F49" w:rsidP="00796BDB">
            <w:pPr>
              <w:tabs>
                <w:tab w:val="left" w:pos="851"/>
              </w:tabs>
              <w:spacing w:line="240" w:lineRule="atLeast"/>
              <w:rPr>
                <w:b/>
                <w:lang w:val="en-GB"/>
              </w:rPr>
            </w:pPr>
          </w:p>
        </w:tc>
        <w:tc>
          <w:tcPr>
            <w:tcW w:w="5245" w:type="dxa"/>
          </w:tcPr>
          <w:p w14:paraId="1E24514C" w14:textId="77777777" w:rsidR="00D72F49" w:rsidRPr="00E85629" w:rsidRDefault="00D72F49" w:rsidP="00796BDB">
            <w:pPr>
              <w:tabs>
                <w:tab w:val="left" w:pos="851"/>
              </w:tabs>
              <w:spacing w:before="0" w:line="240" w:lineRule="atLeast"/>
              <w:jc w:val="right"/>
              <w:rPr>
                <w:b/>
              </w:rPr>
            </w:pPr>
            <w:proofErr w:type="gramStart"/>
            <w:r w:rsidRPr="00122CE1">
              <w:rPr>
                <w:b/>
                <w:lang w:val="fr-CH"/>
              </w:rPr>
              <w:t>Original:</w:t>
            </w:r>
            <w:proofErr w:type="gramEnd"/>
            <w:r w:rsidRPr="00122CE1">
              <w:rPr>
                <w:b/>
                <w:lang w:val="fr-CH"/>
              </w:rPr>
              <w:t xml:space="preserve"> anglais</w:t>
            </w:r>
          </w:p>
        </w:tc>
      </w:tr>
      <w:tr w:rsidR="00D72F49" w:rsidRPr="00813E5E" w14:paraId="423D9910" w14:textId="77777777" w:rsidTr="00796BDB">
        <w:trPr>
          <w:cantSplit/>
          <w:trHeight w:val="23"/>
        </w:trPr>
        <w:tc>
          <w:tcPr>
            <w:tcW w:w="3969" w:type="dxa"/>
          </w:tcPr>
          <w:p w14:paraId="747BD8C2" w14:textId="77777777" w:rsidR="00D72F49" w:rsidRPr="00813E5E" w:rsidRDefault="00D72F49" w:rsidP="00796BDB">
            <w:pPr>
              <w:tabs>
                <w:tab w:val="left" w:pos="851"/>
              </w:tabs>
              <w:spacing w:line="240" w:lineRule="atLeast"/>
              <w:rPr>
                <w:b/>
              </w:rPr>
            </w:pPr>
          </w:p>
        </w:tc>
        <w:tc>
          <w:tcPr>
            <w:tcW w:w="5245" w:type="dxa"/>
          </w:tcPr>
          <w:p w14:paraId="4E378030" w14:textId="77777777" w:rsidR="00D72F49" w:rsidRDefault="00D72F49" w:rsidP="00796BDB">
            <w:pPr>
              <w:tabs>
                <w:tab w:val="left" w:pos="851"/>
              </w:tabs>
              <w:spacing w:before="0" w:line="240" w:lineRule="atLeast"/>
              <w:jc w:val="right"/>
              <w:rPr>
                <w:b/>
              </w:rPr>
            </w:pPr>
          </w:p>
        </w:tc>
      </w:tr>
      <w:tr w:rsidR="00D72F49" w:rsidRPr="00122CE1" w14:paraId="578F6E80" w14:textId="77777777" w:rsidTr="00796BDB">
        <w:trPr>
          <w:cantSplit/>
        </w:trPr>
        <w:tc>
          <w:tcPr>
            <w:tcW w:w="9214" w:type="dxa"/>
            <w:gridSpan w:val="2"/>
            <w:tcMar>
              <w:left w:w="0" w:type="dxa"/>
            </w:tcMar>
          </w:tcPr>
          <w:p w14:paraId="5025DCAB" w14:textId="2304F164" w:rsidR="00D72F49" w:rsidRPr="00C42437" w:rsidRDefault="00D72F49" w:rsidP="00E4785A">
            <w:pPr>
              <w:pStyle w:val="Source"/>
              <w:framePr w:hSpace="0" w:wrap="auto" w:vAnchor="margin" w:hAnchor="text" w:xAlign="left" w:yAlign="inline"/>
              <w:rPr>
                <w:lang w:val="fr-CH"/>
              </w:rPr>
            </w:pPr>
            <w:r w:rsidRPr="00D72F49">
              <w:t xml:space="preserve">Rapport </w:t>
            </w:r>
            <w:r w:rsidR="00E95647">
              <w:t xml:space="preserve">de la </w:t>
            </w:r>
            <w:r w:rsidR="00FB5FE7" w:rsidRPr="00FB5FE7">
              <w:t>Présidente du G</w:t>
            </w:r>
            <w:r w:rsidR="00884B99">
              <w:t>E</w:t>
            </w:r>
            <w:r w:rsidR="00FB5FE7" w:rsidRPr="00FB5FE7">
              <w:t>-RTI</w:t>
            </w:r>
          </w:p>
        </w:tc>
      </w:tr>
      <w:tr w:rsidR="00D72F49" w:rsidRPr="00813E5E" w14:paraId="6F97608E" w14:textId="77777777" w:rsidTr="00796BDB">
        <w:trPr>
          <w:cantSplit/>
        </w:trPr>
        <w:tc>
          <w:tcPr>
            <w:tcW w:w="9214" w:type="dxa"/>
            <w:gridSpan w:val="2"/>
            <w:tcMar>
              <w:left w:w="0" w:type="dxa"/>
            </w:tcMar>
          </w:tcPr>
          <w:p w14:paraId="348F114C" w14:textId="58B8AC29" w:rsidR="00D72F49" w:rsidRPr="00FB5FE7" w:rsidRDefault="00E4785A" w:rsidP="00796BDB">
            <w:pPr>
              <w:pStyle w:val="Subtitle"/>
              <w:framePr w:hSpace="0" w:wrap="auto" w:hAnchor="text" w:xAlign="left" w:yAlign="inline"/>
              <w:rPr>
                <w:sz w:val="32"/>
                <w:szCs w:val="32"/>
                <w:lang w:val="fr-CH"/>
              </w:rPr>
            </w:pPr>
            <w:r w:rsidRPr="00FB5FE7">
              <w:rPr>
                <w:rFonts w:cstheme="minorHAnsi"/>
                <w:sz w:val="32"/>
                <w:szCs w:val="32"/>
                <w:lang w:val="fr-FR"/>
              </w:rPr>
              <w:t>RAPPORT FINAL DU GROUPE D</w:t>
            </w:r>
            <w:r>
              <w:rPr>
                <w:rFonts w:cstheme="minorHAnsi"/>
                <w:sz w:val="32"/>
                <w:szCs w:val="32"/>
                <w:lang w:val="fr-FR"/>
              </w:rPr>
              <w:t>'</w:t>
            </w:r>
            <w:r w:rsidRPr="00FB5FE7">
              <w:rPr>
                <w:rFonts w:cstheme="minorHAnsi"/>
                <w:sz w:val="32"/>
                <w:szCs w:val="32"/>
                <w:lang w:val="fr-FR"/>
              </w:rPr>
              <w:t>EXPERTS SUR LE RTI</w:t>
            </w:r>
          </w:p>
        </w:tc>
      </w:tr>
    </w:tbl>
    <w:p w14:paraId="33EFFF02" w14:textId="77777777" w:rsidR="00FB5FE7" w:rsidRPr="00C3406C" w:rsidRDefault="00FB5FE7" w:rsidP="00FB5FE7">
      <w:pPr>
        <w:pStyle w:val="Heading1"/>
      </w:pPr>
      <w:r>
        <w:rPr>
          <w:bCs/>
        </w:rPr>
        <w:t>1</w:t>
      </w:r>
      <w:r>
        <w:tab/>
      </w:r>
      <w:r>
        <w:rPr>
          <w:bCs/>
        </w:rPr>
        <w:t>Introduction et considérations générales</w:t>
      </w:r>
    </w:p>
    <w:p w14:paraId="1916B33D" w14:textId="77777777" w:rsidR="00FB5FE7" w:rsidRPr="00C3406C" w:rsidRDefault="00FB5FE7" w:rsidP="00FB5FE7">
      <w:pPr>
        <w:pStyle w:val="Heading2"/>
        <w:rPr>
          <w:rFonts w:eastAsia="Calibri"/>
        </w:rPr>
      </w:pPr>
      <w:r>
        <w:rPr>
          <w:bCs/>
        </w:rPr>
        <w:t>1.1</w:t>
      </w:r>
      <w:r>
        <w:tab/>
      </w:r>
      <w:r>
        <w:rPr>
          <w:bCs/>
        </w:rPr>
        <w:t>Introduction</w:t>
      </w:r>
    </w:p>
    <w:p w14:paraId="16E6F7E4" w14:textId="04477968" w:rsidR="00FB5FE7" w:rsidRPr="00C3406C" w:rsidRDefault="00FB5FE7" w:rsidP="00DC1510">
      <w:pPr>
        <w:jc w:val="both"/>
        <w:rPr>
          <w:rFonts w:eastAsia="Calibri" w:cs="Arial"/>
          <w:spacing w:val="-2"/>
        </w:rPr>
      </w:pPr>
      <w:r>
        <w:rPr>
          <w:b/>
          <w:bCs/>
        </w:rPr>
        <w:t>1.1.1</w:t>
      </w:r>
      <w:r>
        <w:tab/>
        <w:t xml:space="preserve">Conformément à la Résolution </w:t>
      </w:r>
      <w:hyperlink r:id="rId8" w:history="1">
        <w:r w:rsidRPr="00E4785A">
          <w:rPr>
            <w:rStyle w:val="Hyperlink"/>
            <w:rFonts w:eastAsia="Times New Roman" w:cs="Times New Roman"/>
            <w:szCs w:val="20"/>
          </w:rPr>
          <w:t>146 (Rév. Bucarest, 2022)</w:t>
        </w:r>
      </w:hyperlink>
      <w:r>
        <w:t xml:space="preserve"> de la Conférence de plénipotentiaires de l'UIT et à la Résolution </w:t>
      </w:r>
      <w:hyperlink r:id="rId9" w:history="1">
        <w:r w:rsidRPr="00E4785A">
          <w:rPr>
            <w:rStyle w:val="Hyperlink"/>
            <w:rFonts w:eastAsia="Times New Roman" w:cs="Times New Roman"/>
            <w:szCs w:val="20"/>
          </w:rPr>
          <w:t>1379 (Mod. 2023)</w:t>
        </w:r>
      </w:hyperlink>
      <w:r>
        <w:t xml:space="preserve"> du Conseil, le Groupe d'experts sur le Règlement des télécommunications internationales (G</w:t>
      </w:r>
      <w:r w:rsidR="00884B99">
        <w:t>E</w:t>
      </w:r>
      <w:r>
        <w:t>-RTI), ouvert à la participation de tous les États Membres et Membres de Secteur de l'UIT, a été reconduit en</w:t>
      </w:r>
      <w:r w:rsidR="000208B4">
        <w:t> </w:t>
      </w:r>
      <w:r>
        <w:t>2023. Le</w:t>
      </w:r>
      <w:r w:rsidR="00DC1510">
        <w:t> </w:t>
      </w:r>
      <w:r>
        <w:t>présent document constitue le rapport final soumis par le Groupe d'experts au Conseil à sa session de 2026.</w:t>
      </w:r>
      <w:hyperlink r:id="rId10" w:history="1"/>
      <w:hyperlink r:id="rId11" w:history="1"/>
    </w:p>
    <w:p w14:paraId="35C0994E" w14:textId="54950EAA" w:rsidR="00FB5FE7" w:rsidRPr="00C3406C" w:rsidRDefault="00FB5FE7" w:rsidP="00DC1510">
      <w:pPr>
        <w:jc w:val="both"/>
        <w:rPr>
          <w:rFonts w:eastAsia="Calibri" w:cs="Arial"/>
        </w:rPr>
      </w:pPr>
      <w:r>
        <w:rPr>
          <w:b/>
          <w:bCs/>
        </w:rPr>
        <w:t>1.1.2</w:t>
      </w:r>
      <w:r>
        <w:tab/>
        <w:t xml:space="preserve">Au fil des paragraphes reproduits ci-après, le rapport donne un aperçu général du </w:t>
      </w:r>
      <w:r w:rsidR="000208B4">
        <w:t>g</w:t>
      </w:r>
      <w:r>
        <w:t>roupe, des activités menées à bien, des points de vue des membres et de la marche à suivre possible concernant le Règlement des télécommunications internationales.</w:t>
      </w:r>
    </w:p>
    <w:p w14:paraId="38C61702" w14:textId="1101E07E" w:rsidR="00FB5FE7" w:rsidRPr="00C3406C" w:rsidRDefault="00FB5FE7" w:rsidP="00DC1510">
      <w:pPr>
        <w:jc w:val="both"/>
        <w:rPr>
          <w:rFonts w:eastAsia="Calibri" w:cs="Arial"/>
        </w:rPr>
      </w:pPr>
      <w:r>
        <w:rPr>
          <w:b/>
          <w:bCs/>
        </w:rPr>
        <w:t>1.1.3</w:t>
      </w:r>
      <w:r>
        <w:tab/>
        <w:t>Le Conseil est invité à examiner le rapport du G</w:t>
      </w:r>
      <w:r w:rsidR="00884B99">
        <w:t>E</w:t>
      </w:r>
      <w:r>
        <w:t>-RTI et à le soumettre à la Conférence de plénipotentiaires de 2026, assorti des commentaires formulés par le Conseil.</w:t>
      </w:r>
    </w:p>
    <w:p w14:paraId="226D811E" w14:textId="77777777" w:rsidR="00FB5FE7" w:rsidRPr="00C3406C" w:rsidRDefault="00FB5FE7" w:rsidP="00357877">
      <w:pPr>
        <w:pStyle w:val="Heading2"/>
        <w:rPr>
          <w:rFonts w:eastAsia="Calibri"/>
        </w:rPr>
      </w:pPr>
      <w:r>
        <w:rPr>
          <w:bCs/>
        </w:rPr>
        <w:t>1.2</w:t>
      </w:r>
      <w:r>
        <w:tab/>
      </w:r>
      <w:r>
        <w:rPr>
          <w:bCs/>
        </w:rPr>
        <w:t>Considérations générales</w:t>
      </w:r>
    </w:p>
    <w:p w14:paraId="5DFF2A1F" w14:textId="0F413E70" w:rsidR="00FB5FE7" w:rsidRPr="00C3406C" w:rsidRDefault="00FB5FE7" w:rsidP="00DC1510">
      <w:pPr>
        <w:jc w:val="both"/>
        <w:rPr>
          <w:rFonts w:eastAsia="Calibri" w:cs="Arial"/>
        </w:rPr>
      </w:pPr>
      <w:r>
        <w:rPr>
          <w:b/>
          <w:bCs/>
        </w:rPr>
        <w:t>1.2.1</w:t>
      </w:r>
      <w:r>
        <w:tab/>
        <w:t>Conformément à l'</w:t>
      </w:r>
      <w:r w:rsidR="000208B4">
        <w:t>a</w:t>
      </w:r>
      <w:r>
        <w:t>rticle 4 "Instruments de l'Union" de la Constitution de l'UIT, le Règlement des télécommunications internationales (RTI) est l'un des deux Règlements administratifs figurant dans la liste des Instruments de l'Union (numéros 29 et 31 de la Constitution).</w:t>
      </w:r>
    </w:p>
    <w:p w14:paraId="20FFD961" w14:textId="3D16CC96" w:rsidR="00FB5FE7" w:rsidRPr="00C3406C" w:rsidRDefault="00FB5FE7" w:rsidP="00DC1510">
      <w:pPr>
        <w:snapToGrid w:val="0"/>
        <w:spacing w:after="120"/>
        <w:jc w:val="both"/>
        <w:rPr>
          <w:rFonts w:eastAsia="Calibri" w:cs="Arial"/>
        </w:rPr>
      </w:pPr>
      <w:r>
        <w:t xml:space="preserve">Il existe deux versions du </w:t>
      </w:r>
      <w:proofErr w:type="gramStart"/>
      <w:r>
        <w:t>RTI:</w:t>
      </w:r>
      <w:proofErr w:type="gramEnd"/>
      <w:r>
        <w:t xml:space="preserve"> le RTI dans sa version de 1988 et le RTI dans sa version de</w:t>
      </w:r>
      <w:r w:rsidR="000208B4">
        <w:t> </w:t>
      </w:r>
      <w:r>
        <w:t xml:space="preserve">2012. Des informations générales concernant ces deux versions sont accessibles </w:t>
      </w:r>
      <w:hyperlink r:id="rId12" w:history="1">
        <w:r w:rsidRPr="00AA3A9C">
          <w:rPr>
            <w:rStyle w:val="Hyperlink"/>
            <w:rFonts w:eastAsia="Times New Roman" w:cs="Times New Roman"/>
            <w:szCs w:val="20"/>
          </w:rPr>
          <w:t>ici</w:t>
        </w:r>
      </w:hyperlink>
      <w:r>
        <w:t>.</w:t>
      </w:r>
      <w:hyperlink r:id="rId13" w:history="1"/>
    </w:p>
    <w:p w14:paraId="12432A38" w14:textId="7449B183" w:rsidR="00FB5FE7" w:rsidRPr="00C3406C" w:rsidRDefault="00FB5FE7" w:rsidP="00DC1510">
      <w:pPr>
        <w:jc w:val="both"/>
        <w:rPr>
          <w:rFonts w:eastAsia="Calibri" w:cs="Arial"/>
        </w:rPr>
      </w:pPr>
      <w:r>
        <w:rPr>
          <w:b/>
          <w:bCs/>
        </w:rPr>
        <w:t>1.2.2</w:t>
      </w:r>
      <w:r>
        <w:tab/>
        <w:t>À sa session de 2016, le Conseil de l'UIT, conformément à la Résolution</w:t>
      </w:r>
      <w:r w:rsidR="000208B4">
        <w:t> </w:t>
      </w:r>
      <w:r>
        <w:t>146</w:t>
      </w:r>
      <w:r w:rsidR="000208B4">
        <w:t> </w:t>
      </w:r>
      <w:r>
        <w:t>(Rév.</w:t>
      </w:r>
      <w:r w:rsidR="00357877">
        <w:t> </w:t>
      </w:r>
      <w:r>
        <w:t>Busan,</w:t>
      </w:r>
      <w:r w:rsidR="00357877">
        <w:t> </w:t>
      </w:r>
      <w:r>
        <w:t xml:space="preserve">2014) de la Conférence de plénipotentiaires de l'UIT, a créé un Groupe d'experts sur le Règlement des télécommunications internationales, ouvert à la participation de tous les États Membres et Membres de Secteur. Le </w:t>
      </w:r>
      <w:r w:rsidR="000208B4">
        <w:t>g</w:t>
      </w:r>
      <w:r>
        <w:t>roupe, présidé par M.</w:t>
      </w:r>
      <w:r w:rsidR="00F52A0C">
        <w:t> </w:t>
      </w:r>
      <w:r>
        <w:t>Fernando</w:t>
      </w:r>
      <w:r w:rsidR="00F52A0C">
        <w:t> </w:t>
      </w:r>
      <w:r>
        <w:t xml:space="preserve">Borjón (Mexique), a tenu quatre réunions en 2017-2018. Le rapport final du </w:t>
      </w:r>
      <w:r w:rsidR="000208B4">
        <w:t>g</w:t>
      </w:r>
      <w:r>
        <w:t xml:space="preserve">roupe assorti des observations du Conseil à sa session de 2018 a été soumis à la Conférence de plénipotentiaires de l'UIT de 2018 et est disponible </w:t>
      </w:r>
      <w:hyperlink r:id="rId14" w:history="1">
        <w:r w:rsidRPr="00AA3A9C">
          <w:rPr>
            <w:rStyle w:val="Hyperlink"/>
            <w:rFonts w:eastAsia="Times New Roman" w:cs="Times New Roman"/>
            <w:szCs w:val="20"/>
          </w:rPr>
          <w:t>ici</w:t>
        </w:r>
      </w:hyperlink>
      <w:r>
        <w:t>.</w:t>
      </w:r>
      <w:hyperlink r:id="rId15" w:history="1"/>
    </w:p>
    <w:p w14:paraId="35B760DD" w14:textId="72A2E38B" w:rsidR="00FB5FE7" w:rsidRPr="00C3406C" w:rsidRDefault="00FB5FE7" w:rsidP="00DC1510">
      <w:pPr>
        <w:jc w:val="both"/>
        <w:rPr>
          <w:rFonts w:eastAsia="Calibri" w:cs="Arial"/>
        </w:rPr>
      </w:pPr>
      <w:r>
        <w:rPr>
          <w:b/>
          <w:bCs/>
        </w:rPr>
        <w:lastRenderedPageBreak/>
        <w:t>1.2.3</w:t>
      </w:r>
      <w:r>
        <w:tab/>
        <w:t>À sa session de 2019, le Conseil de l'UIT, conformément à la Résolution</w:t>
      </w:r>
      <w:r w:rsidR="000208B4">
        <w:t> </w:t>
      </w:r>
      <w:hyperlink r:id="rId16" w:history="1">
        <w:r w:rsidRPr="00DC1510">
          <w:rPr>
            <w:rStyle w:val="Hyperlink"/>
            <w:rFonts w:eastAsia="Times New Roman" w:cs="Times New Roman"/>
            <w:szCs w:val="20"/>
          </w:rPr>
          <w:t>146</w:t>
        </w:r>
        <w:r w:rsidR="000208B4" w:rsidRPr="00DC1510">
          <w:rPr>
            <w:rStyle w:val="Hyperlink"/>
            <w:rFonts w:eastAsia="Times New Roman" w:cs="Times New Roman"/>
            <w:szCs w:val="20"/>
          </w:rPr>
          <w:t> </w:t>
        </w:r>
        <w:r w:rsidRPr="00DC1510">
          <w:rPr>
            <w:rStyle w:val="Hyperlink"/>
            <w:rFonts w:eastAsia="Times New Roman" w:cs="Times New Roman"/>
            <w:szCs w:val="20"/>
          </w:rPr>
          <w:t>(Rév.</w:t>
        </w:r>
        <w:r w:rsidR="00216283" w:rsidRPr="00DC1510">
          <w:rPr>
            <w:rStyle w:val="Hyperlink"/>
            <w:rFonts w:eastAsia="Times New Roman" w:cs="Times New Roman"/>
            <w:szCs w:val="20"/>
          </w:rPr>
          <w:t> </w:t>
        </w:r>
        <w:r w:rsidRPr="00DC1510">
          <w:rPr>
            <w:rStyle w:val="Hyperlink"/>
            <w:rFonts w:eastAsia="Times New Roman" w:cs="Times New Roman"/>
            <w:szCs w:val="20"/>
          </w:rPr>
          <w:t>Dubaï, 2018)</w:t>
        </w:r>
      </w:hyperlink>
      <w:r>
        <w:t xml:space="preserve"> de la Conférence de plénipotentiaires de l'UIT, a convoqué à nouveau le Groupe d'experts sur le Règlement des télécommunications internationales, ouvert à la participation de tous les États Membres et Membres de Secteur. Le </w:t>
      </w:r>
      <w:r w:rsidR="000208B4">
        <w:t>g</w:t>
      </w:r>
      <w:r>
        <w:t>roupe, présidé par M.</w:t>
      </w:r>
      <w:r w:rsidR="00F52A0C">
        <w:t> </w:t>
      </w:r>
      <w:r>
        <w:t xml:space="preserve">Lwando Bbuku (Zambie) assisté des Vice-Présidents </w:t>
      </w:r>
      <w:proofErr w:type="gramStart"/>
      <w:r>
        <w:t>suivants</w:t>
      </w:r>
      <w:r w:rsidR="005C2BF3">
        <w:t>:</w:t>
      </w:r>
      <w:proofErr w:type="gramEnd"/>
      <w:r>
        <w:t xml:space="preserve"> M.</w:t>
      </w:r>
      <w:r w:rsidR="000208B4">
        <w:t> </w:t>
      </w:r>
      <w:r>
        <w:t>Guy</w:t>
      </w:r>
      <w:r w:rsidR="000208B4">
        <w:noBreakHyphen/>
      </w:r>
      <w:r>
        <w:t>Michel</w:t>
      </w:r>
      <w:r w:rsidR="000208B4">
        <w:t> </w:t>
      </w:r>
      <w:r>
        <w:t>Kouakou (région Afrique), M.</w:t>
      </w:r>
      <w:r w:rsidR="00DC1510">
        <w:t> </w:t>
      </w:r>
      <w:r>
        <w:t>Santiago Reyes-Borda (région Amériques), M.</w:t>
      </w:r>
      <w:r w:rsidR="000208B4">
        <w:t> </w:t>
      </w:r>
      <w:r>
        <w:t>Xiping Huang (région Asie</w:t>
      </w:r>
      <w:r w:rsidR="00F52A0C">
        <w:noBreakHyphen/>
      </w:r>
      <w:r>
        <w:t>Pacifique), M.</w:t>
      </w:r>
      <w:r w:rsidR="00DC1510">
        <w:t> </w:t>
      </w:r>
      <w:r>
        <w:t>Aleksei S. Borodin (région de la CEI), M.</w:t>
      </w:r>
      <w:r w:rsidR="000208B4">
        <w:t> </w:t>
      </w:r>
      <w:r>
        <w:t>Simon</w:t>
      </w:r>
      <w:r w:rsidR="000208B4">
        <w:t> </w:t>
      </w:r>
      <w:r>
        <w:t>van Merkom (région Europe) et M. Ahmed Al-Raghy, 2019-2021 (États</w:t>
      </w:r>
      <w:r w:rsidR="000208B4">
        <w:t> </w:t>
      </w:r>
      <w:proofErr w:type="gramStart"/>
      <w:r>
        <w:t>arabes)/</w:t>
      </w:r>
      <w:proofErr w:type="gramEnd"/>
      <w:r>
        <w:t>Mme Shahira Selim (États arabes) 2021-2022, a tenu six réunions en</w:t>
      </w:r>
      <w:r w:rsidR="000208B4">
        <w:t> </w:t>
      </w:r>
      <w:r>
        <w:t>2019</w:t>
      </w:r>
      <w:r w:rsidR="000208B4">
        <w:noBreakHyphen/>
      </w:r>
      <w:r>
        <w:t xml:space="preserve">2022. Le rapport final du </w:t>
      </w:r>
      <w:r w:rsidR="000208B4">
        <w:t>g</w:t>
      </w:r>
      <w:r>
        <w:t>roupe assorti des observations du Conseil à sa session de</w:t>
      </w:r>
      <w:r w:rsidR="000208B4">
        <w:t> </w:t>
      </w:r>
      <w:r>
        <w:t>2022 a été soumis à la Conférence de plénipotentiaires de l'UIT de 2022 et est disponible</w:t>
      </w:r>
      <w:r w:rsidR="000208B4">
        <w:t> </w:t>
      </w:r>
      <w:hyperlink r:id="rId17" w:history="1">
        <w:r w:rsidRPr="00216283">
          <w:rPr>
            <w:rStyle w:val="Hyperlink"/>
            <w:rFonts w:eastAsia="Times New Roman" w:cs="Times New Roman"/>
            <w:szCs w:val="20"/>
          </w:rPr>
          <w:t>ici</w:t>
        </w:r>
      </w:hyperlink>
      <w:r>
        <w:t>.</w:t>
      </w:r>
      <w:hyperlink r:id="rId18" w:history="1"/>
      <w:hyperlink r:id="rId19" w:history="1"/>
    </w:p>
    <w:p w14:paraId="570BD2CE" w14:textId="5047E766" w:rsidR="00FB5FE7" w:rsidRPr="00C3406C" w:rsidRDefault="00FB5FE7" w:rsidP="006F250C">
      <w:pPr>
        <w:jc w:val="both"/>
        <w:rPr>
          <w:rFonts w:eastAsia="Calibri" w:cs="Arial"/>
        </w:rPr>
      </w:pPr>
      <w:r>
        <w:rPr>
          <w:b/>
          <w:bCs/>
        </w:rPr>
        <w:t>1.2.4</w:t>
      </w:r>
      <w:r>
        <w:tab/>
        <w:t xml:space="preserve">Par sa Résolution </w:t>
      </w:r>
      <w:hyperlink r:id="rId20" w:history="1">
        <w:r w:rsidRPr="006F250C">
          <w:rPr>
            <w:rStyle w:val="Hyperlink"/>
            <w:rFonts w:eastAsia="Times New Roman" w:cs="Times New Roman"/>
            <w:szCs w:val="20"/>
          </w:rPr>
          <w:t>146 (Rév. Bucarest, 2022)</w:t>
        </w:r>
      </w:hyperlink>
      <w:r>
        <w:t>, la Conférence de plénipotentiaires de 2022 a rappelé le rapport du Groupe d</w:t>
      </w:r>
      <w:r w:rsidR="00157F52">
        <w:t>'</w:t>
      </w:r>
      <w:r>
        <w:t>experts sur le Règlement des télécommunications internationales convoqué à nouveau et a décidé de poursuivre l</w:t>
      </w:r>
      <w:r w:rsidR="00157F52">
        <w:t>'</w:t>
      </w:r>
      <w:r>
        <w:t xml:space="preserve">examen des questions relatives au RTI, y compris son examen. Conformément aux instructions données dans la Résolution </w:t>
      </w:r>
      <w:hyperlink r:id="rId21" w:history="1">
        <w:r w:rsidRPr="006F250C">
          <w:rPr>
            <w:rStyle w:val="Hyperlink"/>
            <w:rFonts w:eastAsia="Times New Roman" w:cs="Times New Roman"/>
            <w:szCs w:val="20"/>
          </w:rPr>
          <w:t>146 (Rév. Bucarest</w:t>
        </w:r>
        <w:r w:rsidR="006F250C" w:rsidRPr="006F250C">
          <w:rPr>
            <w:rStyle w:val="Hyperlink"/>
            <w:rFonts w:eastAsia="Times New Roman" w:cs="Times New Roman"/>
            <w:szCs w:val="20"/>
          </w:rPr>
          <w:t>, 2022</w:t>
        </w:r>
        <w:r w:rsidRPr="006F250C">
          <w:rPr>
            <w:rStyle w:val="Hyperlink"/>
            <w:rFonts w:eastAsia="Times New Roman" w:cs="Times New Roman"/>
            <w:szCs w:val="20"/>
          </w:rPr>
          <w:t>)</w:t>
        </w:r>
      </w:hyperlink>
      <w:r>
        <w:t xml:space="preserve">, le Conseil, à sa session de 2013, a convoqué à nouveau le </w:t>
      </w:r>
      <w:hyperlink r:id="rId22" w:history="1">
        <w:r w:rsidRPr="00216283">
          <w:rPr>
            <w:rStyle w:val="Hyperlink"/>
            <w:rFonts w:eastAsia="Times New Roman" w:cs="Times New Roman"/>
            <w:szCs w:val="20"/>
          </w:rPr>
          <w:t>Groupe d'experts sur le Règlement des télécommunications internationales (G</w:t>
        </w:r>
        <w:r w:rsidR="00D45930">
          <w:rPr>
            <w:rStyle w:val="Hyperlink"/>
            <w:rFonts w:eastAsia="Times New Roman" w:cs="Times New Roman"/>
            <w:szCs w:val="20"/>
          </w:rPr>
          <w:t>E</w:t>
        </w:r>
        <w:r w:rsidRPr="00216283">
          <w:rPr>
            <w:rStyle w:val="Hyperlink"/>
            <w:rFonts w:eastAsia="Times New Roman" w:cs="Times New Roman"/>
            <w:szCs w:val="20"/>
          </w:rPr>
          <w:t>-RTI)</w:t>
        </w:r>
      </w:hyperlink>
      <w:r>
        <w:t>, ouvert à la participation de tous les États Membres et Membres de Secteur à cette fin.</w:t>
      </w:r>
      <w:hyperlink r:id="rId23" w:history="1"/>
      <w:hyperlink r:id="rId24" w:history="1"/>
      <w:hyperlink r:id="rId25" w:history="1"/>
    </w:p>
    <w:p w14:paraId="7BA2FE7A" w14:textId="1A55C624" w:rsidR="00FB5FE7" w:rsidRPr="00C3406C" w:rsidRDefault="00FB5FE7" w:rsidP="006F250C">
      <w:pPr>
        <w:jc w:val="both"/>
        <w:rPr>
          <w:rFonts w:eastAsia="Calibri" w:cs="Arial"/>
        </w:rPr>
      </w:pPr>
      <w:r>
        <w:rPr>
          <w:b/>
          <w:bCs/>
        </w:rPr>
        <w:t>1.2.5</w:t>
      </w:r>
      <w:r>
        <w:tab/>
        <w:t>Le mandat du G</w:t>
      </w:r>
      <w:r w:rsidR="00D45930">
        <w:t>E</w:t>
      </w:r>
      <w:r>
        <w:t xml:space="preserve">-RTI, défini dans la Résolution </w:t>
      </w:r>
      <w:hyperlink r:id="rId26" w:history="1">
        <w:r w:rsidRPr="006F250C">
          <w:rPr>
            <w:rStyle w:val="Hyperlink"/>
            <w:rFonts w:eastAsia="Times New Roman" w:cs="Times New Roman"/>
            <w:szCs w:val="20"/>
          </w:rPr>
          <w:t>1379 (Mo</w:t>
        </w:r>
        <w:r w:rsidRPr="006F250C">
          <w:rPr>
            <w:rStyle w:val="Hyperlink"/>
            <w:rFonts w:eastAsia="Times New Roman" w:cs="Times New Roman"/>
            <w:szCs w:val="20"/>
          </w:rPr>
          <w:t>d</w:t>
        </w:r>
        <w:r w:rsidRPr="006F250C">
          <w:rPr>
            <w:rStyle w:val="Hyperlink"/>
            <w:rFonts w:eastAsia="Times New Roman" w:cs="Times New Roman"/>
            <w:szCs w:val="20"/>
          </w:rPr>
          <w:t>. 20</w:t>
        </w:r>
        <w:r w:rsidR="000208B4" w:rsidRPr="006F250C">
          <w:rPr>
            <w:rStyle w:val="Hyperlink"/>
            <w:rFonts w:eastAsia="Times New Roman" w:cs="Times New Roman"/>
            <w:szCs w:val="20"/>
          </w:rPr>
          <w:t>23</w:t>
        </w:r>
        <w:r w:rsidRPr="006F250C">
          <w:rPr>
            <w:rStyle w:val="Hyperlink"/>
            <w:rFonts w:eastAsia="Times New Roman" w:cs="Times New Roman"/>
            <w:szCs w:val="20"/>
          </w:rPr>
          <w:t>)</w:t>
        </w:r>
      </w:hyperlink>
      <w:r>
        <w:t xml:space="preserve"> du Conseil, est le </w:t>
      </w:r>
      <w:proofErr w:type="gramStart"/>
      <w:r>
        <w:t>suivant:</w:t>
      </w:r>
      <w:proofErr w:type="gramEnd"/>
    </w:p>
    <w:p w14:paraId="37097FC3" w14:textId="5BAFA96F" w:rsidR="00FB5FE7" w:rsidRPr="00C3406C" w:rsidRDefault="000208B4" w:rsidP="006F250C">
      <w:pPr>
        <w:pStyle w:val="enumlev1"/>
        <w:jc w:val="both"/>
        <w:rPr>
          <w:rFonts w:eastAsia="Calibri"/>
          <w:i/>
          <w:iCs/>
        </w:rPr>
      </w:pPr>
      <w:r>
        <w:rPr>
          <w:i/>
          <w:iCs/>
        </w:rPr>
        <w:tab/>
      </w:r>
      <w:r w:rsidR="00FB5FE7">
        <w:rPr>
          <w:i/>
          <w:iCs/>
        </w:rPr>
        <w:t>1</w:t>
      </w:r>
      <w:r w:rsidR="00FB5FE7">
        <w:tab/>
      </w:r>
      <w:r w:rsidR="00FB5FE7">
        <w:rPr>
          <w:i/>
          <w:iCs/>
        </w:rPr>
        <w:t>Sur la base des contributions soumises par les États Membres et les Membres de Secteur ainsi que des contributions soumises par les Directeurs des Bureaux, le cas échéant, le groupe EG-RTI poursuit l'examen du RTI.</w:t>
      </w:r>
    </w:p>
    <w:p w14:paraId="027735FC" w14:textId="7D03E881" w:rsidR="00FB5FE7" w:rsidRPr="00C3406C" w:rsidRDefault="000208B4" w:rsidP="006F250C">
      <w:pPr>
        <w:pStyle w:val="enumlev1"/>
        <w:jc w:val="both"/>
        <w:rPr>
          <w:rFonts w:eastAsia="Calibri"/>
          <w:i/>
          <w:iCs/>
        </w:rPr>
      </w:pPr>
      <w:r>
        <w:rPr>
          <w:i/>
          <w:iCs/>
        </w:rPr>
        <w:tab/>
      </w:r>
      <w:r w:rsidR="00FB5FE7">
        <w:rPr>
          <w:i/>
          <w:iCs/>
        </w:rPr>
        <w:t>2</w:t>
      </w:r>
      <w:r w:rsidR="00FB5FE7">
        <w:tab/>
      </w:r>
      <w:r w:rsidR="00FB5FE7">
        <w:rPr>
          <w:i/>
          <w:iCs/>
        </w:rPr>
        <w:t xml:space="preserve">Compte tenu des travaux menés par les deux groupes d'experts précédents, l'examen peut notamment porter </w:t>
      </w:r>
      <w:proofErr w:type="gramStart"/>
      <w:r w:rsidR="00FB5FE7">
        <w:rPr>
          <w:i/>
          <w:iCs/>
        </w:rPr>
        <w:t>sur:</w:t>
      </w:r>
      <w:proofErr w:type="gramEnd"/>
    </w:p>
    <w:p w14:paraId="325EA55E" w14:textId="19FB8D42" w:rsidR="00FB5FE7" w:rsidRPr="00C3406C" w:rsidRDefault="000208B4" w:rsidP="006F250C">
      <w:pPr>
        <w:pStyle w:val="enumlev1"/>
        <w:ind w:left="1134" w:hanging="1134"/>
        <w:jc w:val="both"/>
        <w:rPr>
          <w:rFonts w:eastAsia="Calibri"/>
          <w:i/>
          <w:iCs/>
        </w:rPr>
      </w:pPr>
      <w:r>
        <w:rPr>
          <w:i/>
          <w:iCs/>
        </w:rPr>
        <w:tab/>
      </w:r>
      <w:r w:rsidR="00FB5FE7">
        <w:rPr>
          <w:i/>
          <w:iCs/>
        </w:rPr>
        <w:t>a)</w:t>
      </w:r>
      <w:r w:rsidR="00FB5FE7">
        <w:tab/>
      </w:r>
      <w:r w:rsidR="00FB5FE7">
        <w:rPr>
          <w:i/>
          <w:iCs/>
        </w:rPr>
        <w:t xml:space="preserve">les nouvelles tendances des télécommunications/TIC ainsi que les nouveaux problèmes qui se font jour dans l'environnement international des télécommunications/TIC et qui sont susceptibles d'avoir des incidences sur le </w:t>
      </w:r>
      <w:proofErr w:type="gramStart"/>
      <w:r w:rsidR="00FB5FE7">
        <w:rPr>
          <w:i/>
          <w:iCs/>
        </w:rPr>
        <w:t>RTI;</w:t>
      </w:r>
      <w:proofErr w:type="gramEnd"/>
    </w:p>
    <w:p w14:paraId="73FAD00E" w14:textId="6266E222" w:rsidR="00FB5FE7" w:rsidRPr="00C3406C" w:rsidRDefault="000208B4" w:rsidP="006F250C">
      <w:pPr>
        <w:pStyle w:val="enumlev1"/>
        <w:ind w:left="1134" w:hanging="1134"/>
        <w:jc w:val="both"/>
        <w:rPr>
          <w:rFonts w:eastAsia="Calibri"/>
          <w:i/>
          <w:iCs/>
        </w:rPr>
      </w:pPr>
      <w:r>
        <w:rPr>
          <w:i/>
          <w:iCs/>
        </w:rPr>
        <w:tab/>
      </w:r>
      <w:r w:rsidR="00FB5FE7">
        <w:rPr>
          <w:i/>
          <w:iCs/>
        </w:rPr>
        <w:t>b)</w:t>
      </w:r>
      <w:r w:rsidR="00FB5FE7">
        <w:tab/>
      </w:r>
      <w:r w:rsidR="00FB5FE7">
        <w:rPr>
          <w:i/>
          <w:iCs/>
        </w:rPr>
        <w:t xml:space="preserve">des données empiriques relatives à l'utilisation actuelle du RTI par les exploitations et/ou les administrations et à la proportion de services mondiaux de télécommunication qui reposent sur le RTI à l'heure </w:t>
      </w:r>
      <w:proofErr w:type="gramStart"/>
      <w:r w:rsidR="00FB5FE7">
        <w:rPr>
          <w:i/>
          <w:iCs/>
        </w:rPr>
        <w:t>actuelle;</w:t>
      </w:r>
      <w:proofErr w:type="gramEnd"/>
      <w:r w:rsidR="00FB5FE7">
        <w:rPr>
          <w:i/>
          <w:iCs/>
        </w:rPr>
        <w:t xml:space="preserve"> et</w:t>
      </w:r>
    </w:p>
    <w:p w14:paraId="780C8FCF" w14:textId="1FFE254B" w:rsidR="00FB5FE7" w:rsidRPr="00C3406C" w:rsidRDefault="000208B4" w:rsidP="006F250C">
      <w:pPr>
        <w:pStyle w:val="enumlev1"/>
        <w:ind w:left="1134" w:hanging="1134"/>
        <w:jc w:val="both"/>
        <w:rPr>
          <w:rFonts w:eastAsia="Calibri"/>
          <w:i/>
          <w:iCs/>
        </w:rPr>
      </w:pPr>
      <w:r>
        <w:rPr>
          <w:i/>
          <w:iCs/>
        </w:rPr>
        <w:tab/>
      </w:r>
      <w:r w:rsidR="00FB5FE7">
        <w:rPr>
          <w:i/>
          <w:iCs/>
        </w:rPr>
        <w:t>c)</w:t>
      </w:r>
      <w:r w:rsidR="00FB5FE7">
        <w:tab/>
      </w:r>
      <w:r w:rsidR="00FB5FE7">
        <w:rPr>
          <w:i/>
          <w:iCs/>
        </w:rPr>
        <w:t>la pertinence du RTI, qui comprend des "principes directeurs de haut niveau", dans l'environnement des télécommunications/TIC actuel.</w:t>
      </w:r>
    </w:p>
    <w:p w14:paraId="14F5F99A" w14:textId="73E97A25" w:rsidR="00FB5FE7" w:rsidRPr="00C3406C" w:rsidRDefault="000208B4" w:rsidP="006F250C">
      <w:pPr>
        <w:pStyle w:val="enumlev1"/>
        <w:jc w:val="both"/>
        <w:rPr>
          <w:rFonts w:eastAsia="Calibri"/>
          <w:i/>
          <w:iCs/>
        </w:rPr>
      </w:pPr>
      <w:r>
        <w:rPr>
          <w:i/>
          <w:iCs/>
        </w:rPr>
        <w:tab/>
      </w:r>
      <w:r w:rsidR="00FB5FE7">
        <w:rPr>
          <w:i/>
          <w:iCs/>
        </w:rPr>
        <w:t>3</w:t>
      </w:r>
      <w:r w:rsidR="00FB5FE7">
        <w:tab/>
      </w:r>
      <w:r w:rsidR="00FB5FE7">
        <w:rPr>
          <w:i/>
          <w:iCs/>
        </w:rPr>
        <w:t xml:space="preserve">Le </w:t>
      </w:r>
      <w:r>
        <w:rPr>
          <w:i/>
          <w:iCs/>
        </w:rPr>
        <w:t>g</w:t>
      </w:r>
      <w:r w:rsidR="00FB5FE7">
        <w:rPr>
          <w:i/>
          <w:iCs/>
        </w:rPr>
        <w:t>roupe EG-RTI présentera un rapport d'activité rendant compte de tous les points de vue sur l'examen du RTI au Conseil à ses sessions de 2024 et de 2025 et un rapport final au Conseil à sa session de 2026, afin que celui-ci l'examine et le soumette à la Conférence de plénipotentiaires de 2026, assorti de ses observations.</w:t>
      </w:r>
    </w:p>
    <w:p w14:paraId="3B755719" w14:textId="04A0C808" w:rsidR="00FB5FE7" w:rsidRPr="00C3406C" w:rsidRDefault="00FB5FE7" w:rsidP="00884B99">
      <w:pPr>
        <w:jc w:val="both"/>
        <w:rPr>
          <w:rFonts w:eastAsia="Calibri"/>
        </w:rPr>
      </w:pPr>
      <w:r>
        <w:rPr>
          <w:b/>
          <w:bCs/>
        </w:rPr>
        <w:t>1.2.6</w:t>
      </w:r>
      <w:r>
        <w:tab/>
      </w:r>
      <w:r w:rsidR="001A54EF">
        <w:t>À</w:t>
      </w:r>
      <w:r>
        <w:t xml:space="preserve"> sa session de 2023, le Conseil a désigné Mme Shahira Selim (</w:t>
      </w:r>
      <w:r w:rsidR="000208B4">
        <w:t>Égypte</w:t>
      </w:r>
      <w:r>
        <w:t xml:space="preserve">) à la présidence du </w:t>
      </w:r>
      <w:r w:rsidR="000208B4">
        <w:t>g</w:t>
      </w:r>
      <w:r>
        <w:t xml:space="preserve">roupe. </w:t>
      </w:r>
      <w:r w:rsidR="001A54EF">
        <w:t>À</w:t>
      </w:r>
      <w:r>
        <w:t xml:space="preserve"> sa session de 2017, le Conseil a nommé les six Vice-Présidents </w:t>
      </w:r>
      <w:proofErr w:type="gramStart"/>
      <w:r>
        <w:t>suivants:</w:t>
      </w:r>
      <w:proofErr w:type="gramEnd"/>
    </w:p>
    <w:p w14:paraId="1F9B1EDE" w14:textId="6DB423AD" w:rsidR="00FB5FE7" w:rsidRPr="00C3406C" w:rsidRDefault="00FB5FE7" w:rsidP="00884B99">
      <w:pPr>
        <w:pStyle w:val="enumlev1"/>
        <w:jc w:val="both"/>
        <w:rPr>
          <w:rFonts w:eastAsia="Calibri"/>
        </w:rPr>
      </w:pPr>
      <w:r>
        <w:rPr>
          <w:i/>
          <w:iCs/>
        </w:rPr>
        <w:t>a)</w:t>
      </w:r>
      <w:r>
        <w:tab/>
        <w:t xml:space="preserve">Région Afrique </w:t>
      </w:r>
      <w:r w:rsidR="001A54EF">
        <w:t>–</w:t>
      </w:r>
      <w:r>
        <w:t xml:space="preserve"> M. Guy-Michel Kouakou (Côte d'Ivoire)</w:t>
      </w:r>
    </w:p>
    <w:p w14:paraId="1CFBFAC0" w14:textId="77777777" w:rsidR="00FB5FE7" w:rsidRPr="00C3406C" w:rsidRDefault="00FB5FE7" w:rsidP="00884B99">
      <w:pPr>
        <w:pStyle w:val="enumlev1"/>
        <w:jc w:val="both"/>
        <w:rPr>
          <w:rFonts w:eastAsia="Calibri"/>
        </w:rPr>
      </w:pPr>
      <w:r>
        <w:rPr>
          <w:i/>
          <w:iCs/>
        </w:rPr>
        <w:t>b)</w:t>
      </w:r>
      <w:r>
        <w:tab/>
        <w:t>Région Amériques – Mme Ena Dekanic (États-Unis)</w:t>
      </w:r>
    </w:p>
    <w:p w14:paraId="09CF51E6" w14:textId="1D75A9B4" w:rsidR="00FB5FE7" w:rsidRPr="00C3406C" w:rsidRDefault="00FB5FE7" w:rsidP="00884B99">
      <w:pPr>
        <w:pStyle w:val="enumlev1"/>
        <w:jc w:val="both"/>
        <w:rPr>
          <w:rFonts w:eastAsia="Calibri"/>
        </w:rPr>
      </w:pPr>
      <w:r>
        <w:rPr>
          <w:i/>
          <w:iCs/>
        </w:rPr>
        <w:t>c)</w:t>
      </w:r>
      <w:r>
        <w:tab/>
      </w:r>
      <w:r w:rsidR="000208B4">
        <w:t>États</w:t>
      </w:r>
      <w:r>
        <w:t xml:space="preserve"> arabes </w:t>
      </w:r>
      <w:r w:rsidR="001A54EF">
        <w:t>–</w:t>
      </w:r>
      <w:r>
        <w:t xml:space="preserve"> M. Omar Ali Alnemer (Émirats arabes unis)</w:t>
      </w:r>
    </w:p>
    <w:p w14:paraId="7185963B" w14:textId="61F3F43C" w:rsidR="00FB5FE7" w:rsidRPr="00C3406C" w:rsidRDefault="00FB5FE7" w:rsidP="00884B99">
      <w:pPr>
        <w:pStyle w:val="enumlev1"/>
        <w:jc w:val="both"/>
        <w:rPr>
          <w:rFonts w:eastAsia="Calibri"/>
        </w:rPr>
      </w:pPr>
      <w:r>
        <w:rPr>
          <w:i/>
          <w:iCs/>
        </w:rPr>
        <w:t>d)</w:t>
      </w:r>
      <w:r>
        <w:tab/>
        <w:t xml:space="preserve">Région Asie-Pacifique </w:t>
      </w:r>
      <w:r w:rsidR="001A54EF">
        <w:t>–</w:t>
      </w:r>
      <w:r>
        <w:t xml:space="preserve"> M. Sunil Singhal (Inde)</w:t>
      </w:r>
    </w:p>
    <w:p w14:paraId="2CE13FAF" w14:textId="1D4501E6" w:rsidR="00FB5FE7" w:rsidRPr="00C3406C" w:rsidRDefault="00FB5FE7" w:rsidP="00884B99">
      <w:pPr>
        <w:pStyle w:val="enumlev1"/>
        <w:jc w:val="both"/>
        <w:rPr>
          <w:rFonts w:eastAsia="Calibri"/>
        </w:rPr>
      </w:pPr>
      <w:r>
        <w:rPr>
          <w:i/>
          <w:iCs/>
        </w:rPr>
        <w:lastRenderedPageBreak/>
        <w:t>e)</w:t>
      </w:r>
      <w:r>
        <w:tab/>
        <w:t xml:space="preserve">Région de la CEI </w:t>
      </w:r>
      <w:r w:rsidR="001A54EF">
        <w:t>–</w:t>
      </w:r>
      <w:r>
        <w:t xml:space="preserve"> M. Ulugbek Azimov (Ouzbékistan)</w:t>
      </w:r>
    </w:p>
    <w:p w14:paraId="5854E5EE" w14:textId="27860C31" w:rsidR="00FB5FE7" w:rsidRPr="00C3406C" w:rsidRDefault="00FB5FE7" w:rsidP="00884B99">
      <w:pPr>
        <w:pStyle w:val="enumlev1"/>
        <w:jc w:val="both"/>
        <w:rPr>
          <w:rFonts w:eastAsia="Calibri"/>
        </w:rPr>
      </w:pPr>
      <w:r>
        <w:rPr>
          <w:i/>
          <w:iCs/>
        </w:rPr>
        <w:t>f)</w:t>
      </w:r>
      <w:r>
        <w:tab/>
        <w:t xml:space="preserve">Région de l'Europe </w:t>
      </w:r>
      <w:r w:rsidR="001A54EF">
        <w:t>–</w:t>
      </w:r>
      <w:r>
        <w:t xml:space="preserve"> M. Vilem Vesely (République tchèque)</w:t>
      </w:r>
    </w:p>
    <w:p w14:paraId="4C05AEA2" w14:textId="7BF80291" w:rsidR="00FB5FE7" w:rsidRPr="00C3406C" w:rsidRDefault="00FB5FE7" w:rsidP="00884B99">
      <w:pPr>
        <w:jc w:val="both"/>
        <w:rPr>
          <w:rFonts w:eastAsia="Calibri"/>
        </w:rPr>
      </w:pPr>
      <w:r>
        <w:rPr>
          <w:b/>
          <w:bCs/>
        </w:rPr>
        <w:t>1.2.7</w:t>
      </w:r>
      <w:r>
        <w:tab/>
        <w:t>L</w:t>
      </w:r>
      <w:r w:rsidR="001808A1">
        <w:t xml:space="preserve">e </w:t>
      </w:r>
      <w:r>
        <w:t>G</w:t>
      </w:r>
      <w:r w:rsidR="001808A1">
        <w:t>E</w:t>
      </w:r>
      <w:r>
        <w:t>-RTI a tenu six réunions. Tous les documents et rapports concernant les réunions du G</w:t>
      </w:r>
      <w:r w:rsidR="001808A1">
        <w:t>E</w:t>
      </w:r>
      <w:r>
        <w:t xml:space="preserve">-RTI sont disponibles sur le </w:t>
      </w:r>
      <w:hyperlink r:id="rId27" w:history="1">
        <w:r w:rsidRPr="001A54EF">
          <w:rPr>
            <w:rStyle w:val="Hyperlink"/>
            <w:rFonts w:eastAsia="Times New Roman" w:cs="Times New Roman"/>
            <w:szCs w:val="20"/>
          </w:rPr>
          <w:t>site web du G</w:t>
        </w:r>
        <w:r w:rsidR="001808A1">
          <w:rPr>
            <w:rStyle w:val="Hyperlink"/>
            <w:rFonts w:eastAsia="Times New Roman" w:cs="Times New Roman"/>
            <w:szCs w:val="20"/>
          </w:rPr>
          <w:t>E</w:t>
        </w:r>
        <w:r w:rsidRPr="001A54EF">
          <w:rPr>
            <w:rStyle w:val="Hyperlink"/>
            <w:rFonts w:eastAsia="Times New Roman" w:cs="Times New Roman"/>
            <w:szCs w:val="20"/>
          </w:rPr>
          <w:t>-RTI</w:t>
        </w:r>
      </w:hyperlink>
      <w:r>
        <w:t>, tout comme les archives web de toutes les réunions.</w:t>
      </w:r>
      <w:hyperlink r:id="rId28" w:history="1"/>
    </w:p>
    <w:p w14:paraId="11094828" w14:textId="201F78D3" w:rsidR="00FB5FE7" w:rsidRPr="00C3406C" w:rsidRDefault="00FB5FE7" w:rsidP="00357877">
      <w:pPr>
        <w:pStyle w:val="Heading1"/>
      </w:pPr>
      <w:r>
        <w:rPr>
          <w:bCs/>
        </w:rPr>
        <w:t>2</w:t>
      </w:r>
      <w:r>
        <w:tab/>
      </w:r>
      <w:r>
        <w:rPr>
          <w:bCs/>
        </w:rPr>
        <w:t>Activités du G</w:t>
      </w:r>
      <w:r w:rsidR="001808A1">
        <w:rPr>
          <w:bCs/>
        </w:rPr>
        <w:t>E</w:t>
      </w:r>
      <w:r>
        <w:rPr>
          <w:bCs/>
        </w:rPr>
        <w:t>-RTI</w:t>
      </w:r>
    </w:p>
    <w:p w14:paraId="2C21EF10" w14:textId="77777777" w:rsidR="00FB5FE7" w:rsidRPr="000F0B13" w:rsidRDefault="00FB5FE7" w:rsidP="005B64FF">
      <w:pPr>
        <w:jc w:val="both"/>
      </w:pPr>
      <w:r>
        <w:t xml:space="preserve">Les rapports ainsi que les documents des six réunions sont transmis au Conseil pour </w:t>
      </w:r>
      <w:proofErr w:type="gramStart"/>
      <w:r>
        <w:t>information:</w:t>
      </w:r>
      <w:proofErr w:type="gramEnd"/>
    </w:p>
    <w:p w14:paraId="2CDD0C0F" w14:textId="4DDFAB33" w:rsidR="00FB5FE7" w:rsidRPr="00C3406C" w:rsidRDefault="00FB5FE7" w:rsidP="005B64FF">
      <w:pPr>
        <w:spacing w:after="120"/>
        <w:jc w:val="both"/>
        <w:rPr>
          <w:rFonts w:eastAsia="Calibri"/>
        </w:rPr>
      </w:pPr>
      <w:r>
        <w:rPr>
          <w:b/>
          <w:bCs/>
        </w:rPr>
        <w:t>2.1</w:t>
      </w:r>
      <w:r>
        <w:tab/>
      </w:r>
      <w:r w:rsidRPr="00762876">
        <w:rPr>
          <w:b/>
          <w:bCs/>
        </w:rPr>
        <w:t>Première réunion, 16 octobre 2023 (</w:t>
      </w:r>
      <w:hyperlink r:id="rId29" w:history="1">
        <w:r w:rsidRPr="001A54EF">
          <w:rPr>
            <w:rStyle w:val="Hyperlink"/>
            <w:rFonts w:eastAsia="Times New Roman" w:cs="Times New Roman"/>
            <w:b/>
            <w:bCs/>
            <w:szCs w:val="20"/>
          </w:rPr>
          <w:t>voir le rapport</w:t>
        </w:r>
      </w:hyperlink>
      <w:proofErr w:type="gramStart"/>
      <w:r w:rsidRPr="00762876">
        <w:rPr>
          <w:b/>
          <w:bCs/>
        </w:rPr>
        <w:t>)</w:t>
      </w:r>
      <w:r>
        <w:t>:</w:t>
      </w:r>
      <w:proofErr w:type="gramEnd"/>
      <w:r>
        <w:t xml:space="preserve"> </w:t>
      </w:r>
      <w:r w:rsidR="000F0B13">
        <w:t>l</w:t>
      </w:r>
      <w:r>
        <w:t>e G</w:t>
      </w:r>
      <w:r w:rsidR="001808A1">
        <w:t>E</w:t>
      </w:r>
      <w:r>
        <w:t>-RTI a examiné les contributions reçues, les discussions ayant essentiellement porté sur les propositions de programme de travail.</w:t>
      </w:r>
      <w:hyperlink r:id="rId30"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06"/>
      </w:tblGrid>
      <w:tr w:rsidR="00FB5FE7" w:rsidRPr="000F6818" w14:paraId="26B71131" w14:textId="77777777" w:rsidTr="007E2441">
        <w:trPr>
          <w:trHeight w:val="778"/>
        </w:trPr>
        <w:tc>
          <w:tcPr>
            <w:tcW w:w="858" w:type="pct"/>
            <w:hideMark/>
          </w:tcPr>
          <w:p w14:paraId="37246DB9" w14:textId="77777777" w:rsidR="00FB5FE7" w:rsidRPr="00C3406C" w:rsidRDefault="00FB5FE7" w:rsidP="00357877">
            <w:pPr>
              <w:pStyle w:val="Tabletext"/>
              <w:rPr>
                <w:b/>
                <w:bCs/>
              </w:rPr>
            </w:pPr>
            <w:r>
              <w:rPr>
                <w:b/>
                <w:bCs/>
                <w:color w:val="000000"/>
              </w:rPr>
              <w:t>Contributions reçues à la première réunion</w:t>
            </w:r>
          </w:p>
        </w:tc>
        <w:tc>
          <w:tcPr>
            <w:tcW w:w="4142" w:type="pct"/>
            <w:hideMark/>
          </w:tcPr>
          <w:p w14:paraId="0B92169F" w14:textId="71383D58" w:rsidR="00FB5FE7" w:rsidRPr="00C3406C" w:rsidRDefault="00FB5FE7" w:rsidP="005B64FF">
            <w:pPr>
              <w:pStyle w:val="Tabletext"/>
              <w:ind w:left="284" w:hanging="284"/>
              <w:jc w:val="both"/>
            </w:pPr>
            <w:r>
              <w:rPr>
                <w:color w:val="000000"/>
              </w:rPr>
              <w:t>–</w:t>
            </w:r>
            <w:r>
              <w:rPr>
                <w:color w:val="000000"/>
              </w:rPr>
              <w:tab/>
              <w:t xml:space="preserve">Ordre du jour (Document </w:t>
            </w:r>
            <w:hyperlink r:id="rId31" w:history="1">
              <w:proofErr w:type="spellStart"/>
              <w:r w:rsidRPr="001A54EF">
                <w:rPr>
                  <w:rStyle w:val="Hyperlink"/>
                  <w:rFonts w:eastAsia="Times New Roman" w:cs="Times New Roman"/>
                  <w:szCs w:val="20"/>
                </w:rPr>
                <w:t>EG</w:t>
              </w:r>
              <w:proofErr w:type="spellEnd"/>
              <w:r w:rsidRPr="001A54EF">
                <w:rPr>
                  <w:rStyle w:val="Hyperlink"/>
                  <w:rFonts w:eastAsia="Times New Roman" w:cs="Times New Roman"/>
                  <w:szCs w:val="20"/>
                </w:rPr>
                <w:t>-ITRs-1/1</w:t>
              </w:r>
            </w:hyperlink>
            <w:r>
              <w:rPr>
                <w:color w:val="000000"/>
              </w:rPr>
              <w:t>)</w:t>
            </w:r>
            <w:r w:rsidR="00AF427B">
              <w:rPr>
                <w:color w:val="000000"/>
              </w:rPr>
              <w:t>.</w:t>
            </w:r>
            <w:hyperlink r:id="rId32" w:history="1"/>
          </w:p>
          <w:p w14:paraId="7E7A7F04" w14:textId="26CB4574" w:rsidR="00FB5FE7" w:rsidRPr="00C3406C" w:rsidRDefault="00FB5FE7" w:rsidP="005B64FF">
            <w:pPr>
              <w:pStyle w:val="Tabletext"/>
              <w:ind w:left="284" w:hanging="284"/>
              <w:jc w:val="both"/>
            </w:pPr>
            <w:r>
              <w:rPr>
                <w:color w:val="000000"/>
              </w:rPr>
              <w:t>–</w:t>
            </w:r>
            <w:r>
              <w:rPr>
                <w:color w:val="000000"/>
              </w:rPr>
              <w:tab/>
              <w:t xml:space="preserve">Considérations générales (Document </w:t>
            </w:r>
            <w:hyperlink r:id="rId33" w:history="1">
              <w:r w:rsidRPr="001A54EF">
                <w:rPr>
                  <w:rStyle w:val="Hyperlink"/>
                  <w:rFonts w:eastAsia="Times New Roman" w:cs="Times New Roman"/>
                  <w:szCs w:val="20"/>
                </w:rPr>
                <w:t>EG-ITRs-1/2</w:t>
              </w:r>
            </w:hyperlink>
            <w:proofErr w:type="gramStart"/>
            <w:r>
              <w:rPr>
                <w:color w:val="000000"/>
              </w:rPr>
              <w:t>):</w:t>
            </w:r>
            <w:proofErr w:type="gramEnd"/>
            <w:r>
              <w:rPr>
                <w:color w:val="000000"/>
              </w:rPr>
              <w:t xml:space="preserve"> </w:t>
            </w:r>
            <w:r w:rsidR="009639DD">
              <w:rPr>
                <w:color w:val="000000"/>
              </w:rPr>
              <w:t>C</w:t>
            </w:r>
            <w:r>
              <w:rPr>
                <w:color w:val="000000"/>
              </w:rPr>
              <w:t>ontribution de Hill</w:t>
            </w:r>
            <w:r w:rsidR="00AF427B">
              <w:rPr>
                <w:color w:val="000000"/>
              </w:rPr>
              <w:t>.</w:t>
            </w:r>
            <w:hyperlink r:id="rId34" w:history="1"/>
          </w:p>
          <w:p w14:paraId="3C67B191" w14:textId="7B172016" w:rsidR="00FB5FE7" w:rsidRPr="00ED6DE6" w:rsidRDefault="00FB5FE7" w:rsidP="005B64FF">
            <w:pPr>
              <w:pStyle w:val="Tabletext"/>
              <w:ind w:left="284" w:hanging="284"/>
              <w:jc w:val="both"/>
              <w:rPr>
                <w:color w:val="000000"/>
              </w:rPr>
            </w:pPr>
            <w:r>
              <w:rPr>
                <w:color w:val="000000"/>
              </w:rPr>
              <w:t>–</w:t>
            </w:r>
            <w:r>
              <w:rPr>
                <w:color w:val="000000"/>
              </w:rPr>
              <w:tab/>
              <w:t>Proposition concernant les méthodes de travail et le programme de travail du G</w:t>
            </w:r>
            <w:r w:rsidR="00ED6DE6">
              <w:rPr>
                <w:color w:val="000000"/>
              </w:rPr>
              <w:t>E</w:t>
            </w:r>
            <w:r>
              <w:rPr>
                <w:color w:val="000000"/>
              </w:rPr>
              <w:t xml:space="preserve">-RTI (Document </w:t>
            </w:r>
            <w:hyperlink r:id="rId35" w:history="1">
              <w:proofErr w:type="spellStart"/>
              <w:r w:rsidRPr="004C192D">
                <w:rPr>
                  <w:rStyle w:val="Hyperlink"/>
                  <w:rFonts w:eastAsia="Times New Roman" w:cs="Times New Roman"/>
                  <w:szCs w:val="20"/>
                </w:rPr>
                <w:t>EG</w:t>
              </w:r>
              <w:proofErr w:type="spellEnd"/>
              <w:r w:rsidRPr="004C192D">
                <w:rPr>
                  <w:rStyle w:val="Hyperlink"/>
                  <w:rFonts w:eastAsia="Times New Roman" w:cs="Times New Roman"/>
                  <w:szCs w:val="20"/>
                </w:rPr>
                <w:t>-ITRs-1/3</w:t>
              </w:r>
            </w:hyperlink>
            <w:proofErr w:type="gramStart"/>
            <w:r>
              <w:rPr>
                <w:color w:val="000000"/>
              </w:rPr>
              <w:t>):</w:t>
            </w:r>
            <w:proofErr w:type="gramEnd"/>
            <w:r>
              <w:rPr>
                <w:color w:val="000000"/>
              </w:rPr>
              <w:t xml:space="preserve"> </w:t>
            </w:r>
            <w:r w:rsidR="009639DD">
              <w:rPr>
                <w:color w:val="000000"/>
              </w:rPr>
              <w:t>C</w:t>
            </w:r>
            <w:r>
              <w:rPr>
                <w:color w:val="000000"/>
              </w:rPr>
              <w:t>ontribution de Hill</w:t>
            </w:r>
            <w:hyperlink r:id="rId36" w:history="1"/>
          </w:p>
          <w:p w14:paraId="7113DDEA" w14:textId="3F668E73" w:rsidR="00FB5FE7" w:rsidRPr="005B64FF" w:rsidRDefault="00FB5FE7" w:rsidP="005B64FF">
            <w:pPr>
              <w:pStyle w:val="Tabletext"/>
              <w:ind w:left="284" w:hanging="284"/>
              <w:jc w:val="both"/>
              <w:rPr>
                <w:spacing w:val="-3"/>
              </w:rPr>
            </w:pPr>
            <w:r w:rsidRPr="005B64FF">
              <w:rPr>
                <w:color w:val="000000"/>
                <w:spacing w:val="-3"/>
              </w:rPr>
              <w:t>–</w:t>
            </w:r>
            <w:r w:rsidRPr="005B64FF">
              <w:rPr>
                <w:color w:val="000000"/>
                <w:spacing w:val="-3"/>
              </w:rPr>
              <w:tab/>
              <w:t>Concernant la structure des rapports intérimaire et final du G</w:t>
            </w:r>
            <w:r w:rsidR="00ED6DE6" w:rsidRPr="005B64FF">
              <w:rPr>
                <w:color w:val="000000"/>
                <w:spacing w:val="-3"/>
              </w:rPr>
              <w:t>E</w:t>
            </w:r>
            <w:r w:rsidRPr="005B64FF">
              <w:rPr>
                <w:color w:val="000000"/>
                <w:spacing w:val="-3"/>
              </w:rPr>
              <w:t>-RTI à l</w:t>
            </w:r>
            <w:r w:rsidR="00157F52" w:rsidRPr="005B64FF">
              <w:rPr>
                <w:color w:val="000000"/>
                <w:spacing w:val="-3"/>
              </w:rPr>
              <w:t>'</w:t>
            </w:r>
            <w:r w:rsidRPr="005B64FF">
              <w:rPr>
                <w:color w:val="000000"/>
                <w:spacing w:val="-3"/>
              </w:rPr>
              <w:t>intention du Conseil sur les résultats de l</w:t>
            </w:r>
            <w:r w:rsidR="00157F52" w:rsidRPr="005B64FF">
              <w:rPr>
                <w:color w:val="000000"/>
                <w:spacing w:val="-3"/>
              </w:rPr>
              <w:t>'</w:t>
            </w:r>
            <w:r w:rsidRPr="005B64FF">
              <w:rPr>
                <w:color w:val="000000"/>
                <w:spacing w:val="-3"/>
              </w:rPr>
              <w:t>étude des questions relatives au</w:t>
            </w:r>
            <w:r w:rsidR="000F0B13" w:rsidRPr="005B64FF">
              <w:rPr>
                <w:color w:val="000000"/>
                <w:spacing w:val="-3"/>
              </w:rPr>
              <w:t> </w:t>
            </w:r>
            <w:r w:rsidRPr="005B64FF">
              <w:rPr>
                <w:color w:val="000000"/>
                <w:spacing w:val="-3"/>
              </w:rPr>
              <w:t>RTI, y compris son examen, et le programme de travail du G</w:t>
            </w:r>
            <w:r w:rsidR="00ED6DE6" w:rsidRPr="005B64FF">
              <w:rPr>
                <w:color w:val="000000"/>
                <w:spacing w:val="-3"/>
              </w:rPr>
              <w:t>E</w:t>
            </w:r>
            <w:r w:rsidRPr="005B64FF">
              <w:rPr>
                <w:color w:val="000000"/>
                <w:spacing w:val="-3"/>
              </w:rPr>
              <w:t xml:space="preserve">-RTI pour la période 2024-2026 (Document </w:t>
            </w:r>
            <w:hyperlink r:id="rId37" w:history="1">
              <w:r w:rsidRPr="005B64FF">
                <w:rPr>
                  <w:rStyle w:val="Hyperlink"/>
                  <w:rFonts w:eastAsia="Times New Roman" w:cs="Times New Roman"/>
                  <w:spacing w:val="-3"/>
                  <w:szCs w:val="20"/>
                </w:rPr>
                <w:t>EG-ITRs-1/4</w:t>
              </w:r>
            </w:hyperlink>
            <w:proofErr w:type="gramStart"/>
            <w:r w:rsidRPr="005B64FF">
              <w:rPr>
                <w:color w:val="000000"/>
                <w:spacing w:val="-3"/>
              </w:rPr>
              <w:t>):</w:t>
            </w:r>
            <w:proofErr w:type="gramEnd"/>
            <w:r w:rsidRPr="005B64FF">
              <w:rPr>
                <w:color w:val="000000"/>
                <w:spacing w:val="-3"/>
              </w:rPr>
              <w:t xml:space="preserve"> </w:t>
            </w:r>
            <w:r w:rsidR="009639DD" w:rsidRPr="005B64FF">
              <w:rPr>
                <w:color w:val="000000"/>
                <w:spacing w:val="-3"/>
              </w:rPr>
              <w:t>C</w:t>
            </w:r>
            <w:r w:rsidRPr="005B64FF">
              <w:rPr>
                <w:color w:val="000000"/>
                <w:spacing w:val="-3"/>
              </w:rPr>
              <w:t>ontribution de l</w:t>
            </w:r>
            <w:r w:rsidR="00157F52" w:rsidRPr="005B64FF">
              <w:rPr>
                <w:color w:val="000000"/>
                <w:spacing w:val="-3"/>
              </w:rPr>
              <w:t>'</w:t>
            </w:r>
            <w:r w:rsidRPr="005B64FF">
              <w:rPr>
                <w:color w:val="000000"/>
                <w:spacing w:val="-3"/>
              </w:rPr>
              <w:t>Arménie et de la Fédération de Russie</w:t>
            </w:r>
            <w:r w:rsidR="00AF427B" w:rsidRPr="005B64FF">
              <w:rPr>
                <w:color w:val="000000"/>
                <w:spacing w:val="-3"/>
              </w:rPr>
              <w:t>.</w:t>
            </w:r>
            <w:hyperlink r:id="rId38" w:history="1"/>
          </w:p>
          <w:p w14:paraId="22355CD6" w14:textId="32E09CC9" w:rsidR="00FB5FE7" w:rsidRPr="00C3406C" w:rsidRDefault="00FB5FE7" w:rsidP="005B64FF">
            <w:pPr>
              <w:pStyle w:val="Tabletext"/>
              <w:ind w:left="284" w:hanging="284"/>
              <w:jc w:val="both"/>
            </w:pPr>
            <w:r>
              <w:rPr>
                <w:color w:val="000000"/>
              </w:rPr>
              <w:t>–</w:t>
            </w:r>
            <w:r>
              <w:rPr>
                <w:color w:val="000000"/>
              </w:rPr>
              <w:tab/>
              <w:t xml:space="preserve">Examen du Règlement des télécommunications internationales et des méthodes de travail (Document </w:t>
            </w:r>
            <w:hyperlink r:id="rId39" w:history="1">
              <w:r w:rsidRPr="004C192D">
                <w:rPr>
                  <w:rStyle w:val="Hyperlink"/>
                  <w:rFonts w:eastAsia="Times New Roman" w:cs="Times New Roman"/>
                  <w:szCs w:val="20"/>
                </w:rPr>
                <w:t>EG-ITRs-1/5</w:t>
              </w:r>
            </w:hyperlink>
            <w:proofErr w:type="gramStart"/>
            <w:r>
              <w:rPr>
                <w:color w:val="000000"/>
              </w:rPr>
              <w:t>):</w:t>
            </w:r>
            <w:proofErr w:type="gramEnd"/>
            <w:r>
              <w:rPr>
                <w:color w:val="000000"/>
              </w:rPr>
              <w:t xml:space="preserve"> </w:t>
            </w:r>
            <w:r w:rsidR="009639DD">
              <w:rPr>
                <w:color w:val="000000"/>
              </w:rPr>
              <w:t>C</w:t>
            </w:r>
            <w:r>
              <w:rPr>
                <w:color w:val="000000"/>
              </w:rPr>
              <w:t>ontribution de l</w:t>
            </w:r>
            <w:r w:rsidR="00157F52">
              <w:rPr>
                <w:color w:val="000000"/>
              </w:rPr>
              <w:t>'</w:t>
            </w:r>
            <w:r>
              <w:rPr>
                <w:color w:val="000000"/>
              </w:rPr>
              <w:t>Allemagne, de</w:t>
            </w:r>
            <w:r w:rsidR="00AF427B">
              <w:rPr>
                <w:color w:val="000000"/>
              </w:rPr>
              <w:t> </w:t>
            </w:r>
            <w:r>
              <w:rPr>
                <w:color w:val="000000"/>
              </w:rPr>
              <w:t>la Bulgarie, du Danemark, de l</w:t>
            </w:r>
            <w:r w:rsidR="00157F52">
              <w:rPr>
                <w:color w:val="000000"/>
              </w:rPr>
              <w:t>'</w:t>
            </w:r>
            <w:r>
              <w:rPr>
                <w:color w:val="000000"/>
              </w:rPr>
              <w:t>Espagne, de la Hongrie, de la République</w:t>
            </w:r>
            <w:r w:rsidR="00AF427B">
              <w:rPr>
                <w:color w:val="000000"/>
              </w:rPr>
              <w:t> </w:t>
            </w:r>
            <w:r>
              <w:rPr>
                <w:color w:val="000000"/>
              </w:rPr>
              <w:t>tchèque, de la Roumanie, du Royaume-Uni et de la Suède</w:t>
            </w:r>
            <w:r w:rsidR="00AF427B">
              <w:rPr>
                <w:color w:val="000000"/>
              </w:rPr>
              <w:t>.</w:t>
            </w:r>
            <w:hyperlink r:id="rId40" w:history="1"/>
          </w:p>
          <w:p w14:paraId="743736E9" w14:textId="32DCF30D" w:rsidR="00FB5FE7" w:rsidRPr="00C3406C" w:rsidRDefault="00FB5FE7" w:rsidP="005B64FF">
            <w:pPr>
              <w:pStyle w:val="Tabletext"/>
              <w:ind w:left="284" w:hanging="284"/>
              <w:jc w:val="both"/>
            </w:pPr>
            <w:r>
              <w:rPr>
                <w:color w:val="000000"/>
              </w:rPr>
              <w:t>–</w:t>
            </w:r>
            <w:r>
              <w:rPr>
                <w:color w:val="000000"/>
              </w:rPr>
              <w:tab/>
              <w:t>Proposition de programme de travail pour le G</w:t>
            </w:r>
            <w:r w:rsidR="00ED6DE6">
              <w:rPr>
                <w:color w:val="000000"/>
              </w:rPr>
              <w:t>E</w:t>
            </w:r>
            <w:r>
              <w:rPr>
                <w:color w:val="000000"/>
              </w:rPr>
              <w:t>-RTI (Document</w:t>
            </w:r>
            <w:r w:rsidR="004C192D">
              <w:rPr>
                <w:color w:val="000000"/>
              </w:rPr>
              <w:t> </w:t>
            </w:r>
            <w:proofErr w:type="spellStart"/>
            <w:r>
              <w:fldChar w:fldCharType="begin"/>
            </w:r>
            <w:r>
              <w:instrText>HYPERLINK "https://www.itu.int/md/S23-EGITRS1-C-0006/fr"</w:instrText>
            </w:r>
            <w:r>
              <w:fldChar w:fldCharType="separate"/>
            </w:r>
            <w:r w:rsidRPr="004C192D">
              <w:rPr>
                <w:rStyle w:val="Hyperlink"/>
                <w:rFonts w:eastAsia="Times New Roman" w:cs="Times New Roman"/>
                <w:szCs w:val="20"/>
              </w:rPr>
              <w:t>EG</w:t>
            </w:r>
            <w:proofErr w:type="spellEnd"/>
            <w:r w:rsidR="004C192D">
              <w:rPr>
                <w:rStyle w:val="Hyperlink"/>
                <w:rFonts w:eastAsia="Times New Roman" w:cs="Times New Roman"/>
                <w:szCs w:val="20"/>
              </w:rPr>
              <w:noBreakHyphen/>
            </w:r>
            <w:r w:rsidRPr="004C192D">
              <w:rPr>
                <w:rStyle w:val="Hyperlink"/>
                <w:rFonts w:eastAsia="Times New Roman" w:cs="Times New Roman"/>
                <w:szCs w:val="20"/>
              </w:rPr>
              <w:t>ITRs-1/6</w:t>
            </w:r>
            <w:r>
              <w:fldChar w:fldCharType="end"/>
            </w:r>
            <w:proofErr w:type="gramStart"/>
            <w:r>
              <w:rPr>
                <w:color w:val="000000"/>
              </w:rPr>
              <w:t>):</w:t>
            </w:r>
            <w:proofErr w:type="gramEnd"/>
            <w:r>
              <w:rPr>
                <w:color w:val="000000"/>
              </w:rPr>
              <w:t xml:space="preserve"> </w:t>
            </w:r>
            <w:r w:rsidR="009639DD">
              <w:rPr>
                <w:color w:val="000000"/>
              </w:rPr>
              <w:t>C</w:t>
            </w:r>
            <w:r>
              <w:rPr>
                <w:color w:val="000000"/>
              </w:rPr>
              <w:t>ontribution de l</w:t>
            </w:r>
            <w:r w:rsidR="00157F52">
              <w:rPr>
                <w:color w:val="000000"/>
              </w:rPr>
              <w:t>'</w:t>
            </w:r>
            <w:r>
              <w:rPr>
                <w:color w:val="000000"/>
              </w:rPr>
              <w:t>Allemagne, de la Bulgarie, du</w:t>
            </w:r>
            <w:r w:rsidR="00AF427B">
              <w:rPr>
                <w:color w:val="000000"/>
              </w:rPr>
              <w:t> </w:t>
            </w:r>
            <w:r>
              <w:rPr>
                <w:color w:val="000000"/>
              </w:rPr>
              <w:t>Danemark, de l</w:t>
            </w:r>
            <w:r w:rsidR="00157F52">
              <w:rPr>
                <w:color w:val="000000"/>
              </w:rPr>
              <w:t>'</w:t>
            </w:r>
            <w:r>
              <w:rPr>
                <w:color w:val="000000"/>
              </w:rPr>
              <w:t>Espagne, de la Hongrie, de la République tchèque, de</w:t>
            </w:r>
            <w:r w:rsidR="00AF427B">
              <w:rPr>
                <w:color w:val="000000"/>
              </w:rPr>
              <w:t> </w:t>
            </w:r>
            <w:r>
              <w:rPr>
                <w:color w:val="000000"/>
              </w:rPr>
              <w:t>la</w:t>
            </w:r>
            <w:r w:rsidR="00AF427B">
              <w:rPr>
                <w:color w:val="000000"/>
              </w:rPr>
              <w:t> </w:t>
            </w:r>
            <w:r>
              <w:rPr>
                <w:color w:val="000000"/>
              </w:rPr>
              <w:t>Roumanie, du Royaume-Uni et de la Suède</w:t>
            </w:r>
            <w:r w:rsidR="00AF427B">
              <w:rPr>
                <w:color w:val="000000"/>
              </w:rPr>
              <w:t>.</w:t>
            </w:r>
            <w:hyperlink r:id="rId41" w:history="1"/>
          </w:p>
          <w:p w14:paraId="05427931" w14:textId="40BA5BF9" w:rsidR="00FB5FE7" w:rsidRPr="00C3406C" w:rsidRDefault="00FB5FE7" w:rsidP="005B64FF">
            <w:pPr>
              <w:pStyle w:val="Tabletext"/>
              <w:ind w:left="284" w:hanging="284"/>
              <w:jc w:val="both"/>
            </w:pPr>
            <w:r>
              <w:rPr>
                <w:color w:val="000000"/>
              </w:rPr>
              <w:t>–</w:t>
            </w:r>
            <w:r>
              <w:rPr>
                <w:color w:val="000000"/>
              </w:rPr>
              <w:tab/>
              <w:t xml:space="preserve">Appui à la révision du RTI (Document </w:t>
            </w:r>
            <w:hyperlink r:id="rId42" w:history="1">
              <w:r w:rsidRPr="004C192D">
                <w:rPr>
                  <w:rStyle w:val="Hyperlink"/>
                  <w:rFonts w:eastAsia="Times New Roman" w:cs="Times New Roman"/>
                  <w:szCs w:val="20"/>
                </w:rPr>
                <w:t>EG-ITRs-1/7</w:t>
              </w:r>
            </w:hyperlink>
            <w:proofErr w:type="gramStart"/>
            <w:r>
              <w:rPr>
                <w:color w:val="000000"/>
              </w:rPr>
              <w:t>):</w:t>
            </w:r>
            <w:proofErr w:type="gramEnd"/>
            <w:r>
              <w:rPr>
                <w:color w:val="000000"/>
              </w:rPr>
              <w:t xml:space="preserve"> </w:t>
            </w:r>
            <w:r w:rsidR="009639DD">
              <w:rPr>
                <w:color w:val="000000"/>
              </w:rPr>
              <w:t>C</w:t>
            </w:r>
            <w:r>
              <w:rPr>
                <w:color w:val="000000"/>
              </w:rPr>
              <w:t>ontribution du Ghana</w:t>
            </w:r>
            <w:r w:rsidR="00AF427B">
              <w:rPr>
                <w:color w:val="000000"/>
              </w:rPr>
              <w:t>.</w:t>
            </w:r>
            <w:hyperlink r:id="rId43" w:history="1"/>
          </w:p>
          <w:p w14:paraId="622FF9AE" w14:textId="7CAC787E" w:rsidR="00FB5FE7" w:rsidRPr="00C3406C" w:rsidRDefault="00FB5FE7" w:rsidP="005B64FF">
            <w:pPr>
              <w:pStyle w:val="Tabletext"/>
              <w:ind w:left="284" w:hanging="284"/>
              <w:jc w:val="both"/>
              <w:rPr>
                <w:u w:val="single"/>
              </w:rPr>
            </w:pPr>
            <w:r>
              <w:rPr>
                <w:color w:val="000000"/>
              </w:rPr>
              <w:t>–</w:t>
            </w:r>
            <w:r>
              <w:rPr>
                <w:color w:val="000000"/>
              </w:rPr>
              <w:tab/>
              <w:t>Proposition pour les travaux du G</w:t>
            </w:r>
            <w:r w:rsidR="00ED6DE6">
              <w:rPr>
                <w:color w:val="000000"/>
              </w:rPr>
              <w:t>E</w:t>
            </w:r>
            <w:r>
              <w:rPr>
                <w:color w:val="000000"/>
              </w:rPr>
              <w:t xml:space="preserve">-RTI (Document </w:t>
            </w:r>
            <w:hyperlink r:id="rId44" w:history="1">
              <w:proofErr w:type="spellStart"/>
              <w:r w:rsidRPr="00157F52">
                <w:rPr>
                  <w:rStyle w:val="Hyperlink"/>
                  <w:rFonts w:eastAsia="Times New Roman" w:cs="Times New Roman"/>
                  <w:szCs w:val="20"/>
                </w:rPr>
                <w:t>EG</w:t>
              </w:r>
              <w:proofErr w:type="spellEnd"/>
              <w:r w:rsidRPr="00157F52">
                <w:rPr>
                  <w:rStyle w:val="Hyperlink"/>
                  <w:rFonts w:eastAsia="Times New Roman" w:cs="Times New Roman"/>
                  <w:szCs w:val="20"/>
                </w:rPr>
                <w:t>-ITRs-1/8</w:t>
              </w:r>
            </w:hyperlink>
            <w:proofErr w:type="gramStart"/>
            <w:r>
              <w:rPr>
                <w:color w:val="000000"/>
              </w:rPr>
              <w:t>):</w:t>
            </w:r>
            <w:proofErr w:type="gramEnd"/>
            <w:r>
              <w:rPr>
                <w:color w:val="000000"/>
              </w:rPr>
              <w:t xml:space="preserve"> </w:t>
            </w:r>
            <w:r w:rsidR="00A748E1">
              <w:rPr>
                <w:color w:val="000000"/>
              </w:rPr>
              <w:t>C</w:t>
            </w:r>
            <w:r>
              <w:rPr>
                <w:color w:val="000000"/>
              </w:rPr>
              <w:t>ontribution de l</w:t>
            </w:r>
            <w:r w:rsidR="00157F52">
              <w:rPr>
                <w:color w:val="000000"/>
              </w:rPr>
              <w:t>'Égypte</w:t>
            </w:r>
            <w:r>
              <w:rPr>
                <w:color w:val="000000"/>
              </w:rPr>
              <w:t xml:space="preserve"> et du Royaume d</w:t>
            </w:r>
            <w:r w:rsidR="00157F52">
              <w:rPr>
                <w:color w:val="000000"/>
              </w:rPr>
              <w:t>'</w:t>
            </w:r>
            <w:r>
              <w:rPr>
                <w:color w:val="000000"/>
              </w:rPr>
              <w:t>Arabie saoudite</w:t>
            </w:r>
            <w:r w:rsidR="00AF427B">
              <w:rPr>
                <w:color w:val="000000"/>
              </w:rPr>
              <w:t>.</w:t>
            </w:r>
            <w:hyperlink r:id="rId45" w:history="1"/>
          </w:p>
          <w:p w14:paraId="658A80D8" w14:textId="6E973B5D" w:rsidR="00FB5FE7" w:rsidRPr="00C3406C" w:rsidRDefault="00FB5FE7" w:rsidP="005B64FF">
            <w:pPr>
              <w:pStyle w:val="Tabletext"/>
              <w:ind w:left="284" w:hanging="284"/>
              <w:jc w:val="both"/>
            </w:pPr>
            <w:r>
              <w:rPr>
                <w:color w:val="000000"/>
              </w:rPr>
              <w:t>–</w:t>
            </w:r>
            <w:r>
              <w:rPr>
                <w:color w:val="000000"/>
              </w:rPr>
              <w:tab/>
              <w:t>Examen périodique du Règlement des télécommunications internationales – Examen du programme de travail et du mandat du G</w:t>
            </w:r>
            <w:r w:rsidR="00ED6DE6">
              <w:rPr>
                <w:color w:val="000000"/>
              </w:rPr>
              <w:t>E</w:t>
            </w:r>
            <w:r>
              <w:rPr>
                <w:color w:val="000000"/>
              </w:rPr>
              <w:t>-RTI, sur la base de la Résolution 146 (Rév. Dubaï, 2022) de la PP et de la Résolution</w:t>
            </w:r>
            <w:r w:rsidR="00AF427B">
              <w:rPr>
                <w:color w:val="000000"/>
              </w:rPr>
              <w:t> </w:t>
            </w:r>
            <w:r>
              <w:rPr>
                <w:color w:val="000000"/>
              </w:rPr>
              <w:t>1379</w:t>
            </w:r>
            <w:r w:rsidR="00AF427B">
              <w:rPr>
                <w:color w:val="000000"/>
              </w:rPr>
              <w:t> </w:t>
            </w:r>
            <w:r>
              <w:rPr>
                <w:color w:val="000000"/>
              </w:rPr>
              <w:t xml:space="preserve">(Mod. 2023) du Conseil (Document </w:t>
            </w:r>
            <w:hyperlink r:id="rId46" w:history="1">
              <w:r w:rsidRPr="006D7721">
                <w:rPr>
                  <w:rStyle w:val="Hyperlink"/>
                  <w:rFonts w:eastAsia="Times New Roman" w:cs="Times New Roman"/>
                  <w:szCs w:val="20"/>
                </w:rPr>
                <w:t>EG-ITRs-1/9</w:t>
              </w:r>
            </w:hyperlink>
            <w:proofErr w:type="gramStart"/>
            <w:r>
              <w:rPr>
                <w:color w:val="000000"/>
              </w:rPr>
              <w:t>):</w:t>
            </w:r>
            <w:proofErr w:type="gramEnd"/>
            <w:r>
              <w:rPr>
                <w:color w:val="000000"/>
              </w:rPr>
              <w:t xml:space="preserve"> </w:t>
            </w:r>
            <w:r w:rsidR="009639DD">
              <w:rPr>
                <w:color w:val="000000"/>
              </w:rPr>
              <w:t>C</w:t>
            </w:r>
            <w:r>
              <w:rPr>
                <w:color w:val="000000"/>
              </w:rPr>
              <w:t>ontribution de la Chine et de la République sudafricaine.</w:t>
            </w:r>
            <w:hyperlink r:id="rId47" w:history="1"/>
          </w:p>
          <w:p w14:paraId="0D7DC93F" w14:textId="71B4981A" w:rsidR="00FB5FE7" w:rsidRPr="00AF427B" w:rsidRDefault="00FB5FE7" w:rsidP="005B64FF">
            <w:pPr>
              <w:pStyle w:val="Tabletext"/>
              <w:tabs>
                <w:tab w:val="clear" w:pos="284"/>
              </w:tabs>
              <w:ind w:left="2" w:hanging="2"/>
              <w:jc w:val="both"/>
            </w:pPr>
            <w:r w:rsidRPr="00AF427B">
              <w:t>La contribution suivante a été soumise tardivement et n</w:t>
            </w:r>
            <w:r w:rsidR="00157F52" w:rsidRPr="00AF427B">
              <w:t>'</w:t>
            </w:r>
            <w:r w:rsidRPr="00AF427B">
              <w:t xml:space="preserve">a pas été examinée à la première </w:t>
            </w:r>
            <w:proofErr w:type="gramStart"/>
            <w:r w:rsidRPr="00AF427B">
              <w:t>séance:</w:t>
            </w:r>
            <w:proofErr w:type="gramEnd"/>
          </w:p>
          <w:p w14:paraId="2D9E2325" w14:textId="72A26E96" w:rsidR="00FB5FE7" w:rsidRPr="00C3406C" w:rsidRDefault="00FB5FE7" w:rsidP="005B64FF">
            <w:pPr>
              <w:pStyle w:val="Tabletext"/>
              <w:ind w:left="284" w:hanging="284"/>
              <w:jc w:val="both"/>
            </w:pPr>
            <w:r>
              <w:rPr>
                <w:color w:val="000000"/>
              </w:rPr>
              <w:t>–</w:t>
            </w:r>
            <w:r>
              <w:rPr>
                <w:color w:val="000000"/>
              </w:rPr>
              <w:tab/>
              <w:t>Proposition concernant les méthodes de travail et le programme de travail du G</w:t>
            </w:r>
            <w:r w:rsidR="00ED6DE6">
              <w:rPr>
                <w:color w:val="000000"/>
              </w:rPr>
              <w:t>E</w:t>
            </w:r>
            <w:r>
              <w:rPr>
                <w:color w:val="000000"/>
              </w:rPr>
              <w:t xml:space="preserve">-RTI (Document </w:t>
            </w:r>
            <w:hyperlink r:id="rId48" w:history="1">
              <w:proofErr w:type="spellStart"/>
              <w:r w:rsidRPr="00CF151F">
                <w:rPr>
                  <w:rStyle w:val="Hyperlink"/>
                  <w:rFonts w:eastAsia="Times New Roman" w:cs="Times New Roman"/>
                  <w:szCs w:val="20"/>
                </w:rPr>
                <w:t>EG</w:t>
              </w:r>
              <w:proofErr w:type="spellEnd"/>
              <w:r w:rsidRPr="00CF151F">
                <w:rPr>
                  <w:rStyle w:val="Hyperlink"/>
                  <w:rFonts w:eastAsia="Times New Roman" w:cs="Times New Roman"/>
                  <w:szCs w:val="20"/>
                </w:rPr>
                <w:t>-ITRs-1/10</w:t>
              </w:r>
            </w:hyperlink>
            <w:proofErr w:type="gramStart"/>
            <w:r>
              <w:rPr>
                <w:color w:val="000000"/>
              </w:rPr>
              <w:t>):</w:t>
            </w:r>
            <w:proofErr w:type="gramEnd"/>
            <w:r>
              <w:rPr>
                <w:color w:val="000000"/>
              </w:rPr>
              <w:t xml:space="preserve"> </w:t>
            </w:r>
            <w:r w:rsidR="009639DD">
              <w:rPr>
                <w:color w:val="000000"/>
              </w:rPr>
              <w:t>C</w:t>
            </w:r>
            <w:r>
              <w:rPr>
                <w:color w:val="000000"/>
              </w:rPr>
              <w:t>ontribution de Hill</w:t>
            </w:r>
            <w:r w:rsidR="00AF427B">
              <w:rPr>
                <w:color w:val="000000"/>
              </w:rPr>
              <w:t>.</w:t>
            </w:r>
            <w:hyperlink r:id="rId49" w:history="1"/>
          </w:p>
        </w:tc>
      </w:tr>
    </w:tbl>
    <w:p w14:paraId="4AE0B0E8" w14:textId="77777777" w:rsidR="005B64FF" w:rsidRDefault="005B64FF" w:rsidP="005B64FF">
      <w:pPr>
        <w:pStyle w:val="Tablefin"/>
      </w:pPr>
    </w:p>
    <w:p w14:paraId="2C7DB197" w14:textId="15D9B7AE" w:rsidR="00FB5FE7" w:rsidRPr="00C3406C" w:rsidRDefault="00FB5FE7" w:rsidP="005B64FF">
      <w:pPr>
        <w:keepLines/>
        <w:spacing w:after="120"/>
        <w:jc w:val="both"/>
        <w:rPr>
          <w:rFonts w:eastAsia="Calibri"/>
          <w:sz w:val="22"/>
          <w:szCs w:val="22"/>
        </w:rPr>
      </w:pPr>
      <w:r>
        <w:rPr>
          <w:b/>
          <w:bCs/>
        </w:rPr>
        <w:lastRenderedPageBreak/>
        <w:t>2.</w:t>
      </w:r>
      <w:r w:rsidRPr="00762876">
        <w:rPr>
          <w:b/>
          <w:bCs/>
        </w:rPr>
        <w:t>2</w:t>
      </w:r>
      <w:r w:rsidRPr="00762876">
        <w:rPr>
          <w:b/>
          <w:bCs/>
        </w:rPr>
        <w:tab/>
        <w:t>Deuxième réunion du G</w:t>
      </w:r>
      <w:r w:rsidR="00ED6DE6">
        <w:rPr>
          <w:b/>
          <w:bCs/>
        </w:rPr>
        <w:t>E</w:t>
      </w:r>
      <w:r w:rsidRPr="00762876">
        <w:rPr>
          <w:b/>
          <w:bCs/>
        </w:rPr>
        <w:t>-RTI, 29 et 30 janvier 2024 (</w:t>
      </w:r>
      <w:hyperlink r:id="rId50" w:history="1">
        <w:r w:rsidRPr="00DE062E">
          <w:rPr>
            <w:rStyle w:val="Hyperlink"/>
            <w:rFonts w:eastAsia="Times New Roman" w:cs="Times New Roman"/>
            <w:b/>
            <w:bCs/>
            <w:szCs w:val="20"/>
          </w:rPr>
          <w:t>voir le rapport</w:t>
        </w:r>
      </w:hyperlink>
      <w:proofErr w:type="gramStart"/>
      <w:r w:rsidRPr="00762876">
        <w:rPr>
          <w:b/>
          <w:bCs/>
        </w:rPr>
        <w:t>)</w:t>
      </w:r>
      <w:r>
        <w:t>:</w:t>
      </w:r>
      <w:proofErr w:type="gramEnd"/>
      <w:r>
        <w:t xml:space="preserve"> </w:t>
      </w:r>
      <w:r w:rsidR="00AF427B">
        <w:t>l</w:t>
      </w:r>
      <w:r>
        <w:t>es participants ont approuvé un programme de travail, étant entendu que ce programme donne des orientations pour les travaux du Groupe et n'empêche pas les membres de soumettre des contributions, conformément à la Résolution 146 (Rév. Bucarest, 2022) et à la Résolution 1379 du Conseil (Mod. 2023). Les rapports des réunions tenues en octobre 2023 et en janvier 2024 seront regroupés pour être présentés au Conseil en tant que rapports d'activité pour 2024 et</w:t>
      </w:r>
      <w:r w:rsidR="00933BE1">
        <w:t> </w:t>
      </w:r>
      <w:r>
        <w:t>2025, respectivement.</w:t>
      </w:r>
      <w:hyperlink r:id="rId51"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06"/>
      </w:tblGrid>
      <w:tr w:rsidR="00FB5FE7" w:rsidRPr="000F6818" w14:paraId="20B7410A" w14:textId="77777777" w:rsidTr="007E2441">
        <w:tc>
          <w:tcPr>
            <w:tcW w:w="858" w:type="pct"/>
            <w:hideMark/>
          </w:tcPr>
          <w:p w14:paraId="6D12AAFF" w14:textId="77777777" w:rsidR="00FB5FE7" w:rsidRPr="00C3406C" w:rsidRDefault="00FB5FE7" w:rsidP="00357877">
            <w:pPr>
              <w:pStyle w:val="Tabletext"/>
              <w:rPr>
                <w:b/>
                <w:bCs/>
              </w:rPr>
            </w:pPr>
            <w:r>
              <w:rPr>
                <w:b/>
                <w:bCs/>
                <w:color w:val="000000"/>
              </w:rPr>
              <w:t>Contributions reçues à la deuxième réunion</w:t>
            </w:r>
          </w:p>
        </w:tc>
        <w:tc>
          <w:tcPr>
            <w:tcW w:w="4142" w:type="pct"/>
            <w:hideMark/>
          </w:tcPr>
          <w:p w14:paraId="0036DADF" w14:textId="5A06EABB" w:rsidR="00FB5FE7" w:rsidRPr="00C3406C" w:rsidRDefault="00FB5FE7" w:rsidP="005B64FF">
            <w:pPr>
              <w:pStyle w:val="Tabletext"/>
              <w:ind w:left="284" w:hanging="284"/>
              <w:jc w:val="both"/>
            </w:pPr>
            <w:r>
              <w:rPr>
                <w:color w:val="000000"/>
              </w:rPr>
              <w:t>–</w:t>
            </w:r>
            <w:r>
              <w:rPr>
                <w:color w:val="000000"/>
              </w:rPr>
              <w:tab/>
              <w:t xml:space="preserve">Ordre du jour (Document </w:t>
            </w:r>
            <w:hyperlink r:id="rId52" w:history="1">
              <w:proofErr w:type="spellStart"/>
              <w:r w:rsidRPr="00DE062E">
                <w:rPr>
                  <w:rStyle w:val="Hyperlink"/>
                  <w:rFonts w:eastAsia="Times New Roman" w:cs="Times New Roman"/>
                  <w:szCs w:val="20"/>
                </w:rPr>
                <w:t>EG</w:t>
              </w:r>
              <w:proofErr w:type="spellEnd"/>
              <w:r w:rsidRPr="00DE062E">
                <w:rPr>
                  <w:rStyle w:val="Hyperlink"/>
                  <w:rFonts w:eastAsia="Times New Roman" w:cs="Times New Roman"/>
                  <w:szCs w:val="20"/>
                </w:rPr>
                <w:t>-</w:t>
              </w:r>
              <w:proofErr w:type="spellStart"/>
              <w:r w:rsidRPr="00DE062E">
                <w:rPr>
                  <w:rStyle w:val="Hyperlink"/>
                  <w:rFonts w:eastAsia="Times New Roman" w:cs="Times New Roman"/>
                  <w:szCs w:val="20"/>
                </w:rPr>
                <w:t>ITRs</w:t>
              </w:r>
              <w:proofErr w:type="spellEnd"/>
              <w:r w:rsidRPr="00DE062E">
                <w:rPr>
                  <w:rStyle w:val="Hyperlink"/>
                  <w:rFonts w:eastAsia="Times New Roman" w:cs="Times New Roman"/>
                  <w:szCs w:val="20"/>
                </w:rPr>
                <w:t>-2/1</w:t>
              </w:r>
            </w:hyperlink>
            <w:r>
              <w:rPr>
                <w:color w:val="000000"/>
              </w:rPr>
              <w:t>)</w:t>
            </w:r>
            <w:r w:rsidR="00AF427B">
              <w:rPr>
                <w:color w:val="000000"/>
              </w:rPr>
              <w:t>.</w:t>
            </w:r>
            <w:hyperlink r:id="rId53" w:history="1"/>
          </w:p>
          <w:p w14:paraId="53775595" w14:textId="45D67047" w:rsidR="00FB5FE7" w:rsidRPr="00C3406C" w:rsidRDefault="00FB5FE7" w:rsidP="005B64FF">
            <w:pPr>
              <w:pStyle w:val="Tabletext"/>
              <w:ind w:left="284" w:hanging="284"/>
              <w:jc w:val="both"/>
            </w:pPr>
            <w:r>
              <w:rPr>
                <w:color w:val="000000"/>
              </w:rPr>
              <w:t>–</w:t>
            </w:r>
            <w:r>
              <w:rPr>
                <w:color w:val="000000"/>
              </w:rPr>
              <w:tab/>
              <w:t xml:space="preserve">Proposition de demande de données empiriques (Document </w:t>
            </w:r>
            <w:hyperlink r:id="rId54" w:history="1">
              <w:r w:rsidRPr="00B469A8">
                <w:rPr>
                  <w:rStyle w:val="Hyperlink"/>
                  <w:rFonts w:eastAsia="Times New Roman" w:cs="Times New Roman"/>
                  <w:szCs w:val="20"/>
                </w:rPr>
                <w:t>EG-ITRs-2/2</w:t>
              </w:r>
            </w:hyperlink>
            <w:proofErr w:type="gramStart"/>
            <w:r>
              <w:rPr>
                <w:color w:val="000000"/>
              </w:rPr>
              <w:t>):</w:t>
            </w:r>
            <w:proofErr w:type="gramEnd"/>
            <w:r>
              <w:rPr>
                <w:color w:val="000000"/>
              </w:rPr>
              <w:t xml:space="preserve"> </w:t>
            </w:r>
            <w:r w:rsidR="009639DD">
              <w:rPr>
                <w:color w:val="000000"/>
              </w:rPr>
              <w:t>C</w:t>
            </w:r>
            <w:r>
              <w:rPr>
                <w:color w:val="000000"/>
              </w:rPr>
              <w:t>ontribution de Hill</w:t>
            </w:r>
            <w:r w:rsidR="00AF427B">
              <w:rPr>
                <w:color w:val="000000"/>
              </w:rPr>
              <w:t>.</w:t>
            </w:r>
            <w:hyperlink r:id="rId55" w:history="1"/>
          </w:p>
          <w:p w14:paraId="241B144B" w14:textId="241B9F1B" w:rsidR="00FB5FE7" w:rsidRPr="00C3406C" w:rsidRDefault="00FB5FE7" w:rsidP="005B64FF">
            <w:pPr>
              <w:pStyle w:val="Tabletext"/>
              <w:ind w:left="284" w:hanging="284"/>
              <w:jc w:val="both"/>
            </w:pPr>
            <w:r>
              <w:rPr>
                <w:color w:val="000000"/>
              </w:rPr>
              <w:t>–</w:t>
            </w:r>
            <w:r>
              <w:rPr>
                <w:color w:val="000000"/>
              </w:rPr>
              <w:tab/>
              <w:t xml:space="preserve">Données empiriques sur les demandes du secteur (Document </w:t>
            </w:r>
            <w:hyperlink r:id="rId56" w:history="1">
              <w:r w:rsidRPr="00B469A8">
                <w:rPr>
                  <w:rStyle w:val="Hyperlink"/>
                  <w:rFonts w:eastAsia="Times New Roman" w:cs="Times New Roman"/>
                  <w:szCs w:val="20"/>
                </w:rPr>
                <w:t>EG-ITRs-2/3</w:t>
              </w:r>
            </w:hyperlink>
            <w:proofErr w:type="gramStart"/>
            <w:r>
              <w:rPr>
                <w:color w:val="000000"/>
              </w:rPr>
              <w:t>):</w:t>
            </w:r>
            <w:proofErr w:type="gramEnd"/>
            <w:r>
              <w:rPr>
                <w:color w:val="000000"/>
              </w:rPr>
              <w:t xml:space="preserve"> </w:t>
            </w:r>
            <w:r w:rsidR="009639DD">
              <w:rPr>
                <w:color w:val="000000"/>
              </w:rPr>
              <w:t>C</w:t>
            </w:r>
            <w:r>
              <w:rPr>
                <w:color w:val="000000"/>
              </w:rPr>
              <w:t>ontribution de Hill</w:t>
            </w:r>
            <w:r w:rsidR="009639DD">
              <w:rPr>
                <w:color w:val="000000"/>
              </w:rPr>
              <w:t>.</w:t>
            </w:r>
            <w:hyperlink r:id="rId57" w:history="1"/>
          </w:p>
          <w:p w14:paraId="3DE636F8" w14:textId="4D23CA79" w:rsidR="00FB5FE7" w:rsidRPr="00C3406C" w:rsidRDefault="00FB5FE7" w:rsidP="005B64FF">
            <w:pPr>
              <w:pStyle w:val="Tabletext"/>
              <w:ind w:left="284" w:hanging="284"/>
              <w:jc w:val="both"/>
            </w:pPr>
            <w:r>
              <w:rPr>
                <w:color w:val="000000"/>
              </w:rPr>
              <w:t>–</w:t>
            </w:r>
            <w:r>
              <w:rPr>
                <w:color w:val="000000"/>
              </w:rPr>
              <w:tab/>
              <w:t>Liaison avec l</w:t>
            </w:r>
            <w:r w:rsidR="00157F52">
              <w:rPr>
                <w:color w:val="000000"/>
              </w:rPr>
              <w:t>'</w:t>
            </w:r>
            <w:r>
              <w:rPr>
                <w:color w:val="000000"/>
              </w:rPr>
              <w:t xml:space="preserve">OMC (Document </w:t>
            </w:r>
            <w:hyperlink r:id="rId58" w:history="1">
              <w:proofErr w:type="spellStart"/>
              <w:r w:rsidRPr="00B469A8">
                <w:rPr>
                  <w:rStyle w:val="Hyperlink"/>
                  <w:rFonts w:eastAsia="Times New Roman" w:cs="Times New Roman"/>
                  <w:szCs w:val="20"/>
                </w:rPr>
                <w:t>EG</w:t>
              </w:r>
              <w:proofErr w:type="spellEnd"/>
              <w:r w:rsidRPr="00B469A8">
                <w:rPr>
                  <w:rStyle w:val="Hyperlink"/>
                  <w:rFonts w:eastAsia="Times New Roman" w:cs="Times New Roman"/>
                  <w:szCs w:val="20"/>
                </w:rPr>
                <w:t>-</w:t>
              </w:r>
              <w:proofErr w:type="spellStart"/>
              <w:r w:rsidRPr="00B469A8">
                <w:rPr>
                  <w:rStyle w:val="Hyperlink"/>
                  <w:rFonts w:eastAsia="Times New Roman" w:cs="Times New Roman"/>
                  <w:szCs w:val="20"/>
                </w:rPr>
                <w:t>ITRs</w:t>
              </w:r>
              <w:proofErr w:type="spellEnd"/>
              <w:r w:rsidRPr="00B469A8">
                <w:rPr>
                  <w:rStyle w:val="Hyperlink"/>
                  <w:rFonts w:eastAsia="Times New Roman" w:cs="Times New Roman"/>
                  <w:szCs w:val="20"/>
                </w:rPr>
                <w:t>-2/4</w:t>
              </w:r>
            </w:hyperlink>
            <w:proofErr w:type="gramStart"/>
            <w:r>
              <w:rPr>
                <w:color w:val="000000"/>
              </w:rPr>
              <w:t>):</w:t>
            </w:r>
            <w:proofErr w:type="gramEnd"/>
            <w:r>
              <w:rPr>
                <w:color w:val="000000"/>
              </w:rPr>
              <w:t xml:space="preserve"> </w:t>
            </w:r>
            <w:r w:rsidR="009639DD">
              <w:rPr>
                <w:color w:val="000000"/>
              </w:rPr>
              <w:t>C</w:t>
            </w:r>
            <w:r>
              <w:rPr>
                <w:color w:val="000000"/>
              </w:rPr>
              <w:t>ontribution de Hill</w:t>
            </w:r>
            <w:hyperlink r:id="rId59" w:history="1"/>
          </w:p>
          <w:p w14:paraId="43D7AB00" w14:textId="4379BACE" w:rsidR="00FB5FE7" w:rsidRPr="00C3406C" w:rsidRDefault="00FB5FE7" w:rsidP="005B64FF">
            <w:pPr>
              <w:pStyle w:val="Tabletext"/>
              <w:ind w:left="284" w:hanging="284"/>
              <w:jc w:val="both"/>
            </w:pPr>
            <w:r>
              <w:rPr>
                <w:color w:val="000000"/>
              </w:rPr>
              <w:t>–</w:t>
            </w:r>
            <w:r>
              <w:rPr>
                <w:color w:val="000000"/>
              </w:rPr>
              <w:tab/>
              <w:t>Utilisation de l</w:t>
            </w:r>
            <w:r w:rsidR="00157F52">
              <w:rPr>
                <w:color w:val="000000"/>
              </w:rPr>
              <w:t>'</w:t>
            </w:r>
            <w:r>
              <w:rPr>
                <w:color w:val="000000"/>
              </w:rPr>
              <w:t xml:space="preserve">intelligence artificielle dans les services internationaux de télécommunication (Document </w:t>
            </w:r>
            <w:hyperlink r:id="rId60" w:history="1">
              <w:r w:rsidRPr="00B469A8">
                <w:rPr>
                  <w:rStyle w:val="Hyperlink"/>
                  <w:rFonts w:eastAsia="Times New Roman" w:cs="Times New Roman"/>
                  <w:szCs w:val="20"/>
                </w:rPr>
                <w:t>EG-ITRs-2/5</w:t>
              </w:r>
            </w:hyperlink>
            <w:proofErr w:type="gramStart"/>
            <w:r>
              <w:rPr>
                <w:color w:val="000000"/>
              </w:rPr>
              <w:t>):</w:t>
            </w:r>
            <w:proofErr w:type="gramEnd"/>
            <w:r>
              <w:rPr>
                <w:color w:val="000000"/>
              </w:rPr>
              <w:t xml:space="preserve"> </w:t>
            </w:r>
            <w:r w:rsidR="009639DD">
              <w:rPr>
                <w:color w:val="000000"/>
              </w:rPr>
              <w:t>C</w:t>
            </w:r>
            <w:r>
              <w:rPr>
                <w:color w:val="000000"/>
              </w:rPr>
              <w:t>ontribution de Hill</w:t>
            </w:r>
            <w:r w:rsidR="009639DD">
              <w:rPr>
                <w:color w:val="000000"/>
              </w:rPr>
              <w:t>.</w:t>
            </w:r>
            <w:hyperlink r:id="rId61" w:history="1"/>
          </w:p>
          <w:p w14:paraId="43C7EFD9" w14:textId="256E1210" w:rsidR="00FB5FE7" w:rsidRPr="00C3406C" w:rsidRDefault="00FB5FE7" w:rsidP="005B64FF">
            <w:pPr>
              <w:pStyle w:val="Tabletext"/>
              <w:ind w:left="284" w:hanging="284"/>
              <w:jc w:val="both"/>
            </w:pPr>
            <w:r>
              <w:rPr>
                <w:color w:val="000000"/>
              </w:rPr>
              <w:t>–</w:t>
            </w:r>
            <w:r>
              <w:rPr>
                <w:color w:val="000000"/>
              </w:rPr>
              <w:tab/>
              <w:t xml:space="preserve">Acheminement des numéros internationaux (Document </w:t>
            </w:r>
            <w:hyperlink r:id="rId62" w:history="1">
              <w:r w:rsidRPr="00B469A8">
                <w:rPr>
                  <w:rStyle w:val="Hyperlink"/>
                  <w:rFonts w:eastAsia="Times New Roman" w:cs="Times New Roman"/>
                  <w:szCs w:val="20"/>
                </w:rPr>
                <w:t>EG-ITRs-2/6</w:t>
              </w:r>
            </w:hyperlink>
            <w:proofErr w:type="gramStart"/>
            <w:r>
              <w:rPr>
                <w:color w:val="000000"/>
              </w:rPr>
              <w:t>):</w:t>
            </w:r>
            <w:proofErr w:type="gramEnd"/>
            <w:r>
              <w:rPr>
                <w:color w:val="000000"/>
              </w:rPr>
              <w:t xml:space="preserve"> </w:t>
            </w:r>
            <w:r w:rsidR="009639DD">
              <w:rPr>
                <w:color w:val="000000"/>
              </w:rPr>
              <w:t>C</w:t>
            </w:r>
            <w:r>
              <w:rPr>
                <w:color w:val="000000"/>
              </w:rPr>
              <w:t>ontribution de Hill</w:t>
            </w:r>
            <w:r w:rsidR="009639DD">
              <w:rPr>
                <w:color w:val="000000"/>
              </w:rPr>
              <w:t>.</w:t>
            </w:r>
            <w:hyperlink r:id="rId63" w:history="1"/>
          </w:p>
          <w:p w14:paraId="6849314B" w14:textId="1693DCA4" w:rsidR="00FB5FE7" w:rsidRPr="00C3406C" w:rsidRDefault="00FB5FE7" w:rsidP="005B64FF">
            <w:pPr>
              <w:pStyle w:val="Tabletext"/>
              <w:ind w:left="284" w:hanging="284"/>
              <w:jc w:val="both"/>
            </w:pPr>
            <w:r>
              <w:rPr>
                <w:color w:val="000000"/>
              </w:rPr>
              <w:t>–</w:t>
            </w:r>
            <w:r>
              <w:rPr>
                <w:color w:val="000000"/>
              </w:rPr>
              <w:tab/>
              <w:t xml:space="preserve">Proposition de structure du rapport final (Document </w:t>
            </w:r>
            <w:hyperlink r:id="rId64" w:history="1">
              <w:r w:rsidRPr="009016DA">
                <w:rPr>
                  <w:rStyle w:val="Hyperlink"/>
                  <w:rFonts w:eastAsia="Times New Roman" w:cs="Times New Roman"/>
                  <w:szCs w:val="20"/>
                </w:rPr>
                <w:t>EG-ITRs-2/7</w:t>
              </w:r>
            </w:hyperlink>
            <w:proofErr w:type="gramStart"/>
            <w:r>
              <w:rPr>
                <w:color w:val="000000"/>
              </w:rPr>
              <w:t>):</w:t>
            </w:r>
            <w:proofErr w:type="gramEnd"/>
            <w:r>
              <w:rPr>
                <w:color w:val="000000"/>
              </w:rPr>
              <w:t xml:space="preserve"> </w:t>
            </w:r>
            <w:r w:rsidR="009639DD">
              <w:rPr>
                <w:color w:val="000000"/>
              </w:rPr>
              <w:t>C</w:t>
            </w:r>
            <w:r>
              <w:rPr>
                <w:color w:val="000000"/>
              </w:rPr>
              <w:t>ontribution de Hill</w:t>
            </w:r>
            <w:r w:rsidR="009639DD">
              <w:rPr>
                <w:color w:val="000000"/>
              </w:rPr>
              <w:t>.</w:t>
            </w:r>
            <w:hyperlink r:id="rId65" w:history="1"/>
          </w:p>
          <w:p w14:paraId="5AF505CD" w14:textId="0C0E3F11" w:rsidR="00FB5FE7" w:rsidRPr="00C3406C" w:rsidRDefault="00FB5FE7" w:rsidP="005B64FF">
            <w:pPr>
              <w:pStyle w:val="Tabletext"/>
              <w:ind w:left="284" w:hanging="284"/>
              <w:jc w:val="both"/>
            </w:pPr>
            <w:r>
              <w:rPr>
                <w:color w:val="000000"/>
              </w:rPr>
              <w:t>–</w:t>
            </w:r>
            <w:r>
              <w:rPr>
                <w:color w:val="000000"/>
              </w:rPr>
              <w:tab/>
              <w:t xml:space="preserve">Points à retenir pour le rapport final (Document </w:t>
            </w:r>
            <w:hyperlink r:id="rId66" w:history="1">
              <w:r w:rsidRPr="009016DA">
                <w:rPr>
                  <w:rStyle w:val="Hyperlink"/>
                  <w:rFonts w:eastAsia="Times New Roman" w:cs="Times New Roman"/>
                  <w:szCs w:val="20"/>
                </w:rPr>
                <w:t>EG-ITRs-2/8</w:t>
              </w:r>
            </w:hyperlink>
            <w:proofErr w:type="gramStart"/>
            <w:r>
              <w:rPr>
                <w:color w:val="000000"/>
              </w:rPr>
              <w:t>):</w:t>
            </w:r>
            <w:proofErr w:type="gramEnd"/>
            <w:r>
              <w:rPr>
                <w:color w:val="000000"/>
              </w:rPr>
              <w:t xml:space="preserve"> </w:t>
            </w:r>
            <w:r w:rsidR="009639DD">
              <w:rPr>
                <w:color w:val="000000"/>
              </w:rPr>
              <w:t>C</w:t>
            </w:r>
            <w:r>
              <w:rPr>
                <w:color w:val="000000"/>
              </w:rPr>
              <w:t>ontribution de</w:t>
            </w:r>
            <w:r w:rsidR="00AF427B">
              <w:rPr>
                <w:color w:val="000000"/>
              </w:rPr>
              <w:t> </w:t>
            </w:r>
            <w:r>
              <w:rPr>
                <w:color w:val="000000"/>
              </w:rPr>
              <w:t>Hill</w:t>
            </w:r>
            <w:r w:rsidR="009639DD">
              <w:rPr>
                <w:color w:val="000000"/>
              </w:rPr>
              <w:t>.</w:t>
            </w:r>
            <w:hyperlink r:id="rId67" w:history="1"/>
          </w:p>
          <w:p w14:paraId="04EC7779" w14:textId="2F09FA5C" w:rsidR="00FB5FE7" w:rsidRPr="00C3406C" w:rsidRDefault="00FB5FE7" w:rsidP="005B64FF">
            <w:pPr>
              <w:pStyle w:val="Tabletext"/>
              <w:ind w:left="284" w:hanging="284"/>
              <w:jc w:val="both"/>
            </w:pPr>
            <w:r>
              <w:rPr>
                <w:color w:val="000000"/>
              </w:rPr>
              <w:t>–</w:t>
            </w:r>
            <w:r>
              <w:rPr>
                <w:color w:val="000000"/>
              </w:rPr>
              <w:tab/>
              <w:t>Propositions de révision du projet de rapport de la première réunion du Groupe d</w:t>
            </w:r>
            <w:r w:rsidR="00157F52">
              <w:rPr>
                <w:color w:val="000000"/>
              </w:rPr>
              <w:t>'</w:t>
            </w:r>
            <w:r>
              <w:rPr>
                <w:color w:val="000000"/>
              </w:rPr>
              <w:t xml:space="preserve">experts sur le Règlement des télécommunications internationales, 2023-2026 (EG-ITRS) (Document </w:t>
            </w:r>
            <w:hyperlink r:id="rId68" w:history="1">
              <w:r w:rsidRPr="009016DA">
                <w:rPr>
                  <w:rStyle w:val="Hyperlink"/>
                  <w:rFonts w:eastAsia="Times New Roman" w:cs="Times New Roman"/>
                  <w:szCs w:val="20"/>
                </w:rPr>
                <w:t>EG-ITRs-2/10</w:t>
              </w:r>
            </w:hyperlink>
            <w:proofErr w:type="gramStart"/>
            <w:r>
              <w:rPr>
                <w:color w:val="000000"/>
              </w:rPr>
              <w:t>):</w:t>
            </w:r>
            <w:proofErr w:type="gramEnd"/>
            <w:r>
              <w:rPr>
                <w:color w:val="000000"/>
              </w:rPr>
              <w:t xml:space="preserve"> </w:t>
            </w:r>
            <w:r w:rsidR="009639DD">
              <w:rPr>
                <w:color w:val="000000"/>
              </w:rPr>
              <w:t>C</w:t>
            </w:r>
            <w:r>
              <w:rPr>
                <w:color w:val="000000"/>
              </w:rPr>
              <w:t>ontribution de Hill</w:t>
            </w:r>
            <w:r w:rsidR="009639DD">
              <w:rPr>
                <w:color w:val="000000"/>
              </w:rPr>
              <w:t>.</w:t>
            </w:r>
            <w:hyperlink r:id="rId69" w:history="1"/>
          </w:p>
          <w:p w14:paraId="7EB002F1" w14:textId="077039BD" w:rsidR="00FB5FE7" w:rsidRPr="00C3406C" w:rsidRDefault="00FB5FE7" w:rsidP="005B64FF">
            <w:pPr>
              <w:pStyle w:val="Tabletext"/>
              <w:ind w:left="284" w:hanging="284"/>
              <w:jc w:val="both"/>
            </w:pPr>
            <w:r>
              <w:rPr>
                <w:color w:val="000000"/>
              </w:rPr>
              <w:t>–</w:t>
            </w:r>
            <w:r>
              <w:rPr>
                <w:color w:val="000000"/>
              </w:rPr>
              <w:tab/>
              <w:t>Proposition de programme de travail du G</w:t>
            </w:r>
            <w:r w:rsidR="00ED6DE6">
              <w:rPr>
                <w:color w:val="000000"/>
              </w:rPr>
              <w:t>E</w:t>
            </w:r>
            <w:r>
              <w:rPr>
                <w:color w:val="000000"/>
              </w:rPr>
              <w:t>-RTI (Document</w:t>
            </w:r>
            <w:r w:rsidR="009016DA">
              <w:rPr>
                <w:color w:val="000000"/>
              </w:rPr>
              <w:t> </w:t>
            </w:r>
            <w:proofErr w:type="spellStart"/>
            <w:r>
              <w:fldChar w:fldCharType="begin"/>
            </w:r>
            <w:r>
              <w:instrText>HYPERLINK "https://www.itu.int/md/S24-EGITRS2-C-0011/fr"</w:instrText>
            </w:r>
            <w:r>
              <w:fldChar w:fldCharType="separate"/>
            </w:r>
            <w:r w:rsidRPr="009016DA">
              <w:rPr>
                <w:rStyle w:val="Hyperlink"/>
                <w:rFonts w:eastAsia="Times New Roman" w:cs="Times New Roman"/>
                <w:szCs w:val="20"/>
              </w:rPr>
              <w:t>EG</w:t>
            </w:r>
            <w:proofErr w:type="spellEnd"/>
            <w:r w:rsidR="009016DA">
              <w:rPr>
                <w:rStyle w:val="Hyperlink"/>
                <w:rFonts w:eastAsia="Times New Roman" w:cs="Times New Roman"/>
                <w:szCs w:val="20"/>
              </w:rPr>
              <w:noBreakHyphen/>
            </w:r>
            <w:proofErr w:type="spellStart"/>
            <w:r w:rsidRPr="009016DA">
              <w:rPr>
                <w:rStyle w:val="Hyperlink"/>
                <w:rFonts w:eastAsia="Times New Roman" w:cs="Times New Roman"/>
                <w:szCs w:val="20"/>
              </w:rPr>
              <w:t>ITRs</w:t>
            </w:r>
            <w:proofErr w:type="spellEnd"/>
            <w:r w:rsidR="009016DA">
              <w:rPr>
                <w:rStyle w:val="Hyperlink"/>
                <w:rFonts w:eastAsia="Times New Roman" w:cs="Times New Roman"/>
                <w:szCs w:val="20"/>
              </w:rPr>
              <w:noBreakHyphen/>
            </w:r>
            <w:r w:rsidRPr="009016DA">
              <w:rPr>
                <w:rStyle w:val="Hyperlink"/>
                <w:rFonts w:eastAsia="Times New Roman" w:cs="Times New Roman"/>
                <w:szCs w:val="20"/>
              </w:rPr>
              <w:t>2/11</w:t>
            </w:r>
            <w:r>
              <w:fldChar w:fldCharType="end"/>
            </w:r>
            <w:proofErr w:type="gramStart"/>
            <w:r>
              <w:rPr>
                <w:color w:val="000000"/>
              </w:rPr>
              <w:t>):</w:t>
            </w:r>
            <w:proofErr w:type="gramEnd"/>
            <w:r>
              <w:rPr>
                <w:color w:val="000000"/>
              </w:rPr>
              <w:t xml:space="preserve"> </w:t>
            </w:r>
            <w:r w:rsidR="009639DD">
              <w:rPr>
                <w:color w:val="000000"/>
              </w:rPr>
              <w:t>C</w:t>
            </w:r>
            <w:r>
              <w:rPr>
                <w:color w:val="000000"/>
              </w:rPr>
              <w:t>ontribution de la République tchèque, de la Bulgarie, de la Croatie, du Danemark, de l</w:t>
            </w:r>
            <w:r w:rsidR="00157F52">
              <w:rPr>
                <w:color w:val="000000"/>
              </w:rPr>
              <w:t>'</w:t>
            </w:r>
            <w:r>
              <w:rPr>
                <w:color w:val="000000"/>
              </w:rPr>
              <w:t>Allemagne, de la Hongrie, de la Lettonie, des Pays-Bas (Royaume des), de la Pologne, du Portugal, de la Roumanie, de la Slovaquie, de l</w:t>
            </w:r>
            <w:r w:rsidR="00157F52">
              <w:rPr>
                <w:color w:val="000000"/>
              </w:rPr>
              <w:t>'</w:t>
            </w:r>
            <w:r>
              <w:rPr>
                <w:color w:val="000000"/>
              </w:rPr>
              <w:t>Espagne, de la Suède et du Royaume-Uni</w:t>
            </w:r>
            <w:r w:rsidR="009639DD">
              <w:rPr>
                <w:color w:val="000000"/>
              </w:rPr>
              <w:t>.</w:t>
            </w:r>
            <w:hyperlink r:id="rId70" w:history="1"/>
          </w:p>
          <w:p w14:paraId="416DDB46" w14:textId="2CA6ACE0" w:rsidR="00FB5FE7" w:rsidRPr="00C3406C" w:rsidRDefault="00FB5FE7" w:rsidP="005B64FF">
            <w:pPr>
              <w:pStyle w:val="Tabletext"/>
              <w:ind w:left="284" w:hanging="284"/>
              <w:jc w:val="both"/>
            </w:pPr>
            <w:r>
              <w:rPr>
                <w:color w:val="000000"/>
              </w:rPr>
              <w:t>–</w:t>
            </w:r>
            <w:r>
              <w:rPr>
                <w:color w:val="000000"/>
              </w:rPr>
              <w:tab/>
              <w:t>Conclusions des deux précédents Groupes d</w:t>
            </w:r>
            <w:r w:rsidR="00157F52">
              <w:rPr>
                <w:color w:val="000000"/>
              </w:rPr>
              <w:t>'</w:t>
            </w:r>
            <w:r>
              <w:rPr>
                <w:color w:val="000000"/>
              </w:rPr>
              <w:t xml:space="preserve">experts (Document </w:t>
            </w:r>
            <w:hyperlink r:id="rId71" w:history="1">
              <w:r w:rsidRPr="009016DA">
                <w:rPr>
                  <w:rStyle w:val="Hyperlink"/>
                  <w:rFonts w:eastAsia="Times New Roman" w:cs="Times New Roman"/>
                  <w:szCs w:val="20"/>
                </w:rPr>
                <w:t>EG</w:t>
              </w:r>
              <w:r w:rsidR="009016DA">
                <w:rPr>
                  <w:rStyle w:val="Hyperlink"/>
                  <w:rFonts w:eastAsia="Times New Roman" w:cs="Times New Roman"/>
                  <w:szCs w:val="20"/>
                </w:rPr>
                <w:noBreakHyphen/>
              </w:r>
              <w:r w:rsidRPr="009016DA">
                <w:rPr>
                  <w:rStyle w:val="Hyperlink"/>
                  <w:rFonts w:eastAsia="Times New Roman" w:cs="Times New Roman"/>
                  <w:szCs w:val="20"/>
                </w:rPr>
                <w:t>ITRs</w:t>
              </w:r>
              <w:r w:rsidR="009016DA">
                <w:rPr>
                  <w:rStyle w:val="Hyperlink"/>
                  <w:rFonts w:eastAsia="Times New Roman" w:cs="Times New Roman"/>
                  <w:szCs w:val="20"/>
                </w:rPr>
                <w:noBreakHyphen/>
              </w:r>
              <w:r w:rsidRPr="009016DA">
                <w:rPr>
                  <w:rStyle w:val="Hyperlink"/>
                  <w:rFonts w:eastAsia="Times New Roman" w:cs="Times New Roman"/>
                  <w:szCs w:val="20"/>
                </w:rPr>
                <w:t>2/12</w:t>
              </w:r>
            </w:hyperlink>
            <w:proofErr w:type="gramStart"/>
            <w:r>
              <w:rPr>
                <w:color w:val="000000"/>
              </w:rPr>
              <w:t>):</w:t>
            </w:r>
            <w:proofErr w:type="gramEnd"/>
            <w:r>
              <w:rPr>
                <w:color w:val="000000"/>
              </w:rPr>
              <w:t xml:space="preserve"> </w:t>
            </w:r>
            <w:r w:rsidR="009639DD">
              <w:rPr>
                <w:color w:val="000000"/>
              </w:rPr>
              <w:t>C</w:t>
            </w:r>
            <w:r>
              <w:rPr>
                <w:color w:val="000000"/>
              </w:rPr>
              <w:t>ontribution de la République tchèque, de la Bulgarie, de la Croatie, du Danemark, de l</w:t>
            </w:r>
            <w:r w:rsidR="00157F52">
              <w:rPr>
                <w:color w:val="000000"/>
              </w:rPr>
              <w:t>'</w:t>
            </w:r>
            <w:r>
              <w:rPr>
                <w:color w:val="000000"/>
              </w:rPr>
              <w:t>Allemagne, de la Hongrie, de la Lettonie, des Pays-Bas (Royaume des), de la Pologne, du Portugal, de la Roumanie, de la Slovaquie, de</w:t>
            </w:r>
            <w:r w:rsidR="009639DD">
              <w:rPr>
                <w:color w:val="000000"/>
              </w:rPr>
              <w:t> </w:t>
            </w:r>
            <w:r>
              <w:rPr>
                <w:color w:val="000000"/>
              </w:rPr>
              <w:t>l</w:t>
            </w:r>
            <w:r w:rsidR="00157F52">
              <w:rPr>
                <w:color w:val="000000"/>
              </w:rPr>
              <w:t>'</w:t>
            </w:r>
            <w:r>
              <w:rPr>
                <w:color w:val="000000"/>
              </w:rPr>
              <w:t>Espagne, de la Suède et du Royaume-Uni</w:t>
            </w:r>
            <w:r w:rsidR="009639DD">
              <w:rPr>
                <w:color w:val="000000"/>
              </w:rPr>
              <w:t>.</w:t>
            </w:r>
            <w:hyperlink r:id="rId72" w:history="1"/>
          </w:p>
          <w:p w14:paraId="2E81F2DC" w14:textId="4B37A27C" w:rsidR="00FB5FE7" w:rsidRPr="00C3406C" w:rsidRDefault="00FB5FE7" w:rsidP="005B64FF">
            <w:pPr>
              <w:pStyle w:val="Tabletext"/>
              <w:ind w:left="284" w:hanging="284"/>
              <w:jc w:val="both"/>
            </w:pPr>
            <w:r>
              <w:rPr>
                <w:color w:val="000000"/>
              </w:rPr>
              <w:t>–</w:t>
            </w:r>
            <w:r>
              <w:rPr>
                <w:color w:val="000000"/>
              </w:rPr>
              <w:tab/>
              <w:t>Mise à jour des documents du Secrétariat général concernant la préparation de la Conférence mondiale des télécommunications internationales de 2012 et élaboration de nouveaux documents sur les aspects juridiques et de procédure de l</w:t>
            </w:r>
            <w:r w:rsidR="00157F52">
              <w:rPr>
                <w:color w:val="000000"/>
              </w:rPr>
              <w:t>'</w:t>
            </w:r>
            <w:r>
              <w:rPr>
                <w:color w:val="000000"/>
              </w:rPr>
              <w:t>examen et de la révision du Règlement des télécommunications internationales (RTI), ainsi que sur les procédures d</w:t>
            </w:r>
            <w:r w:rsidR="00157F52">
              <w:rPr>
                <w:color w:val="000000"/>
              </w:rPr>
              <w:t>'</w:t>
            </w:r>
            <w:r>
              <w:rPr>
                <w:color w:val="000000"/>
              </w:rPr>
              <w:t xml:space="preserve">adhésion à ce Règlement (Document </w:t>
            </w:r>
            <w:hyperlink r:id="rId73" w:history="1">
              <w:r w:rsidRPr="009016DA">
                <w:rPr>
                  <w:rStyle w:val="Hyperlink"/>
                  <w:rFonts w:eastAsia="Times New Roman" w:cs="Times New Roman"/>
                  <w:szCs w:val="20"/>
                </w:rPr>
                <w:t>EG-ITRs-2/13)</w:t>
              </w:r>
            </w:hyperlink>
            <w:r>
              <w:rPr>
                <w:color w:val="000000"/>
              </w:rPr>
              <w:t xml:space="preserve">: </w:t>
            </w:r>
            <w:r w:rsidR="009639DD">
              <w:rPr>
                <w:color w:val="000000"/>
              </w:rPr>
              <w:t>C</w:t>
            </w:r>
            <w:r>
              <w:rPr>
                <w:color w:val="000000"/>
              </w:rPr>
              <w:t>ontribution de la Fédération de Russie, de l</w:t>
            </w:r>
            <w:r w:rsidR="00157F52">
              <w:rPr>
                <w:color w:val="000000"/>
              </w:rPr>
              <w:t>'</w:t>
            </w:r>
            <w:r>
              <w:rPr>
                <w:color w:val="000000"/>
              </w:rPr>
              <w:t>Arménie, du Bélarus, du Kirghizistan, du Tadjikistan et de l</w:t>
            </w:r>
            <w:r w:rsidR="00157F52">
              <w:rPr>
                <w:color w:val="000000"/>
              </w:rPr>
              <w:t>'</w:t>
            </w:r>
            <w:r>
              <w:rPr>
                <w:color w:val="000000"/>
              </w:rPr>
              <w:t>Ouzbékistan</w:t>
            </w:r>
            <w:r w:rsidR="009639DD">
              <w:rPr>
                <w:color w:val="000000"/>
              </w:rPr>
              <w:t>.</w:t>
            </w:r>
            <w:hyperlink r:id="rId74" w:history="1"/>
          </w:p>
          <w:p w14:paraId="4A4EA103" w14:textId="1FA33939" w:rsidR="00FB5FE7" w:rsidRPr="00C3406C" w:rsidRDefault="00FB5FE7" w:rsidP="005B64FF">
            <w:pPr>
              <w:pStyle w:val="Tabletext"/>
              <w:ind w:left="284" w:hanging="284"/>
              <w:jc w:val="both"/>
            </w:pPr>
            <w:r>
              <w:rPr>
                <w:color w:val="000000"/>
              </w:rPr>
              <w:t>–</w:t>
            </w:r>
            <w:r>
              <w:rPr>
                <w:color w:val="000000"/>
              </w:rPr>
              <w:tab/>
              <w:t xml:space="preserve">Propositions relatives à la révision du RTI (Document </w:t>
            </w:r>
            <w:hyperlink r:id="rId75" w:history="1">
              <w:r w:rsidRPr="009016DA">
                <w:rPr>
                  <w:rStyle w:val="Hyperlink"/>
                  <w:rFonts w:eastAsia="Times New Roman" w:cs="Times New Roman"/>
                  <w:szCs w:val="20"/>
                </w:rPr>
                <w:t>EG-ITRs-2/14</w:t>
              </w:r>
            </w:hyperlink>
            <w:r>
              <w:rPr>
                <w:color w:val="000000"/>
              </w:rPr>
              <w:t xml:space="preserve">): </w:t>
            </w:r>
            <w:r w:rsidR="009639DD">
              <w:rPr>
                <w:color w:val="000000"/>
              </w:rPr>
              <w:t>C</w:t>
            </w:r>
            <w:r>
              <w:rPr>
                <w:color w:val="000000"/>
              </w:rPr>
              <w:t>ontribution de la Fédération de Russie, de l</w:t>
            </w:r>
            <w:r w:rsidR="00157F52">
              <w:rPr>
                <w:color w:val="000000"/>
              </w:rPr>
              <w:t>'</w:t>
            </w:r>
            <w:r>
              <w:rPr>
                <w:color w:val="000000"/>
              </w:rPr>
              <w:t>Arménie, du Bélarus, du Kirghizistan, du Tadjikistan et de l</w:t>
            </w:r>
            <w:r w:rsidR="00157F52">
              <w:rPr>
                <w:color w:val="000000"/>
              </w:rPr>
              <w:t>'</w:t>
            </w:r>
            <w:r>
              <w:rPr>
                <w:color w:val="000000"/>
              </w:rPr>
              <w:t>Ouzbékistan</w:t>
            </w:r>
            <w:r w:rsidR="009639DD">
              <w:rPr>
                <w:color w:val="000000"/>
              </w:rPr>
              <w:t>.</w:t>
            </w:r>
            <w:hyperlink r:id="rId76" w:history="1"/>
            <w:hyperlink r:id="rId77" w:history="1"/>
            <w:hyperlink r:id="rId78" w:history="1"/>
            <w:hyperlink r:id="rId79" w:history="1"/>
            <w:hyperlink r:id="rId80" w:history="1"/>
            <w:hyperlink r:id="rId81" w:history="1"/>
            <w:hyperlink r:id="rId82" w:history="1"/>
          </w:p>
          <w:p w14:paraId="4583C7AE" w14:textId="7D71E7BC" w:rsidR="00FB5FE7" w:rsidRPr="00C3406C" w:rsidRDefault="00FB5FE7" w:rsidP="005B64FF">
            <w:pPr>
              <w:pStyle w:val="Tabletext"/>
              <w:ind w:left="284" w:hanging="284"/>
              <w:jc w:val="both"/>
            </w:pPr>
            <w:r>
              <w:rPr>
                <w:color w:val="000000"/>
              </w:rPr>
              <w:t>–</w:t>
            </w:r>
            <w:r>
              <w:rPr>
                <w:color w:val="000000"/>
              </w:rPr>
              <w:tab/>
              <w:t>Questions problématiques liées à l</w:t>
            </w:r>
            <w:r w:rsidR="00157F52">
              <w:rPr>
                <w:color w:val="000000"/>
              </w:rPr>
              <w:t>'</w:t>
            </w:r>
            <w:r>
              <w:rPr>
                <w:color w:val="000000"/>
              </w:rPr>
              <w:t>application du RTI (Document</w:t>
            </w:r>
            <w:r w:rsidR="009016DA">
              <w:rPr>
                <w:color w:val="000000"/>
              </w:rPr>
              <w:t> </w:t>
            </w:r>
            <w:hyperlink r:id="rId83" w:history="1">
              <w:r w:rsidRPr="009016DA">
                <w:rPr>
                  <w:rStyle w:val="Hyperlink"/>
                  <w:rFonts w:eastAsia="Times New Roman" w:cs="Times New Roman"/>
                  <w:szCs w:val="20"/>
                </w:rPr>
                <w:t>EG</w:t>
              </w:r>
              <w:r w:rsidR="009016DA">
                <w:rPr>
                  <w:rStyle w:val="Hyperlink"/>
                  <w:rFonts w:eastAsia="Times New Roman" w:cs="Times New Roman"/>
                  <w:szCs w:val="20"/>
                </w:rPr>
                <w:noBreakHyphen/>
              </w:r>
              <w:r w:rsidRPr="009016DA">
                <w:rPr>
                  <w:rStyle w:val="Hyperlink"/>
                  <w:rFonts w:eastAsia="Times New Roman" w:cs="Times New Roman"/>
                  <w:szCs w:val="20"/>
                </w:rPr>
                <w:t>ITRs</w:t>
              </w:r>
              <w:r w:rsidR="009016DA">
                <w:rPr>
                  <w:rStyle w:val="Hyperlink"/>
                  <w:rFonts w:eastAsia="Times New Roman" w:cs="Times New Roman"/>
                  <w:szCs w:val="20"/>
                </w:rPr>
                <w:noBreakHyphen/>
              </w:r>
              <w:r w:rsidRPr="009016DA">
                <w:rPr>
                  <w:rStyle w:val="Hyperlink"/>
                  <w:rFonts w:eastAsia="Times New Roman" w:cs="Times New Roman"/>
                  <w:szCs w:val="20"/>
                </w:rPr>
                <w:t>2/15</w:t>
              </w:r>
            </w:hyperlink>
            <w:r>
              <w:rPr>
                <w:color w:val="000000"/>
              </w:rPr>
              <w:t xml:space="preserve">): </w:t>
            </w:r>
            <w:r w:rsidR="009639DD">
              <w:rPr>
                <w:color w:val="000000"/>
              </w:rPr>
              <w:t>C</w:t>
            </w:r>
            <w:r>
              <w:rPr>
                <w:color w:val="000000"/>
              </w:rPr>
              <w:t>ontribution de la Fédération de Russie, de l</w:t>
            </w:r>
            <w:r w:rsidR="00157F52">
              <w:rPr>
                <w:color w:val="000000"/>
              </w:rPr>
              <w:t>'</w:t>
            </w:r>
            <w:r>
              <w:rPr>
                <w:color w:val="000000"/>
              </w:rPr>
              <w:t>Arménie, du Bélarus, du Kirghizistan, du Tadjikistan et de l</w:t>
            </w:r>
            <w:r w:rsidR="00157F52">
              <w:rPr>
                <w:color w:val="000000"/>
              </w:rPr>
              <w:t>'</w:t>
            </w:r>
            <w:r>
              <w:rPr>
                <w:color w:val="000000"/>
              </w:rPr>
              <w:t>Ouzbékistan</w:t>
            </w:r>
            <w:r w:rsidR="009639DD">
              <w:rPr>
                <w:color w:val="000000"/>
              </w:rPr>
              <w:t>.</w:t>
            </w:r>
            <w:hyperlink r:id="rId84" w:history="1"/>
            <w:hyperlink r:id="rId85" w:history="1"/>
            <w:hyperlink r:id="rId86" w:history="1"/>
            <w:hyperlink r:id="rId87" w:history="1"/>
            <w:hyperlink r:id="rId88" w:history="1"/>
            <w:hyperlink r:id="rId89" w:history="1"/>
            <w:hyperlink r:id="rId90" w:history="1"/>
          </w:p>
          <w:p w14:paraId="6B904503" w14:textId="091854A7" w:rsidR="00FB5FE7" w:rsidRPr="00C3406C" w:rsidRDefault="00FB5FE7" w:rsidP="005B64FF">
            <w:pPr>
              <w:pStyle w:val="Tabletext"/>
              <w:ind w:left="284" w:hanging="284"/>
              <w:jc w:val="both"/>
            </w:pPr>
            <w:r>
              <w:rPr>
                <w:color w:val="000000"/>
              </w:rPr>
              <w:lastRenderedPageBreak/>
              <w:t>–</w:t>
            </w:r>
            <w:r>
              <w:rPr>
                <w:color w:val="000000"/>
              </w:rPr>
              <w:tab/>
            </w:r>
            <w:r w:rsidR="009639DD">
              <w:rPr>
                <w:color w:val="000000"/>
              </w:rPr>
              <w:t>À</w:t>
            </w:r>
            <w:r>
              <w:rPr>
                <w:color w:val="000000"/>
              </w:rPr>
              <w:t xml:space="preserve"> propos de la structure du rapport final du G</w:t>
            </w:r>
            <w:r w:rsidR="00ED6DE6">
              <w:rPr>
                <w:color w:val="000000"/>
              </w:rPr>
              <w:t>E</w:t>
            </w:r>
            <w:r>
              <w:rPr>
                <w:color w:val="000000"/>
              </w:rPr>
              <w:t>-RTI et le programme de travail du G</w:t>
            </w:r>
            <w:r w:rsidR="00ED6DE6">
              <w:rPr>
                <w:color w:val="000000"/>
              </w:rPr>
              <w:t>E</w:t>
            </w:r>
            <w:r>
              <w:rPr>
                <w:color w:val="000000"/>
              </w:rPr>
              <w:t xml:space="preserve">-RTI pour la période 2024-2026 (Document </w:t>
            </w:r>
            <w:hyperlink r:id="rId91" w:history="1">
              <w:r w:rsidRPr="009016DA">
                <w:rPr>
                  <w:rStyle w:val="Hyperlink"/>
                  <w:rFonts w:eastAsia="Times New Roman" w:cs="Times New Roman"/>
                  <w:szCs w:val="20"/>
                </w:rPr>
                <w:t>EG-ITRs-2/16</w:t>
              </w:r>
            </w:hyperlink>
            <w:r>
              <w:rPr>
                <w:color w:val="000000"/>
              </w:rPr>
              <w:t xml:space="preserve">): </w:t>
            </w:r>
            <w:r w:rsidR="009639DD">
              <w:rPr>
                <w:color w:val="000000"/>
              </w:rPr>
              <w:t>C</w:t>
            </w:r>
            <w:r>
              <w:rPr>
                <w:color w:val="000000"/>
              </w:rPr>
              <w:t>ontribution de la Fédération de Russie, de l</w:t>
            </w:r>
            <w:r w:rsidR="00157F52">
              <w:rPr>
                <w:color w:val="000000"/>
              </w:rPr>
              <w:t>'</w:t>
            </w:r>
            <w:r>
              <w:rPr>
                <w:color w:val="000000"/>
              </w:rPr>
              <w:t>Arménie, du Bélarus, du</w:t>
            </w:r>
            <w:r w:rsidR="009639DD">
              <w:rPr>
                <w:color w:val="000000"/>
              </w:rPr>
              <w:t> </w:t>
            </w:r>
            <w:r>
              <w:rPr>
                <w:color w:val="000000"/>
              </w:rPr>
              <w:t>Kirghizistan, du Tadjikistan et de l</w:t>
            </w:r>
            <w:r w:rsidR="00157F52">
              <w:rPr>
                <w:color w:val="000000"/>
              </w:rPr>
              <w:t>'</w:t>
            </w:r>
            <w:r>
              <w:rPr>
                <w:color w:val="000000"/>
              </w:rPr>
              <w:t>Ouzbékistan</w:t>
            </w:r>
            <w:r w:rsidR="009639DD">
              <w:rPr>
                <w:color w:val="000000"/>
              </w:rPr>
              <w:t>.</w:t>
            </w:r>
            <w:hyperlink r:id="rId92" w:history="1"/>
            <w:hyperlink r:id="rId93" w:history="1"/>
            <w:hyperlink r:id="rId94" w:history="1"/>
            <w:hyperlink r:id="rId95" w:history="1"/>
            <w:hyperlink r:id="rId96" w:history="1"/>
            <w:hyperlink r:id="rId97" w:history="1"/>
            <w:hyperlink r:id="rId98" w:history="1"/>
          </w:p>
          <w:p w14:paraId="18B46606" w14:textId="368349FF" w:rsidR="00FB5FE7" w:rsidRPr="00C3406C" w:rsidRDefault="00FB5FE7" w:rsidP="005B64FF">
            <w:pPr>
              <w:pStyle w:val="Tabletext"/>
              <w:ind w:left="284" w:hanging="284"/>
              <w:jc w:val="both"/>
            </w:pPr>
            <w:r>
              <w:rPr>
                <w:color w:val="000000"/>
              </w:rPr>
              <w:t>–</w:t>
            </w:r>
            <w:r>
              <w:rPr>
                <w:color w:val="000000"/>
              </w:rPr>
              <w:tab/>
              <w:t>Données empiriques relatives à l'utilisation actuelle du RTI par les exploitations et/ou les administrations et à la proportion de services mondiaux de télécommunication qui reposent sur le RTI à l'heure actuelle (Document</w:t>
            </w:r>
            <w:r w:rsidR="009016DA">
              <w:rPr>
                <w:color w:val="000000"/>
              </w:rPr>
              <w:t> </w:t>
            </w:r>
            <w:hyperlink r:id="rId99" w:history="1">
              <w:r w:rsidRPr="009016DA">
                <w:rPr>
                  <w:rStyle w:val="Hyperlink"/>
                  <w:rFonts w:eastAsia="Times New Roman" w:cs="Times New Roman"/>
                  <w:szCs w:val="20"/>
                </w:rPr>
                <w:t>EG</w:t>
              </w:r>
              <w:r w:rsidR="009016DA">
                <w:rPr>
                  <w:rStyle w:val="Hyperlink"/>
                  <w:rFonts w:eastAsia="Times New Roman" w:cs="Times New Roman"/>
                  <w:szCs w:val="20"/>
                </w:rPr>
                <w:noBreakHyphen/>
              </w:r>
              <w:r w:rsidRPr="009016DA">
                <w:rPr>
                  <w:rStyle w:val="Hyperlink"/>
                  <w:rFonts w:eastAsia="Times New Roman" w:cs="Times New Roman"/>
                  <w:szCs w:val="20"/>
                </w:rPr>
                <w:t>ITRs-2/17</w:t>
              </w:r>
            </w:hyperlink>
            <w:proofErr w:type="gramStart"/>
            <w:r>
              <w:rPr>
                <w:color w:val="000000"/>
              </w:rPr>
              <w:t>):</w:t>
            </w:r>
            <w:proofErr w:type="gramEnd"/>
            <w:r>
              <w:rPr>
                <w:color w:val="000000"/>
              </w:rPr>
              <w:t xml:space="preserve"> </w:t>
            </w:r>
            <w:r w:rsidR="009639DD">
              <w:rPr>
                <w:color w:val="000000"/>
              </w:rPr>
              <w:t>C</w:t>
            </w:r>
            <w:r>
              <w:rPr>
                <w:color w:val="000000"/>
              </w:rPr>
              <w:t>ontribution du Ghana, du Kenya, de la République</w:t>
            </w:r>
            <w:r w:rsidR="009016DA">
              <w:rPr>
                <w:color w:val="000000"/>
              </w:rPr>
              <w:t> </w:t>
            </w:r>
            <w:r>
              <w:rPr>
                <w:color w:val="000000"/>
              </w:rPr>
              <w:t>sudafricaine et de la Tanzanie</w:t>
            </w:r>
            <w:r w:rsidR="009639DD">
              <w:rPr>
                <w:color w:val="000000"/>
              </w:rPr>
              <w:t>.</w:t>
            </w:r>
            <w:hyperlink r:id="rId100" w:history="1"/>
          </w:p>
          <w:p w14:paraId="5BBAB73D" w14:textId="412AC4D2" w:rsidR="00FB5FE7" w:rsidRPr="00C3406C" w:rsidRDefault="00FB5FE7" w:rsidP="005B64FF">
            <w:pPr>
              <w:pStyle w:val="Tabletext"/>
              <w:ind w:left="284" w:hanging="284"/>
              <w:jc w:val="both"/>
              <w:rPr>
                <w:spacing w:val="2"/>
              </w:rPr>
            </w:pPr>
            <w:r>
              <w:rPr>
                <w:color w:val="000000"/>
              </w:rPr>
              <w:t>–</w:t>
            </w:r>
            <w:r>
              <w:rPr>
                <w:color w:val="000000"/>
              </w:rPr>
              <w:tab/>
              <w:t>Nouvelles tendances dans le domaine des télécommunications/TIC et nouveaux problèmes dans l</w:t>
            </w:r>
            <w:r w:rsidR="00157F52">
              <w:rPr>
                <w:color w:val="000000"/>
              </w:rPr>
              <w:t>'</w:t>
            </w:r>
            <w:r>
              <w:rPr>
                <w:color w:val="000000"/>
              </w:rPr>
              <w:t>environnement international des télécommunications/TIC susceptibles d</w:t>
            </w:r>
            <w:r w:rsidR="00157F52">
              <w:rPr>
                <w:color w:val="000000"/>
              </w:rPr>
              <w:t>'</w:t>
            </w:r>
            <w:r>
              <w:rPr>
                <w:color w:val="000000"/>
              </w:rPr>
              <w:t xml:space="preserve">avoir une incidence sur le RTI (Document </w:t>
            </w:r>
            <w:hyperlink r:id="rId101" w:history="1">
              <w:r w:rsidRPr="009016DA">
                <w:rPr>
                  <w:rStyle w:val="Hyperlink"/>
                  <w:rFonts w:eastAsia="Times New Roman" w:cs="Times New Roman"/>
                  <w:szCs w:val="20"/>
                </w:rPr>
                <w:t>EG-ITRs-2/18</w:t>
              </w:r>
            </w:hyperlink>
            <w:proofErr w:type="gramStart"/>
            <w:r>
              <w:rPr>
                <w:color w:val="000000"/>
              </w:rPr>
              <w:t>):</w:t>
            </w:r>
            <w:proofErr w:type="gramEnd"/>
            <w:r>
              <w:rPr>
                <w:color w:val="000000"/>
              </w:rPr>
              <w:t xml:space="preserve"> </w:t>
            </w:r>
            <w:r w:rsidR="009639DD">
              <w:rPr>
                <w:color w:val="000000"/>
              </w:rPr>
              <w:t>C</w:t>
            </w:r>
            <w:r>
              <w:rPr>
                <w:color w:val="000000"/>
              </w:rPr>
              <w:t>ontribution du Ghana, du Kenya, de la République</w:t>
            </w:r>
            <w:r w:rsidR="009016DA">
              <w:rPr>
                <w:color w:val="000000"/>
              </w:rPr>
              <w:t> </w:t>
            </w:r>
            <w:r>
              <w:rPr>
                <w:color w:val="000000"/>
              </w:rPr>
              <w:t>sudafricaine et de la Tanzanie</w:t>
            </w:r>
            <w:r w:rsidR="009639DD">
              <w:rPr>
                <w:color w:val="000000"/>
              </w:rPr>
              <w:t>.</w:t>
            </w:r>
            <w:hyperlink r:id="rId102" w:history="1"/>
          </w:p>
          <w:p w14:paraId="25148ECE" w14:textId="087FA794" w:rsidR="00FB5FE7" w:rsidRPr="00C3406C" w:rsidRDefault="00FB5FE7" w:rsidP="005B64FF">
            <w:pPr>
              <w:pStyle w:val="Tabletext"/>
              <w:ind w:left="284" w:hanging="284"/>
              <w:jc w:val="both"/>
            </w:pPr>
            <w:r>
              <w:rPr>
                <w:color w:val="000000"/>
              </w:rPr>
              <w:t>–</w:t>
            </w:r>
            <w:r>
              <w:rPr>
                <w:color w:val="000000"/>
              </w:rPr>
              <w:tab/>
              <w:t xml:space="preserve">Vues générales des </w:t>
            </w:r>
            <w:r w:rsidR="009639DD">
              <w:rPr>
                <w:color w:val="000000"/>
              </w:rPr>
              <w:t>É</w:t>
            </w:r>
            <w:r>
              <w:rPr>
                <w:color w:val="000000"/>
              </w:rPr>
              <w:t>tats-Unis concernant l</w:t>
            </w:r>
            <w:r w:rsidR="00157F52">
              <w:rPr>
                <w:color w:val="000000"/>
              </w:rPr>
              <w:t>'</w:t>
            </w:r>
            <w:r>
              <w:rPr>
                <w:color w:val="000000"/>
              </w:rPr>
              <w:t>examen actuel du RTI (Document</w:t>
            </w:r>
            <w:r w:rsidR="009016DA">
              <w:rPr>
                <w:color w:val="000000"/>
              </w:rPr>
              <w:t> </w:t>
            </w:r>
            <w:hyperlink r:id="rId103" w:history="1">
              <w:r w:rsidRPr="009016DA">
                <w:rPr>
                  <w:rStyle w:val="Hyperlink"/>
                  <w:rFonts w:eastAsia="Times New Roman" w:cs="Times New Roman"/>
                  <w:szCs w:val="20"/>
                </w:rPr>
                <w:t>EG-ITRs-2/19</w:t>
              </w:r>
            </w:hyperlink>
            <w:proofErr w:type="gramStart"/>
            <w:r>
              <w:rPr>
                <w:color w:val="000000"/>
              </w:rPr>
              <w:t>):</w:t>
            </w:r>
            <w:proofErr w:type="gramEnd"/>
            <w:r>
              <w:rPr>
                <w:color w:val="000000"/>
              </w:rPr>
              <w:t xml:space="preserve"> </w:t>
            </w:r>
            <w:r w:rsidR="009639DD">
              <w:rPr>
                <w:color w:val="000000"/>
              </w:rPr>
              <w:t>C</w:t>
            </w:r>
            <w:r>
              <w:rPr>
                <w:color w:val="000000"/>
              </w:rPr>
              <w:t xml:space="preserve">ontribution des </w:t>
            </w:r>
            <w:r w:rsidR="009639DD">
              <w:rPr>
                <w:color w:val="000000"/>
              </w:rPr>
              <w:t>É</w:t>
            </w:r>
            <w:r>
              <w:rPr>
                <w:color w:val="000000"/>
              </w:rPr>
              <w:t>tats-Unis</w:t>
            </w:r>
            <w:r w:rsidR="009639DD">
              <w:rPr>
                <w:color w:val="000000"/>
              </w:rPr>
              <w:t>.</w:t>
            </w:r>
            <w:hyperlink r:id="rId104" w:history="1"/>
          </w:p>
        </w:tc>
      </w:tr>
    </w:tbl>
    <w:p w14:paraId="737B15B7" w14:textId="77777777" w:rsidR="007E2441" w:rsidRPr="00CE02B0" w:rsidRDefault="007E2441" w:rsidP="007E2441">
      <w:pPr>
        <w:pStyle w:val="Tablefin"/>
        <w:rPr>
          <w:lang w:val="fr-FR"/>
        </w:rPr>
      </w:pPr>
    </w:p>
    <w:p w14:paraId="08DAC39C" w14:textId="4D734E88" w:rsidR="00FB5FE7" w:rsidRPr="00C3406C" w:rsidRDefault="00FB5FE7" w:rsidP="000846FC">
      <w:pPr>
        <w:spacing w:after="120"/>
        <w:jc w:val="both"/>
        <w:rPr>
          <w:rFonts w:eastAsia="Calibri"/>
        </w:rPr>
      </w:pPr>
      <w:r>
        <w:rPr>
          <w:b/>
          <w:bCs/>
        </w:rPr>
        <w:t>2.3</w:t>
      </w:r>
      <w:r w:rsidRPr="00E54F90">
        <w:rPr>
          <w:b/>
          <w:bCs/>
        </w:rPr>
        <w:tab/>
        <w:t>Troisième réunion, 30 septembre et 1er octobre 2024 (</w:t>
      </w:r>
      <w:hyperlink r:id="rId105" w:history="1">
        <w:r w:rsidRPr="000846FC">
          <w:rPr>
            <w:rStyle w:val="Hyperlink"/>
            <w:rFonts w:eastAsia="Times New Roman" w:cs="Times New Roman"/>
            <w:b/>
            <w:bCs/>
            <w:szCs w:val="20"/>
          </w:rPr>
          <w:t>voir le rapport</w:t>
        </w:r>
      </w:hyperlink>
      <w:r w:rsidRPr="00E54F90">
        <w:rPr>
          <w:b/>
          <w:bCs/>
        </w:rPr>
        <w:t>)</w:t>
      </w:r>
      <w:r w:rsidRPr="009639DD">
        <w:t>:</w:t>
      </w:r>
      <w:r>
        <w:t xml:space="preserve"> </w:t>
      </w:r>
      <w:r w:rsidR="009639DD">
        <w:t>l</w:t>
      </w:r>
      <w:r>
        <w:t>e G</w:t>
      </w:r>
      <w:r w:rsidR="00ED6DE6">
        <w:t>E</w:t>
      </w:r>
      <w:r w:rsidR="00230AC5">
        <w:noBreakHyphen/>
      </w:r>
      <w:r>
        <w:t xml:space="preserve">RTI a examiné les contributions reçues, y compris celles portant sur les nouvelles tendances susceptibles d'avoir des incidences sur le RTI, sur des données empiriques relatives à l'utilisation actuelle du RTI et sur le format et le contenu du rapport final du </w:t>
      </w:r>
      <w:r w:rsidR="009639DD">
        <w:t>g</w:t>
      </w:r>
      <w:r>
        <w:t>roupe à la session de 2026 du Conseil, ainsi que d'autres contributions générales.</w:t>
      </w:r>
      <w:hyperlink r:id="rId106"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06"/>
      </w:tblGrid>
      <w:tr w:rsidR="00FB5FE7" w:rsidRPr="000F6818" w14:paraId="39B779E8" w14:textId="77777777" w:rsidTr="007E2441">
        <w:trPr>
          <w:trHeight w:val="396"/>
        </w:trPr>
        <w:tc>
          <w:tcPr>
            <w:tcW w:w="858" w:type="pct"/>
            <w:hideMark/>
          </w:tcPr>
          <w:p w14:paraId="4B8EE813" w14:textId="77777777" w:rsidR="00FB5FE7" w:rsidRPr="00C3406C" w:rsidRDefault="00FB5FE7" w:rsidP="00357877">
            <w:pPr>
              <w:pStyle w:val="Tabletext"/>
              <w:rPr>
                <w:b/>
                <w:bCs/>
              </w:rPr>
            </w:pPr>
            <w:r>
              <w:rPr>
                <w:b/>
                <w:bCs/>
                <w:color w:val="000000"/>
              </w:rPr>
              <w:t>Contributions reçues à la troisième réunion</w:t>
            </w:r>
          </w:p>
        </w:tc>
        <w:tc>
          <w:tcPr>
            <w:tcW w:w="4142" w:type="pct"/>
            <w:hideMark/>
          </w:tcPr>
          <w:p w14:paraId="446A07C7" w14:textId="45948472" w:rsidR="00FB5FE7" w:rsidRPr="00C3406C" w:rsidRDefault="00FB5FE7" w:rsidP="000846FC">
            <w:pPr>
              <w:pStyle w:val="Tabletext"/>
              <w:ind w:left="284" w:hanging="284"/>
              <w:jc w:val="both"/>
            </w:pPr>
            <w:r>
              <w:rPr>
                <w:color w:val="000000"/>
              </w:rPr>
              <w:t>–</w:t>
            </w:r>
            <w:r>
              <w:rPr>
                <w:color w:val="000000"/>
              </w:rPr>
              <w:tab/>
              <w:t xml:space="preserve">Ordre du jour (Document </w:t>
            </w:r>
            <w:hyperlink r:id="rId107" w:history="1">
              <w:proofErr w:type="spellStart"/>
              <w:r w:rsidRPr="00230AC5">
                <w:rPr>
                  <w:rStyle w:val="Hyperlink"/>
                  <w:rFonts w:eastAsia="Times New Roman" w:cs="Times New Roman"/>
                  <w:szCs w:val="20"/>
                </w:rPr>
                <w:t>EG</w:t>
              </w:r>
              <w:proofErr w:type="spellEnd"/>
              <w:r w:rsidRPr="00230AC5">
                <w:rPr>
                  <w:rStyle w:val="Hyperlink"/>
                  <w:rFonts w:eastAsia="Times New Roman" w:cs="Times New Roman"/>
                  <w:szCs w:val="20"/>
                </w:rPr>
                <w:t>-</w:t>
              </w:r>
              <w:proofErr w:type="spellStart"/>
              <w:r w:rsidRPr="00230AC5">
                <w:rPr>
                  <w:rStyle w:val="Hyperlink"/>
                  <w:rFonts w:eastAsia="Times New Roman" w:cs="Times New Roman"/>
                  <w:szCs w:val="20"/>
                </w:rPr>
                <w:t>ITRs</w:t>
              </w:r>
              <w:proofErr w:type="spellEnd"/>
              <w:r w:rsidRPr="00230AC5">
                <w:rPr>
                  <w:rStyle w:val="Hyperlink"/>
                  <w:rFonts w:eastAsia="Times New Roman" w:cs="Times New Roman"/>
                  <w:szCs w:val="20"/>
                </w:rPr>
                <w:t>-3/1</w:t>
              </w:r>
            </w:hyperlink>
            <w:r>
              <w:rPr>
                <w:color w:val="000000"/>
              </w:rPr>
              <w:t>)</w:t>
            </w:r>
            <w:r w:rsidR="009639DD">
              <w:rPr>
                <w:color w:val="000000"/>
              </w:rPr>
              <w:t>.</w:t>
            </w:r>
            <w:hyperlink r:id="rId108" w:history="1"/>
          </w:p>
          <w:p w14:paraId="32B94632" w14:textId="12631F7A" w:rsidR="00FB5FE7" w:rsidRPr="00C3406C" w:rsidRDefault="00FB5FE7" w:rsidP="000846FC">
            <w:pPr>
              <w:pStyle w:val="Tabletext"/>
              <w:ind w:left="284" w:hanging="284"/>
              <w:jc w:val="both"/>
            </w:pPr>
            <w:r>
              <w:rPr>
                <w:color w:val="000000"/>
              </w:rPr>
              <w:t>–</w:t>
            </w:r>
            <w:r>
              <w:rPr>
                <w:color w:val="000000"/>
              </w:rPr>
              <w:tab/>
              <w:t xml:space="preserve">Considérations générales et analyse détaillée (Document </w:t>
            </w:r>
            <w:hyperlink r:id="rId109" w:history="1">
              <w:r w:rsidRPr="00230AC5">
                <w:rPr>
                  <w:rStyle w:val="Hyperlink"/>
                  <w:rFonts w:eastAsia="Times New Roman" w:cs="Times New Roman"/>
                  <w:szCs w:val="20"/>
                </w:rPr>
                <w:t>EG-ITRs-3/2</w:t>
              </w:r>
            </w:hyperlink>
            <w:proofErr w:type="gramStart"/>
            <w:r>
              <w:rPr>
                <w:color w:val="000000"/>
              </w:rPr>
              <w:t>):</w:t>
            </w:r>
            <w:proofErr w:type="gramEnd"/>
            <w:r>
              <w:rPr>
                <w:color w:val="000000"/>
              </w:rPr>
              <w:t xml:space="preserve"> Contribution de Hill</w:t>
            </w:r>
            <w:r w:rsidR="009639DD">
              <w:rPr>
                <w:color w:val="000000"/>
              </w:rPr>
              <w:t>.</w:t>
            </w:r>
            <w:hyperlink r:id="rId110" w:history="1"/>
          </w:p>
          <w:p w14:paraId="08C6AB08" w14:textId="6757123A" w:rsidR="00FB5FE7" w:rsidRPr="00C3406C" w:rsidRDefault="00FB5FE7" w:rsidP="000846FC">
            <w:pPr>
              <w:pStyle w:val="Tabletext"/>
              <w:ind w:left="284" w:hanging="284"/>
              <w:jc w:val="both"/>
            </w:pPr>
            <w:r>
              <w:rPr>
                <w:color w:val="000000"/>
              </w:rPr>
              <w:t>–</w:t>
            </w:r>
            <w:r>
              <w:rPr>
                <w:color w:val="000000"/>
              </w:rPr>
              <w:tab/>
              <w:t>Liaison avec l</w:t>
            </w:r>
            <w:r w:rsidR="00157F52">
              <w:rPr>
                <w:color w:val="000000"/>
              </w:rPr>
              <w:t>'</w:t>
            </w:r>
            <w:r>
              <w:rPr>
                <w:color w:val="000000"/>
              </w:rPr>
              <w:t xml:space="preserve">OMC (Document </w:t>
            </w:r>
            <w:hyperlink r:id="rId111" w:history="1">
              <w:r w:rsidRPr="00230AC5">
                <w:rPr>
                  <w:rStyle w:val="Hyperlink"/>
                  <w:rFonts w:eastAsia="Times New Roman" w:cs="Times New Roman"/>
                  <w:szCs w:val="20"/>
                </w:rPr>
                <w:t>EG-ITRs-3/3</w:t>
              </w:r>
            </w:hyperlink>
            <w:proofErr w:type="gramStart"/>
            <w:r>
              <w:rPr>
                <w:color w:val="000000"/>
              </w:rPr>
              <w:t>):</w:t>
            </w:r>
            <w:proofErr w:type="gramEnd"/>
            <w:r>
              <w:rPr>
                <w:color w:val="000000"/>
              </w:rPr>
              <w:t xml:space="preserve"> Contribution de Hill</w:t>
            </w:r>
            <w:r w:rsidR="009639DD">
              <w:rPr>
                <w:color w:val="000000"/>
              </w:rPr>
              <w:t>.</w:t>
            </w:r>
            <w:hyperlink r:id="rId112" w:history="1"/>
          </w:p>
          <w:p w14:paraId="489C1498" w14:textId="1385D8E5" w:rsidR="00FB5FE7" w:rsidRPr="000846FC" w:rsidRDefault="00FB5FE7" w:rsidP="000846FC">
            <w:pPr>
              <w:pStyle w:val="Tabletext"/>
              <w:ind w:left="284" w:hanging="284"/>
              <w:jc w:val="both"/>
              <w:rPr>
                <w:spacing w:val="-3"/>
              </w:rPr>
            </w:pPr>
            <w:r w:rsidRPr="000846FC">
              <w:rPr>
                <w:color w:val="000000"/>
                <w:spacing w:val="-3"/>
              </w:rPr>
              <w:t>–</w:t>
            </w:r>
            <w:r w:rsidRPr="000846FC">
              <w:rPr>
                <w:color w:val="000000"/>
                <w:spacing w:val="-3"/>
              </w:rPr>
              <w:tab/>
              <w:t xml:space="preserve">Points à retenir pour le rapport final (Document </w:t>
            </w:r>
            <w:hyperlink r:id="rId113" w:history="1">
              <w:r w:rsidRPr="000846FC">
                <w:rPr>
                  <w:rStyle w:val="Hyperlink"/>
                  <w:rFonts w:eastAsia="Times New Roman" w:cs="Times New Roman"/>
                  <w:spacing w:val="-3"/>
                  <w:szCs w:val="20"/>
                </w:rPr>
                <w:t>EG-ITRs-3/4</w:t>
              </w:r>
            </w:hyperlink>
            <w:proofErr w:type="gramStart"/>
            <w:r w:rsidRPr="000846FC">
              <w:rPr>
                <w:color w:val="000000"/>
                <w:spacing w:val="-3"/>
              </w:rPr>
              <w:t>):</w:t>
            </w:r>
            <w:proofErr w:type="gramEnd"/>
            <w:r w:rsidRPr="000846FC">
              <w:rPr>
                <w:color w:val="000000"/>
                <w:spacing w:val="-3"/>
              </w:rPr>
              <w:t xml:space="preserve"> Contribution de</w:t>
            </w:r>
            <w:r w:rsidR="009639DD" w:rsidRPr="000846FC">
              <w:rPr>
                <w:color w:val="000000"/>
                <w:spacing w:val="-3"/>
              </w:rPr>
              <w:t> </w:t>
            </w:r>
            <w:r w:rsidRPr="000846FC">
              <w:rPr>
                <w:color w:val="000000"/>
                <w:spacing w:val="-3"/>
              </w:rPr>
              <w:t>Hill</w:t>
            </w:r>
            <w:r w:rsidR="009639DD" w:rsidRPr="000846FC">
              <w:rPr>
                <w:color w:val="000000"/>
                <w:spacing w:val="-3"/>
              </w:rPr>
              <w:t>.</w:t>
            </w:r>
            <w:hyperlink r:id="rId114" w:history="1"/>
          </w:p>
          <w:p w14:paraId="26CED806" w14:textId="5290D92F" w:rsidR="00FB5FE7" w:rsidRPr="000846FC" w:rsidRDefault="00FB5FE7" w:rsidP="000846FC">
            <w:pPr>
              <w:pStyle w:val="Tabletext"/>
              <w:ind w:left="284" w:hanging="284"/>
              <w:jc w:val="both"/>
              <w:rPr>
                <w:spacing w:val="-2"/>
              </w:rPr>
            </w:pPr>
            <w:r w:rsidRPr="000846FC">
              <w:rPr>
                <w:color w:val="000000"/>
                <w:spacing w:val="-2"/>
              </w:rPr>
              <w:t>–</w:t>
            </w:r>
            <w:r w:rsidRPr="000846FC">
              <w:rPr>
                <w:color w:val="000000"/>
                <w:spacing w:val="-2"/>
              </w:rPr>
              <w:tab/>
              <w:t xml:space="preserve">Mise à jour de certains documents (Document </w:t>
            </w:r>
            <w:hyperlink r:id="rId115" w:history="1">
              <w:r w:rsidRPr="000846FC">
                <w:rPr>
                  <w:rStyle w:val="Hyperlink"/>
                  <w:rFonts w:eastAsia="Times New Roman" w:cs="Times New Roman"/>
                  <w:spacing w:val="-2"/>
                  <w:szCs w:val="20"/>
                </w:rPr>
                <w:t>EG-ITRs-3/5</w:t>
              </w:r>
            </w:hyperlink>
            <w:proofErr w:type="gramStart"/>
            <w:r w:rsidRPr="000846FC">
              <w:rPr>
                <w:color w:val="000000"/>
                <w:spacing w:val="-2"/>
              </w:rPr>
              <w:t>):</w:t>
            </w:r>
            <w:proofErr w:type="gramEnd"/>
            <w:r w:rsidRPr="000846FC">
              <w:rPr>
                <w:color w:val="000000"/>
                <w:spacing w:val="-2"/>
              </w:rPr>
              <w:t xml:space="preserve"> Contribution de</w:t>
            </w:r>
            <w:r w:rsidR="009639DD" w:rsidRPr="000846FC">
              <w:rPr>
                <w:color w:val="000000"/>
                <w:spacing w:val="-2"/>
              </w:rPr>
              <w:t> </w:t>
            </w:r>
            <w:r w:rsidRPr="000846FC">
              <w:rPr>
                <w:color w:val="000000"/>
                <w:spacing w:val="-2"/>
              </w:rPr>
              <w:t>Hill</w:t>
            </w:r>
            <w:r w:rsidR="009639DD" w:rsidRPr="000846FC">
              <w:rPr>
                <w:color w:val="000000"/>
                <w:spacing w:val="-2"/>
              </w:rPr>
              <w:t>.</w:t>
            </w:r>
            <w:hyperlink r:id="rId116" w:history="1"/>
          </w:p>
          <w:p w14:paraId="6842189F" w14:textId="29867C35" w:rsidR="00FB5FE7" w:rsidRPr="00C3406C" w:rsidRDefault="00FB5FE7" w:rsidP="000846FC">
            <w:pPr>
              <w:pStyle w:val="Tabletext"/>
              <w:ind w:left="284" w:hanging="284"/>
              <w:jc w:val="both"/>
            </w:pPr>
            <w:r>
              <w:rPr>
                <w:color w:val="000000"/>
              </w:rPr>
              <w:t>–</w:t>
            </w:r>
            <w:r>
              <w:rPr>
                <w:color w:val="000000"/>
              </w:rPr>
              <w:tab/>
              <w:t>Problèmes rencontrés dans la fourniture de services de télécommunication par des satellites non géostationnaires en orbite terrestre basse (Document</w:t>
            </w:r>
            <w:r w:rsidR="00230AC5">
              <w:rPr>
                <w:color w:val="000000"/>
              </w:rPr>
              <w:t> </w:t>
            </w:r>
            <w:hyperlink r:id="rId117" w:history="1">
              <w:r w:rsidRPr="00230AC5">
                <w:rPr>
                  <w:rStyle w:val="Hyperlink"/>
                  <w:rFonts w:eastAsia="Times New Roman" w:cs="Times New Roman"/>
                  <w:szCs w:val="20"/>
                </w:rPr>
                <w:t>EG</w:t>
              </w:r>
              <w:r w:rsidR="00230AC5">
                <w:rPr>
                  <w:rStyle w:val="Hyperlink"/>
                  <w:rFonts w:eastAsia="Times New Roman" w:cs="Times New Roman"/>
                  <w:szCs w:val="20"/>
                </w:rPr>
                <w:noBreakHyphen/>
              </w:r>
              <w:r w:rsidRPr="00230AC5">
                <w:rPr>
                  <w:rStyle w:val="Hyperlink"/>
                  <w:rFonts w:eastAsia="Times New Roman" w:cs="Times New Roman"/>
                  <w:szCs w:val="20"/>
                </w:rPr>
                <w:t>ITRs-3/6</w:t>
              </w:r>
            </w:hyperlink>
            <w:proofErr w:type="gramStart"/>
            <w:r>
              <w:rPr>
                <w:color w:val="000000"/>
              </w:rPr>
              <w:t>):</w:t>
            </w:r>
            <w:proofErr w:type="gramEnd"/>
            <w:r>
              <w:rPr>
                <w:color w:val="000000"/>
              </w:rPr>
              <w:t xml:space="preserve"> Contribution de la Côte d</w:t>
            </w:r>
            <w:r w:rsidR="00157F52">
              <w:rPr>
                <w:color w:val="000000"/>
              </w:rPr>
              <w:t>'</w:t>
            </w:r>
            <w:r>
              <w:rPr>
                <w:color w:val="000000"/>
              </w:rPr>
              <w:t>Ivoire, du Cameroun, de la</w:t>
            </w:r>
            <w:r w:rsidR="009639DD">
              <w:rPr>
                <w:color w:val="000000"/>
              </w:rPr>
              <w:t> </w:t>
            </w:r>
            <w:r>
              <w:rPr>
                <w:color w:val="000000"/>
              </w:rPr>
              <w:t>République sudafricaine, de la Tanzanie</w:t>
            </w:r>
            <w:r w:rsidR="009639DD">
              <w:rPr>
                <w:color w:val="000000"/>
              </w:rPr>
              <w:t>.</w:t>
            </w:r>
            <w:hyperlink r:id="rId118" w:history="1"/>
          </w:p>
          <w:p w14:paraId="4AB77FAD" w14:textId="0A0FE0AF" w:rsidR="00FB5FE7" w:rsidRPr="00C3406C" w:rsidRDefault="00FB5FE7" w:rsidP="000846FC">
            <w:pPr>
              <w:pStyle w:val="Tabletext"/>
              <w:ind w:left="284" w:right="-113" w:hanging="284"/>
              <w:jc w:val="both"/>
              <w:rPr>
                <w:spacing w:val="-3"/>
              </w:rPr>
            </w:pPr>
            <w:r>
              <w:rPr>
                <w:color w:val="000000"/>
              </w:rPr>
              <w:t>–</w:t>
            </w:r>
            <w:r>
              <w:rPr>
                <w:color w:val="000000"/>
              </w:rPr>
              <w:tab/>
              <w:t>Preuve de l</w:t>
            </w:r>
            <w:r w:rsidR="00157F52">
              <w:rPr>
                <w:color w:val="000000"/>
              </w:rPr>
              <w:t>'</w:t>
            </w:r>
            <w:r>
              <w:rPr>
                <w:color w:val="000000"/>
              </w:rPr>
              <w:t>utilisation du RTI par les exploitations en Europe (Document</w:t>
            </w:r>
            <w:r w:rsidR="00DF1C56">
              <w:rPr>
                <w:color w:val="000000"/>
              </w:rPr>
              <w:t> </w:t>
            </w:r>
            <w:proofErr w:type="spellStart"/>
            <w:r>
              <w:fldChar w:fldCharType="begin"/>
            </w:r>
            <w:r>
              <w:instrText>HYPERLINK "https://www.itu.int/md/S24-EGITRS3-C-0007/fr"</w:instrText>
            </w:r>
            <w:r>
              <w:fldChar w:fldCharType="separate"/>
            </w:r>
            <w:r w:rsidRPr="00DF1C56">
              <w:rPr>
                <w:rStyle w:val="Hyperlink"/>
                <w:rFonts w:eastAsia="Times New Roman" w:cs="Times New Roman"/>
                <w:szCs w:val="20"/>
              </w:rPr>
              <w:t>EG</w:t>
            </w:r>
            <w:proofErr w:type="spellEnd"/>
            <w:r w:rsidR="00DF1C56">
              <w:rPr>
                <w:rStyle w:val="Hyperlink"/>
                <w:rFonts w:eastAsia="Times New Roman" w:cs="Times New Roman"/>
                <w:szCs w:val="20"/>
              </w:rPr>
              <w:noBreakHyphen/>
            </w:r>
            <w:proofErr w:type="spellStart"/>
            <w:r w:rsidRPr="00DF1C56">
              <w:rPr>
                <w:rStyle w:val="Hyperlink"/>
                <w:rFonts w:eastAsia="Times New Roman" w:cs="Times New Roman"/>
                <w:szCs w:val="20"/>
              </w:rPr>
              <w:t>ITRs</w:t>
            </w:r>
            <w:proofErr w:type="spellEnd"/>
            <w:r w:rsidR="000846FC">
              <w:rPr>
                <w:rStyle w:val="Hyperlink"/>
                <w:rFonts w:eastAsia="Times New Roman" w:cs="Times New Roman"/>
                <w:szCs w:val="20"/>
              </w:rPr>
              <w:noBreakHyphen/>
            </w:r>
            <w:r w:rsidRPr="00DF1C56">
              <w:rPr>
                <w:rStyle w:val="Hyperlink"/>
                <w:rFonts w:eastAsia="Times New Roman" w:cs="Times New Roman"/>
                <w:szCs w:val="20"/>
              </w:rPr>
              <w:t>3/7</w:t>
            </w:r>
            <w:r>
              <w:fldChar w:fldCharType="end"/>
            </w:r>
            <w:proofErr w:type="gramStart"/>
            <w:r>
              <w:rPr>
                <w:color w:val="000000"/>
              </w:rPr>
              <w:t>):</w:t>
            </w:r>
            <w:proofErr w:type="gramEnd"/>
            <w:r>
              <w:rPr>
                <w:color w:val="000000"/>
              </w:rPr>
              <w:t xml:space="preserve"> Contribution de la République tchèque, de la Bulgarie, de la Croatie, du Danemark, des Pays-Bas (Royaume des), de la Roumanie, de la</w:t>
            </w:r>
            <w:r w:rsidR="009639DD">
              <w:rPr>
                <w:color w:val="000000"/>
              </w:rPr>
              <w:t> </w:t>
            </w:r>
            <w:r>
              <w:rPr>
                <w:color w:val="000000"/>
              </w:rPr>
              <w:t>Suède et du Royaume-Uni</w:t>
            </w:r>
            <w:r w:rsidR="009639DD">
              <w:rPr>
                <w:color w:val="000000"/>
              </w:rPr>
              <w:t>.</w:t>
            </w:r>
            <w:hyperlink r:id="rId119" w:history="1"/>
          </w:p>
          <w:p w14:paraId="7CA9E99C" w14:textId="0FF79A45" w:rsidR="00FB5FE7" w:rsidRPr="00C3406C" w:rsidRDefault="00FB5FE7" w:rsidP="000846FC">
            <w:pPr>
              <w:pStyle w:val="Tabletext"/>
              <w:ind w:left="284" w:hanging="284"/>
              <w:jc w:val="both"/>
            </w:pPr>
            <w:r>
              <w:rPr>
                <w:color w:val="000000"/>
              </w:rPr>
              <w:t>–</w:t>
            </w:r>
            <w:r>
              <w:rPr>
                <w:color w:val="000000"/>
              </w:rPr>
              <w:tab/>
              <w:t xml:space="preserve">Dispositions du RTI relatives aux exploitations (Document </w:t>
            </w:r>
            <w:hyperlink r:id="rId120" w:history="1">
              <w:r w:rsidRPr="00F42197">
                <w:rPr>
                  <w:rStyle w:val="Hyperlink"/>
                  <w:rFonts w:eastAsia="Times New Roman" w:cs="Times New Roman"/>
                  <w:szCs w:val="20"/>
                </w:rPr>
                <w:t>EG-ITRs-3/8</w:t>
              </w:r>
            </w:hyperlink>
            <w:proofErr w:type="gramStart"/>
            <w:r>
              <w:rPr>
                <w:color w:val="000000"/>
              </w:rPr>
              <w:t>):</w:t>
            </w:r>
            <w:proofErr w:type="gramEnd"/>
            <w:r>
              <w:rPr>
                <w:color w:val="000000"/>
              </w:rPr>
              <w:t xml:space="preserve"> Contribution de l</w:t>
            </w:r>
            <w:r w:rsidR="00157F52">
              <w:rPr>
                <w:color w:val="000000"/>
              </w:rPr>
              <w:t>'</w:t>
            </w:r>
            <w:r>
              <w:rPr>
                <w:color w:val="000000"/>
              </w:rPr>
              <w:t>Égypte</w:t>
            </w:r>
            <w:r w:rsidR="009639DD">
              <w:rPr>
                <w:color w:val="000000"/>
              </w:rPr>
              <w:t>.</w:t>
            </w:r>
            <w:hyperlink r:id="rId121" w:history="1"/>
          </w:p>
          <w:p w14:paraId="1D73F6BE" w14:textId="1ADF691E" w:rsidR="00FB5FE7" w:rsidRPr="00C3406C" w:rsidRDefault="00FB5FE7" w:rsidP="000846FC">
            <w:pPr>
              <w:pStyle w:val="Tabletext"/>
              <w:ind w:left="284" w:hanging="284"/>
              <w:jc w:val="both"/>
            </w:pPr>
            <w:r>
              <w:rPr>
                <w:color w:val="000000"/>
              </w:rPr>
              <w:t>–</w:t>
            </w:r>
            <w:r>
              <w:rPr>
                <w:color w:val="000000"/>
              </w:rPr>
              <w:tab/>
              <w:t>Données empiriques relatives à l'utilisation actuelle du RTI par les exploitations et/ou les administrations et à la proportion de services mondiaux de télécommunication qui reposent sur le RTI à l'heure actuelle (Document</w:t>
            </w:r>
            <w:r w:rsidR="00F42197">
              <w:rPr>
                <w:color w:val="000000"/>
              </w:rPr>
              <w:t> </w:t>
            </w:r>
            <w:hyperlink r:id="rId122" w:history="1">
              <w:r w:rsidRPr="00F42197">
                <w:rPr>
                  <w:rStyle w:val="Hyperlink"/>
                  <w:rFonts w:eastAsia="Times New Roman" w:cs="Times New Roman"/>
                  <w:szCs w:val="20"/>
                </w:rPr>
                <w:t>EG</w:t>
              </w:r>
              <w:r w:rsidR="00F42197">
                <w:rPr>
                  <w:rStyle w:val="Hyperlink"/>
                  <w:rFonts w:eastAsia="Times New Roman" w:cs="Times New Roman"/>
                  <w:szCs w:val="20"/>
                </w:rPr>
                <w:noBreakHyphen/>
              </w:r>
              <w:r w:rsidRPr="00F42197">
                <w:rPr>
                  <w:rStyle w:val="Hyperlink"/>
                  <w:rFonts w:eastAsia="Times New Roman" w:cs="Times New Roman"/>
                  <w:szCs w:val="20"/>
                </w:rPr>
                <w:t>ITRs-3/9</w:t>
              </w:r>
            </w:hyperlink>
            <w:proofErr w:type="gramStart"/>
            <w:r>
              <w:rPr>
                <w:color w:val="000000"/>
              </w:rPr>
              <w:t>):</w:t>
            </w:r>
            <w:proofErr w:type="gramEnd"/>
            <w:r>
              <w:rPr>
                <w:color w:val="000000"/>
              </w:rPr>
              <w:t xml:space="preserve"> Contribution de la Tanzanie</w:t>
            </w:r>
            <w:r w:rsidR="009639DD">
              <w:rPr>
                <w:color w:val="000000"/>
              </w:rPr>
              <w:t>.</w:t>
            </w:r>
            <w:hyperlink r:id="rId123" w:history="1"/>
          </w:p>
          <w:p w14:paraId="04CD8E40" w14:textId="3BE2E2D1" w:rsidR="00FB5FE7" w:rsidRPr="00C3406C" w:rsidRDefault="00FB5FE7" w:rsidP="000846FC">
            <w:pPr>
              <w:pStyle w:val="Tabletext"/>
              <w:ind w:left="284" w:hanging="284"/>
              <w:jc w:val="both"/>
              <w:rPr>
                <w:spacing w:val="2"/>
              </w:rPr>
            </w:pPr>
            <w:r>
              <w:rPr>
                <w:color w:val="000000"/>
              </w:rPr>
              <w:t>–</w:t>
            </w:r>
            <w:r>
              <w:rPr>
                <w:color w:val="000000"/>
              </w:rPr>
              <w:tab/>
              <w:t xml:space="preserve">Autres observations des </w:t>
            </w:r>
            <w:r w:rsidR="007E2441">
              <w:rPr>
                <w:color w:val="000000"/>
              </w:rPr>
              <w:t>É</w:t>
            </w:r>
            <w:r>
              <w:rPr>
                <w:color w:val="000000"/>
              </w:rPr>
              <w:t>tats-Unis sur l</w:t>
            </w:r>
            <w:r w:rsidR="00157F52">
              <w:rPr>
                <w:color w:val="000000"/>
              </w:rPr>
              <w:t>'</w:t>
            </w:r>
            <w:r>
              <w:rPr>
                <w:color w:val="000000"/>
              </w:rPr>
              <w:t>examen actuel du RTI (Document</w:t>
            </w:r>
            <w:r w:rsidR="00F42197">
              <w:rPr>
                <w:color w:val="000000"/>
              </w:rPr>
              <w:t> </w:t>
            </w:r>
            <w:hyperlink r:id="rId124" w:history="1">
              <w:r w:rsidRPr="00F42197">
                <w:rPr>
                  <w:rStyle w:val="Hyperlink"/>
                  <w:rFonts w:eastAsia="Times New Roman" w:cs="Times New Roman"/>
                  <w:szCs w:val="20"/>
                </w:rPr>
                <w:t>EG</w:t>
              </w:r>
              <w:r w:rsidR="00F42197">
                <w:rPr>
                  <w:rStyle w:val="Hyperlink"/>
                  <w:rFonts w:eastAsia="Times New Roman" w:cs="Times New Roman"/>
                  <w:szCs w:val="20"/>
                </w:rPr>
                <w:noBreakHyphen/>
              </w:r>
              <w:r w:rsidRPr="00F42197">
                <w:rPr>
                  <w:rStyle w:val="Hyperlink"/>
                  <w:rFonts w:eastAsia="Times New Roman" w:cs="Times New Roman"/>
                  <w:szCs w:val="20"/>
                </w:rPr>
                <w:t>ITRs-3/10</w:t>
              </w:r>
            </w:hyperlink>
            <w:proofErr w:type="gramStart"/>
            <w:r>
              <w:rPr>
                <w:color w:val="000000"/>
              </w:rPr>
              <w:t>)</w:t>
            </w:r>
            <w:r w:rsidR="005C2BF3">
              <w:rPr>
                <w:color w:val="000000"/>
              </w:rPr>
              <w:t>:</w:t>
            </w:r>
            <w:proofErr w:type="gramEnd"/>
            <w:r>
              <w:rPr>
                <w:color w:val="000000"/>
              </w:rPr>
              <w:t xml:space="preserve"> Contribution des </w:t>
            </w:r>
            <w:r w:rsidR="009639DD">
              <w:rPr>
                <w:color w:val="000000"/>
              </w:rPr>
              <w:t>É</w:t>
            </w:r>
            <w:r>
              <w:rPr>
                <w:color w:val="000000"/>
              </w:rPr>
              <w:t>tats-Unis</w:t>
            </w:r>
            <w:r w:rsidR="009639DD">
              <w:rPr>
                <w:color w:val="000000"/>
              </w:rPr>
              <w:t>.</w:t>
            </w:r>
            <w:hyperlink r:id="rId125" w:history="1"/>
          </w:p>
          <w:p w14:paraId="5CD6DBB4" w14:textId="71C3C533" w:rsidR="00FB5FE7" w:rsidRPr="00C3406C" w:rsidRDefault="00FB5FE7" w:rsidP="000846FC">
            <w:pPr>
              <w:pStyle w:val="Tabletext"/>
              <w:keepLines/>
              <w:ind w:left="284" w:hanging="284"/>
              <w:jc w:val="both"/>
            </w:pPr>
            <w:r>
              <w:rPr>
                <w:color w:val="000000"/>
              </w:rPr>
              <w:t>–</w:t>
            </w:r>
            <w:r>
              <w:rPr>
                <w:color w:val="000000"/>
              </w:rPr>
              <w:tab/>
              <w:t>Nouvelles tendances et nouveaux problèmes qui se font jour dans l</w:t>
            </w:r>
            <w:r w:rsidR="00157F52">
              <w:rPr>
                <w:color w:val="000000"/>
              </w:rPr>
              <w:t>'</w:t>
            </w:r>
            <w:r>
              <w:rPr>
                <w:color w:val="000000"/>
              </w:rPr>
              <w:t>environnement mondial des télécommunications/TIC susceptibles d</w:t>
            </w:r>
            <w:r w:rsidR="00157F52">
              <w:rPr>
                <w:color w:val="000000"/>
              </w:rPr>
              <w:t>'</w:t>
            </w:r>
            <w:r>
              <w:rPr>
                <w:color w:val="000000"/>
              </w:rPr>
              <w:t xml:space="preserve">avoir des incidences sur le Règlement des télécommunications internationales (Document </w:t>
            </w:r>
            <w:hyperlink r:id="rId126" w:history="1">
              <w:r w:rsidRPr="00F42197">
                <w:rPr>
                  <w:rStyle w:val="Hyperlink"/>
                  <w:rFonts w:eastAsia="Times New Roman" w:cs="Times New Roman"/>
                  <w:szCs w:val="20"/>
                </w:rPr>
                <w:t>EG-ITRs-3/11</w:t>
              </w:r>
            </w:hyperlink>
            <w:proofErr w:type="gramStart"/>
            <w:r>
              <w:rPr>
                <w:color w:val="000000"/>
              </w:rPr>
              <w:t>):</w:t>
            </w:r>
            <w:proofErr w:type="gramEnd"/>
            <w:r>
              <w:rPr>
                <w:color w:val="000000"/>
              </w:rPr>
              <w:t xml:space="preserve"> Contribution de la Chine</w:t>
            </w:r>
            <w:r w:rsidR="009639DD">
              <w:rPr>
                <w:color w:val="000000"/>
              </w:rPr>
              <w:t>.</w:t>
            </w:r>
            <w:hyperlink r:id="rId127" w:history="1"/>
          </w:p>
        </w:tc>
      </w:tr>
    </w:tbl>
    <w:p w14:paraId="5E2D1AA7" w14:textId="77777777" w:rsidR="007E2441" w:rsidRPr="007E2441" w:rsidRDefault="007E2441" w:rsidP="007E2441">
      <w:pPr>
        <w:pStyle w:val="Tablefin"/>
        <w:rPr>
          <w:lang w:val="fr-FR"/>
        </w:rPr>
      </w:pPr>
    </w:p>
    <w:p w14:paraId="1A45F1A6" w14:textId="261213B2" w:rsidR="00FB5FE7" w:rsidRPr="00C3406C" w:rsidRDefault="00FB5FE7" w:rsidP="000846FC">
      <w:pPr>
        <w:spacing w:after="120"/>
        <w:jc w:val="both"/>
        <w:rPr>
          <w:rFonts w:eastAsia="Calibri"/>
          <w:b/>
          <w:bCs/>
          <w:sz w:val="22"/>
          <w:szCs w:val="22"/>
        </w:rPr>
      </w:pPr>
      <w:r>
        <w:rPr>
          <w:b/>
          <w:bCs/>
        </w:rPr>
        <w:t>2.4</w:t>
      </w:r>
      <w:r>
        <w:tab/>
      </w:r>
      <w:r w:rsidRPr="00E321BF">
        <w:rPr>
          <w:b/>
          <w:bCs/>
        </w:rPr>
        <w:t>Quatrième réunion, 20-21 février 2025 (</w:t>
      </w:r>
      <w:hyperlink r:id="rId128" w:history="1">
        <w:r w:rsidRPr="000846FC">
          <w:rPr>
            <w:rStyle w:val="Hyperlink"/>
            <w:rFonts w:eastAsia="Times New Roman" w:cs="Times New Roman"/>
            <w:b/>
            <w:bCs/>
            <w:szCs w:val="20"/>
          </w:rPr>
          <w:t>voir le rapport</w:t>
        </w:r>
      </w:hyperlink>
      <w:proofErr w:type="gramStart"/>
      <w:r w:rsidRPr="00E321BF">
        <w:rPr>
          <w:b/>
          <w:bCs/>
        </w:rPr>
        <w:t>)</w:t>
      </w:r>
      <w:r w:rsidRPr="007E2441">
        <w:t>:</w:t>
      </w:r>
      <w:proofErr w:type="gramEnd"/>
      <w:r w:rsidRPr="007E2441">
        <w:t xml:space="preserve"> </w:t>
      </w:r>
      <w:r w:rsidR="007E2441">
        <w:t>l</w:t>
      </w:r>
      <w:r>
        <w:t xml:space="preserve">e </w:t>
      </w:r>
      <w:r w:rsidR="007E2441">
        <w:t>g</w:t>
      </w:r>
      <w:r>
        <w:t xml:space="preserve">roupe a examiné les contributions reçues et approuvé un plan du rapport final en vue de la session de 2026 du Conseil. Le </w:t>
      </w:r>
      <w:r w:rsidR="007E2441">
        <w:t>g</w:t>
      </w:r>
      <w:r>
        <w:t xml:space="preserve">roupe a en outre demandé que l'équipe de direction et le </w:t>
      </w:r>
      <w:r w:rsidR="007E2441">
        <w:t>S</w:t>
      </w:r>
      <w:r>
        <w:t>ecrétariat élaborent un avant-projet de rapport final au moins un mois avant sa prochaine réunion.</w:t>
      </w:r>
      <w:hyperlink r:id="rId129"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506"/>
      </w:tblGrid>
      <w:tr w:rsidR="00FB5FE7" w:rsidRPr="000F6818" w14:paraId="648C60F8" w14:textId="77777777" w:rsidTr="007E2441">
        <w:trPr>
          <w:cantSplit/>
        </w:trPr>
        <w:tc>
          <w:tcPr>
            <w:tcW w:w="858" w:type="pct"/>
            <w:hideMark/>
          </w:tcPr>
          <w:p w14:paraId="08543ED5" w14:textId="77777777" w:rsidR="00FB5FE7" w:rsidRPr="00C3406C" w:rsidRDefault="00FB5FE7" w:rsidP="00357877">
            <w:pPr>
              <w:pStyle w:val="Tabletext"/>
              <w:rPr>
                <w:b/>
                <w:bCs/>
              </w:rPr>
            </w:pPr>
            <w:r>
              <w:rPr>
                <w:b/>
                <w:bCs/>
                <w:color w:val="000000"/>
              </w:rPr>
              <w:t>Contributions reçues lors de la quatrième réunion</w:t>
            </w:r>
          </w:p>
        </w:tc>
        <w:tc>
          <w:tcPr>
            <w:tcW w:w="4142" w:type="pct"/>
            <w:hideMark/>
          </w:tcPr>
          <w:p w14:paraId="22FB1678" w14:textId="608FDC77" w:rsidR="00FB5FE7" w:rsidRPr="00C3406C" w:rsidRDefault="00FB5FE7" w:rsidP="007048BC">
            <w:pPr>
              <w:pStyle w:val="Tabletext"/>
              <w:ind w:left="284" w:hanging="284"/>
              <w:jc w:val="both"/>
            </w:pPr>
            <w:r>
              <w:rPr>
                <w:color w:val="000000"/>
              </w:rPr>
              <w:t>–</w:t>
            </w:r>
            <w:r>
              <w:rPr>
                <w:color w:val="000000"/>
              </w:rPr>
              <w:tab/>
              <w:t xml:space="preserve">Ordre du jour (Document </w:t>
            </w:r>
            <w:hyperlink r:id="rId130" w:history="1">
              <w:proofErr w:type="spellStart"/>
              <w:r w:rsidRPr="00563561">
                <w:rPr>
                  <w:rStyle w:val="Hyperlink"/>
                  <w:rFonts w:eastAsia="Times New Roman" w:cs="Times New Roman"/>
                  <w:szCs w:val="20"/>
                </w:rPr>
                <w:t>EG</w:t>
              </w:r>
              <w:proofErr w:type="spellEnd"/>
              <w:r w:rsidRPr="00563561">
                <w:rPr>
                  <w:rStyle w:val="Hyperlink"/>
                  <w:rFonts w:eastAsia="Times New Roman" w:cs="Times New Roman"/>
                  <w:szCs w:val="20"/>
                </w:rPr>
                <w:t>-</w:t>
              </w:r>
              <w:proofErr w:type="spellStart"/>
              <w:r w:rsidRPr="00563561">
                <w:rPr>
                  <w:rStyle w:val="Hyperlink"/>
                  <w:rFonts w:eastAsia="Times New Roman" w:cs="Times New Roman"/>
                  <w:szCs w:val="20"/>
                </w:rPr>
                <w:t>ITRs</w:t>
              </w:r>
              <w:proofErr w:type="spellEnd"/>
              <w:r w:rsidRPr="00563561">
                <w:rPr>
                  <w:rStyle w:val="Hyperlink"/>
                  <w:rFonts w:eastAsia="Times New Roman" w:cs="Times New Roman"/>
                  <w:szCs w:val="20"/>
                </w:rPr>
                <w:t>-4/1</w:t>
              </w:r>
            </w:hyperlink>
            <w:r>
              <w:rPr>
                <w:color w:val="000000"/>
              </w:rPr>
              <w:t>)</w:t>
            </w:r>
            <w:r w:rsidR="007E2441">
              <w:rPr>
                <w:color w:val="000000"/>
              </w:rPr>
              <w:t>.</w:t>
            </w:r>
            <w:hyperlink r:id="rId131" w:history="1"/>
          </w:p>
          <w:p w14:paraId="1599D010" w14:textId="0A099A06" w:rsidR="00FB5FE7" w:rsidRPr="00C3406C" w:rsidRDefault="00FB5FE7" w:rsidP="007048BC">
            <w:pPr>
              <w:pStyle w:val="Tabletext"/>
              <w:ind w:left="284" w:hanging="284"/>
              <w:jc w:val="both"/>
            </w:pPr>
            <w:r>
              <w:rPr>
                <w:color w:val="000000"/>
              </w:rPr>
              <w:t>–</w:t>
            </w:r>
            <w:r>
              <w:rPr>
                <w:color w:val="000000"/>
              </w:rPr>
              <w:tab/>
              <w:t>Importance d</w:t>
            </w:r>
            <w:r w:rsidR="00157F52">
              <w:rPr>
                <w:color w:val="000000"/>
              </w:rPr>
              <w:t>'</w:t>
            </w:r>
            <w:r>
              <w:rPr>
                <w:color w:val="000000"/>
              </w:rPr>
              <w:t xml:space="preserve">un arrangement spécial (Document </w:t>
            </w:r>
            <w:hyperlink r:id="rId132" w:history="1">
              <w:r w:rsidRPr="00563561">
                <w:rPr>
                  <w:rStyle w:val="Hyperlink"/>
                  <w:rFonts w:eastAsia="Times New Roman" w:cs="Times New Roman"/>
                  <w:szCs w:val="20"/>
                </w:rPr>
                <w:t>EG-ITRs-4/2</w:t>
              </w:r>
            </w:hyperlink>
            <w:proofErr w:type="gramStart"/>
            <w:r>
              <w:rPr>
                <w:color w:val="000000"/>
              </w:rPr>
              <w:t>):</w:t>
            </w:r>
            <w:proofErr w:type="gramEnd"/>
            <w:r>
              <w:rPr>
                <w:color w:val="000000"/>
              </w:rPr>
              <w:t xml:space="preserve"> Contribution de Hill</w:t>
            </w:r>
            <w:r w:rsidR="007E2441">
              <w:rPr>
                <w:color w:val="000000"/>
              </w:rPr>
              <w:t>.</w:t>
            </w:r>
            <w:hyperlink r:id="rId133" w:history="1"/>
          </w:p>
          <w:p w14:paraId="48CFC0D1" w14:textId="2D669506" w:rsidR="00FB5FE7" w:rsidRPr="00C3406C" w:rsidRDefault="00FB5FE7" w:rsidP="007048BC">
            <w:pPr>
              <w:pStyle w:val="Tabletext"/>
              <w:ind w:left="284" w:hanging="284"/>
              <w:jc w:val="both"/>
            </w:pPr>
            <w:r>
              <w:rPr>
                <w:color w:val="000000"/>
              </w:rPr>
              <w:t>–</w:t>
            </w:r>
            <w:r>
              <w:rPr>
                <w:color w:val="000000"/>
              </w:rPr>
              <w:tab/>
              <w:t xml:space="preserve">Proposition de structure du rapport final (Document </w:t>
            </w:r>
            <w:hyperlink r:id="rId134" w:history="1">
              <w:r w:rsidRPr="00563561">
                <w:rPr>
                  <w:rStyle w:val="Hyperlink"/>
                  <w:rFonts w:eastAsia="Times New Roman" w:cs="Times New Roman"/>
                  <w:szCs w:val="20"/>
                </w:rPr>
                <w:t>EG-ITRs-4/3</w:t>
              </w:r>
            </w:hyperlink>
            <w:proofErr w:type="gramStart"/>
            <w:r>
              <w:rPr>
                <w:color w:val="000000"/>
              </w:rPr>
              <w:t>):</w:t>
            </w:r>
            <w:proofErr w:type="gramEnd"/>
            <w:r>
              <w:rPr>
                <w:color w:val="000000"/>
              </w:rPr>
              <w:t xml:space="preserve"> Contribution de Hill</w:t>
            </w:r>
            <w:r w:rsidR="007E2441">
              <w:rPr>
                <w:color w:val="000000"/>
              </w:rPr>
              <w:t>.</w:t>
            </w:r>
            <w:hyperlink r:id="rId135" w:history="1"/>
          </w:p>
          <w:p w14:paraId="6524E4F2" w14:textId="536FCD89" w:rsidR="00FB5FE7" w:rsidRPr="00C3406C" w:rsidRDefault="00FB5FE7" w:rsidP="007048BC">
            <w:pPr>
              <w:pStyle w:val="Tabletext"/>
              <w:ind w:left="284" w:hanging="284"/>
              <w:jc w:val="both"/>
            </w:pPr>
            <w:r>
              <w:rPr>
                <w:color w:val="000000"/>
              </w:rPr>
              <w:t>–</w:t>
            </w:r>
            <w:r>
              <w:rPr>
                <w:color w:val="000000"/>
              </w:rPr>
              <w:tab/>
              <w:t>Points pour l</w:t>
            </w:r>
            <w:r w:rsidR="00157F52">
              <w:rPr>
                <w:color w:val="000000"/>
              </w:rPr>
              <w:t>'</w:t>
            </w:r>
            <w:r>
              <w:rPr>
                <w:color w:val="000000"/>
              </w:rPr>
              <w:t xml:space="preserve">annexe du rapport final (Document </w:t>
            </w:r>
            <w:hyperlink r:id="rId136" w:history="1">
              <w:r w:rsidRPr="00563561">
                <w:rPr>
                  <w:rStyle w:val="Hyperlink"/>
                  <w:rFonts w:eastAsia="Times New Roman" w:cs="Times New Roman"/>
                  <w:szCs w:val="20"/>
                </w:rPr>
                <w:t>EG-ITRs-4/4</w:t>
              </w:r>
            </w:hyperlink>
            <w:proofErr w:type="gramStart"/>
            <w:r>
              <w:rPr>
                <w:color w:val="000000"/>
              </w:rPr>
              <w:t>):</w:t>
            </w:r>
            <w:proofErr w:type="gramEnd"/>
            <w:r>
              <w:rPr>
                <w:color w:val="000000"/>
              </w:rPr>
              <w:t xml:space="preserve"> Contribution de Hill</w:t>
            </w:r>
            <w:r w:rsidR="007E2441">
              <w:rPr>
                <w:color w:val="000000"/>
              </w:rPr>
              <w:t>.</w:t>
            </w:r>
            <w:hyperlink r:id="rId137" w:history="1"/>
          </w:p>
          <w:p w14:paraId="536FFBA5" w14:textId="032CF01E" w:rsidR="00FB5FE7" w:rsidRPr="00C3406C" w:rsidRDefault="00FB5FE7" w:rsidP="007048BC">
            <w:pPr>
              <w:pStyle w:val="Tabletext"/>
              <w:ind w:left="284" w:hanging="284"/>
              <w:jc w:val="both"/>
            </w:pPr>
            <w:r>
              <w:rPr>
                <w:color w:val="000000"/>
              </w:rPr>
              <w:t>–</w:t>
            </w:r>
            <w:r>
              <w:rPr>
                <w:color w:val="000000"/>
              </w:rPr>
              <w:tab/>
              <w:t xml:space="preserve">Points pour le rapport final (Document </w:t>
            </w:r>
            <w:hyperlink r:id="rId138" w:history="1">
              <w:r w:rsidRPr="00563561">
                <w:rPr>
                  <w:rStyle w:val="Hyperlink"/>
                  <w:rFonts w:eastAsia="Times New Roman" w:cs="Times New Roman"/>
                  <w:szCs w:val="20"/>
                </w:rPr>
                <w:t>EG-ITRs-4/5</w:t>
              </w:r>
            </w:hyperlink>
            <w:proofErr w:type="gramStart"/>
            <w:r>
              <w:rPr>
                <w:color w:val="000000"/>
              </w:rPr>
              <w:t>):</w:t>
            </w:r>
            <w:proofErr w:type="gramEnd"/>
            <w:r>
              <w:rPr>
                <w:color w:val="000000"/>
              </w:rPr>
              <w:t xml:space="preserve"> Contribution de Hill</w:t>
            </w:r>
            <w:r w:rsidR="007E2441">
              <w:rPr>
                <w:color w:val="000000"/>
              </w:rPr>
              <w:t>.</w:t>
            </w:r>
            <w:hyperlink r:id="rId139" w:history="1"/>
          </w:p>
          <w:p w14:paraId="0A15B9B8" w14:textId="6E045F3A" w:rsidR="00FB5FE7" w:rsidRPr="00C3406C" w:rsidRDefault="00FB5FE7" w:rsidP="007048BC">
            <w:pPr>
              <w:pStyle w:val="Tabletext"/>
              <w:ind w:left="284" w:hanging="284"/>
              <w:jc w:val="both"/>
            </w:pPr>
            <w:r>
              <w:rPr>
                <w:color w:val="000000"/>
              </w:rPr>
              <w:t>–</w:t>
            </w:r>
            <w:r>
              <w:rPr>
                <w:color w:val="000000"/>
              </w:rPr>
              <w:tab/>
              <w:t xml:space="preserve">Programme de travail (Document </w:t>
            </w:r>
            <w:hyperlink r:id="rId140" w:history="1">
              <w:r w:rsidRPr="00563561">
                <w:rPr>
                  <w:rStyle w:val="Hyperlink"/>
                  <w:rFonts w:eastAsia="Times New Roman" w:cs="Times New Roman"/>
                  <w:szCs w:val="20"/>
                </w:rPr>
                <w:t>EG-ITRs-4/6</w:t>
              </w:r>
            </w:hyperlink>
            <w:proofErr w:type="gramStart"/>
            <w:r>
              <w:rPr>
                <w:color w:val="000000"/>
              </w:rPr>
              <w:t>):</w:t>
            </w:r>
            <w:proofErr w:type="gramEnd"/>
            <w:r>
              <w:rPr>
                <w:color w:val="000000"/>
              </w:rPr>
              <w:t xml:space="preserve"> Contribution de Hill</w:t>
            </w:r>
            <w:r w:rsidR="007E2441">
              <w:rPr>
                <w:color w:val="000000"/>
              </w:rPr>
              <w:t>.</w:t>
            </w:r>
            <w:hyperlink r:id="rId141" w:history="1"/>
          </w:p>
          <w:p w14:paraId="7E8273F9" w14:textId="38C613FB" w:rsidR="00FB5FE7" w:rsidRPr="00C3406C" w:rsidRDefault="00FB5FE7" w:rsidP="007048BC">
            <w:pPr>
              <w:pStyle w:val="Tabletext"/>
              <w:ind w:left="284" w:hanging="284"/>
              <w:jc w:val="both"/>
            </w:pPr>
            <w:r>
              <w:rPr>
                <w:color w:val="000000"/>
              </w:rPr>
              <w:t>–</w:t>
            </w:r>
            <w:r>
              <w:rPr>
                <w:color w:val="000000"/>
              </w:rPr>
              <w:tab/>
              <w:t>Point susceptible de faire l</w:t>
            </w:r>
            <w:r w:rsidR="00157F52">
              <w:rPr>
                <w:color w:val="000000"/>
              </w:rPr>
              <w:t>'</w:t>
            </w:r>
            <w:r>
              <w:rPr>
                <w:color w:val="000000"/>
              </w:rPr>
              <w:t>objet d</w:t>
            </w:r>
            <w:r w:rsidR="00157F52">
              <w:rPr>
                <w:color w:val="000000"/>
              </w:rPr>
              <w:t>'</w:t>
            </w:r>
            <w:r>
              <w:rPr>
                <w:color w:val="000000"/>
              </w:rPr>
              <w:t xml:space="preserve">un consensus (Document </w:t>
            </w:r>
            <w:hyperlink r:id="rId142" w:history="1">
              <w:r w:rsidRPr="00563561">
                <w:rPr>
                  <w:rStyle w:val="Hyperlink"/>
                  <w:rFonts w:eastAsia="Times New Roman" w:cs="Times New Roman"/>
                  <w:szCs w:val="20"/>
                </w:rPr>
                <w:t>EG-ITRs-4/7</w:t>
              </w:r>
            </w:hyperlink>
            <w:proofErr w:type="gramStart"/>
            <w:r>
              <w:rPr>
                <w:color w:val="000000"/>
              </w:rPr>
              <w:t>):</w:t>
            </w:r>
            <w:proofErr w:type="gramEnd"/>
            <w:r>
              <w:rPr>
                <w:color w:val="000000"/>
              </w:rPr>
              <w:t xml:space="preserve"> Contribution de Hill</w:t>
            </w:r>
            <w:r w:rsidR="007E2441">
              <w:rPr>
                <w:color w:val="000000"/>
              </w:rPr>
              <w:t>.</w:t>
            </w:r>
            <w:hyperlink r:id="rId143" w:history="1"/>
          </w:p>
          <w:p w14:paraId="6DA81722" w14:textId="54F89CB8" w:rsidR="00FB5FE7" w:rsidRPr="00C3406C" w:rsidRDefault="00FB5FE7" w:rsidP="007048BC">
            <w:pPr>
              <w:pStyle w:val="Tabletext"/>
              <w:ind w:left="284" w:hanging="284"/>
              <w:jc w:val="both"/>
            </w:pPr>
            <w:r>
              <w:rPr>
                <w:color w:val="000000"/>
              </w:rPr>
              <w:t>–</w:t>
            </w:r>
            <w:r>
              <w:rPr>
                <w:color w:val="000000"/>
              </w:rPr>
              <w:tab/>
              <w:t>Considérations relatives au rapport final du G</w:t>
            </w:r>
            <w:r w:rsidR="00ED6DE6">
              <w:rPr>
                <w:color w:val="000000"/>
              </w:rPr>
              <w:t>E</w:t>
            </w:r>
            <w:r>
              <w:rPr>
                <w:color w:val="000000"/>
              </w:rPr>
              <w:t>-RTI (Document</w:t>
            </w:r>
            <w:r w:rsidR="00563561">
              <w:rPr>
                <w:color w:val="000000"/>
              </w:rPr>
              <w:t> </w:t>
            </w:r>
            <w:proofErr w:type="spellStart"/>
            <w:r>
              <w:fldChar w:fldCharType="begin"/>
            </w:r>
            <w:r>
              <w:instrText>HYPERLINK "https://www.itu.int/md/S25-EGITRS4-C-0008/fr"</w:instrText>
            </w:r>
            <w:r>
              <w:fldChar w:fldCharType="separate"/>
            </w:r>
            <w:r w:rsidRPr="00563561">
              <w:rPr>
                <w:rStyle w:val="Hyperlink"/>
                <w:rFonts w:eastAsia="Times New Roman" w:cs="Times New Roman"/>
                <w:szCs w:val="20"/>
              </w:rPr>
              <w:t>EG</w:t>
            </w:r>
            <w:proofErr w:type="spellEnd"/>
            <w:r w:rsidR="00563561">
              <w:rPr>
                <w:rStyle w:val="Hyperlink"/>
                <w:rFonts w:eastAsia="Times New Roman" w:cs="Times New Roman"/>
                <w:szCs w:val="20"/>
              </w:rPr>
              <w:noBreakHyphen/>
            </w:r>
            <w:proofErr w:type="spellStart"/>
            <w:r w:rsidRPr="00563561">
              <w:rPr>
                <w:rStyle w:val="Hyperlink"/>
                <w:rFonts w:eastAsia="Times New Roman" w:cs="Times New Roman"/>
                <w:szCs w:val="20"/>
              </w:rPr>
              <w:t>ITRs</w:t>
            </w:r>
            <w:proofErr w:type="spellEnd"/>
            <w:r w:rsidR="00563561">
              <w:rPr>
                <w:rStyle w:val="Hyperlink"/>
                <w:rFonts w:eastAsia="Times New Roman" w:cs="Times New Roman"/>
                <w:szCs w:val="20"/>
              </w:rPr>
              <w:noBreakHyphen/>
            </w:r>
            <w:r w:rsidRPr="00563561">
              <w:rPr>
                <w:rStyle w:val="Hyperlink"/>
                <w:rFonts w:eastAsia="Times New Roman" w:cs="Times New Roman"/>
                <w:szCs w:val="20"/>
              </w:rPr>
              <w:t>4/8</w:t>
            </w:r>
            <w:r>
              <w:fldChar w:fldCharType="end"/>
            </w:r>
            <w:proofErr w:type="gramStart"/>
            <w:r>
              <w:rPr>
                <w:color w:val="000000"/>
              </w:rPr>
              <w:t>):</w:t>
            </w:r>
            <w:proofErr w:type="gramEnd"/>
            <w:r>
              <w:rPr>
                <w:color w:val="000000"/>
              </w:rPr>
              <w:t xml:space="preserve"> Contribution de la Bulgarie, de la Belgique, de la République tchèque, de l</w:t>
            </w:r>
            <w:r w:rsidR="00157F52">
              <w:rPr>
                <w:color w:val="000000"/>
              </w:rPr>
              <w:t>'</w:t>
            </w:r>
            <w:r>
              <w:rPr>
                <w:color w:val="000000"/>
              </w:rPr>
              <w:t>Allemagne, de la Lituanie, des Pays-Bas (Royaume</w:t>
            </w:r>
            <w:r w:rsidR="007E2441">
              <w:rPr>
                <w:color w:val="000000"/>
              </w:rPr>
              <w:t> </w:t>
            </w:r>
            <w:r>
              <w:rPr>
                <w:color w:val="000000"/>
              </w:rPr>
              <w:t>des), de la Suède et du Royaume-Uni</w:t>
            </w:r>
            <w:r w:rsidR="007E2441">
              <w:rPr>
                <w:color w:val="000000"/>
              </w:rPr>
              <w:t>.</w:t>
            </w:r>
            <w:hyperlink r:id="rId144" w:history="1"/>
          </w:p>
        </w:tc>
      </w:tr>
    </w:tbl>
    <w:p w14:paraId="78710067" w14:textId="77777777" w:rsidR="00FB5FE7" w:rsidRPr="00C3406C" w:rsidRDefault="00FB5FE7" w:rsidP="00357877">
      <w:pPr>
        <w:pStyle w:val="Tablefin"/>
        <w:rPr>
          <w:lang w:val="fr-FR"/>
        </w:rPr>
      </w:pPr>
    </w:p>
    <w:p w14:paraId="2229685B" w14:textId="3725D671" w:rsidR="00FB5FE7" w:rsidRPr="00C3406C" w:rsidRDefault="00FB5FE7" w:rsidP="007048BC">
      <w:pPr>
        <w:spacing w:after="120"/>
        <w:jc w:val="both"/>
        <w:rPr>
          <w:rFonts w:eastAsia="Calibri"/>
        </w:rPr>
      </w:pPr>
      <w:r>
        <w:rPr>
          <w:b/>
          <w:bCs/>
        </w:rPr>
        <w:t>2.5</w:t>
      </w:r>
      <w:r>
        <w:tab/>
      </w:r>
      <w:r w:rsidRPr="00E321BF">
        <w:rPr>
          <w:b/>
          <w:bCs/>
        </w:rPr>
        <w:t>Cinquième réunion, 11-12 septembre 2025 (</w:t>
      </w:r>
      <w:hyperlink r:id="rId145" w:history="1">
        <w:r w:rsidRPr="007048BC">
          <w:rPr>
            <w:rStyle w:val="Hyperlink"/>
            <w:rFonts w:eastAsia="Times New Roman" w:cs="Times New Roman"/>
            <w:b/>
            <w:bCs/>
            <w:szCs w:val="20"/>
          </w:rPr>
          <w:t>voir le rapport</w:t>
        </w:r>
      </w:hyperlink>
      <w:proofErr w:type="gramStart"/>
      <w:r w:rsidRPr="00E321BF">
        <w:rPr>
          <w:b/>
          <w:bCs/>
        </w:rPr>
        <w:t>)</w:t>
      </w:r>
      <w:r w:rsidRPr="007E2441">
        <w:t>:</w:t>
      </w:r>
      <w:proofErr w:type="gramEnd"/>
      <w:r w:rsidRPr="007E2441">
        <w:t xml:space="preserve"> </w:t>
      </w:r>
      <w:r w:rsidR="007E2441">
        <w:t>l</w:t>
      </w:r>
      <w:r>
        <w:t xml:space="preserve">e </w:t>
      </w:r>
      <w:r w:rsidR="007E2441">
        <w:t>g</w:t>
      </w:r>
      <w:r>
        <w:t>roupe a examiné les contributions reçues et a approuvé le rapport final qui sera soumis à la session de 2026 du</w:t>
      </w:r>
      <w:r w:rsidR="007E2441">
        <w:t> </w:t>
      </w:r>
      <w:r>
        <w:t>Conseil.</w:t>
      </w:r>
      <w:hyperlink r:id="rId146" w:history="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7595"/>
      </w:tblGrid>
      <w:tr w:rsidR="00FB5FE7" w:rsidRPr="000F6818" w14:paraId="00C774B9" w14:textId="77777777" w:rsidTr="00CA1445">
        <w:trPr>
          <w:trHeight w:val="778"/>
        </w:trPr>
        <w:tc>
          <w:tcPr>
            <w:tcW w:w="810" w:type="pct"/>
            <w:hideMark/>
          </w:tcPr>
          <w:p w14:paraId="29952521" w14:textId="77777777" w:rsidR="00FB5FE7" w:rsidRPr="00C3406C" w:rsidRDefault="00FB5FE7" w:rsidP="00357877">
            <w:pPr>
              <w:pStyle w:val="Tabletext"/>
              <w:rPr>
                <w:b/>
                <w:bCs/>
              </w:rPr>
            </w:pPr>
            <w:r>
              <w:rPr>
                <w:b/>
                <w:bCs/>
                <w:color w:val="000000"/>
              </w:rPr>
              <w:t>Contributions reçues à la cinquième réunion</w:t>
            </w:r>
          </w:p>
        </w:tc>
        <w:tc>
          <w:tcPr>
            <w:tcW w:w="4190" w:type="pct"/>
          </w:tcPr>
          <w:p w14:paraId="59BE340F" w14:textId="194C5815" w:rsidR="00FB5FE7" w:rsidRPr="00C3406C" w:rsidRDefault="00FB5FE7" w:rsidP="00E06096">
            <w:pPr>
              <w:pStyle w:val="Tabletext"/>
              <w:ind w:left="284" w:hanging="284"/>
              <w:jc w:val="both"/>
            </w:pPr>
            <w:r>
              <w:rPr>
                <w:color w:val="000000"/>
              </w:rPr>
              <w:t>–</w:t>
            </w:r>
            <w:r>
              <w:rPr>
                <w:color w:val="000000"/>
              </w:rPr>
              <w:tab/>
              <w:t xml:space="preserve">Ordre du jour (Document </w:t>
            </w:r>
            <w:hyperlink r:id="rId147" w:history="1">
              <w:proofErr w:type="spellStart"/>
              <w:r w:rsidRPr="00F50931">
                <w:rPr>
                  <w:rStyle w:val="Hyperlink"/>
                  <w:rFonts w:eastAsia="Times New Roman" w:cs="Times New Roman"/>
                  <w:szCs w:val="20"/>
                </w:rPr>
                <w:t>EG</w:t>
              </w:r>
              <w:proofErr w:type="spellEnd"/>
              <w:r w:rsidRPr="00F50931">
                <w:rPr>
                  <w:rStyle w:val="Hyperlink"/>
                  <w:rFonts w:eastAsia="Times New Roman" w:cs="Times New Roman"/>
                  <w:szCs w:val="20"/>
                </w:rPr>
                <w:t>-</w:t>
              </w:r>
              <w:proofErr w:type="spellStart"/>
              <w:r w:rsidRPr="00F50931">
                <w:rPr>
                  <w:rStyle w:val="Hyperlink"/>
                  <w:rFonts w:eastAsia="Times New Roman" w:cs="Times New Roman"/>
                  <w:szCs w:val="20"/>
                </w:rPr>
                <w:t>ITRs</w:t>
              </w:r>
              <w:proofErr w:type="spellEnd"/>
              <w:r w:rsidRPr="00F50931">
                <w:rPr>
                  <w:rStyle w:val="Hyperlink"/>
                  <w:rFonts w:eastAsia="Times New Roman" w:cs="Times New Roman"/>
                  <w:szCs w:val="20"/>
                </w:rPr>
                <w:t>-5/1</w:t>
              </w:r>
            </w:hyperlink>
            <w:r>
              <w:rPr>
                <w:color w:val="000000"/>
              </w:rPr>
              <w:t>)</w:t>
            </w:r>
            <w:r w:rsidR="007E2441">
              <w:rPr>
                <w:color w:val="000000"/>
              </w:rPr>
              <w:t>.</w:t>
            </w:r>
            <w:hyperlink r:id="rId148" w:history="1"/>
          </w:p>
          <w:p w14:paraId="70E011D1" w14:textId="14DC5F87" w:rsidR="00FB5FE7" w:rsidRPr="00C3406C" w:rsidRDefault="00FB5FE7" w:rsidP="00E06096">
            <w:pPr>
              <w:pStyle w:val="Tabletext"/>
              <w:ind w:left="284" w:hanging="284"/>
              <w:jc w:val="both"/>
            </w:pPr>
            <w:r>
              <w:rPr>
                <w:color w:val="000000"/>
              </w:rPr>
              <w:t>–</w:t>
            </w:r>
            <w:r>
              <w:rPr>
                <w:color w:val="000000"/>
              </w:rPr>
              <w:tab/>
              <w:t>Projet de rapport final du Groupe d'experts sur le Règlement des télécommunications internationales (RTI) au Conseil de l'UIT à sa session de</w:t>
            </w:r>
            <w:r w:rsidR="007E2441">
              <w:rPr>
                <w:color w:val="000000"/>
              </w:rPr>
              <w:t> </w:t>
            </w:r>
            <w:r>
              <w:rPr>
                <w:color w:val="000000"/>
              </w:rPr>
              <w:t xml:space="preserve">2026 (Document </w:t>
            </w:r>
            <w:hyperlink r:id="rId149" w:history="1">
              <w:proofErr w:type="spellStart"/>
              <w:r w:rsidRPr="00F50931">
                <w:rPr>
                  <w:rStyle w:val="Hyperlink"/>
                  <w:rFonts w:eastAsia="Times New Roman" w:cs="Times New Roman"/>
                  <w:szCs w:val="20"/>
                </w:rPr>
                <w:t>EG</w:t>
              </w:r>
              <w:proofErr w:type="spellEnd"/>
              <w:r w:rsidRPr="00F50931">
                <w:rPr>
                  <w:rStyle w:val="Hyperlink"/>
                  <w:rFonts w:eastAsia="Times New Roman" w:cs="Times New Roman"/>
                  <w:szCs w:val="20"/>
                </w:rPr>
                <w:t>-</w:t>
              </w:r>
              <w:proofErr w:type="spellStart"/>
              <w:r w:rsidRPr="00F50931">
                <w:rPr>
                  <w:rStyle w:val="Hyperlink"/>
                  <w:rFonts w:eastAsia="Times New Roman" w:cs="Times New Roman"/>
                  <w:szCs w:val="20"/>
                </w:rPr>
                <w:t>ITRs</w:t>
              </w:r>
              <w:proofErr w:type="spellEnd"/>
              <w:r w:rsidRPr="00F50931">
                <w:rPr>
                  <w:rStyle w:val="Hyperlink"/>
                  <w:rFonts w:eastAsia="Times New Roman" w:cs="Times New Roman"/>
                  <w:szCs w:val="20"/>
                </w:rPr>
                <w:t>-5/2</w:t>
              </w:r>
            </w:hyperlink>
            <w:r w:rsidR="00F50931">
              <w:rPr>
                <w:color w:val="000000"/>
              </w:rPr>
              <w:t>)</w:t>
            </w:r>
            <w:r w:rsidR="007E2441">
              <w:rPr>
                <w:color w:val="000000"/>
              </w:rPr>
              <w:t>.</w:t>
            </w:r>
            <w:hyperlink r:id="rId150" w:history="1"/>
          </w:p>
          <w:p w14:paraId="5F186E1E" w14:textId="65496933" w:rsidR="00FB5FE7" w:rsidRPr="00C3406C" w:rsidRDefault="00FB5FE7" w:rsidP="00E06096">
            <w:pPr>
              <w:pStyle w:val="Tabletext"/>
              <w:ind w:left="284" w:hanging="284"/>
              <w:jc w:val="both"/>
            </w:pPr>
            <w:r>
              <w:rPr>
                <w:color w:val="000000"/>
              </w:rPr>
              <w:t>–</w:t>
            </w:r>
            <w:r>
              <w:rPr>
                <w:color w:val="000000"/>
              </w:rPr>
              <w:tab/>
              <w:t xml:space="preserve">Propositions de révision du projet de rapport final (Document </w:t>
            </w:r>
            <w:hyperlink r:id="rId151" w:history="1">
              <w:r w:rsidRPr="00F50931">
                <w:rPr>
                  <w:rStyle w:val="Hyperlink"/>
                  <w:rFonts w:eastAsia="Times New Roman" w:cs="Times New Roman"/>
                  <w:szCs w:val="20"/>
                </w:rPr>
                <w:t>EG-ITRs-5/3</w:t>
              </w:r>
            </w:hyperlink>
            <w:proofErr w:type="gramStart"/>
            <w:r>
              <w:rPr>
                <w:color w:val="000000"/>
              </w:rPr>
              <w:t>):</w:t>
            </w:r>
            <w:proofErr w:type="gramEnd"/>
            <w:r>
              <w:rPr>
                <w:color w:val="000000"/>
              </w:rPr>
              <w:t xml:space="preserve"> Contribution de Hill</w:t>
            </w:r>
            <w:r w:rsidR="007E2441">
              <w:rPr>
                <w:color w:val="000000"/>
              </w:rPr>
              <w:t>.</w:t>
            </w:r>
            <w:hyperlink r:id="rId152" w:history="1"/>
          </w:p>
          <w:p w14:paraId="47456404" w14:textId="1F7080EC" w:rsidR="00FB5FE7" w:rsidRPr="00C3406C" w:rsidRDefault="00FB5FE7" w:rsidP="00E06096">
            <w:pPr>
              <w:pStyle w:val="Tabletext"/>
              <w:ind w:left="284" w:hanging="284"/>
              <w:jc w:val="both"/>
            </w:pPr>
            <w:r>
              <w:rPr>
                <w:color w:val="000000"/>
              </w:rPr>
              <w:t>–</w:t>
            </w:r>
            <w:r>
              <w:rPr>
                <w:color w:val="000000"/>
              </w:rPr>
              <w:tab/>
              <w:t>Propositions de modification du rapport final du G</w:t>
            </w:r>
            <w:r w:rsidR="00ED6DE6">
              <w:rPr>
                <w:color w:val="000000"/>
              </w:rPr>
              <w:t>E</w:t>
            </w:r>
            <w:r>
              <w:rPr>
                <w:color w:val="000000"/>
              </w:rPr>
              <w:t>-RTI à la session de</w:t>
            </w:r>
            <w:r w:rsidR="007E2441">
              <w:rPr>
                <w:color w:val="000000"/>
              </w:rPr>
              <w:t> </w:t>
            </w:r>
            <w:r>
              <w:rPr>
                <w:color w:val="000000"/>
              </w:rPr>
              <w:t>2026 du Conseil de l</w:t>
            </w:r>
            <w:r w:rsidR="00157F52">
              <w:rPr>
                <w:color w:val="000000"/>
              </w:rPr>
              <w:t>'</w:t>
            </w:r>
            <w:r>
              <w:rPr>
                <w:color w:val="000000"/>
              </w:rPr>
              <w:t xml:space="preserve">UIT (Document </w:t>
            </w:r>
            <w:hyperlink r:id="rId153" w:history="1">
              <w:r w:rsidRPr="00F50931">
                <w:rPr>
                  <w:rStyle w:val="Hyperlink"/>
                  <w:rFonts w:eastAsia="Times New Roman" w:cs="Times New Roman"/>
                  <w:szCs w:val="20"/>
                </w:rPr>
                <w:t>EG-ITRs-5/4</w:t>
              </w:r>
            </w:hyperlink>
            <w:proofErr w:type="gramStart"/>
            <w:r>
              <w:rPr>
                <w:color w:val="000000"/>
              </w:rPr>
              <w:t>):</w:t>
            </w:r>
            <w:proofErr w:type="gramEnd"/>
            <w:r>
              <w:rPr>
                <w:color w:val="000000"/>
              </w:rPr>
              <w:t xml:space="preserve"> Contribution de la Fédération de Russie, du Bélarus et du Kirghizistan</w:t>
            </w:r>
            <w:r w:rsidR="007E2441">
              <w:rPr>
                <w:color w:val="000000"/>
              </w:rPr>
              <w:t>.</w:t>
            </w:r>
            <w:hyperlink r:id="rId154" w:history="1"/>
          </w:p>
          <w:p w14:paraId="4C1AD59A" w14:textId="1000F570" w:rsidR="00FB5FE7" w:rsidRPr="00C3406C" w:rsidRDefault="00FB5FE7" w:rsidP="00E06096">
            <w:pPr>
              <w:pStyle w:val="Tabletext"/>
              <w:ind w:left="284" w:hanging="284"/>
              <w:jc w:val="both"/>
            </w:pPr>
            <w:r>
              <w:rPr>
                <w:color w:val="000000"/>
              </w:rPr>
              <w:t>–</w:t>
            </w:r>
            <w:r>
              <w:rPr>
                <w:color w:val="000000"/>
              </w:rPr>
              <w:tab/>
              <w:t xml:space="preserve">Futur RTI (Document </w:t>
            </w:r>
            <w:hyperlink r:id="rId155" w:history="1">
              <w:r w:rsidRPr="00F50931">
                <w:rPr>
                  <w:rStyle w:val="Hyperlink"/>
                  <w:rFonts w:eastAsia="Times New Roman" w:cs="Times New Roman"/>
                  <w:szCs w:val="20"/>
                </w:rPr>
                <w:t>EG-ITRs-5/5</w:t>
              </w:r>
            </w:hyperlink>
            <w:proofErr w:type="gramStart"/>
            <w:r>
              <w:rPr>
                <w:color w:val="000000"/>
              </w:rPr>
              <w:t>):</w:t>
            </w:r>
            <w:proofErr w:type="gramEnd"/>
            <w:r>
              <w:rPr>
                <w:color w:val="000000"/>
              </w:rPr>
              <w:t xml:space="preserve"> Contribution de la Fédération de Russie</w:t>
            </w:r>
            <w:r w:rsidR="007E2441">
              <w:rPr>
                <w:color w:val="000000"/>
              </w:rPr>
              <w:t>.</w:t>
            </w:r>
            <w:hyperlink r:id="rId156" w:history="1"/>
          </w:p>
          <w:p w14:paraId="3C816138" w14:textId="69591D52" w:rsidR="00FB5FE7" w:rsidRPr="00C3406C" w:rsidRDefault="00FB5FE7" w:rsidP="00E06096">
            <w:pPr>
              <w:pStyle w:val="Tabletext"/>
              <w:ind w:left="284" w:hanging="284"/>
              <w:jc w:val="both"/>
            </w:pPr>
            <w:r>
              <w:rPr>
                <w:color w:val="000000"/>
              </w:rPr>
              <w:t>–</w:t>
            </w:r>
            <w:r>
              <w:rPr>
                <w:color w:val="000000"/>
              </w:rPr>
              <w:tab/>
              <w:t xml:space="preserve">Propositions de révision du projet de rapport final (Document </w:t>
            </w:r>
            <w:hyperlink r:id="rId157" w:history="1">
              <w:r w:rsidRPr="00F50931">
                <w:rPr>
                  <w:rStyle w:val="Hyperlink"/>
                  <w:rFonts w:eastAsia="Times New Roman" w:cs="Times New Roman"/>
                  <w:szCs w:val="20"/>
                </w:rPr>
                <w:t>EG-ITRs-5/6</w:t>
              </w:r>
            </w:hyperlink>
            <w:proofErr w:type="gramStart"/>
            <w:r>
              <w:rPr>
                <w:color w:val="000000"/>
              </w:rPr>
              <w:t>):</w:t>
            </w:r>
            <w:proofErr w:type="gramEnd"/>
            <w:r>
              <w:rPr>
                <w:color w:val="000000"/>
              </w:rPr>
              <w:t xml:space="preserve"> Contribution de la Bulgarie, de la République tchèque et du Royaume-Uni</w:t>
            </w:r>
            <w:r w:rsidR="007E2441">
              <w:rPr>
                <w:color w:val="000000"/>
              </w:rPr>
              <w:t>.</w:t>
            </w:r>
            <w:hyperlink r:id="rId158" w:history="1"/>
          </w:p>
          <w:p w14:paraId="4A7B66E0" w14:textId="56B28DDA" w:rsidR="00FB5FE7" w:rsidRPr="00C3406C" w:rsidRDefault="00FB5FE7" w:rsidP="00E06096">
            <w:pPr>
              <w:pStyle w:val="Tabletext"/>
              <w:ind w:left="284" w:hanging="284"/>
              <w:jc w:val="both"/>
            </w:pPr>
            <w:r>
              <w:rPr>
                <w:color w:val="000000"/>
              </w:rPr>
              <w:t>–</w:t>
            </w:r>
            <w:r>
              <w:rPr>
                <w:color w:val="000000"/>
              </w:rPr>
              <w:tab/>
              <w:t xml:space="preserve">Propositions de révision du projet de rapport final (Document </w:t>
            </w:r>
            <w:hyperlink r:id="rId159" w:history="1">
              <w:r w:rsidRPr="00F50931">
                <w:rPr>
                  <w:rStyle w:val="Hyperlink"/>
                  <w:rFonts w:eastAsia="Times New Roman" w:cs="Times New Roman"/>
                  <w:szCs w:val="20"/>
                </w:rPr>
                <w:t>EG-ITRs-5/7</w:t>
              </w:r>
            </w:hyperlink>
            <w:proofErr w:type="gramStart"/>
            <w:r>
              <w:rPr>
                <w:color w:val="000000"/>
              </w:rPr>
              <w:t>):</w:t>
            </w:r>
            <w:proofErr w:type="gramEnd"/>
            <w:r>
              <w:rPr>
                <w:color w:val="000000"/>
              </w:rPr>
              <w:t xml:space="preserve"> Contribution des </w:t>
            </w:r>
            <w:r w:rsidR="007E2441">
              <w:rPr>
                <w:color w:val="000000"/>
              </w:rPr>
              <w:t>É</w:t>
            </w:r>
            <w:r>
              <w:rPr>
                <w:color w:val="000000"/>
              </w:rPr>
              <w:t>tats-Unis</w:t>
            </w:r>
            <w:r w:rsidR="007E2441">
              <w:rPr>
                <w:color w:val="000000"/>
              </w:rPr>
              <w:t>.</w:t>
            </w:r>
            <w:hyperlink r:id="rId160" w:history="1"/>
          </w:p>
          <w:p w14:paraId="7B268ECA" w14:textId="1AC6B685" w:rsidR="00FB5FE7" w:rsidRPr="00C3406C" w:rsidRDefault="00FB5FE7" w:rsidP="00E06096">
            <w:pPr>
              <w:pStyle w:val="Tabletext"/>
              <w:ind w:left="284" w:hanging="284"/>
              <w:jc w:val="both"/>
            </w:pPr>
            <w:r>
              <w:rPr>
                <w:color w:val="000000"/>
              </w:rPr>
              <w:t>–</w:t>
            </w:r>
            <w:r>
              <w:rPr>
                <w:color w:val="000000"/>
              </w:rPr>
              <w:tab/>
              <w:t xml:space="preserve">Marche à suivre possible concernant le RTI (Document </w:t>
            </w:r>
            <w:hyperlink r:id="rId161" w:history="1">
              <w:r w:rsidRPr="00F50931">
                <w:rPr>
                  <w:rStyle w:val="Hyperlink"/>
                  <w:rFonts w:eastAsia="Times New Roman" w:cs="Times New Roman"/>
                  <w:szCs w:val="20"/>
                </w:rPr>
                <w:t>EG-ITRs-5/8</w:t>
              </w:r>
            </w:hyperlink>
            <w:proofErr w:type="gramStart"/>
            <w:r>
              <w:rPr>
                <w:color w:val="000000"/>
              </w:rPr>
              <w:t>):</w:t>
            </w:r>
            <w:proofErr w:type="gramEnd"/>
            <w:r>
              <w:rPr>
                <w:color w:val="000000"/>
              </w:rPr>
              <w:t xml:space="preserve"> Contribution de l</w:t>
            </w:r>
            <w:r w:rsidR="00157F52">
              <w:rPr>
                <w:color w:val="000000"/>
              </w:rPr>
              <w:t>'</w:t>
            </w:r>
            <w:r w:rsidR="00F50931">
              <w:rPr>
                <w:color w:val="000000"/>
              </w:rPr>
              <w:t>Égypte</w:t>
            </w:r>
            <w:r w:rsidR="007E2441">
              <w:rPr>
                <w:color w:val="000000"/>
              </w:rPr>
              <w:t>.</w:t>
            </w:r>
            <w:hyperlink r:id="rId162" w:history="1"/>
          </w:p>
          <w:p w14:paraId="1140DF69" w14:textId="1A0B023C" w:rsidR="00FB5FE7" w:rsidRPr="00C3406C" w:rsidRDefault="00FB5FE7" w:rsidP="00E06096">
            <w:pPr>
              <w:pStyle w:val="Tabletext"/>
              <w:keepLines/>
              <w:ind w:left="284" w:hanging="284"/>
              <w:jc w:val="both"/>
            </w:pPr>
            <w:r>
              <w:rPr>
                <w:color w:val="000000"/>
              </w:rPr>
              <w:t>–</w:t>
            </w:r>
            <w:r>
              <w:rPr>
                <w:color w:val="000000"/>
              </w:rPr>
              <w:tab/>
              <w:t>Données empiriques sur l</w:t>
            </w:r>
            <w:r w:rsidR="00157F52">
              <w:rPr>
                <w:color w:val="000000"/>
              </w:rPr>
              <w:t>'</w:t>
            </w:r>
            <w:r>
              <w:rPr>
                <w:color w:val="000000"/>
              </w:rPr>
              <w:t xml:space="preserve">utilisation actuelle du RTI par les exploitations (opérateurs de télécommunication) et/ou les administrations des </w:t>
            </w:r>
            <w:r w:rsidR="00F50931">
              <w:rPr>
                <w:color w:val="000000"/>
              </w:rPr>
              <w:t>États</w:t>
            </w:r>
            <w:r w:rsidR="007E2441">
              <w:rPr>
                <w:color w:val="000000"/>
              </w:rPr>
              <w:t> </w:t>
            </w:r>
            <w:r>
              <w:rPr>
                <w:color w:val="000000"/>
              </w:rPr>
              <w:t xml:space="preserve">Membres de la RCC/CEI (Document </w:t>
            </w:r>
            <w:hyperlink r:id="rId163" w:history="1">
              <w:r w:rsidRPr="00F50931">
                <w:rPr>
                  <w:rStyle w:val="Hyperlink"/>
                  <w:rFonts w:eastAsia="Times New Roman" w:cs="Times New Roman"/>
                  <w:szCs w:val="20"/>
                </w:rPr>
                <w:t>EG-ITRs-5/9</w:t>
              </w:r>
            </w:hyperlink>
            <w:proofErr w:type="gramStart"/>
            <w:r>
              <w:rPr>
                <w:color w:val="000000"/>
              </w:rPr>
              <w:t>):</w:t>
            </w:r>
            <w:proofErr w:type="gramEnd"/>
            <w:r>
              <w:rPr>
                <w:color w:val="000000"/>
              </w:rPr>
              <w:t xml:space="preserve"> Contribution du Comité exécutif de la RCC, Arménie, Kirghizistan, Tadjikistan</w:t>
            </w:r>
            <w:r w:rsidR="007E2441">
              <w:rPr>
                <w:color w:val="000000"/>
              </w:rPr>
              <w:t>.</w:t>
            </w:r>
            <w:hyperlink r:id="rId164" w:history="1"/>
          </w:p>
        </w:tc>
      </w:tr>
    </w:tbl>
    <w:p w14:paraId="7ED58BCF" w14:textId="77777777" w:rsidR="00FB5FE7" w:rsidRPr="00C3406C" w:rsidRDefault="00FB5FE7" w:rsidP="00357877">
      <w:pPr>
        <w:pStyle w:val="Tablefin"/>
        <w:rPr>
          <w:lang w:val="fr-FR"/>
        </w:rPr>
      </w:pPr>
    </w:p>
    <w:p w14:paraId="616183A7" w14:textId="0D0B9E6C" w:rsidR="00FB5FE7" w:rsidRPr="00C3406C" w:rsidRDefault="00FB5FE7" w:rsidP="00E06096">
      <w:pPr>
        <w:spacing w:after="120"/>
        <w:jc w:val="both"/>
        <w:rPr>
          <w:rFonts w:eastAsia="Calibri"/>
          <w:b/>
          <w:bCs/>
        </w:rPr>
      </w:pPr>
      <w:r>
        <w:rPr>
          <w:b/>
          <w:bCs/>
        </w:rPr>
        <w:lastRenderedPageBreak/>
        <w:t>2.6</w:t>
      </w:r>
      <w:r>
        <w:tab/>
      </w:r>
      <w:r w:rsidRPr="00367451">
        <w:rPr>
          <w:b/>
          <w:bCs/>
        </w:rPr>
        <w:t>Sixième réunion, 17-18 janvier 2022 (</w:t>
      </w:r>
      <w:hyperlink r:id="rId165" w:history="1">
        <w:r w:rsidRPr="00E06096">
          <w:rPr>
            <w:rStyle w:val="Hyperlink"/>
            <w:rFonts w:eastAsia="Times New Roman" w:cs="Times New Roman"/>
            <w:b/>
            <w:bCs/>
            <w:szCs w:val="20"/>
          </w:rPr>
          <w:t>voir le rapport</w:t>
        </w:r>
      </w:hyperlink>
      <w:proofErr w:type="gramStart"/>
      <w:r w:rsidRPr="00367451">
        <w:rPr>
          <w:b/>
          <w:bCs/>
        </w:rPr>
        <w:t>)</w:t>
      </w:r>
      <w:r w:rsidRPr="007E2441">
        <w:t>:</w:t>
      </w:r>
      <w:proofErr w:type="gramEnd"/>
      <w:r w:rsidRPr="007E2441">
        <w:t xml:space="preserve"> </w:t>
      </w:r>
      <w:r w:rsidR="007E2441">
        <w:t>à</w:t>
      </w:r>
      <w:r>
        <w:t xml:space="preserve"> la sixième réunion, les membres du G</w:t>
      </w:r>
      <w:r w:rsidR="00ED6DE6">
        <w:t>E</w:t>
      </w:r>
      <w:r>
        <w:t xml:space="preserve">-RTI ont examiné et parachevé le présent </w:t>
      </w:r>
      <w:r w:rsidR="007E2441">
        <w:t>r</w:t>
      </w:r>
      <w:r>
        <w:t>apport et ont également approuvé le rapport de la sixième réunion.</w:t>
      </w:r>
      <w:hyperlink r:id="rId166"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9"/>
        <w:gridCol w:w="7582"/>
      </w:tblGrid>
      <w:tr w:rsidR="00FB5FE7" w:rsidRPr="000F6818" w14:paraId="552F39CE" w14:textId="77777777" w:rsidTr="007E2441">
        <w:trPr>
          <w:trHeight w:val="778"/>
        </w:trPr>
        <w:tc>
          <w:tcPr>
            <w:tcW w:w="816" w:type="pct"/>
            <w:hideMark/>
          </w:tcPr>
          <w:p w14:paraId="750481FE" w14:textId="77777777" w:rsidR="00FB5FE7" w:rsidRPr="00C3406C" w:rsidRDefault="00FB5FE7" w:rsidP="00357877">
            <w:pPr>
              <w:pStyle w:val="Tabletext"/>
              <w:rPr>
                <w:b/>
                <w:bCs/>
              </w:rPr>
            </w:pPr>
            <w:r>
              <w:rPr>
                <w:b/>
                <w:bCs/>
                <w:color w:val="000000"/>
              </w:rPr>
              <w:t>Contributions reçues à la sixième réunion</w:t>
            </w:r>
          </w:p>
        </w:tc>
        <w:tc>
          <w:tcPr>
            <w:tcW w:w="4184" w:type="pct"/>
            <w:hideMark/>
          </w:tcPr>
          <w:p w14:paraId="48FBF5CB" w14:textId="511E5D2A" w:rsidR="00FB5FE7" w:rsidRPr="00C3406C" w:rsidRDefault="00FB5FE7" w:rsidP="00E06096">
            <w:pPr>
              <w:pStyle w:val="Tabletext"/>
              <w:ind w:left="284" w:hanging="284"/>
              <w:jc w:val="both"/>
            </w:pPr>
            <w:r>
              <w:rPr>
                <w:color w:val="000000"/>
              </w:rPr>
              <w:t>–</w:t>
            </w:r>
            <w:r>
              <w:rPr>
                <w:color w:val="000000"/>
              </w:rPr>
              <w:tab/>
              <w:t xml:space="preserve">Ordre du jour (Document </w:t>
            </w:r>
            <w:hyperlink r:id="rId167" w:history="1">
              <w:proofErr w:type="spellStart"/>
              <w:r w:rsidRPr="001171D1">
                <w:rPr>
                  <w:rStyle w:val="Hyperlink"/>
                  <w:rFonts w:eastAsia="Times New Roman" w:cs="Times New Roman"/>
                  <w:szCs w:val="20"/>
                </w:rPr>
                <w:t>EG</w:t>
              </w:r>
              <w:proofErr w:type="spellEnd"/>
              <w:r w:rsidRPr="001171D1">
                <w:rPr>
                  <w:rStyle w:val="Hyperlink"/>
                  <w:rFonts w:eastAsia="Times New Roman" w:cs="Times New Roman"/>
                  <w:szCs w:val="20"/>
                </w:rPr>
                <w:t>-</w:t>
              </w:r>
              <w:proofErr w:type="spellStart"/>
              <w:r w:rsidRPr="001171D1">
                <w:rPr>
                  <w:rStyle w:val="Hyperlink"/>
                  <w:rFonts w:eastAsia="Times New Roman" w:cs="Times New Roman"/>
                  <w:szCs w:val="20"/>
                </w:rPr>
                <w:t>ITRs</w:t>
              </w:r>
              <w:proofErr w:type="spellEnd"/>
              <w:r w:rsidRPr="001171D1">
                <w:rPr>
                  <w:rStyle w:val="Hyperlink"/>
                  <w:rFonts w:eastAsia="Times New Roman" w:cs="Times New Roman"/>
                  <w:szCs w:val="20"/>
                </w:rPr>
                <w:t>-6/1</w:t>
              </w:r>
            </w:hyperlink>
            <w:r>
              <w:rPr>
                <w:color w:val="000000"/>
              </w:rPr>
              <w:t>)</w:t>
            </w:r>
            <w:r w:rsidR="007E2441">
              <w:rPr>
                <w:color w:val="000000"/>
              </w:rPr>
              <w:t>.</w:t>
            </w:r>
            <w:hyperlink r:id="rId168" w:history="1"/>
          </w:p>
          <w:p w14:paraId="051144CA" w14:textId="1971BBB0" w:rsidR="00FB5FE7" w:rsidRPr="00C3406C" w:rsidRDefault="00FB5FE7" w:rsidP="00E06096">
            <w:pPr>
              <w:pStyle w:val="Tabletext"/>
              <w:ind w:left="284" w:hanging="284"/>
              <w:jc w:val="both"/>
            </w:pPr>
            <w:r>
              <w:rPr>
                <w:color w:val="000000"/>
              </w:rPr>
              <w:t>–</w:t>
            </w:r>
            <w:r>
              <w:rPr>
                <w:color w:val="000000"/>
              </w:rPr>
              <w:tab/>
              <w:t xml:space="preserve">Incidences du RTI (Document </w:t>
            </w:r>
            <w:hyperlink r:id="rId169" w:history="1">
              <w:r w:rsidRPr="001171D1">
                <w:rPr>
                  <w:rStyle w:val="Hyperlink"/>
                  <w:rFonts w:eastAsia="Times New Roman" w:cs="Times New Roman"/>
                  <w:szCs w:val="20"/>
                </w:rPr>
                <w:t>EG-ITRs-6/2</w:t>
              </w:r>
            </w:hyperlink>
            <w:proofErr w:type="gramStart"/>
            <w:r>
              <w:rPr>
                <w:color w:val="000000"/>
              </w:rPr>
              <w:t>):</w:t>
            </w:r>
            <w:proofErr w:type="gramEnd"/>
            <w:r>
              <w:rPr>
                <w:color w:val="000000"/>
              </w:rPr>
              <w:t xml:space="preserve"> </w:t>
            </w:r>
            <w:r w:rsidR="007E2441">
              <w:rPr>
                <w:color w:val="000000"/>
              </w:rPr>
              <w:t>C</w:t>
            </w:r>
            <w:r>
              <w:rPr>
                <w:color w:val="000000"/>
              </w:rPr>
              <w:t>ontribution de Hill</w:t>
            </w:r>
            <w:r w:rsidR="007E2441">
              <w:rPr>
                <w:color w:val="000000"/>
              </w:rPr>
              <w:t>.</w:t>
            </w:r>
            <w:hyperlink r:id="rId170" w:history="1"/>
          </w:p>
          <w:p w14:paraId="0288BD46" w14:textId="3B3A0C14" w:rsidR="00FB5FE7" w:rsidRPr="00C3406C" w:rsidRDefault="00FB5FE7" w:rsidP="00E06096">
            <w:pPr>
              <w:pStyle w:val="Tabletext"/>
              <w:ind w:left="284" w:hanging="284"/>
              <w:jc w:val="both"/>
            </w:pPr>
            <w:r>
              <w:rPr>
                <w:color w:val="000000"/>
              </w:rPr>
              <w:t>–</w:t>
            </w:r>
            <w:r>
              <w:rPr>
                <w:color w:val="000000"/>
              </w:rPr>
              <w:tab/>
              <w:t>Appel en faveur de la définition de lignes rouges pour l</w:t>
            </w:r>
            <w:r w:rsidR="00157F52">
              <w:rPr>
                <w:color w:val="000000"/>
              </w:rPr>
              <w:t>'</w:t>
            </w:r>
            <w:r>
              <w:rPr>
                <w:color w:val="000000"/>
              </w:rPr>
              <w:t xml:space="preserve">intelligence artificielle (Document </w:t>
            </w:r>
            <w:hyperlink r:id="rId171" w:history="1">
              <w:r w:rsidRPr="001171D1">
                <w:rPr>
                  <w:rStyle w:val="Hyperlink"/>
                  <w:rFonts w:eastAsia="Times New Roman" w:cs="Times New Roman"/>
                  <w:szCs w:val="20"/>
                </w:rPr>
                <w:t>EG-ITRs-6/3</w:t>
              </w:r>
            </w:hyperlink>
            <w:proofErr w:type="gramStart"/>
            <w:r>
              <w:rPr>
                <w:color w:val="000000"/>
              </w:rPr>
              <w:t>):</w:t>
            </w:r>
            <w:proofErr w:type="gramEnd"/>
            <w:r>
              <w:rPr>
                <w:color w:val="000000"/>
              </w:rPr>
              <w:t xml:space="preserve"> Contribution de Hill</w:t>
            </w:r>
            <w:r w:rsidR="007E2441">
              <w:rPr>
                <w:color w:val="000000"/>
              </w:rPr>
              <w:t>.</w:t>
            </w:r>
            <w:hyperlink r:id="rId172" w:history="1"/>
          </w:p>
          <w:p w14:paraId="52D1C945" w14:textId="6DC30754" w:rsidR="00FB5FE7" w:rsidRPr="00C3406C" w:rsidRDefault="00FB5FE7" w:rsidP="00E06096">
            <w:pPr>
              <w:pStyle w:val="Tabletext"/>
              <w:ind w:left="284" w:hanging="284"/>
              <w:jc w:val="both"/>
            </w:pPr>
            <w:r>
              <w:rPr>
                <w:color w:val="000000"/>
              </w:rPr>
              <w:t>–</w:t>
            </w:r>
            <w:r>
              <w:rPr>
                <w:color w:val="000000"/>
              </w:rPr>
              <w:tab/>
              <w:t>Projet de rapport final du G</w:t>
            </w:r>
            <w:r w:rsidR="00ED6DE6">
              <w:rPr>
                <w:color w:val="000000"/>
              </w:rPr>
              <w:t>E</w:t>
            </w:r>
            <w:r>
              <w:rPr>
                <w:color w:val="000000"/>
              </w:rPr>
              <w:t>-RTI à la session de 2026 du Conseil de l</w:t>
            </w:r>
            <w:r w:rsidR="00157F52">
              <w:rPr>
                <w:color w:val="000000"/>
              </w:rPr>
              <w:t>'</w:t>
            </w:r>
            <w:r>
              <w:rPr>
                <w:color w:val="000000"/>
              </w:rPr>
              <w:t xml:space="preserve">UIT (Document </w:t>
            </w:r>
            <w:hyperlink r:id="rId173" w:history="1">
              <w:proofErr w:type="spellStart"/>
              <w:r w:rsidRPr="001171D1">
                <w:rPr>
                  <w:rStyle w:val="Hyperlink"/>
                  <w:rFonts w:eastAsia="Times New Roman" w:cs="Times New Roman"/>
                  <w:szCs w:val="20"/>
                </w:rPr>
                <w:t>EG</w:t>
              </w:r>
              <w:proofErr w:type="spellEnd"/>
              <w:r w:rsidRPr="001171D1">
                <w:rPr>
                  <w:rStyle w:val="Hyperlink"/>
                  <w:rFonts w:eastAsia="Times New Roman" w:cs="Times New Roman"/>
                  <w:szCs w:val="20"/>
                </w:rPr>
                <w:t>-</w:t>
              </w:r>
              <w:proofErr w:type="spellStart"/>
              <w:r w:rsidRPr="001171D1">
                <w:rPr>
                  <w:rStyle w:val="Hyperlink"/>
                  <w:rFonts w:eastAsia="Times New Roman" w:cs="Times New Roman"/>
                  <w:szCs w:val="20"/>
                </w:rPr>
                <w:t>ITRs</w:t>
              </w:r>
              <w:proofErr w:type="spellEnd"/>
              <w:r w:rsidRPr="001171D1">
                <w:rPr>
                  <w:rStyle w:val="Hyperlink"/>
                  <w:rFonts w:eastAsia="Times New Roman" w:cs="Times New Roman"/>
                  <w:szCs w:val="20"/>
                </w:rPr>
                <w:t>-6/4</w:t>
              </w:r>
            </w:hyperlink>
            <w:r>
              <w:rPr>
                <w:color w:val="000000"/>
              </w:rPr>
              <w:t>)</w:t>
            </w:r>
            <w:r w:rsidR="007E2441">
              <w:rPr>
                <w:color w:val="000000"/>
              </w:rPr>
              <w:t>.</w:t>
            </w:r>
            <w:hyperlink r:id="rId174" w:history="1"/>
          </w:p>
          <w:p w14:paraId="552347AA" w14:textId="20B07BC4" w:rsidR="00FB5FE7" w:rsidRPr="00C3406C" w:rsidRDefault="00FB5FE7" w:rsidP="00E06096">
            <w:pPr>
              <w:pStyle w:val="Tabletext"/>
              <w:ind w:left="284" w:hanging="284"/>
              <w:jc w:val="both"/>
            </w:pPr>
            <w:r>
              <w:rPr>
                <w:color w:val="000000"/>
              </w:rPr>
              <w:t>–</w:t>
            </w:r>
            <w:r>
              <w:rPr>
                <w:color w:val="000000"/>
              </w:rPr>
              <w:tab/>
              <w:t>Sur les nouvelles étapes de l</w:t>
            </w:r>
            <w:r w:rsidR="00157F52">
              <w:rPr>
                <w:color w:val="000000"/>
              </w:rPr>
              <w:t>'</w:t>
            </w:r>
            <w:r>
              <w:rPr>
                <w:color w:val="000000"/>
              </w:rPr>
              <w:t xml:space="preserve">examen du Règlement des télécommunications internationales (Document </w:t>
            </w:r>
            <w:hyperlink r:id="rId175" w:history="1">
              <w:r w:rsidRPr="001171D1">
                <w:rPr>
                  <w:rStyle w:val="Hyperlink"/>
                  <w:rFonts w:eastAsia="Times New Roman" w:cs="Times New Roman"/>
                  <w:szCs w:val="20"/>
                </w:rPr>
                <w:t>EG-ITRs-6/5</w:t>
              </w:r>
            </w:hyperlink>
            <w:proofErr w:type="gramStart"/>
            <w:r>
              <w:rPr>
                <w:color w:val="000000"/>
              </w:rPr>
              <w:t>):</w:t>
            </w:r>
            <w:proofErr w:type="gramEnd"/>
            <w:r>
              <w:rPr>
                <w:color w:val="000000"/>
              </w:rPr>
              <w:t xml:space="preserve"> Contribution du Comité exécutif de la</w:t>
            </w:r>
            <w:r w:rsidR="007E2441">
              <w:rPr>
                <w:color w:val="000000"/>
              </w:rPr>
              <w:t> </w:t>
            </w:r>
            <w:r>
              <w:rPr>
                <w:color w:val="000000"/>
              </w:rPr>
              <w:t xml:space="preserve">RCC, du Bélarus, du Center for Global IT-Cooperation, de MegaFon Open Joint Stock Company (Fédération de Russie), de PJSC </w:t>
            </w:r>
            <w:r w:rsidR="00AF3F98">
              <w:rPr>
                <w:color w:val="000000"/>
              </w:rPr>
              <w:t>"</w:t>
            </w:r>
            <w:r>
              <w:rPr>
                <w:color w:val="000000"/>
              </w:rPr>
              <w:t>Rostelecom</w:t>
            </w:r>
            <w:r w:rsidR="00AF3F98">
              <w:rPr>
                <w:color w:val="000000"/>
              </w:rPr>
              <w:t>"</w:t>
            </w:r>
            <w:r>
              <w:rPr>
                <w:color w:val="000000"/>
              </w:rPr>
              <w:t xml:space="preserve"> (Fédération de Russie) et du Tadjikistan</w:t>
            </w:r>
            <w:r w:rsidR="007E2441">
              <w:rPr>
                <w:color w:val="000000"/>
              </w:rPr>
              <w:t>.</w:t>
            </w:r>
            <w:hyperlink r:id="rId176" w:history="1"/>
          </w:p>
          <w:p w14:paraId="45812F4E" w14:textId="00F1F473" w:rsidR="00FB5FE7" w:rsidRPr="00C3406C" w:rsidRDefault="00FB5FE7" w:rsidP="00E06096">
            <w:pPr>
              <w:pStyle w:val="Tabletext"/>
              <w:ind w:left="284" w:hanging="284"/>
              <w:jc w:val="both"/>
            </w:pPr>
            <w:r>
              <w:rPr>
                <w:color w:val="000000"/>
              </w:rPr>
              <w:t>–</w:t>
            </w:r>
            <w:r>
              <w:rPr>
                <w:color w:val="000000"/>
              </w:rPr>
              <w:tab/>
              <w:t>Observations finales de la sixième réunion du G</w:t>
            </w:r>
            <w:r w:rsidR="00ED6DE6">
              <w:rPr>
                <w:color w:val="000000"/>
              </w:rPr>
              <w:t>E</w:t>
            </w:r>
            <w:r>
              <w:rPr>
                <w:color w:val="000000"/>
              </w:rPr>
              <w:t>-RTI (Document</w:t>
            </w:r>
            <w:r w:rsidR="00AF3F98">
              <w:rPr>
                <w:color w:val="000000"/>
              </w:rPr>
              <w:t> </w:t>
            </w:r>
            <w:proofErr w:type="spellStart"/>
            <w:r>
              <w:fldChar w:fldCharType="begin"/>
            </w:r>
            <w:r>
              <w:instrText>HYPERLINK "https://www.itu.int/md/S26-EGITRS6-C-0006/fr"</w:instrText>
            </w:r>
            <w:r>
              <w:fldChar w:fldCharType="separate"/>
            </w:r>
            <w:r w:rsidRPr="00AF3F98">
              <w:rPr>
                <w:rStyle w:val="Hyperlink"/>
                <w:rFonts w:eastAsia="Times New Roman" w:cs="Times New Roman"/>
                <w:szCs w:val="20"/>
              </w:rPr>
              <w:t>EG</w:t>
            </w:r>
            <w:proofErr w:type="spellEnd"/>
            <w:r w:rsidR="00AF3F98" w:rsidRPr="00AF3F98">
              <w:rPr>
                <w:rStyle w:val="Hyperlink"/>
                <w:rFonts w:eastAsia="Times New Roman" w:cs="Times New Roman"/>
                <w:szCs w:val="20"/>
              </w:rPr>
              <w:noBreakHyphen/>
            </w:r>
            <w:proofErr w:type="spellStart"/>
            <w:r w:rsidRPr="00AF3F98">
              <w:rPr>
                <w:rStyle w:val="Hyperlink"/>
                <w:rFonts w:eastAsia="Times New Roman" w:cs="Times New Roman"/>
                <w:szCs w:val="20"/>
              </w:rPr>
              <w:t>ITRs</w:t>
            </w:r>
            <w:proofErr w:type="spellEnd"/>
            <w:r w:rsidRPr="00AF3F98">
              <w:rPr>
                <w:rStyle w:val="Hyperlink"/>
                <w:rFonts w:eastAsia="Times New Roman" w:cs="Times New Roman"/>
                <w:szCs w:val="20"/>
              </w:rPr>
              <w:t>-6/6</w:t>
            </w:r>
            <w:r>
              <w:fldChar w:fldCharType="end"/>
            </w:r>
            <w:proofErr w:type="gramStart"/>
            <w:r>
              <w:rPr>
                <w:color w:val="000000"/>
              </w:rPr>
              <w:t>):</w:t>
            </w:r>
            <w:proofErr w:type="gramEnd"/>
            <w:r>
              <w:rPr>
                <w:color w:val="000000"/>
              </w:rPr>
              <w:t xml:space="preserve"> Contribution des </w:t>
            </w:r>
            <w:r w:rsidR="007E2441">
              <w:rPr>
                <w:color w:val="000000"/>
              </w:rPr>
              <w:t>É</w:t>
            </w:r>
            <w:r>
              <w:rPr>
                <w:color w:val="000000"/>
              </w:rPr>
              <w:t>tats-Unis</w:t>
            </w:r>
            <w:r w:rsidR="007E2441">
              <w:rPr>
                <w:color w:val="000000"/>
              </w:rPr>
              <w:t>.</w:t>
            </w:r>
            <w:hyperlink r:id="rId177" w:history="1"/>
          </w:p>
          <w:p w14:paraId="0800A86B" w14:textId="1AF573D7" w:rsidR="00FB5FE7" w:rsidRPr="00C3406C" w:rsidRDefault="00FB5FE7" w:rsidP="00E06096">
            <w:pPr>
              <w:pStyle w:val="Tabletext"/>
              <w:ind w:left="284" w:hanging="284"/>
              <w:jc w:val="both"/>
              <w:rPr>
                <w:spacing w:val="-2"/>
              </w:rPr>
            </w:pPr>
            <w:r>
              <w:rPr>
                <w:color w:val="000000"/>
              </w:rPr>
              <w:t>–</w:t>
            </w:r>
            <w:r>
              <w:rPr>
                <w:color w:val="000000"/>
              </w:rPr>
              <w:tab/>
              <w:t xml:space="preserve">Tableau de correspondance des Résolutions élaboré par le Groupe de coordination intersectorielle (Document </w:t>
            </w:r>
            <w:hyperlink r:id="rId178" w:history="1">
              <w:r w:rsidRPr="005C2BF3">
                <w:rPr>
                  <w:rStyle w:val="Hyperlink"/>
                  <w:rFonts w:eastAsia="Times New Roman" w:cs="Times New Roman"/>
                  <w:szCs w:val="20"/>
                </w:rPr>
                <w:t>EG-ITRs-6/7</w:t>
              </w:r>
            </w:hyperlink>
            <w:proofErr w:type="gramStart"/>
            <w:r>
              <w:rPr>
                <w:color w:val="000000"/>
              </w:rPr>
              <w:t>):</w:t>
            </w:r>
            <w:proofErr w:type="gramEnd"/>
            <w:r>
              <w:rPr>
                <w:color w:val="000000"/>
              </w:rPr>
              <w:t xml:space="preserve"> Contribution du Paraguay</w:t>
            </w:r>
            <w:r w:rsidR="007E2441">
              <w:rPr>
                <w:color w:val="000000"/>
              </w:rPr>
              <w:t>.</w:t>
            </w:r>
            <w:hyperlink r:id="rId179" w:history="1"/>
          </w:p>
          <w:p w14:paraId="1C49C5A0" w14:textId="5569C011" w:rsidR="00FB5FE7" w:rsidRPr="00C3406C" w:rsidRDefault="00FB5FE7" w:rsidP="00E06096">
            <w:pPr>
              <w:pStyle w:val="Tabletext"/>
              <w:ind w:left="284" w:hanging="284"/>
              <w:jc w:val="both"/>
            </w:pPr>
            <w:r>
              <w:rPr>
                <w:color w:val="000000"/>
              </w:rPr>
              <w:t>–</w:t>
            </w:r>
            <w:r>
              <w:rPr>
                <w:color w:val="000000"/>
              </w:rPr>
              <w:tab/>
              <w:t xml:space="preserve">Observations sur le projet de rapport final (Document </w:t>
            </w:r>
            <w:hyperlink r:id="rId180" w:history="1">
              <w:r w:rsidRPr="005C2BF3">
                <w:rPr>
                  <w:rStyle w:val="Hyperlink"/>
                  <w:rFonts w:eastAsia="Times New Roman" w:cs="Times New Roman"/>
                  <w:szCs w:val="20"/>
                </w:rPr>
                <w:t>EG-ITRs-6/8</w:t>
              </w:r>
            </w:hyperlink>
            <w:r>
              <w:rPr>
                <w:color w:val="000000"/>
              </w:rPr>
              <w:t>): Contribution de la Bulgarie, de la République tchèque, du Danemark, de la Finlande, de l</w:t>
            </w:r>
            <w:r w:rsidR="00157F52">
              <w:rPr>
                <w:color w:val="000000"/>
              </w:rPr>
              <w:t>'</w:t>
            </w:r>
            <w:r>
              <w:rPr>
                <w:color w:val="000000"/>
              </w:rPr>
              <w:t>Allemagne, de la Lituanie, de la Suède et du Royaume-Uni</w:t>
            </w:r>
            <w:r w:rsidR="007E2441">
              <w:rPr>
                <w:color w:val="000000"/>
              </w:rPr>
              <w:t>.</w:t>
            </w:r>
            <w:hyperlink r:id="rId181" w:history="1"/>
            <w:hyperlink r:id="rId182" w:history="1"/>
            <w:hyperlink r:id="rId183" w:history="1"/>
            <w:hyperlink r:id="rId184" w:history="1"/>
            <w:hyperlink r:id="rId185" w:history="1"/>
            <w:hyperlink r:id="rId186" w:history="1"/>
            <w:hyperlink r:id="rId187" w:history="1"/>
            <w:hyperlink r:id="rId188" w:history="1"/>
            <w:hyperlink r:id="rId189" w:history="1"/>
          </w:p>
        </w:tc>
      </w:tr>
    </w:tbl>
    <w:p w14:paraId="0FC973E6" w14:textId="59E73C5D" w:rsidR="00FB5FE7" w:rsidRPr="00C3406C" w:rsidRDefault="00FB5FE7" w:rsidP="00357877">
      <w:pPr>
        <w:pStyle w:val="Heading1"/>
      </w:pPr>
      <w:r>
        <w:rPr>
          <w:bCs/>
        </w:rPr>
        <w:t>3</w:t>
      </w:r>
      <w:r>
        <w:tab/>
      </w:r>
      <w:r>
        <w:rPr>
          <w:bCs/>
        </w:rPr>
        <w:t>Résumé des points de vue</w:t>
      </w:r>
    </w:p>
    <w:p w14:paraId="3E6FECC9" w14:textId="4F3CD0ED" w:rsidR="00FB5FE7" w:rsidRPr="00C3406C" w:rsidRDefault="00FB5FE7" w:rsidP="00E06096">
      <w:pPr>
        <w:jc w:val="both"/>
        <w:rPr>
          <w:rFonts w:eastAsia="Calibri"/>
        </w:rPr>
      </w:pPr>
      <w:r>
        <w:rPr>
          <w:b/>
          <w:bCs/>
        </w:rPr>
        <w:t>3.1</w:t>
      </w:r>
      <w:r>
        <w:tab/>
        <w:t>Divers points de vue et contributions ont été présentés au cours des travaux menés par le G</w:t>
      </w:r>
      <w:r w:rsidR="00ED6DE6">
        <w:t>E</w:t>
      </w:r>
      <w:r>
        <w:t>-RTI entre 2023 et 2026.</w:t>
      </w:r>
    </w:p>
    <w:p w14:paraId="66DBB7A1" w14:textId="7844264F" w:rsidR="00FB5FE7" w:rsidRPr="00C3406C" w:rsidRDefault="00FB5FE7" w:rsidP="00E06096">
      <w:pPr>
        <w:jc w:val="both"/>
        <w:rPr>
          <w:rFonts w:eastAsia="Calibri" w:cs="Arial"/>
        </w:rPr>
      </w:pPr>
      <w:r>
        <w:rPr>
          <w:b/>
          <w:bCs/>
        </w:rPr>
        <w:t>3.2</w:t>
      </w:r>
      <w:r>
        <w:tab/>
        <w:t>Les membres ont exprimé des points de vue divergents lors de l</w:t>
      </w:r>
      <w:r w:rsidR="00157F52">
        <w:t>'</w:t>
      </w:r>
      <w:r>
        <w:t>examen des points énumérés au § 2 du mandat du G</w:t>
      </w:r>
      <w:r w:rsidR="00ED6DE6">
        <w:t>E</w:t>
      </w:r>
      <w:r>
        <w:t>-RTI.</w:t>
      </w:r>
    </w:p>
    <w:p w14:paraId="162088D0" w14:textId="723EA499" w:rsidR="00FB5FE7" w:rsidRPr="00E82B2D" w:rsidRDefault="00FB5FE7" w:rsidP="00E06096">
      <w:pPr>
        <w:jc w:val="both"/>
        <w:rPr>
          <w:rFonts w:eastAsia="Calibri"/>
          <w:spacing w:val="-3"/>
          <w:rtl/>
        </w:rPr>
      </w:pPr>
      <w:r>
        <w:rPr>
          <w:b/>
          <w:bCs/>
        </w:rPr>
        <w:t>3.3</w:t>
      </w:r>
      <w:r>
        <w:tab/>
        <w:t>Certains membres ont estimé que le fait d</w:t>
      </w:r>
      <w:r w:rsidR="00157F52">
        <w:t>'</w:t>
      </w:r>
      <w:r>
        <w:t>avoir deux versions du RTI ne pose aucun problème, en particulier d'une nature pratique, étant donné que la Convention de Vienne précise quel texte s</w:t>
      </w:r>
      <w:r w:rsidR="00157F52">
        <w:t>'</w:t>
      </w:r>
      <w:r>
        <w:t>applique dans des circonstances particulières. Certains membres ont estimé qu</w:t>
      </w:r>
      <w:r w:rsidR="00157F52">
        <w:t>'</w:t>
      </w:r>
      <w:r>
        <w:t xml:space="preserve">il était important que tous les </w:t>
      </w:r>
      <w:r w:rsidR="007E2441">
        <w:t>États</w:t>
      </w:r>
      <w:r>
        <w:t xml:space="preserve"> Membres appliquent un RTI unique, comme c'est le cas pour le Règlement des </w:t>
      </w:r>
      <w:proofErr w:type="gramStart"/>
      <w:r>
        <w:t>radiocommunications;</w:t>
      </w:r>
      <w:proofErr w:type="gramEnd"/>
      <w:r>
        <w:t xml:space="preserve"> et que l</w:t>
      </w:r>
      <w:r w:rsidR="00157F52">
        <w:t>'</w:t>
      </w:r>
      <w:r>
        <w:t>existence de deux versions du RTI nuisait à la fonctionnalité de ces textes et à l</w:t>
      </w:r>
      <w:r w:rsidR="00157F52">
        <w:t>'</w:t>
      </w:r>
      <w:r>
        <w:t>image de l</w:t>
      </w:r>
      <w:r w:rsidR="00157F52">
        <w:t>'</w:t>
      </w:r>
      <w:r>
        <w:t>UIT.</w:t>
      </w:r>
    </w:p>
    <w:p w14:paraId="792D478F" w14:textId="3E8398B7" w:rsidR="00FB5FE7" w:rsidRPr="00C3406C" w:rsidRDefault="00FB5FE7" w:rsidP="00E06096">
      <w:pPr>
        <w:jc w:val="both"/>
        <w:rPr>
          <w:rFonts w:eastAsia="Calibri" w:cs="Arial"/>
        </w:rPr>
      </w:pPr>
      <w:r>
        <w:rPr>
          <w:b/>
          <w:bCs/>
        </w:rPr>
        <w:t>3.4</w:t>
      </w:r>
      <w:r>
        <w:tab/>
        <w:t>Certains membres ont estimé qu</w:t>
      </w:r>
      <w:r w:rsidR="00157F52">
        <w:t>'</w:t>
      </w:r>
      <w:r>
        <w:t>il convenait de revoir le RTI disposition par disposition, conformément aux points énumérés au § 2 du mandat. Certains membres ont estimé qu</w:t>
      </w:r>
      <w:r w:rsidR="00157F52">
        <w:t>'</w:t>
      </w:r>
      <w:r>
        <w:t>un tel examen disposition par disposition n</w:t>
      </w:r>
      <w:r w:rsidR="00157F52">
        <w:t>'</w:t>
      </w:r>
      <w:r>
        <w:t>entrait pas dans le cadre du mandat.</w:t>
      </w:r>
    </w:p>
    <w:p w14:paraId="591F3B66" w14:textId="1E5B6784" w:rsidR="00FB5FE7" w:rsidRPr="00C3406C" w:rsidRDefault="00FB5FE7" w:rsidP="00E06096">
      <w:pPr>
        <w:keepNext/>
        <w:jc w:val="both"/>
        <w:rPr>
          <w:rFonts w:eastAsia="Calibri" w:cs="Arial"/>
          <w:b/>
          <w:bCs/>
        </w:rPr>
      </w:pPr>
      <w:r>
        <w:rPr>
          <w:b/>
          <w:bCs/>
        </w:rPr>
        <w:t>3.5</w:t>
      </w:r>
      <w:r>
        <w:tab/>
        <w:t xml:space="preserve">On trouvera ci-après un résumé des divergences de vues concernant les points énumérés au § 2 du </w:t>
      </w:r>
      <w:proofErr w:type="gramStart"/>
      <w:r>
        <w:t>mandat</w:t>
      </w:r>
      <w:r w:rsidR="005C2BF3">
        <w:t>:</w:t>
      </w:r>
      <w:proofErr w:type="gramEnd"/>
    </w:p>
    <w:p w14:paraId="1E369B0A" w14:textId="16505FBE" w:rsidR="00FB5FE7" w:rsidRPr="00C4499E" w:rsidRDefault="00FB5FE7" w:rsidP="00E06096">
      <w:pPr>
        <w:pStyle w:val="enumlev1"/>
        <w:jc w:val="both"/>
        <w:rPr>
          <w:rFonts w:asciiTheme="minorHAnsi" w:eastAsia="Calibri" w:hAnsiTheme="minorHAnsi" w:cstheme="minorHAnsi"/>
          <w:spacing w:val="-2"/>
        </w:rPr>
      </w:pPr>
      <w:r w:rsidRPr="00C4499E">
        <w:rPr>
          <w:i/>
          <w:iCs/>
          <w:spacing w:val="-2"/>
        </w:rPr>
        <w:t>a)</w:t>
      </w:r>
      <w:r w:rsidRPr="00C4499E">
        <w:rPr>
          <w:spacing w:val="-2"/>
        </w:rPr>
        <w:tab/>
      </w:r>
      <w:r w:rsidRPr="00C4499E">
        <w:rPr>
          <w:i/>
          <w:iCs/>
          <w:spacing w:val="-2"/>
        </w:rPr>
        <w:t>S</w:t>
      </w:r>
      <w:r w:rsidR="00157F52" w:rsidRPr="00C4499E">
        <w:rPr>
          <w:i/>
          <w:iCs/>
          <w:spacing w:val="-2"/>
        </w:rPr>
        <w:t>'</w:t>
      </w:r>
      <w:r w:rsidRPr="00C4499E">
        <w:rPr>
          <w:i/>
          <w:iCs/>
          <w:spacing w:val="-2"/>
        </w:rPr>
        <w:t>agissant des nouvelles tendances dans le domaine des télécommunications/TIC et des questions qui se font jour dans l</w:t>
      </w:r>
      <w:r w:rsidR="00157F52" w:rsidRPr="00C4499E">
        <w:rPr>
          <w:i/>
          <w:iCs/>
          <w:spacing w:val="-2"/>
        </w:rPr>
        <w:t>'</w:t>
      </w:r>
      <w:r w:rsidRPr="00C4499E">
        <w:rPr>
          <w:i/>
          <w:iCs/>
          <w:spacing w:val="-2"/>
        </w:rPr>
        <w:t>environnement international des télécommunications/TIC susceptibles d</w:t>
      </w:r>
      <w:r w:rsidR="00157F52" w:rsidRPr="00C4499E">
        <w:rPr>
          <w:i/>
          <w:iCs/>
          <w:spacing w:val="-2"/>
        </w:rPr>
        <w:t>'</w:t>
      </w:r>
      <w:r w:rsidRPr="00C4499E">
        <w:rPr>
          <w:i/>
          <w:iCs/>
          <w:spacing w:val="-2"/>
        </w:rPr>
        <w:t>avoir une incidence sur le RTI</w:t>
      </w:r>
      <w:r w:rsidRPr="00C4499E">
        <w:rPr>
          <w:spacing w:val="-2"/>
        </w:rPr>
        <w:t>, certains membres ont estimé que le RTI devrait être révisé pour tenir compte de questions nouvelles ou émergentes, telles que (énumérées dans un ordre indifférent)</w:t>
      </w:r>
      <w:r w:rsidR="005C2BF3" w:rsidRPr="00C4499E">
        <w:rPr>
          <w:spacing w:val="-2"/>
        </w:rPr>
        <w:t>:</w:t>
      </w:r>
      <w:r w:rsidRPr="00C4499E">
        <w:rPr>
          <w:spacing w:val="-2"/>
        </w:rPr>
        <w:t xml:space="preserve"> l'accès sans discrimination aux services de télécommunication/TIC internationaux, l'Internet des objets, les technologies de </w:t>
      </w:r>
      <w:r w:rsidRPr="00C4499E">
        <w:rPr>
          <w:spacing w:val="-2"/>
        </w:rPr>
        <w:lastRenderedPageBreak/>
        <w:t>connectivité (FTTH, 5G et satellite)</w:t>
      </w:r>
      <w:r w:rsidR="005C2BF3" w:rsidRPr="00C4499E">
        <w:rPr>
          <w:spacing w:val="-2"/>
        </w:rPr>
        <w:t>;</w:t>
      </w:r>
      <w:r w:rsidRPr="00C4499E">
        <w:rPr>
          <w:spacing w:val="-2"/>
        </w:rPr>
        <w:t xml:space="preserve"> l'intelligence artificielle; cybersécurité; la sécurité des réseaux, l'évolution technologie, la vérification des clients, les services adjacents vis-à-vis des OTT</w:t>
      </w:r>
      <w:r w:rsidR="005C2BF3" w:rsidRPr="00C4499E">
        <w:rPr>
          <w:spacing w:val="-2"/>
        </w:rPr>
        <w:t>;</w:t>
      </w:r>
      <w:r w:rsidRPr="00C4499E">
        <w:rPr>
          <w:spacing w:val="-2"/>
        </w:rPr>
        <w:t xml:space="preserve"> la séparation des couches infrastructure et service</w:t>
      </w:r>
      <w:r w:rsidR="005C2BF3" w:rsidRPr="00C4499E">
        <w:rPr>
          <w:spacing w:val="-2"/>
        </w:rPr>
        <w:t>;</w:t>
      </w:r>
      <w:r w:rsidRPr="00C4499E">
        <w:rPr>
          <w:spacing w:val="-2"/>
        </w:rPr>
        <w:t xml:space="preserve"> la baisse des recettes liées à la téléphonie; la réduction des fichiers CDR, la fiscalité; les frais de perception, le commerce électronique et le commerce numérique, le spam, la fourniture de services de télécommunication au moyen de constellations de satellites non OSG; la fracture numérique; et la protection de la vie privée et des données. Certains membres ont estimé que l</w:t>
      </w:r>
      <w:r w:rsidR="00157F52" w:rsidRPr="00C4499E">
        <w:rPr>
          <w:spacing w:val="-2"/>
        </w:rPr>
        <w:t>'</w:t>
      </w:r>
      <w:r w:rsidRPr="00C4499E">
        <w:rPr>
          <w:spacing w:val="-2"/>
        </w:rPr>
        <w:t>utilisation d</w:t>
      </w:r>
      <w:r w:rsidR="00157F52" w:rsidRPr="00C4499E">
        <w:rPr>
          <w:spacing w:val="-2"/>
        </w:rPr>
        <w:t>'</w:t>
      </w:r>
      <w:r w:rsidRPr="00C4499E">
        <w:rPr>
          <w:spacing w:val="-2"/>
        </w:rPr>
        <w:t xml:space="preserve">un instrument conventionnel rigide pour tenter de réglementer les nouvelles tendances et les technologies émergentes sur un marché international des télécommunications/TIC dynamique et concurrentiel relevait d'une incompatibilité fondamentale. Selon certains membres, il est devenu évident que certains </w:t>
      </w:r>
      <w:r w:rsidR="00D35461" w:rsidRPr="00C4499E">
        <w:rPr>
          <w:spacing w:val="-2"/>
        </w:rPr>
        <w:t>États</w:t>
      </w:r>
      <w:r w:rsidR="007E2441" w:rsidRPr="00C4499E">
        <w:rPr>
          <w:spacing w:val="-2"/>
        </w:rPr>
        <w:t> </w:t>
      </w:r>
      <w:r w:rsidRPr="00C4499E">
        <w:rPr>
          <w:spacing w:val="-2"/>
        </w:rPr>
        <w:t>Membres souhaitent aborder les technologies nouvelles et émergentes dans le cadre d</w:t>
      </w:r>
      <w:r w:rsidR="00157F52" w:rsidRPr="00C4499E">
        <w:rPr>
          <w:spacing w:val="-2"/>
        </w:rPr>
        <w:t>'</w:t>
      </w:r>
      <w:r w:rsidRPr="00C4499E">
        <w:rPr>
          <w:spacing w:val="-2"/>
        </w:rPr>
        <w:t>un traité, mais ce débat sur la scène internationale ne concerne pas nécessairement le RTI</w:t>
      </w:r>
      <w:r w:rsidR="005C2BF3" w:rsidRPr="00C4499E">
        <w:rPr>
          <w:spacing w:val="-2"/>
        </w:rPr>
        <w:t>;</w:t>
      </w:r>
      <w:r w:rsidRPr="00C4499E">
        <w:rPr>
          <w:spacing w:val="-2"/>
        </w:rPr>
        <w:t xml:space="preserve"> la question de savoir s'il faut intégrer les nouvelles tendances et les questions émergentes dans le cadre du mandat de l</w:t>
      </w:r>
      <w:r w:rsidR="00157F52" w:rsidRPr="00C4499E">
        <w:rPr>
          <w:spacing w:val="-2"/>
        </w:rPr>
        <w:t>'</w:t>
      </w:r>
      <w:r w:rsidRPr="00C4499E">
        <w:rPr>
          <w:spacing w:val="-2"/>
        </w:rPr>
        <w:t>UIT et comment le faire au mieux demeure ouverte, mais cela ne devrait pas présupposer la nécessité de poursuivre l</w:t>
      </w:r>
      <w:r w:rsidR="00157F52" w:rsidRPr="00C4499E">
        <w:rPr>
          <w:spacing w:val="-2"/>
        </w:rPr>
        <w:t>'</w:t>
      </w:r>
      <w:r w:rsidRPr="00C4499E">
        <w:rPr>
          <w:spacing w:val="-2"/>
        </w:rPr>
        <w:t>examen ou la révision du RTI.</w:t>
      </w:r>
    </w:p>
    <w:p w14:paraId="2FE68016" w14:textId="360412EF" w:rsidR="00FB5FE7" w:rsidRPr="00E06096" w:rsidRDefault="00FB5FE7" w:rsidP="00E06096">
      <w:pPr>
        <w:pStyle w:val="enumlev1"/>
        <w:jc w:val="both"/>
        <w:rPr>
          <w:rFonts w:eastAsia="Calibri" w:cs="Arial"/>
          <w:bCs/>
          <w:spacing w:val="-2"/>
          <w:szCs w:val="24"/>
        </w:rPr>
      </w:pPr>
      <w:r w:rsidRPr="00E06096">
        <w:rPr>
          <w:i/>
          <w:iCs/>
          <w:spacing w:val="-2"/>
        </w:rPr>
        <w:t>b)</w:t>
      </w:r>
      <w:r w:rsidRPr="00E06096">
        <w:rPr>
          <w:spacing w:val="-2"/>
        </w:rPr>
        <w:tab/>
      </w:r>
      <w:r w:rsidRPr="00E06096">
        <w:rPr>
          <w:i/>
          <w:iCs/>
          <w:spacing w:val="-2"/>
        </w:rPr>
        <w:t>S</w:t>
      </w:r>
      <w:r w:rsidR="00157F52" w:rsidRPr="00E06096">
        <w:rPr>
          <w:i/>
          <w:iCs/>
          <w:spacing w:val="-2"/>
        </w:rPr>
        <w:t>'</w:t>
      </w:r>
      <w:r w:rsidRPr="00E06096">
        <w:rPr>
          <w:i/>
          <w:iCs/>
          <w:spacing w:val="-2"/>
        </w:rPr>
        <w:t>agissant des données empiriques sur l</w:t>
      </w:r>
      <w:r w:rsidR="00157F52" w:rsidRPr="00E06096">
        <w:rPr>
          <w:i/>
          <w:iCs/>
          <w:spacing w:val="-2"/>
        </w:rPr>
        <w:t>'</w:t>
      </w:r>
      <w:r w:rsidRPr="00E06096">
        <w:rPr>
          <w:i/>
          <w:iCs/>
          <w:spacing w:val="-2"/>
        </w:rPr>
        <w:t>utilisation actuelle du RTI par les exploitations et/ou les administrations et sur la proportion de services mondiaux de télécommunication qui s</w:t>
      </w:r>
      <w:r w:rsidR="00157F52" w:rsidRPr="00E06096">
        <w:rPr>
          <w:i/>
          <w:iCs/>
          <w:spacing w:val="-2"/>
        </w:rPr>
        <w:t>'</w:t>
      </w:r>
      <w:r w:rsidRPr="00E06096">
        <w:rPr>
          <w:i/>
          <w:iCs/>
          <w:spacing w:val="-2"/>
        </w:rPr>
        <w:t>appuient aujourd</w:t>
      </w:r>
      <w:r w:rsidR="00157F52" w:rsidRPr="00E06096">
        <w:rPr>
          <w:i/>
          <w:iCs/>
          <w:spacing w:val="-2"/>
        </w:rPr>
        <w:t>'</w:t>
      </w:r>
      <w:r w:rsidRPr="00E06096">
        <w:rPr>
          <w:i/>
          <w:iCs/>
          <w:spacing w:val="-2"/>
        </w:rPr>
        <w:t>hui sur le RTI</w:t>
      </w:r>
      <w:r w:rsidRPr="00E06096">
        <w:rPr>
          <w:spacing w:val="-2"/>
        </w:rPr>
        <w:t>, certains membres ont mené une enquête auprès des opérateurs de leur région et n</w:t>
      </w:r>
      <w:r w:rsidR="00157F52" w:rsidRPr="00E06096">
        <w:rPr>
          <w:spacing w:val="-2"/>
        </w:rPr>
        <w:t>'</w:t>
      </w:r>
      <w:r w:rsidRPr="00E06096">
        <w:rPr>
          <w:spacing w:val="-2"/>
        </w:rPr>
        <w:t>ont trouvé aucun exemple d</w:t>
      </w:r>
      <w:r w:rsidR="00157F52" w:rsidRPr="00E06096">
        <w:rPr>
          <w:spacing w:val="-2"/>
        </w:rPr>
        <w:t>'</w:t>
      </w:r>
      <w:r w:rsidRPr="00E06096">
        <w:rPr>
          <w:spacing w:val="-2"/>
        </w:rPr>
        <w:t>opérateurs utilisant le RTI. Ces membres n</w:t>
      </w:r>
      <w:r w:rsidR="00157F52" w:rsidRPr="00E06096">
        <w:rPr>
          <w:spacing w:val="-2"/>
        </w:rPr>
        <w:t>'</w:t>
      </w:r>
      <w:r w:rsidRPr="00E06096">
        <w:rPr>
          <w:spacing w:val="-2"/>
        </w:rPr>
        <w:t>ont pas non plus trouvé d</w:t>
      </w:r>
      <w:r w:rsidR="00157F52" w:rsidRPr="00E06096">
        <w:rPr>
          <w:spacing w:val="-2"/>
        </w:rPr>
        <w:t>'</w:t>
      </w:r>
      <w:r w:rsidRPr="00E06096">
        <w:rPr>
          <w:spacing w:val="-2"/>
        </w:rPr>
        <w:t>exemples où l</w:t>
      </w:r>
      <w:r w:rsidR="00157F52" w:rsidRPr="00E06096">
        <w:rPr>
          <w:spacing w:val="-2"/>
        </w:rPr>
        <w:t>'</w:t>
      </w:r>
      <w:r w:rsidRPr="00E06096">
        <w:rPr>
          <w:spacing w:val="-2"/>
        </w:rPr>
        <w:t>existence de deux traités constituait un obstacle ou un problème pour le secteur des communications électroniques. Selon certains membres, les Membres de Secteur et d</w:t>
      </w:r>
      <w:r w:rsidR="00157F52" w:rsidRPr="00E06096">
        <w:rPr>
          <w:spacing w:val="-2"/>
        </w:rPr>
        <w:t>'</w:t>
      </w:r>
      <w:r w:rsidRPr="00E06096">
        <w:rPr>
          <w:spacing w:val="-2"/>
        </w:rPr>
        <w:t>autres grands opérateurs de réseaux mondiaux ont maintes fois affirmé que la grande majorité des opérateurs dans le monde n</w:t>
      </w:r>
      <w:r w:rsidR="00157F52" w:rsidRPr="00E06096">
        <w:rPr>
          <w:spacing w:val="-2"/>
        </w:rPr>
        <w:t>'</w:t>
      </w:r>
      <w:r w:rsidRPr="00E06096">
        <w:rPr>
          <w:spacing w:val="-2"/>
        </w:rPr>
        <w:t>utilisaient plus le RTI et se reposaient, à la place, sur des accords commerciaux. Certains membres ont déclaré que les opérateurs relevant de leur juridiction s</w:t>
      </w:r>
      <w:r w:rsidR="00157F52" w:rsidRPr="00E06096">
        <w:rPr>
          <w:spacing w:val="-2"/>
        </w:rPr>
        <w:t>'</w:t>
      </w:r>
      <w:r w:rsidRPr="00E06096">
        <w:rPr>
          <w:spacing w:val="-2"/>
        </w:rPr>
        <w:t>appuyaient effectivement sur le RTI. D</w:t>
      </w:r>
      <w:r w:rsidR="00157F52" w:rsidRPr="00E06096">
        <w:rPr>
          <w:spacing w:val="-2"/>
        </w:rPr>
        <w:t>'</w:t>
      </w:r>
      <w:r w:rsidRPr="00E06096">
        <w:rPr>
          <w:spacing w:val="-2"/>
        </w:rPr>
        <w:t>autres membres ont mené une enquête auprès des administrations et des opérateurs de leur région, laquelle a permis de confirmer que les opérateurs de la région appliquaient les dispositions du RTI en incluant des références directes au RTI et aux séries de Recommandations pertinentes de l</w:t>
      </w:r>
      <w:r w:rsidR="00157F52" w:rsidRPr="00E06096">
        <w:rPr>
          <w:spacing w:val="-2"/>
        </w:rPr>
        <w:t>'</w:t>
      </w:r>
      <w:r w:rsidRPr="00E06096">
        <w:rPr>
          <w:spacing w:val="-2"/>
        </w:rPr>
        <w:t xml:space="preserve">UIT-T dans les accords commerciaux et en appliquant indirectement les dispositions du RTI dans les accords commerciaux bilatéraux entre opérateurs. Ces membres ont également noté que des accords intergouvernementaux, multilatéraux et bilatéraux en vigueur dans leur région faisaient directement référence au RTI. Certains </w:t>
      </w:r>
      <w:r w:rsidR="00D35461" w:rsidRPr="00E06096">
        <w:rPr>
          <w:spacing w:val="-2"/>
        </w:rPr>
        <w:t>États</w:t>
      </w:r>
      <w:r w:rsidRPr="00E06096">
        <w:rPr>
          <w:spacing w:val="-2"/>
        </w:rPr>
        <w:t xml:space="preserve"> Membres ont montré comment le RTI était appliqué et utilisé dans leur législation nationale. Certains membres ont estimé que même si la plupart des opérateurs ne faisaient pas expressément mention du RTI dans leurs contrats commerciaux, ils s</w:t>
      </w:r>
      <w:r w:rsidR="00157F52" w:rsidRPr="00E06096">
        <w:rPr>
          <w:spacing w:val="-2"/>
        </w:rPr>
        <w:t>'</w:t>
      </w:r>
      <w:r w:rsidRPr="00E06096">
        <w:rPr>
          <w:spacing w:val="-2"/>
        </w:rPr>
        <w:t>appuient sur le RTI pour éviter d</w:t>
      </w:r>
      <w:r w:rsidR="00157F52" w:rsidRPr="00E06096">
        <w:rPr>
          <w:spacing w:val="-2"/>
        </w:rPr>
        <w:t>'</w:t>
      </w:r>
      <w:r w:rsidRPr="00E06096">
        <w:rPr>
          <w:spacing w:val="-2"/>
        </w:rPr>
        <w:t xml:space="preserve">avoir à utiliser le système des taxes de </w:t>
      </w:r>
      <w:proofErr w:type="gramStart"/>
      <w:r w:rsidRPr="00E06096">
        <w:rPr>
          <w:spacing w:val="-2"/>
        </w:rPr>
        <w:t>répartition</w:t>
      </w:r>
      <w:r w:rsidR="005C2BF3" w:rsidRPr="00E06096">
        <w:rPr>
          <w:spacing w:val="-2"/>
        </w:rPr>
        <w:t>;</w:t>
      </w:r>
      <w:proofErr w:type="gramEnd"/>
      <w:r w:rsidRPr="00E06096">
        <w:rPr>
          <w:spacing w:val="-2"/>
        </w:rPr>
        <w:t xml:space="preserve"> la transparence serait améliorée si tous les </w:t>
      </w:r>
      <w:r w:rsidR="00D35461" w:rsidRPr="00E06096">
        <w:rPr>
          <w:spacing w:val="-2"/>
        </w:rPr>
        <w:t>États</w:t>
      </w:r>
      <w:r w:rsidR="007E2441" w:rsidRPr="00E06096">
        <w:rPr>
          <w:spacing w:val="-2"/>
        </w:rPr>
        <w:t> </w:t>
      </w:r>
      <w:r w:rsidRPr="00E06096">
        <w:rPr>
          <w:spacing w:val="-2"/>
        </w:rPr>
        <w:t>Membres pouvaient accepter les dispositions de l</w:t>
      </w:r>
      <w:r w:rsidR="00157F52" w:rsidRPr="00E06096">
        <w:rPr>
          <w:spacing w:val="-2"/>
        </w:rPr>
        <w:t>'</w:t>
      </w:r>
      <w:r w:rsidRPr="00E06096">
        <w:rPr>
          <w:spacing w:val="-2"/>
        </w:rPr>
        <w:t>Article 8 du RTI dans sa version de</w:t>
      </w:r>
      <w:r w:rsidR="00A71AD8" w:rsidRPr="00E06096">
        <w:rPr>
          <w:spacing w:val="-2"/>
        </w:rPr>
        <w:t> </w:t>
      </w:r>
      <w:r w:rsidRPr="00E06096">
        <w:rPr>
          <w:spacing w:val="-2"/>
        </w:rPr>
        <w:t>2012. D</w:t>
      </w:r>
      <w:r w:rsidR="00157F52" w:rsidRPr="00E06096">
        <w:rPr>
          <w:spacing w:val="-2"/>
        </w:rPr>
        <w:t>'</w:t>
      </w:r>
      <w:r w:rsidRPr="00E06096">
        <w:rPr>
          <w:spacing w:val="-2"/>
        </w:rPr>
        <w:t>autres membres ont fait valoir que le RTI et les coordonnées de ses signataires étaient accessibles au public, ce qui garantit la transparence.</w:t>
      </w:r>
    </w:p>
    <w:p w14:paraId="38CCA156" w14:textId="43CE408C" w:rsidR="00FB5FE7" w:rsidRPr="00E06096" w:rsidRDefault="00FB5FE7" w:rsidP="00E06096">
      <w:pPr>
        <w:pStyle w:val="enumlev1"/>
        <w:jc w:val="both"/>
        <w:rPr>
          <w:rFonts w:eastAsia="Calibri" w:cs="Arial"/>
          <w:bCs/>
          <w:spacing w:val="-2"/>
          <w:szCs w:val="24"/>
        </w:rPr>
      </w:pPr>
      <w:r w:rsidRPr="00E06096">
        <w:rPr>
          <w:i/>
          <w:iCs/>
          <w:spacing w:val="-2"/>
        </w:rPr>
        <w:t>c)</w:t>
      </w:r>
      <w:r w:rsidRPr="00E06096">
        <w:rPr>
          <w:spacing w:val="-2"/>
        </w:rPr>
        <w:tab/>
      </w:r>
      <w:r w:rsidRPr="00E06096">
        <w:rPr>
          <w:i/>
          <w:iCs/>
          <w:spacing w:val="-2"/>
        </w:rPr>
        <w:t>S</w:t>
      </w:r>
      <w:r w:rsidR="00157F52" w:rsidRPr="00E06096">
        <w:rPr>
          <w:i/>
          <w:iCs/>
          <w:spacing w:val="-2"/>
        </w:rPr>
        <w:t>'</w:t>
      </w:r>
      <w:r w:rsidRPr="00E06096">
        <w:rPr>
          <w:i/>
          <w:iCs/>
          <w:spacing w:val="-2"/>
        </w:rPr>
        <w:t xml:space="preserve">agissant de la pertinence du RTI, qui </w:t>
      </w:r>
      <w:r w:rsidR="00D35461" w:rsidRPr="00E06096">
        <w:rPr>
          <w:i/>
          <w:iCs/>
          <w:spacing w:val="-2"/>
        </w:rPr>
        <w:t>"</w:t>
      </w:r>
      <w:r w:rsidRPr="00E06096">
        <w:rPr>
          <w:i/>
          <w:iCs/>
          <w:spacing w:val="-2"/>
        </w:rPr>
        <w:t>comprend des principes directeurs de haut niveau</w:t>
      </w:r>
      <w:r w:rsidR="00D35461" w:rsidRPr="00E06096">
        <w:rPr>
          <w:i/>
          <w:iCs/>
          <w:spacing w:val="-2"/>
        </w:rPr>
        <w:t>"</w:t>
      </w:r>
      <w:r w:rsidRPr="00E06096">
        <w:rPr>
          <w:i/>
          <w:iCs/>
          <w:spacing w:val="-2"/>
        </w:rPr>
        <w:t xml:space="preserve"> dans l</w:t>
      </w:r>
      <w:r w:rsidR="00157F52" w:rsidRPr="00E06096">
        <w:rPr>
          <w:i/>
          <w:iCs/>
          <w:spacing w:val="-2"/>
        </w:rPr>
        <w:t>'</w:t>
      </w:r>
      <w:r w:rsidRPr="00E06096">
        <w:rPr>
          <w:i/>
          <w:iCs/>
          <w:spacing w:val="-2"/>
        </w:rPr>
        <w:t>environnement actuel des télécommunications/TIC</w:t>
      </w:r>
      <w:r w:rsidRPr="00E06096">
        <w:rPr>
          <w:spacing w:val="-2"/>
        </w:rPr>
        <w:t>, certains membres ont estimé que le RTI n</w:t>
      </w:r>
      <w:r w:rsidR="00157F52" w:rsidRPr="00E06096">
        <w:rPr>
          <w:spacing w:val="-2"/>
        </w:rPr>
        <w:t>'</w:t>
      </w:r>
      <w:r w:rsidRPr="00E06096">
        <w:rPr>
          <w:spacing w:val="-2"/>
        </w:rPr>
        <w:t>avait qu</w:t>
      </w:r>
      <w:r w:rsidR="00157F52" w:rsidRPr="00E06096">
        <w:rPr>
          <w:spacing w:val="-2"/>
        </w:rPr>
        <w:t>'</w:t>
      </w:r>
      <w:r w:rsidRPr="00E06096">
        <w:rPr>
          <w:spacing w:val="-2"/>
        </w:rPr>
        <w:t>une pertinence limitée dans l</w:t>
      </w:r>
      <w:r w:rsidR="00157F52" w:rsidRPr="00E06096">
        <w:rPr>
          <w:spacing w:val="-2"/>
        </w:rPr>
        <w:t>'</w:t>
      </w:r>
      <w:r w:rsidRPr="00E06096">
        <w:rPr>
          <w:spacing w:val="-2"/>
        </w:rPr>
        <w:t>environnement actuel des télécommunications/TIC internationales. Certains membres ont estimé que les principes directeurs de haut niveau restent pertinents et devraient continuer d</w:t>
      </w:r>
      <w:r w:rsidR="00157F52" w:rsidRPr="00E06096">
        <w:rPr>
          <w:spacing w:val="-2"/>
        </w:rPr>
        <w:t>'</w:t>
      </w:r>
      <w:r w:rsidRPr="00E06096">
        <w:rPr>
          <w:spacing w:val="-2"/>
        </w:rPr>
        <w:t>être énoncés dans le RTI. De l</w:t>
      </w:r>
      <w:r w:rsidR="00157F52" w:rsidRPr="00E06096">
        <w:rPr>
          <w:spacing w:val="-2"/>
        </w:rPr>
        <w:t>'</w:t>
      </w:r>
      <w:r w:rsidRPr="00E06096">
        <w:rPr>
          <w:spacing w:val="-2"/>
        </w:rPr>
        <w:t xml:space="preserve">avis d'autres membres, les dispositions du RTI relatives aux taxes de répartition </w:t>
      </w:r>
      <w:r w:rsidRPr="00E06096">
        <w:rPr>
          <w:spacing w:val="-2"/>
        </w:rPr>
        <w:lastRenderedPageBreak/>
        <w:t>ne sont plus pertinentes au niveau international et pourraient être abrogées – si elles sont utilisées au niveau régional, elles peuvent être incorporées dans des accords régionaux, le cas échéant. Certains membres ont estimé que certaines dispositions du RTI pourraient être abrogées, tandis que d</w:t>
      </w:r>
      <w:r w:rsidR="00157F52" w:rsidRPr="00E06096">
        <w:rPr>
          <w:spacing w:val="-2"/>
        </w:rPr>
        <w:t>'</w:t>
      </w:r>
      <w:r w:rsidRPr="00E06096">
        <w:rPr>
          <w:spacing w:val="-2"/>
        </w:rPr>
        <w:t>autres dispositions du RTI dans sa version de 2012 demeurent pertinentes. Certains membres ne voient pas la nécessité d</w:t>
      </w:r>
      <w:r w:rsidR="00157F52" w:rsidRPr="00E06096">
        <w:rPr>
          <w:spacing w:val="-2"/>
        </w:rPr>
        <w:t>'</w:t>
      </w:r>
      <w:r w:rsidRPr="00E06096">
        <w:rPr>
          <w:spacing w:val="-2"/>
        </w:rPr>
        <w:t>abroger le RTI.</w:t>
      </w:r>
    </w:p>
    <w:p w14:paraId="1D5635D0" w14:textId="7ED670A6" w:rsidR="00FB5FE7" w:rsidRPr="00E06096" w:rsidRDefault="00FB5FE7" w:rsidP="00E06096">
      <w:pPr>
        <w:pStyle w:val="enumlev1"/>
        <w:jc w:val="both"/>
        <w:rPr>
          <w:rFonts w:eastAsia="Calibri" w:cs="Calibri"/>
          <w:spacing w:val="-2"/>
          <w:szCs w:val="24"/>
        </w:rPr>
      </w:pPr>
      <w:r w:rsidRPr="00E06096">
        <w:rPr>
          <w:i/>
          <w:iCs/>
          <w:spacing w:val="-2"/>
        </w:rPr>
        <w:t>d)</w:t>
      </w:r>
      <w:r w:rsidRPr="00E06096">
        <w:rPr>
          <w:spacing w:val="-2"/>
        </w:rPr>
        <w:tab/>
      </w:r>
      <w:r w:rsidRPr="00E06096">
        <w:rPr>
          <w:i/>
          <w:iCs/>
          <w:spacing w:val="-2"/>
        </w:rPr>
        <w:t>S</w:t>
      </w:r>
      <w:r w:rsidR="00157F52" w:rsidRPr="00E06096">
        <w:rPr>
          <w:i/>
          <w:iCs/>
          <w:spacing w:val="-2"/>
        </w:rPr>
        <w:t>'</w:t>
      </w:r>
      <w:r w:rsidRPr="00E06096">
        <w:rPr>
          <w:i/>
          <w:iCs/>
          <w:spacing w:val="-2"/>
        </w:rPr>
        <w:t>agissant des autres questions examinées</w:t>
      </w:r>
      <w:r w:rsidRPr="00E06096">
        <w:rPr>
          <w:spacing w:val="-2"/>
        </w:rPr>
        <w:t>, certains membres ont estimé qu</w:t>
      </w:r>
      <w:r w:rsidR="00157F52" w:rsidRPr="00E06096">
        <w:rPr>
          <w:spacing w:val="-2"/>
        </w:rPr>
        <w:t>'</w:t>
      </w:r>
      <w:r w:rsidRPr="00E06096">
        <w:rPr>
          <w:spacing w:val="-2"/>
        </w:rPr>
        <w:t>il n</w:t>
      </w:r>
      <w:r w:rsidR="00157F52" w:rsidRPr="00E06096">
        <w:rPr>
          <w:spacing w:val="-2"/>
        </w:rPr>
        <w:t>'</w:t>
      </w:r>
      <w:r w:rsidRPr="00E06096">
        <w:rPr>
          <w:spacing w:val="-2"/>
        </w:rPr>
        <w:t>était pas nécessaire de faire mention des entités privées dans le RTI, étant donné que la question est traitée dans la Constitution de l</w:t>
      </w:r>
      <w:r w:rsidR="00157F52" w:rsidRPr="00E06096">
        <w:rPr>
          <w:spacing w:val="-2"/>
        </w:rPr>
        <w:t>'</w:t>
      </w:r>
      <w:r w:rsidRPr="00E06096">
        <w:rPr>
          <w:spacing w:val="-2"/>
        </w:rPr>
        <w:t>UIT</w:t>
      </w:r>
      <w:r w:rsidR="005C2BF3" w:rsidRPr="00E06096">
        <w:rPr>
          <w:spacing w:val="-2"/>
        </w:rPr>
        <w:t>;</w:t>
      </w:r>
      <w:r w:rsidRPr="00E06096">
        <w:rPr>
          <w:spacing w:val="-2"/>
        </w:rPr>
        <w:t xml:space="preserve"> c</w:t>
      </w:r>
      <w:r w:rsidR="00157F52" w:rsidRPr="00E06096">
        <w:rPr>
          <w:spacing w:val="-2"/>
        </w:rPr>
        <w:t>'</w:t>
      </w:r>
      <w:r w:rsidRPr="00E06096">
        <w:rPr>
          <w:spacing w:val="-2"/>
        </w:rPr>
        <w:t>est-à-dire que, sans préjudice de la question de savoir s</w:t>
      </w:r>
      <w:r w:rsidR="00157F52" w:rsidRPr="00E06096">
        <w:rPr>
          <w:spacing w:val="-2"/>
        </w:rPr>
        <w:t>'</w:t>
      </w:r>
      <w:r w:rsidRPr="00E06096">
        <w:rPr>
          <w:spacing w:val="-2"/>
        </w:rPr>
        <w:t>il y a lieu ou non de réviser le RTI, cet instrument devrait, en principe, s</w:t>
      </w:r>
      <w:r w:rsidR="00157F52" w:rsidRPr="00E06096">
        <w:rPr>
          <w:spacing w:val="-2"/>
        </w:rPr>
        <w:t>'</w:t>
      </w:r>
      <w:r w:rsidRPr="00E06096">
        <w:rPr>
          <w:spacing w:val="-2"/>
        </w:rPr>
        <w:t xml:space="preserve">adresser aux </w:t>
      </w:r>
      <w:r w:rsidR="007E2441" w:rsidRPr="00E06096">
        <w:rPr>
          <w:spacing w:val="-2"/>
        </w:rPr>
        <w:t>États</w:t>
      </w:r>
      <w:r w:rsidRPr="00E06096">
        <w:rPr>
          <w:spacing w:val="-2"/>
        </w:rPr>
        <w:t xml:space="preserve"> Membres et non aux entités privées, et il n</w:t>
      </w:r>
      <w:r w:rsidR="00157F52" w:rsidRPr="00E06096">
        <w:rPr>
          <w:spacing w:val="-2"/>
        </w:rPr>
        <w:t>'</w:t>
      </w:r>
      <w:r w:rsidRPr="00E06096">
        <w:rPr>
          <w:spacing w:val="-2"/>
        </w:rPr>
        <w:t>est pas nécessaire de faire référence aux exploitations, aux exploitations privées reconnues, aux exploitations reconnues et aux exploitations autorisées, compte tenu de l</w:t>
      </w:r>
      <w:r w:rsidR="00157F52" w:rsidRPr="00E06096">
        <w:rPr>
          <w:spacing w:val="-2"/>
        </w:rPr>
        <w:t>'</w:t>
      </w:r>
      <w:r w:rsidRPr="00E06096">
        <w:rPr>
          <w:spacing w:val="-2"/>
        </w:rPr>
        <w:t>article</w:t>
      </w:r>
      <w:r w:rsidR="007E2441" w:rsidRPr="00E06096">
        <w:rPr>
          <w:spacing w:val="-2"/>
        </w:rPr>
        <w:t> </w:t>
      </w:r>
      <w:r w:rsidRPr="00E06096">
        <w:rPr>
          <w:spacing w:val="-2"/>
        </w:rPr>
        <w:t>6 de la Constitution. Certains membres ont jugé qu</w:t>
      </w:r>
      <w:r w:rsidR="00157F52" w:rsidRPr="00E06096">
        <w:rPr>
          <w:spacing w:val="-2"/>
        </w:rPr>
        <w:t>'</w:t>
      </w:r>
      <w:r w:rsidRPr="00E06096">
        <w:rPr>
          <w:spacing w:val="-2"/>
        </w:rPr>
        <w:t>il n</w:t>
      </w:r>
      <w:r w:rsidR="00157F52" w:rsidRPr="00E06096">
        <w:rPr>
          <w:spacing w:val="-2"/>
        </w:rPr>
        <w:t>'</w:t>
      </w:r>
      <w:r w:rsidRPr="00E06096">
        <w:rPr>
          <w:spacing w:val="-2"/>
        </w:rPr>
        <w:t>était pas nécessaire d</w:t>
      </w:r>
      <w:r w:rsidR="00157F52" w:rsidRPr="00E06096">
        <w:rPr>
          <w:spacing w:val="-2"/>
        </w:rPr>
        <w:t>'</w:t>
      </w:r>
      <w:r w:rsidRPr="00E06096">
        <w:rPr>
          <w:spacing w:val="-2"/>
        </w:rPr>
        <w:t>examiner cette question. Des membres ont estimé que, si le RTI était révisé, il serait peut-être approprié d</w:t>
      </w:r>
      <w:r w:rsidR="00157F52" w:rsidRPr="00E06096">
        <w:rPr>
          <w:spacing w:val="-2"/>
        </w:rPr>
        <w:t>'</w:t>
      </w:r>
      <w:r w:rsidRPr="00E06096">
        <w:rPr>
          <w:spacing w:val="-2"/>
        </w:rPr>
        <w:t>y inclure des références aux entités privées. D'autres membres se sont dit d'avis que les discussions sur la révision du RTI n</w:t>
      </w:r>
      <w:r w:rsidR="00157F52" w:rsidRPr="00E06096">
        <w:rPr>
          <w:spacing w:val="-2"/>
        </w:rPr>
        <w:t>'</w:t>
      </w:r>
      <w:r w:rsidRPr="00E06096">
        <w:rPr>
          <w:spacing w:val="-2"/>
        </w:rPr>
        <w:t>entraient pas dans le cadre du mandat. Certains membres ont estimé que les travaux menés dans le cadre d</w:t>
      </w:r>
      <w:r w:rsidR="00157F52" w:rsidRPr="00E06096">
        <w:rPr>
          <w:spacing w:val="-2"/>
        </w:rPr>
        <w:t>'</w:t>
      </w:r>
      <w:r w:rsidRPr="00E06096">
        <w:rPr>
          <w:spacing w:val="-2"/>
        </w:rPr>
        <w:t>accords commerciaux internationaux faisaient double emploi ou risquaient d</w:t>
      </w:r>
      <w:r w:rsidR="00157F52" w:rsidRPr="00E06096">
        <w:rPr>
          <w:spacing w:val="-2"/>
        </w:rPr>
        <w:t>'</w:t>
      </w:r>
      <w:r w:rsidRPr="00E06096">
        <w:rPr>
          <w:spacing w:val="-2"/>
        </w:rPr>
        <w:t>entrer en conflit avec ceux de l</w:t>
      </w:r>
      <w:r w:rsidR="00157F52" w:rsidRPr="00E06096">
        <w:rPr>
          <w:spacing w:val="-2"/>
        </w:rPr>
        <w:t>'</w:t>
      </w:r>
      <w:r w:rsidRPr="00E06096">
        <w:rPr>
          <w:spacing w:val="-2"/>
        </w:rPr>
        <w:t>UIT, et qu</w:t>
      </w:r>
      <w:r w:rsidR="00157F52" w:rsidRPr="00E06096">
        <w:rPr>
          <w:spacing w:val="-2"/>
        </w:rPr>
        <w:t>'</w:t>
      </w:r>
      <w:r w:rsidRPr="00E06096">
        <w:rPr>
          <w:spacing w:val="-2"/>
        </w:rPr>
        <w:t>il convenait d</w:t>
      </w:r>
      <w:r w:rsidR="00157F52" w:rsidRPr="00E06096">
        <w:rPr>
          <w:spacing w:val="-2"/>
        </w:rPr>
        <w:t>'</w:t>
      </w:r>
      <w:r w:rsidRPr="00E06096">
        <w:rPr>
          <w:spacing w:val="-2"/>
        </w:rPr>
        <w:t>améliorer la coordination et la liaison avec l</w:t>
      </w:r>
      <w:r w:rsidR="00157F52" w:rsidRPr="00E06096">
        <w:rPr>
          <w:spacing w:val="-2"/>
        </w:rPr>
        <w:t>'</w:t>
      </w:r>
      <w:r w:rsidRPr="00E06096">
        <w:rPr>
          <w:spacing w:val="-2"/>
        </w:rPr>
        <w:t>Organisation mondiale du commerce (OMC), en particulier en ce qui concerne les travaux menés dans le cadre de l</w:t>
      </w:r>
      <w:r w:rsidR="00157F52" w:rsidRPr="00E06096">
        <w:rPr>
          <w:spacing w:val="-2"/>
        </w:rPr>
        <w:t>'</w:t>
      </w:r>
      <w:r w:rsidRPr="00E06096">
        <w:rPr>
          <w:spacing w:val="-2"/>
        </w:rPr>
        <w:t>initiative de déclaration conjointe de l</w:t>
      </w:r>
      <w:r w:rsidR="00157F52" w:rsidRPr="00E06096">
        <w:rPr>
          <w:spacing w:val="-2"/>
        </w:rPr>
        <w:t>'</w:t>
      </w:r>
      <w:r w:rsidRPr="00E06096">
        <w:rPr>
          <w:spacing w:val="-2"/>
        </w:rPr>
        <w:t>OMC sur le commerce électronique. Selon d'autres membres, il n'est pas nécessaire d'assurer une coordination ou une liaison supplémentaire à cet égard.</w:t>
      </w:r>
    </w:p>
    <w:p w14:paraId="0F5B30AD" w14:textId="0F52EFD7" w:rsidR="00FB5FE7" w:rsidRPr="00C3406C" w:rsidRDefault="00FB5FE7" w:rsidP="00E06096">
      <w:pPr>
        <w:pStyle w:val="enumlev1"/>
        <w:jc w:val="both"/>
        <w:rPr>
          <w:rFonts w:eastAsia="Calibri" w:cs="Calibri"/>
          <w:szCs w:val="24"/>
        </w:rPr>
      </w:pPr>
      <w:r>
        <w:rPr>
          <w:i/>
          <w:iCs/>
        </w:rPr>
        <w:t>e)</w:t>
      </w:r>
      <w:r>
        <w:tab/>
        <w:t>Certains membres ont estimé que le RTI n</w:t>
      </w:r>
      <w:r w:rsidR="00157F52">
        <w:t>'</w:t>
      </w:r>
      <w:r>
        <w:t>avait qu</w:t>
      </w:r>
      <w:r w:rsidR="00157F52">
        <w:t>'</w:t>
      </w:r>
      <w:r>
        <w:t>une pertinence limitée dans l</w:t>
      </w:r>
      <w:r w:rsidR="00157F52">
        <w:t>'</w:t>
      </w:r>
      <w:r>
        <w:t>environnement actuel des télécommunications/TIC. En particulier, certains ont été d</w:t>
      </w:r>
      <w:r w:rsidR="00157F52">
        <w:t>'</w:t>
      </w:r>
      <w:r>
        <w:t>avis que le déploiement et l</w:t>
      </w:r>
      <w:r w:rsidR="00157F52">
        <w:t>'</w:t>
      </w:r>
      <w:r>
        <w:t>utilisation réussis de services et d</w:t>
      </w:r>
      <w:r w:rsidR="00157F52">
        <w:t>'</w:t>
      </w:r>
      <w:r>
        <w:t>applications de télécommunication à l</w:t>
      </w:r>
      <w:r w:rsidR="00157F52">
        <w:t>'</w:t>
      </w:r>
      <w:r>
        <w:t>échelle mondiale, comme en témoignent plusieurs rapports et publications internationaux sur les télécommunications, y compris ceux de l</w:t>
      </w:r>
      <w:r w:rsidR="00157F52">
        <w:t>'</w:t>
      </w:r>
      <w:r>
        <w:t>UIT, ne sont à mettre au crédit du RTI: c</w:t>
      </w:r>
      <w:r w:rsidR="00157F52">
        <w:t>'</w:t>
      </w:r>
      <w:r>
        <w:t>est la création et le renforcement de cadres réglementaires qui encouragent la concurrence, l</w:t>
      </w:r>
      <w:r w:rsidR="00157F52">
        <w:t>'</w:t>
      </w:r>
      <w:r>
        <w:t>investissement, la transparence, l</w:t>
      </w:r>
      <w:r w:rsidR="00157F52">
        <w:t>'</w:t>
      </w:r>
      <w:r>
        <w:t>esprit d</w:t>
      </w:r>
      <w:r w:rsidR="00157F52">
        <w:t>'</w:t>
      </w:r>
      <w:r>
        <w:t>entreprise et l</w:t>
      </w:r>
      <w:r w:rsidR="00157F52">
        <w:t>'</w:t>
      </w:r>
      <w:r>
        <w:t>innovation</w:t>
      </w:r>
      <w:r w:rsidR="007E2441">
        <w:t xml:space="preserve"> </w:t>
      </w:r>
      <w:r>
        <w:t>qui ont permis et qui continueront de permettre le déploiement, l</w:t>
      </w:r>
      <w:r w:rsidR="00157F52">
        <w:t>'</w:t>
      </w:r>
      <w:r>
        <w:t>adoption et l</w:t>
      </w:r>
      <w:r w:rsidR="00157F52">
        <w:t>'</w:t>
      </w:r>
      <w:r>
        <w:t>utilisation fructueux des télécommunications et des TIC, dans un secteur des télécommunications qui évolue rapidement. Les partenariats public-privé se sont révélés très efficaces pour concevoir et mettre en œuvre avec succès des stratégies nationales et régionales de développement des télécommunications et des TIC. De l</w:t>
      </w:r>
      <w:r w:rsidR="00157F52">
        <w:t>'</w:t>
      </w:r>
      <w:r>
        <w:t>avis d'autres membres, le déploiement et l</w:t>
      </w:r>
      <w:r w:rsidR="00157F52">
        <w:t>'</w:t>
      </w:r>
      <w:r>
        <w:t>utilisation réussis des services et applications de télécommunication à l</w:t>
      </w:r>
      <w:r w:rsidR="00157F52">
        <w:t>'</w:t>
      </w:r>
      <w:r>
        <w:t xml:space="preserve">échelle mondiale ont été facilités par les versions de 1988 et de 2012 du RTI, en particulier par les dispositions relatives aux arrangements spéciaux. </w:t>
      </w:r>
    </w:p>
    <w:p w14:paraId="38671498" w14:textId="39B3429F" w:rsidR="00FB5FE7" w:rsidRPr="00C3406C" w:rsidRDefault="00FB5FE7" w:rsidP="00E06096">
      <w:pPr>
        <w:pStyle w:val="enumlev1"/>
        <w:jc w:val="both"/>
        <w:rPr>
          <w:rFonts w:eastAsia="Calibri" w:cs="Calibri"/>
          <w:szCs w:val="24"/>
        </w:rPr>
      </w:pPr>
      <w:r>
        <w:rPr>
          <w:i/>
          <w:iCs/>
        </w:rPr>
        <w:t>f)</w:t>
      </w:r>
      <w:r>
        <w:tab/>
        <w:t>Certains membres se sont dit d'avis que le RTI devrait continuer d'être révisé en temps opportun, afin de s'adapter aux nouvelles tendances dans le domaine des télécommunications/TIC ainsi que des nouveaux problèmes qui se font jour dans l'environnement international des télécommunications/TIC. En particulier, le développement de la nouvelle génération de technologies de l</w:t>
      </w:r>
      <w:r w:rsidR="00157F52">
        <w:t>'</w:t>
      </w:r>
      <w:r>
        <w:t>information et de la communication et leur intégration dans le secteur ont ouvert de vastes perspectives pour les télécommunications/TIC mondiales, ainsi que de nombreux nouveaux enjeux et défis au niveau international</w:t>
      </w:r>
      <w:r w:rsidR="005C2BF3">
        <w:t>;</w:t>
      </w:r>
      <w:r>
        <w:t xml:space="preserve"> l</w:t>
      </w:r>
      <w:r w:rsidR="00157F52">
        <w:t>'</w:t>
      </w:r>
      <w:r>
        <w:t>examen et la révision du RTI devraient tenir compte des nouvelles tendances et des nouveaux problèmes, répondre aux questions ci</w:t>
      </w:r>
      <w:r w:rsidR="007E2441">
        <w:noBreakHyphen/>
      </w:r>
      <w:r>
        <w:t xml:space="preserve">dessus, </w:t>
      </w:r>
      <w:r>
        <w:lastRenderedPageBreak/>
        <w:t>résoudre efficacement les difficultés rencontrées par les pays en développement et préserver la stabilité du cadre juridique international du RTI.</w:t>
      </w:r>
    </w:p>
    <w:p w14:paraId="658DEA73" w14:textId="6A9B875A" w:rsidR="00FB5FE7" w:rsidRPr="00C3406C" w:rsidRDefault="00FB5FE7" w:rsidP="00357877">
      <w:pPr>
        <w:pStyle w:val="Heading1"/>
      </w:pPr>
      <w:r>
        <w:rPr>
          <w:bCs/>
        </w:rPr>
        <w:t>4</w:t>
      </w:r>
      <w:r>
        <w:tab/>
      </w:r>
      <w:r>
        <w:rPr>
          <w:bCs/>
        </w:rPr>
        <w:t>Marche à suivre possible</w:t>
      </w:r>
    </w:p>
    <w:p w14:paraId="106838D0" w14:textId="6BA47B3B" w:rsidR="00FB5FE7" w:rsidRPr="00C3406C" w:rsidRDefault="00FB5FE7" w:rsidP="00E06096">
      <w:pPr>
        <w:jc w:val="both"/>
        <w:rPr>
          <w:rFonts w:eastAsia="Calibri"/>
        </w:rPr>
      </w:pPr>
      <w:r>
        <w:rPr>
          <w:b/>
          <w:bCs/>
        </w:rPr>
        <w:t>4.1</w:t>
      </w:r>
      <w:r>
        <w:tab/>
        <w:t>Comme indiqué ci-dessus, les membres ont exprimé des points de vue divergents concernant les diverses solutions possibles proposées.</w:t>
      </w:r>
    </w:p>
    <w:p w14:paraId="095840C8" w14:textId="2601FCDC" w:rsidR="00FB5FE7" w:rsidRPr="00C3406C" w:rsidRDefault="00FB5FE7" w:rsidP="00E06096">
      <w:pPr>
        <w:jc w:val="both"/>
        <w:rPr>
          <w:rFonts w:eastAsia="Calibri"/>
        </w:rPr>
      </w:pPr>
      <w:r>
        <w:rPr>
          <w:b/>
          <w:bCs/>
        </w:rPr>
        <w:t>4.2</w:t>
      </w:r>
      <w:r>
        <w:tab/>
        <w:t>Certains membres ont proposé les solutions suivantes à titre de marche à suivre possible (sans ordre particulier</w:t>
      </w:r>
      <w:proofErr w:type="gramStart"/>
      <w:r>
        <w:t>)</w:t>
      </w:r>
      <w:r w:rsidR="005C2BF3">
        <w:t>:</w:t>
      </w:r>
      <w:proofErr w:type="gramEnd"/>
    </w:p>
    <w:p w14:paraId="19B9FB7F" w14:textId="1C101AAF" w:rsidR="00FB5FE7" w:rsidRPr="00C3406C" w:rsidRDefault="00FB5FE7" w:rsidP="00E06096">
      <w:pPr>
        <w:pStyle w:val="enumlev1"/>
        <w:jc w:val="both"/>
      </w:pPr>
      <w:r>
        <w:rPr>
          <w:i/>
          <w:iCs/>
        </w:rPr>
        <w:t>a)</w:t>
      </w:r>
      <w:r>
        <w:tab/>
      </w:r>
      <w:r w:rsidR="007E2441">
        <w:t>S</w:t>
      </w:r>
      <w:r>
        <w:t>uspendre les discussions sur le RTI en l</w:t>
      </w:r>
      <w:r w:rsidR="00157F52">
        <w:t>'</w:t>
      </w:r>
      <w:r>
        <w:t>absence de consensus sur la marche à suivre</w:t>
      </w:r>
      <w:r w:rsidR="007E2441">
        <w:t>.</w:t>
      </w:r>
    </w:p>
    <w:p w14:paraId="0EF1EB84" w14:textId="1325B127" w:rsidR="00FB5FE7" w:rsidRPr="00C3406C" w:rsidRDefault="00FB5FE7" w:rsidP="00E06096">
      <w:pPr>
        <w:pStyle w:val="enumlev1"/>
        <w:jc w:val="both"/>
        <w:rPr>
          <w:rFonts w:eastAsia="Calibri" w:cs="Calibri"/>
          <w:szCs w:val="24"/>
        </w:rPr>
      </w:pPr>
      <w:r>
        <w:rPr>
          <w:i/>
          <w:iCs/>
        </w:rPr>
        <w:t>b)</w:t>
      </w:r>
      <w:r>
        <w:tab/>
      </w:r>
      <w:r w:rsidR="007E2441">
        <w:t>S</w:t>
      </w:r>
      <w:r>
        <w:t>uspendre les discussions sur le RTI jusqu</w:t>
      </w:r>
      <w:r w:rsidR="00157F52">
        <w:t>'</w:t>
      </w:r>
      <w:r>
        <w:t>à ce qu</w:t>
      </w:r>
      <w:r w:rsidR="00157F52">
        <w:t>'</w:t>
      </w:r>
      <w:r>
        <w:t>un consensus se dégage sur la marche à suivre</w:t>
      </w:r>
      <w:r w:rsidR="007E2441">
        <w:t>.</w:t>
      </w:r>
    </w:p>
    <w:p w14:paraId="71E4D927" w14:textId="3B29FC6C" w:rsidR="00FB5FE7" w:rsidRPr="00C3406C" w:rsidRDefault="00FB5FE7" w:rsidP="00E06096">
      <w:pPr>
        <w:pStyle w:val="enumlev1"/>
        <w:jc w:val="both"/>
      </w:pPr>
      <w:r>
        <w:rPr>
          <w:i/>
          <w:iCs/>
        </w:rPr>
        <w:t>c)</w:t>
      </w:r>
      <w:r>
        <w:tab/>
      </w:r>
      <w:r w:rsidR="007E2441">
        <w:t>C</w:t>
      </w:r>
      <w:r>
        <w:t>onvoquer un autre G</w:t>
      </w:r>
      <w:r w:rsidR="00ED6DE6">
        <w:t>E</w:t>
      </w:r>
      <w:r>
        <w:t>-RTI afin de tenter de trouver un consensus sur la marche à suivre</w:t>
      </w:r>
      <w:r w:rsidR="007E2441">
        <w:t>.</w:t>
      </w:r>
    </w:p>
    <w:p w14:paraId="736BA1D4" w14:textId="48F5A065" w:rsidR="00FB5FE7" w:rsidRPr="00C3406C" w:rsidRDefault="00FB5FE7" w:rsidP="00E06096">
      <w:pPr>
        <w:pStyle w:val="enumlev1"/>
        <w:jc w:val="both"/>
      </w:pPr>
      <w:r>
        <w:rPr>
          <w:i/>
          <w:iCs/>
        </w:rPr>
        <w:t>d)</w:t>
      </w:r>
      <w:r>
        <w:tab/>
      </w:r>
      <w:r w:rsidR="007E2441">
        <w:t>C</w:t>
      </w:r>
      <w:r>
        <w:t>onvoquer une CMTI chargée de réviser, de rationaliser ou, le cas échéant, d</w:t>
      </w:r>
      <w:r w:rsidR="00157F52">
        <w:t>'</w:t>
      </w:r>
      <w:r>
        <w:t>abroger le RTI, conformément aux décisions de la Conférence de plénipotentiaires.</w:t>
      </w:r>
    </w:p>
    <w:p w14:paraId="032C3B2E" w14:textId="15C7C8C6" w:rsidR="00FB5FE7" w:rsidRPr="00C3406C" w:rsidRDefault="00FB5FE7" w:rsidP="00E06096">
      <w:pPr>
        <w:spacing w:before="86"/>
        <w:ind w:left="567" w:hanging="567"/>
        <w:jc w:val="both"/>
      </w:pPr>
      <w:r>
        <w:rPr>
          <w:b/>
          <w:bCs/>
        </w:rPr>
        <w:t>4.3</w:t>
      </w:r>
      <w:r>
        <w:tab/>
        <w:t xml:space="preserve">Le </w:t>
      </w:r>
      <w:r w:rsidR="007E2441">
        <w:t>g</w:t>
      </w:r>
      <w:r>
        <w:t>roupe n'est pas parvenu à un consensus sur la marche à suivre concernant le RTI.</w:t>
      </w:r>
    </w:p>
    <w:p w14:paraId="52E6FC3F" w14:textId="275C5767" w:rsidR="00FB5FE7" w:rsidRPr="00C3406C" w:rsidRDefault="00FB5FE7" w:rsidP="00357877">
      <w:pPr>
        <w:pStyle w:val="Heading1"/>
        <w:rPr>
          <w:rFonts w:eastAsia="Calibri"/>
        </w:rPr>
      </w:pPr>
      <w:r w:rsidRPr="007E2441">
        <w:rPr>
          <w:bCs/>
        </w:rPr>
        <w:t>5</w:t>
      </w:r>
      <w:r w:rsidRPr="007E2441">
        <w:tab/>
      </w:r>
      <w:r w:rsidRPr="007E2441">
        <w:rPr>
          <w:bCs/>
        </w:rPr>
        <w:t>Conclusion</w:t>
      </w:r>
    </w:p>
    <w:p w14:paraId="0267E0FF" w14:textId="623BB2BA" w:rsidR="00FB5FE7" w:rsidRPr="00C3406C" w:rsidRDefault="00FB5FE7" w:rsidP="00E06096">
      <w:pPr>
        <w:jc w:val="both"/>
        <w:rPr>
          <w:rFonts w:eastAsia="Calibri" w:cs="Arial"/>
          <w:szCs w:val="24"/>
        </w:rPr>
      </w:pPr>
      <w:r>
        <w:rPr>
          <w:b/>
          <w:bCs/>
        </w:rPr>
        <w:t>5.1</w:t>
      </w:r>
      <w:r>
        <w:tab/>
        <w:t xml:space="preserve">Le </w:t>
      </w:r>
      <w:r w:rsidR="007E2441">
        <w:t>g</w:t>
      </w:r>
      <w:r>
        <w:t>roupe invite le Conseil à examiner le présent rapport et à le soumettre à la Conférence de plénipotentiaires de 2026, assorti de ses observations.</w:t>
      </w:r>
    </w:p>
    <w:p w14:paraId="662F5487" w14:textId="0610E009" w:rsidR="00FB5FE7" w:rsidRPr="00C3406C" w:rsidRDefault="00FB5FE7" w:rsidP="00E06096">
      <w:pPr>
        <w:jc w:val="both"/>
        <w:rPr>
          <w:rFonts w:eastAsia="Calibri" w:cs="Arial"/>
          <w:szCs w:val="24"/>
        </w:rPr>
      </w:pPr>
      <w:r>
        <w:rPr>
          <w:b/>
          <w:bCs/>
        </w:rPr>
        <w:t>5.2</w:t>
      </w:r>
      <w:r>
        <w:tab/>
        <w:t xml:space="preserve">Les membres ont remercié les Membres de Secteur qui ont participé activement aux discussions du </w:t>
      </w:r>
      <w:r w:rsidR="007E2441">
        <w:t>g</w:t>
      </w:r>
      <w:r>
        <w:t>roupe et présenté des contributions qui ont facilité le processus d</w:t>
      </w:r>
      <w:r w:rsidR="00157F52">
        <w:t>'</w:t>
      </w:r>
      <w:r>
        <w:t xml:space="preserve">examen, notamment dans le cadre de consultations régionales. </w:t>
      </w:r>
    </w:p>
    <w:p w14:paraId="40CA9A3C" w14:textId="67851664" w:rsidR="00FB5FE7" w:rsidRPr="00C3406C" w:rsidRDefault="00FB5FE7" w:rsidP="00E06096">
      <w:pPr>
        <w:jc w:val="both"/>
      </w:pPr>
      <w:r>
        <w:rPr>
          <w:b/>
          <w:bCs/>
        </w:rPr>
        <w:t>5.3</w:t>
      </w:r>
      <w:r>
        <w:tab/>
        <w:t xml:space="preserve">Le </w:t>
      </w:r>
      <w:r w:rsidR="00D05A8E">
        <w:t>g</w:t>
      </w:r>
      <w:r>
        <w:t>roupe d'experts a exprimé sa sincère reconnaissance au Président, au Vice</w:t>
      </w:r>
      <w:r w:rsidR="00D05A8E">
        <w:noBreakHyphen/>
        <w:t>P</w:t>
      </w:r>
      <w:r>
        <w:t xml:space="preserve">résident du </w:t>
      </w:r>
      <w:r w:rsidR="00D05A8E">
        <w:t>g</w:t>
      </w:r>
      <w:r>
        <w:t xml:space="preserve">roupe et au </w:t>
      </w:r>
      <w:r w:rsidR="00D05A8E">
        <w:t>S</w:t>
      </w:r>
      <w:r>
        <w:t>ecrétariat, qui ont travaillé sans relâche et avec détermination pour mener à bien cette tâche.</w:t>
      </w:r>
    </w:p>
    <w:p w14:paraId="0A1D56DF" w14:textId="77777777" w:rsidR="00D05A8E" w:rsidRDefault="00FB5FE7" w:rsidP="00E06096">
      <w:pPr>
        <w:jc w:val="both"/>
      </w:pPr>
      <w:r>
        <w:rPr>
          <w:b/>
          <w:bCs/>
        </w:rPr>
        <w:t>5.4</w:t>
      </w:r>
      <w:r>
        <w:tab/>
        <w:t>Les déclarations des différents membres sont reproduites en annexe.</w:t>
      </w:r>
    </w:p>
    <w:p w14:paraId="06C95AA7" w14:textId="78ED730B" w:rsidR="00FB5FE7" w:rsidRPr="00D05A8E" w:rsidRDefault="00D05A8E" w:rsidP="00E06096">
      <w:pPr>
        <w:pStyle w:val="Normalaftertitle"/>
        <w:spacing w:before="2400"/>
      </w:pPr>
      <w:proofErr w:type="gramStart"/>
      <w:r w:rsidRPr="00D05A8E">
        <w:rPr>
          <w:b/>
          <w:bCs/>
        </w:rPr>
        <w:t>Annexe</w:t>
      </w:r>
      <w:r>
        <w:t>:</w:t>
      </w:r>
      <w:proofErr w:type="gramEnd"/>
      <w:r>
        <w:t xml:space="preserve"> 1</w:t>
      </w:r>
      <w:hyperlink w:anchor="Annex" w:history="1"/>
      <w:bookmarkStart w:id="0" w:name="Annex"/>
      <w:r w:rsidR="00FB5FE7">
        <w:br w:type="page"/>
      </w:r>
    </w:p>
    <w:p w14:paraId="75A76818" w14:textId="77777777" w:rsidR="00FB5FE7" w:rsidRPr="00C3406C" w:rsidRDefault="00FB5FE7" w:rsidP="00D05A8E">
      <w:pPr>
        <w:pStyle w:val="AnnexNo"/>
      </w:pPr>
      <w:r>
        <w:lastRenderedPageBreak/>
        <w:t>Annexe</w:t>
      </w:r>
      <w:bookmarkEnd w:id="0"/>
    </w:p>
    <w:p w14:paraId="32516019" w14:textId="77777777" w:rsidR="00FB5FE7" w:rsidRPr="00C3406C" w:rsidRDefault="00FB5FE7" w:rsidP="00D05A8E">
      <w:pPr>
        <w:pStyle w:val="Annextitle"/>
      </w:pPr>
      <w:r>
        <w:rPr>
          <w:bCs/>
        </w:rPr>
        <w:t>Déclaration des membres</w:t>
      </w:r>
    </w:p>
    <w:p w14:paraId="76E070D3" w14:textId="76985C0C" w:rsidR="00FB5FE7" w:rsidRPr="00C3406C" w:rsidRDefault="00FB5FE7" w:rsidP="00357877">
      <w:pPr>
        <w:pStyle w:val="Heading1"/>
        <w:spacing w:before="200"/>
      </w:pPr>
      <w:r>
        <w:rPr>
          <w:bCs/>
        </w:rPr>
        <w:t>1</w:t>
      </w:r>
      <w:r>
        <w:tab/>
      </w:r>
      <w:r>
        <w:rPr>
          <w:bCs/>
        </w:rPr>
        <w:t xml:space="preserve">Déclaration de </w:t>
      </w:r>
      <w:proofErr w:type="gramStart"/>
      <w:r>
        <w:rPr>
          <w:bCs/>
        </w:rPr>
        <w:t>Hill</w:t>
      </w:r>
      <w:r w:rsidR="005C2BF3">
        <w:rPr>
          <w:bCs/>
        </w:rPr>
        <w:t>:</w:t>
      </w:r>
      <w:proofErr w:type="gramEnd"/>
      <w:r>
        <w:rPr>
          <w:bCs/>
        </w:rPr>
        <w:t xml:space="preserve"> </w:t>
      </w:r>
      <w:r w:rsidR="00CE5963">
        <w:rPr>
          <w:bCs/>
        </w:rPr>
        <w:t>E</w:t>
      </w:r>
      <w:r>
        <w:rPr>
          <w:bCs/>
        </w:rPr>
        <w:t>xamen de chacune des dispositions</w:t>
      </w:r>
    </w:p>
    <w:p w14:paraId="1B555560" w14:textId="2DB96DD9" w:rsidR="00FB5FE7" w:rsidRPr="00C3406C" w:rsidRDefault="00FB5FE7" w:rsidP="00E06096">
      <w:pPr>
        <w:spacing w:before="100"/>
        <w:jc w:val="both"/>
      </w:pPr>
      <w:r>
        <w:t>1.1</w:t>
      </w:r>
      <w:r>
        <w:tab/>
        <w:t>Comme indiqué dans le corps du présent rapport, certains membres ont estimé qu</w:t>
      </w:r>
      <w:r w:rsidR="00157F52">
        <w:t>'</w:t>
      </w:r>
      <w:r>
        <w:t>il convenait d'examiner chacune des dispositions du RTI, conformément aux points énumérés au point 2 du mandat. D'autres membres ont jugé qu</w:t>
      </w:r>
      <w:r w:rsidR="00157F52">
        <w:t>'</w:t>
      </w:r>
      <w:r>
        <w:t>un tel examen disposition par disposition n</w:t>
      </w:r>
      <w:r w:rsidR="00157F52">
        <w:t>'</w:t>
      </w:r>
      <w:r>
        <w:t>entrait pas dans le cadre du mandat.</w:t>
      </w:r>
    </w:p>
    <w:p w14:paraId="33B90E21" w14:textId="04D3A793" w:rsidR="00FB5FE7" w:rsidRPr="00C3406C" w:rsidRDefault="00FB5FE7" w:rsidP="00E06096">
      <w:pPr>
        <w:spacing w:before="100"/>
        <w:jc w:val="both"/>
        <w:rPr>
          <w:bCs/>
        </w:rPr>
      </w:pPr>
      <w:r>
        <w:t>1.2</w:t>
      </w:r>
      <w:r>
        <w:tab/>
        <w:t xml:space="preserve">La version de 2012 du RTI est disponible </w:t>
      </w:r>
      <w:hyperlink r:id="rId190" w:history="1">
        <w:r w:rsidRPr="00CE5963">
          <w:rPr>
            <w:rStyle w:val="Hyperlink"/>
            <w:rFonts w:eastAsia="Times New Roman" w:cs="Times New Roman"/>
            <w:szCs w:val="20"/>
          </w:rPr>
          <w:t>ici</w:t>
        </w:r>
      </w:hyperlink>
      <w:r>
        <w:t xml:space="preserve">. La version de 1988 est disponible </w:t>
      </w:r>
      <w:hyperlink r:id="rId191" w:history="1">
        <w:r w:rsidRPr="00CE5963">
          <w:rPr>
            <w:rStyle w:val="Hyperlink"/>
            <w:rFonts w:eastAsia="Times New Roman" w:cs="Times New Roman"/>
            <w:szCs w:val="20"/>
          </w:rPr>
          <w:t>ici</w:t>
        </w:r>
      </w:hyperlink>
      <w:r>
        <w:t xml:space="preserve">. Le texte des deux versions figure dans le Document </w:t>
      </w:r>
      <w:hyperlink r:id="rId192" w:history="1">
        <w:proofErr w:type="spellStart"/>
        <w:r w:rsidRPr="00CE5963">
          <w:rPr>
            <w:rStyle w:val="Hyperlink"/>
            <w:rFonts w:eastAsia="Times New Roman" w:cs="Times New Roman"/>
            <w:szCs w:val="20"/>
          </w:rPr>
          <w:t>EG</w:t>
        </w:r>
        <w:proofErr w:type="spellEnd"/>
        <w:r w:rsidRPr="00CE5963">
          <w:rPr>
            <w:rStyle w:val="Hyperlink"/>
            <w:rFonts w:eastAsia="Times New Roman" w:cs="Times New Roman"/>
            <w:szCs w:val="20"/>
          </w:rPr>
          <w:t>-</w:t>
        </w:r>
        <w:proofErr w:type="spellStart"/>
        <w:r w:rsidRPr="00CE5963">
          <w:rPr>
            <w:rStyle w:val="Hyperlink"/>
            <w:rFonts w:eastAsia="Times New Roman" w:cs="Times New Roman"/>
            <w:szCs w:val="20"/>
          </w:rPr>
          <w:t>ITRs</w:t>
        </w:r>
        <w:proofErr w:type="spellEnd"/>
        <w:r w:rsidRPr="00CE5963">
          <w:rPr>
            <w:rStyle w:val="Hyperlink"/>
            <w:rFonts w:eastAsia="Times New Roman" w:cs="Times New Roman"/>
            <w:szCs w:val="20"/>
          </w:rPr>
          <w:t>-4/4</w:t>
        </w:r>
      </w:hyperlink>
      <w:r>
        <w:t>.</w:t>
      </w:r>
      <w:hyperlink r:id="rId193" w:history="1"/>
      <w:hyperlink r:id="rId194" w:history="1"/>
      <w:hyperlink r:id="rId195" w:history="1"/>
    </w:p>
    <w:p w14:paraId="5D5FE20D" w14:textId="390ABB5B" w:rsidR="00FB5FE7" w:rsidRPr="00C3406C" w:rsidRDefault="00FB5FE7" w:rsidP="00E06096">
      <w:pPr>
        <w:spacing w:before="100"/>
        <w:jc w:val="both"/>
      </w:pPr>
      <w:r>
        <w:t>1.3</w:t>
      </w:r>
      <w:r>
        <w:tab/>
        <w:t>L</w:t>
      </w:r>
      <w:r w:rsidR="00157F52">
        <w:t>'</w:t>
      </w:r>
      <w:r>
        <w:t xml:space="preserve">examen de chacune </w:t>
      </w:r>
      <w:proofErr w:type="gramStart"/>
      <w:r>
        <w:t>des dispositions effectué</w:t>
      </w:r>
      <w:proofErr w:type="gramEnd"/>
      <w:r>
        <w:t xml:space="preserve"> par certains membres est présenté dans la présente </w:t>
      </w:r>
      <w:r w:rsidR="00CE5963">
        <w:t>d</w:t>
      </w:r>
      <w:r>
        <w:t>éclaration. Les références ci-dessous à des dispositions spécifiques renvoient aux numéros marginaux du RTI dans sa version de 2012. Par exemple, la disposition</w:t>
      </w:r>
      <w:r w:rsidR="00CE5963">
        <w:t> </w:t>
      </w:r>
      <w:r>
        <w:t xml:space="preserve">1 correspond au premier paragraphe du Préambule. </w:t>
      </w:r>
    </w:p>
    <w:p w14:paraId="426FF34D" w14:textId="2E0C5EB9" w:rsidR="00FB5FE7" w:rsidRPr="00C3406C" w:rsidRDefault="00FB5FE7" w:rsidP="00E06096">
      <w:pPr>
        <w:spacing w:before="100"/>
        <w:jc w:val="both"/>
      </w:pPr>
      <w:r>
        <w:t>1.4</w:t>
      </w:r>
      <w:r>
        <w:tab/>
        <w:t>La justification à l'appui des vues exprimées ci-après est reproduite dans les Documents</w:t>
      </w:r>
      <w:r w:rsidR="00CE5963">
        <w:t> </w:t>
      </w:r>
      <w:hyperlink r:id="rId196" w:history="1">
        <w:r w:rsidRPr="00CE5963">
          <w:rPr>
            <w:rStyle w:val="Hyperlink"/>
            <w:rFonts w:eastAsia="Times New Roman" w:cs="Times New Roman"/>
            <w:szCs w:val="20"/>
          </w:rPr>
          <w:t>EG-ITRs-3/2</w:t>
        </w:r>
      </w:hyperlink>
      <w:r>
        <w:t xml:space="preserve"> et </w:t>
      </w:r>
      <w:hyperlink r:id="rId197" w:history="1">
        <w:proofErr w:type="spellStart"/>
        <w:r w:rsidRPr="00CE5963">
          <w:rPr>
            <w:rStyle w:val="Hyperlink"/>
            <w:rFonts w:eastAsia="Times New Roman" w:cs="Times New Roman"/>
            <w:szCs w:val="20"/>
          </w:rPr>
          <w:t>EG</w:t>
        </w:r>
        <w:proofErr w:type="spellEnd"/>
        <w:r w:rsidRPr="00CE5963">
          <w:rPr>
            <w:rStyle w:val="Hyperlink"/>
            <w:rFonts w:eastAsia="Times New Roman" w:cs="Times New Roman"/>
            <w:szCs w:val="20"/>
          </w:rPr>
          <w:t>-</w:t>
        </w:r>
        <w:proofErr w:type="spellStart"/>
        <w:r w:rsidRPr="00CE5963">
          <w:rPr>
            <w:rStyle w:val="Hyperlink"/>
            <w:rFonts w:eastAsia="Times New Roman" w:cs="Times New Roman"/>
            <w:szCs w:val="20"/>
          </w:rPr>
          <w:t>ITRs</w:t>
        </w:r>
        <w:proofErr w:type="spellEnd"/>
        <w:r w:rsidRPr="00CE5963">
          <w:rPr>
            <w:rStyle w:val="Hyperlink"/>
            <w:rFonts w:eastAsia="Times New Roman" w:cs="Times New Roman"/>
            <w:szCs w:val="20"/>
          </w:rPr>
          <w:t>-4/4</w:t>
        </w:r>
      </w:hyperlink>
      <w:r>
        <w:t>.</w:t>
      </w:r>
      <w:hyperlink r:id="rId198" w:history="1"/>
      <w:hyperlink r:id="rId199" w:history="1"/>
    </w:p>
    <w:p w14:paraId="5BD59DFF" w14:textId="3C2D17A6" w:rsidR="00FB5FE7" w:rsidRPr="00EB05EB" w:rsidRDefault="00FB5FE7" w:rsidP="00E06096">
      <w:pPr>
        <w:spacing w:before="100"/>
        <w:jc w:val="both"/>
        <w:rPr>
          <w:spacing w:val="-2"/>
        </w:rPr>
      </w:pPr>
      <w:r w:rsidRPr="00EB05EB">
        <w:rPr>
          <w:spacing w:val="-2"/>
        </w:rPr>
        <w:t>1.5</w:t>
      </w:r>
      <w:r w:rsidRPr="00EB05EB">
        <w:rPr>
          <w:spacing w:val="-2"/>
        </w:rPr>
        <w:tab/>
      </w:r>
      <w:r w:rsidRPr="00EB05EB">
        <w:rPr>
          <w:i/>
          <w:iCs/>
          <w:spacing w:val="-2"/>
        </w:rPr>
        <w:t>S</w:t>
      </w:r>
      <w:r w:rsidR="00157F52" w:rsidRPr="00EB05EB">
        <w:rPr>
          <w:i/>
          <w:iCs/>
          <w:spacing w:val="-2"/>
        </w:rPr>
        <w:t>'</w:t>
      </w:r>
      <w:r w:rsidRPr="00EB05EB">
        <w:rPr>
          <w:i/>
          <w:iCs/>
          <w:spacing w:val="-2"/>
        </w:rPr>
        <w:t>agissant des nouvelles tendances dans le secteur des télécommunications/TIC et des questions qui se font jour dans l</w:t>
      </w:r>
      <w:r w:rsidR="00157F52" w:rsidRPr="00EB05EB">
        <w:rPr>
          <w:i/>
          <w:iCs/>
          <w:spacing w:val="-2"/>
        </w:rPr>
        <w:t>'</w:t>
      </w:r>
      <w:r w:rsidRPr="00EB05EB">
        <w:rPr>
          <w:i/>
          <w:iCs/>
          <w:spacing w:val="-2"/>
        </w:rPr>
        <w:t>environnement international des télécommunications/TIC susceptibles d</w:t>
      </w:r>
      <w:r w:rsidR="00157F52" w:rsidRPr="00EB05EB">
        <w:rPr>
          <w:i/>
          <w:iCs/>
          <w:spacing w:val="-2"/>
        </w:rPr>
        <w:t>'</w:t>
      </w:r>
      <w:r w:rsidRPr="00EB05EB">
        <w:rPr>
          <w:i/>
          <w:iCs/>
          <w:spacing w:val="-2"/>
        </w:rPr>
        <w:t>avoir une incidence sur le RTI,</w:t>
      </w:r>
      <w:r w:rsidRPr="00EB05EB">
        <w:rPr>
          <w:spacing w:val="-2"/>
        </w:rPr>
        <w:t xml:space="preserve"> certains membres ont été d</w:t>
      </w:r>
      <w:r w:rsidR="00157F52" w:rsidRPr="00EB05EB">
        <w:rPr>
          <w:spacing w:val="-2"/>
        </w:rPr>
        <w:t>'</w:t>
      </w:r>
      <w:r w:rsidRPr="00EB05EB">
        <w:rPr>
          <w:spacing w:val="-2"/>
        </w:rPr>
        <w:t>avis que les dispositions suivantes devraient être révisées, à savoir les dispositions 29, 49, 50, 51, 63, 64 et 76. En</w:t>
      </w:r>
      <w:r w:rsidR="00EB05EB">
        <w:rPr>
          <w:spacing w:val="-2"/>
        </w:rPr>
        <w:t> </w:t>
      </w:r>
      <w:proofErr w:type="gramStart"/>
      <w:r w:rsidRPr="00EB05EB">
        <w:rPr>
          <w:spacing w:val="-2"/>
        </w:rPr>
        <w:t>particulier:</w:t>
      </w:r>
      <w:proofErr w:type="gramEnd"/>
    </w:p>
    <w:p w14:paraId="2D1B355A" w14:textId="2B9AAEA2" w:rsidR="00FB5FE7" w:rsidRPr="00C3406C" w:rsidRDefault="00FB5FE7" w:rsidP="00C45229">
      <w:pPr>
        <w:pStyle w:val="enumlev1"/>
        <w:jc w:val="both"/>
      </w:pPr>
      <w:proofErr w:type="gramStart"/>
      <w:r>
        <w:rPr>
          <w:b/>
          <w:bCs/>
        </w:rPr>
        <w:t>29</w:t>
      </w:r>
      <w:r>
        <w:t>:</w:t>
      </w:r>
      <w:proofErr w:type="gramEnd"/>
      <w:r>
        <w:tab/>
        <w:t>Afin de tenir compte des nouvelles tendances, il conviendrait d</w:t>
      </w:r>
      <w:r w:rsidR="00157F52">
        <w:t>'</w:t>
      </w:r>
      <w:r>
        <w:t xml:space="preserve">envisager de remplacer le texte de cette disposition (Article 3.3) par de nouvelles dispositions, comme </w:t>
      </w:r>
      <w:proofErr w:type="gramStart"/>
      <w:r>
        <w:t>suit:</w:t>
      </w:r>
      <w:proofErr w:type="gramEnd"/>
    </w:p>
    <w:p w14:paraId="07DA7EE3" w14:textId="682A4501" w:rsidR="00FB5FE7" w:rsidRPr="00C3406C" w:rsidRDefault="00FB5FE7" w:rsidP="00C45229">
      <w:pPr>
        <w:pStyle w:val="enumlev2"/>
        <w:spacing w:before="60"/>
        <w:jc w:val="both"/>
      </w:pPr>
      <w:r>
        <w:rPr>
          <w:i/>
          <w:iCs/>
        </w:rPr>
        <w:t>a)</w:t>
      </w:r>
      <w:r>
        <w:tab/>
        <w:t>Les États Membres veillent, par voie de la réglementation nationale, à ce que toutes les ressources internationales de numérotage assignées et publiées par l</w:t>
      </w:r>
      <w:r w:rsidR="00157F52">
        <w:t>'</w:t>
      </w:r>
      <w:r>
        <w:t>UIT puissent être composées et acheminées dans leur juridiction.</w:t>
      </w:r>
    </w:p>
    <w:p w14:paraId="64427EFD" w14:textId="38A6347F" w:rsidR="00FB5FE7" w:rsidRPr="00C3406C" w:rsidRDefault="00FB5FE7" w:rsidP="00C45229">
      <w:pPr>
        <w:pStyle w:val="enumlev2"/>
        <w:spacing w:before="60"/>
        <w:jc w:val="both"/>
      </w:pPr>
      <w:r>
        <w:rPr>
          <w:i/>
          <w:iCs/>
        </w:rPr>
        <w:t>b)</w:t>
      </w:r>
      <w:r>
        <w:tab/>
        <w:t>Les États Membres s</w:t>
      </w:r>
      <w:r w:rsidR="00157F52">
        <w:t>'</w:t>
      </w:r>
      <w:r>
        <w:t>efforcent de veiller à ce que les systèmes d</w:t>
      </w:r>
      <w:r w:rsidR="00157F52">
        <w:t>'</w:t>
      </w:r>
      <w:r>
        <w:t>intelligence artificielle (IA) utilisés pour le réseau de télécommunication international soient transparents, c</w:t>
      </w:r>
      <w:r w:rsidR="00157F52">
        <w:t>'</w:t>
      </w:r>
      <w:r>
        <w:t>est-à-dire qu'il doit être clairement indiqué que tel élément a été produit au moyen de l'IA, et les données d</w:t>
      </w:r>
      <w:r w:rsidR="00157F52">
        <w:t>'</w:t>
      </w:r>
      <w:r>
        <w:t>entraînement et les architectures de modèle devraient être divulguées.</w:t>
      </w:r>
    </w:p>
    <w:p w14:paraId="660E9669" w14:textId="148CC4D6" w:rsidR="00FB5FE7" w:rsidRPr="00C3406C" w:rsidRDefault="00FB5FE7" w:rsidP="00C45229">
      <w:pPr>
        <w:pStyle w:val="enumlev2"/>
        <w:spacing w:before="60"/>
        <w:jc w:val="both"/>
      </w:pPr>
      <w:r>
        <w:rPr>
          <w:i/>
          <w:iCs/>
        </w:rPr>
        <w:t>c)</w:t>
      </w:r>
      <w:r>
        <w:tab/>
        <w:t>Les États Membres veillent à ce que les fabricants de systèmes d</w:t>
      </w:r>
      <w:r w:rsidR="00157F52">
        <w:t>'</w:t>
      </w:r>
      <w:r>
        <w:t>IA utilisés pour le réseau de télécommunication international soient tenus responsables des résultats produits.</w:t>
      </w:r>
    </w:p>
    <w:p w14:paraId="58AD2691" w14:textId="6A12FF0D" w:rsidR="00FB5FE7" w:rsidRPr="00C45229" w:rsidRDefault="00FB5FE7" w:rsidP="00C45229">
      <w:pPr>
        <w:pStyle w:val="enumlev2"/>
        <w:spacing w:before="60"/>
        <w:jc w:val="both"/>
        <w:rPr>
          <w:spacing w:val="-2"/>
        </w:rPr>
      </w:pPr>
      <w:r w:rsidRPr="00C45229">
        <w:rPr>
          <w:i/>
          <w:iCs/>
          <w:spacing w:val="-2"/>
        </w:rPr>
        <w:t>d)</w:t>
      </w:r>
      <w:r w:rsidRPr="00C45229">
        <w:rPr>
          <w:spacing w:val="-2"/>
        </w:rPr>
        <w:tab/>
        <w:t>Les États Membres veillent à ce que les systèmes d'IA ne contrôlent pas de manière totalement autonome les systèmes ou infrastructures essentiels utilisés pour le réseau international de télécommunication (qui comprendrait l</w:t>
      </w:r>
      <w:r w:rsidR="00157F52" w:rsidRPr="00C45229">
        <w:rPr>
          <w:spacing w:val="-2"/>
        </w:rPr>
        <w:t>'</w:t>
      </w:r>
      <w:r w:rsidRPr="00C45229">
        <w:rPr>
          <w:spacing w:val="-2"/>
        </w:rPr>
        <w:t>infrastructure de base des télécommunications).</w:t>
      </w:r>
    </w:p>
    <w:p w14:paraId="05AD5C26" w14:textId="5B38ACA6" w:rsidR="00FB5FE7" w:rsidRPr="00C3406C" w:rsidRDefault="00FB5FE7" w:rsidP="00C45229">
      <w:pPr>
        <w:pStyle w:val="enumlev1"/>
        <w:jc w:val="both"/>
      </w:pPr>
      <w:proofErr w:type="gramStart"/>
      <w:r>
        <w:rPr>
          <w:b/>
          <w:bCs/>
        </w:rPr>
        <w:t>49:</w:t>
      </w:r>
      <w:proofErr w:type="gramEnd"/>
      <w:r>
        <w:tab/>
        <w:t xml:space="preserve">Cette disposition sur la sécurité (Article 6) devrait être remplacée par un texte plus détaillé comprenant au moins les engagements </w:t>
      </w:r>
      <w:proofErr w:type="gramStart"/>
      <w:r>
        <w:t>suivants</w:t>
      </w:r>
      <w:r w:rsidR="005C2BF3">
        <w:t>:</w:t>
      </w:r>
      <w:proofErr w:type="gramEnd"/>
    </w:p>
    <w:p w14:paraId="66B4DE9E" w14:textId="77777777" w:rsidR="00FB5FE7" w:rsidRPr="00C3406C" w:rsidRDefault="00FB5FE7" w:rsidP="00C45229">
      <w:pPr>
        <w:pStyle w:val="enumlev1"/>
        <w:jc w:val="both"/>
      </w:pPr>
      <w:r>
        <w:tab/>
        <w:t xml:space="preserve">Les États </w:t>
      </w:r>
      <w:proofErr w:type="gramStart"/>
      <w:r>
        <w:t>Membres:</w:t>
      </w:r>
      <w:proofErr w:type="gramEnd"/>
    </w:p>
    <w:p w14:paraId="43CD31CF" w14:textId="28444535" w:rsidR="00FB5FE7" w:rsidRPr="00CE5963" w:rsidRDefault="00FB5FE7" w:rsidP="00C45229">
      <w:pPr>
        <w:pStyle w:val="enumlev2"/>
        <w:jc w:val="both"/>
      </w:pPr>
      <w:r w:rsidRPr="00CE5963">
        <w:rPr>
          <w:i/>
          <w:iCs/>
        </w:rPr>
        <w:t>a)</w:t>
      </w:r>
      <w:r w:rsidRPr="00CE5963">
        <w:tab/>
        <w:t xml:space="preserve">s'abstiennent de pirater les comptes personnels ou les données privées détenues par les journalistes et les particuliers impliqués dans les processus </w:t>
      </w:r>
      <w:proofErr w:type="gramStart"/>
      <w:r w:rsidRPr="00CE5963">
        <w:t>électoraux;</w:t>
      </w:r>
      <w:proofErr w:type="gramEnd"/>
    </w:p>
    <w:p w14:paraId="31FCA6F2" w14:textId="2470355F" w:rsidR="00FB5FE7" w:rsidRPr="00CE5963" w:rsidRDefault="00FB5FE7" w:rsidP="00C45229">
      <w:pPr>
        <w:pStyle w:val="enumlev2"/>
        <w:jc w:val="both"/>
      </w:pPr>
      <w:r w:rsidRPr="00CE5963">
        <w:rPr>
          <w:i/>
          <w:iCs/>
        </w:rPr>
        <w:lastRenderedPageBreak/>
        <w:t>b)</w:t>
      </w:r>
      <w:r w:rsidRPr="00CE5963">
        <w:tab/>
        <w:t>s'abstiennent d</w:t>
      </w:r>
      <w:r w:rsidR="00157F52" w:rsidRPr="00CE5963">
        <w:t>'</w:t>
      </w:r>
      <w:r w:rsidRPr="00CE5963">
        <w:t>utiliser les TIC pour voler la propriété intellectuelle d</w:t>
      </w:r>
      <w:r w:rsidR="00157F52" w:rsidRPr="00CE5963">
        <w:t>'</w:t>
      </w:r>
      <w:r w:rsidRPr="00CE5963">
        <w:t>entreprises privées, y compris des secrets commerciaux ou d</w:t>
      </w:r>
      <w:r w:rsidR="00157F52" w:rsidRPr="00CE5963">
        <w:t>'</w:t>
      </w:r>
      <w:r w:rsidRPr="00CE5963">
        <w:t>autres informations commerciales confidentielles, et pour offrir un avantage concurrentiel à d</w:t>
      </w:r>
      <w:r w:rsidR="00157F52" w:rsidRPr="00CE5963">
        <w:t>'</w:t>
      </w:r>
      <w:r w:rsidRPr="00CE5963">
        <w:t xml:space="preserve">autres entreprises ou secteurs </w:t>
      </w:r>
      <w:proofErr w:type="gramStart"/>
      <w:r w:rsidRPr="00CE5963">
        <w:t>commerciaux</w:t>
      </w:r>
      <w:r w:rsidR="005C2BF3" w:rsidRPr="00CE5963">
        <w:t>;</w:t>
      </w:r>
      <w:proofErr w:type="gramEnd"/>
    </w:p>
    <w:p w14:paraId="449D5619" w14:textId="2076AACE" w:rsidR="00FB5FE7" w:rsidRPr="00CE5963" w:rsidRDefault="00FB5FE7" w:rsidP="00C45229">
      <w:pPr>
        <w:pStyle w:val="enumlev2"/>
        <w:jc w:val="both"/>
      </w:pPr>
      <w:r w:rsidRPr="00CE5963">
        <w:rPr>
          <w:i/>
          <w:iCs/>
        </w:rPr>
        <w:t>c)</w:t>
      </w:r>
      <w:r w:rsidRPr="00CE5963">
        <w:tab/>
        <w:t>s'abstiennent d</w:t>
      </w:r>
      <w:r w:rsidR="00157F52" w:rsidRPr="00CE5963">
        <w:t>'</w:t>
      </w:r>
      <w:r w:rsidRPr="00CE5963">
        <w:t>insérer ou d</w:t>
      </w:r>
      <w:r w:rsidR="00157F52" w:rsidRPr="00CE5963">
        <w:t>'</w:t>
      </w:r>
      <w:r w:rsidRPr="00CE5963">
        <w:t xml:space="preserve">exiger des </w:t>
      </w:r>
      <w:r w:rsidR="00D35461" w:rsidRPr="00CE5963">
        <w:t>"</w:t>
      </w:r>
      <w:r w:rsidRPr="00CE5963">
        <w:t>portes dérobées</w:t>
      </w:r>
      <w:r w:rsidR="00D35461" w:rsidRPr="00CE5963">
        <w:t>"</w:t>
      </w:r>
      <w:r w:rsidRPr="00CE5963">
        <w:t xml:space="preserve"> dans les produits technologiques commerciaux de </w:t>
      </w:r>
      <w:proofErr w:type="gramStart"/>
      <w:r w:rsidRPr="00CE5963">
        <w:t>masse</w:t>
      </w:r>
      <w:r w:rsidR="005C2BF3" w:rsidRPr="00CE5963">
        <w:t>;</w:t>
      </w:r>
      <w:proofErr w:type="gramEnd"/>
    </w:p>
    <w:p w14:paraId="62FCE229" w14:textId="13B0CCB0" w:rsidR="00FB5FE7" w:rsidRPr="00CE5963" w:rsidRDefault="00FB5FE7" w:rsidP="00C45229">
      <w:pPr>
        <w:pStyle w:val="enumlev2"/>
        <w:jc w:val="both"/>
      </w:pPr>
      <w:r w:rsidRPr="00CE5963">
        <w:rPr>
          <w:i/>
          <w:iCs/>
        </w:rPr>
        <w:t>d)</w:t>
      </w:r>
      <w:r w:rsidRPr="00CE5963">
        <w:tab/>
        <w:t>conviennent d</w:t>
      </w:r>
      <w:r w:rsidR="00157F52" w:rsidRPr="00CE5963">
        <w:t>'</w:t>
      </w:r>
      <w:r w:rsidRPr="00CE5963">
        <w:t>une politique claire pour l</w:t>
      </w:r>
      <w:r w:rsidR="00157F52" w:rsidRPr="00CE5963">
        <w:t>'</w:t>
      </w:r>
      <w:r w:rsidRPr="00CE5963">
        <w:t>acquisition, la conservation, la sécurisation et l</w:t>
      </w:r>
      <w:r w:rsidR="00157F52" w:rsidRPr="00CE5963">
        <w:t>'</w:t>
      </w:r>
      <w:r w:rsidRPr="00CE5963">
        <w:t xml:space="preserve">utilisation, ainsi que pour le signalement des vulnérabilités, traduisant un mandat solide consistant à signaler ces vulnérabilités aux fournisseurs de produits et services de consommation grand </w:t>
      </w:r>
      <w:proofErr w:type="gramStart"/>
      <w:r w:rsidRPr="00CE5963">
        <w:t>public;</w:t>
      </w:r>
      <w:proofErr w:type="gramEnd"/>
    </w:p>
    <w:p w14:paraId="1A7D1A03" w14:textId="415C504E" w:rsidR="00FB5FE7" w:rsidRPr="00CE5963" w:rsidRDefault="00FB5FE7" w:rsidP="00C45229">
      <w:pPr>
        <w:pStyle w:val="enumlev2"/>
        <w:jc w:val="both"/>
      </w:pPr>
      <w:r w:rsidRPr="00CE5963">
        <w:rPr>
          <w:i/>
          <w:iCs/>
        </w:rPr>
        <w:t>e)</w:t>
      </w:r>
      <w:r w:rsidRPr="00CE5963">
        <w:tab/>
        <w:t xml:space="preserve">font preuve de retenue dans la mise au point de cyberarmes et veillent à ce que celles qui sont mises au point soient limitées, précises et non </w:t>
      </w:r>
      <w:proofErr w:type="gramStart"/>
      <w:r w:rsidRPr="00CE5963">
        <w:t>réutilisables</w:t>
      </w:r>
      <w:r w:rsidR="005C2BF3" w:rsidRPr="00CE5963">
        <w:t>;</w:t>
      </w:r>
      <w:proofErr w:type="gramEnd"/>
      <w:r w:rsidRPr="00CE5963">
        <w:t xml:space="preserve"> </w:t>
      </w:r>
      <w:r w:rsidR="00CE5963">
        <w:t>l</w:t>
      </w:r>
      <w:r w:rsidRPr="00CE5963">
        <w:t xml:space="preserve">es Parties veillent également à conserver le contrôle de telles armes dans un environnement </w:t>
      </w:r>
      <w:proofErr w:type="gramStart"/>
      <w:r w:rsidRPr="00CE5963">
        <w:t>sécurisé</w:t>
      </w:r>
      <w:r w:rsidR="005C2BF3" w:rsidRPr="00CE5963">
        <w:t>;</w:t>
      </w:r>
      <w:proofErr w:type="gramEnd"/>
    </w:p>
    <w:p w14:paraId="4C5B93C5" w14:textId="7A70094A" w:rsidR="00FB5FE7" w:rsidRPr="00CE5963" w:rsidRDefault="00FB5FE7" w:rsidP="00C45229">
      <w:pPr>
        <w:pStyle w:val="enumlev2"/>
        <w:jc w:val="both"/>
      </w:pPr>
      <w:r w:rsidRPr="00CE5963">
        <w:rPr>
          <w:i/>
          <w:iCs/>
        </w:rPr>
        <w:t>f)</w:t>
      </w:r>
      <w:r w:rsidRPr="00CE5963">
        <w:tab/>
        <w:t xml:space="preserve">conviennent de limiter la prolifération des </w:t>
      </w:r>
      <w:proofErr w:type="gramStart"/>
      <w:r w:rsidRPr="00CE5963">
        <w:t>cyberarmes</w:t>
      </w:r>
      <w:r w:rsidR="005C2BF3" w:rsidRPr="00CE5963">
        <w:t>;</w:t>
      </w:r>
      <w:proofErr w:type="gramEnd"/>
      <w:r w:rsidRPr="00CE5963">
        <w:t xml:space="preserve"> les gouvernements s'efforcent de ne pas distribuer ou permettre à d</w:t>
      </w:r>
      <w:r w:rsidR="00157F52" w:rsidRPr="00CE5963">
        <w:t>'</w:t>
      </w:r>
      <w:r w:rsidRPr="00CE5963">
        <w:t>autres de distribuer des cyberarmes, et d</w:t>
      </w:r>
      <w:r w:rsidR="00157F52" w:rsidRPr="00CE5963">
        <w:t>'</w:t>
      </w:r>
      <w:r w:rsidRPr="00CE5963">
        <w:t>utiliser des outils de renseignement, de maintien de l</w:t>
      </w:r>
      <w:r w:rsidR="00157F52" w:rsidRPr="00CE5963">
        <w:t>'</w:t>
      </w:r>
      <w:r w:rsidRPr="00CE5963">
        <w:t xml:space="preserve">ordre et de sanctions financières contre ceux qui se livrent à ces </w:t>
      </w:r>
      <w:proofErr w:type="gramStart"/>
      <w:r w:rsidRPr="00CE5963">
        <w:t>pratiques;</w:t>
      </w:r>
      <w:proofErr w:type="gramEnd"/>
    </w:p>
    <w:p w14:paraId="7040CC9F" w14:textId="175A985C" w:rsidR="00FB5FE7" w:rsidRPr="00CE5963" w:rsidRDefault="00FB5FE7" w:rsidP="00C45229">
      <w:pPr>
        <w:pStyle w:val="enumlev2"/>
        <w:jc w:val="both"/>
      </w:pPr>
      <w:r w:rsidRPr="00CE5963">
        <w:rPr>
          <w:i/>
          <w:iCs/>
        </w:rPr>
        <w:t>g)</w:t>
      </w:r>
      <w:r w:rsidRPr="00CE5963">
        <w:tab/>
        <w:t>limitent leur participation à des opérations cyberoffensives afin d</w:t>
      </w:r>
      <w:r w:rsidR="00157F52" w:rsidRPr="00CE5963">
        <w:t>'</w:t>
      </w:r>
      <w:r w:rsidRPr="00CE5963">
        <w:t xml:space="preserve">éviter de causer des dommages massifs aux infrastructures ou aux installations </w:t>
      </w:r>
      <w:proofErr w:type="gramStart"/>
      <w:r w:rsidRPr="00CE5963">
        <w:t>civiles</w:t>
      </w:r>
      <w:r w:rsidR="005C2BF3" w:rsidRPr="00CE5963">
        <w:t>;</w:t>
      </w:r>
      <w:proofErr w:type="gramEnd"/>
    </w:p>
    <w:p w14:paraId="00F6EAB9" w14:textId="6E3FDF26" w:rsidR="00FB5FE7" w:rsidRPr="00C45229" w:rsidRDefault="00FB5FE7" w:rsidP="00C45229">
      <w:pPr>
        <w:pStyle w:val="enumlev2"/>
        <w:jc w:val="both"/>
        <w:rPr>
          <w:spacing w:val="-2"/>
        </w:rPr>
      </w:pPr>
      <w:r w:rsidRPr="00C45229">
        <w:rPr>
          <w:i/>
          <w:iCs/>
          <w:spacing w:val="-2"/>
        </w:rPr>
        <w:t>h)</w:t>
      </w:r>
      <w:r w:rsidRPr="00C45229">
        <w:rPr>
          <w:spacing w:val="-2"/>
        </w:rPr>
        <w:tab/>
        <w:t>s'efforcent d</w:t>
      </w:r>
      <w:r w:rsidR="00157F52" w:rsidRPr="00C45229">
        <w:rPr>
          <w:spacing w:val="-2"/>
        </w:rPr>
        <w:t>'</w:t>
      </w:r>
      <w:r w:rsidRPr="00C45229">
        <w:rPr>
          <w:spacing w:val="-2"/>
        </w:rPr>
        <w:t>aider le secteur privé à détecter et à contenir les cyberattaques, à</w:t>
      </w:r>
      <w:r w:rsidR="00CE5963" w:rsidRPr="00C45229">
        <w:rPr>
          <w:spacing w:val="-2"/>
        </w:rPr>
        <w:t> </w:t>
      </w:r>
      <w:r w:rsidRPr="00C45229">
        <w:rPr>
          <w:spacing w:val="-2"/>
        </w:rPr>
        <w:t>y</w:t>
      </w:r>
      <w:r w:rsidR="00CE5963" w:rsidRPr="00C45229">
        <w:rPr>
          <w:spacing w:val="-2"/>
        </w:rPr>
        <w:t> </w:t>
      </w:r>
      <w:r w:rsidRPr="00C45229">
        <w:rPr>
          <w:spacing w:val="-2"/>
        </w:rPr>
        <w:t xml:space="preserve">répondre et à y </w:t>
      </w:r>
      <w:proofErr w:type="gramStart"/>
      <w:r w:rsidRPr="00C45229">
        <w:rPr>
          <w:spacing w:val="-2"/>
        </w:rPr>
        <w:t>remédier;</w:t>
      </w:r>
      <w:proofErr w:type="gramEnd"/>
      <w:r w:rsidRPr="00C45229">
        <w:rPr>
          <w:spacing w:val="-2"/>
        </w:rPr>
        <w:t xml:space="preserve"> en particulier, ils mettent en place les capacités ou les mécanismes essentiels nécessaires à l</w:t>
      </w:r>
      <w:r w:rsidR="00157F52" w:rsidRPr="00C45229">
        <w:rPr>
          <w:spacing w:val="-2"/>
        </w:rPr>
        <w:t>'</w:t>
      </w:r>
      <w:r w:rsidRPr="00C45229">
        <w:rPr>
          <w:spacing w:val="-2"/>
        </w:rPr>
        <w:t>intervention et au rétablissement, y</w:t>
      </w:r>
      <w:r w:rsidR="00CE5963" w:rsidRPr="00C45229">
        <w:rPr>
          <w:spacing w:val="-2"/>
        </w:rPr>
        <w:t> </w:t>
      </w:r>
      <w:r w:rsidRPr="00C45229">
        <w:rPr>
          <w:spacing w:val="-2"/>
        </w:rPr>
        <w:t>compris les équipes d</w:t>
      </w:r>
      <w:r w:rsidR="00157F52" w:rsidRPr="00C45229">
        <w:rPr>
          <w:spacing w:val="-2"/>
        </w:rPr>
        <w:t>'</w:t>
      </w:r>
      <w:r w:rsidRPr="00C45229">
        <w:rPr>
          <w:spacing w:val="-2"/>
        </w:rPr>
        <w:t>intervention en cas d</w:t>
      </w:r>
      <w:r w:rsidR="00157F52" w:rsidRPr="00C45229">
        <w:rPr>
          <w:spacing w:val="-2"/>
        </w:rPr>
        <w:t>'</w:t>
      </w:r>
      <w:r w:rsidRPr="00C45229">
        <w:rPr>
          <w:spacing w:val="-2"/>
        </w:rPr>
        <w:t xml:space="preserve">urgence informatique (CERT), l'intervention dans les activités de secours et de rétablissement menées par le secteur privé s'apparentant au fait d'attaquer le personnel médical des hôpitaux </w:t>
      </w:r>
      <w:proofErr w:type="gramStart"/>
      <w:r w:rsidRPr="00C45229">
        <w:rPr>
          <w:spacing w:val="-2"/>
        </w:rPr>
        <w:t>militaires</w:t>
      </w:r>
      <w:r w:rsidR="005C2BF3" w:rsidRPr="00C45229">
        <w:rPr>
          <w:spacing w:val="-2"/>
        </w:rPr>
        <w:t>;</w:t>
      </w:r>
      <w:proofErr w:type="gramEnd"/>
    </w:p>
    <w:p w14:paraId="1B977188" w14:textId="4F01547B" w:rsidR="00FB5FE7" w:rsidRPr="00CE5963" w:rsidRDefault="00FB5FE7" w:rsidP="00C45229">
      <w:pPr>
        <w:pStyle w:val="enumlev2"/>
        <w:jc w:val="both"/>
      </w:pPr>
      <w:r w:rsidRPr="00CE5963">
        <w:rPr>
          <w:i/>
          <w:iCs/>
        </w:rPr>
        <w:t>i)</w:t>
      </w:r>
      <w:r w:rsidRPr="00CE5963">
        <w:tab/>
        <w:t>facilitent la création d</w:t>
      </w:r>
      <w:r w:rsidR="00157F52" w:rsidRPr="00CE5963">
        <w:t>'</w:t>
      </w:r>
      <w:r w:rsidRPr="00CE5963">
        <w:t>une organisation internationale d</w:t>
      </w:r>
      <w:r w:rsidR="00157F52" w:rsidRPr="00CE5963">
        <w:t>'</w:t>
      </w:r>
      <w:r w:rsidRPr="00CE5963">
        <w:t xml:space="preserve">attribution des cyberattaques pour renforcer la confiance en </w:t>
      </w:r>
      <w:proofErr w:type="gramStart"/>
      <w:r w:rsidRPr="00CE5963">
        <w:t>ligne</w:t>
      </w:r>
      <w:r w:rsidR="005C2BF3" w:rsidRPr="00CE5963">
        <w:t>;</w:t>
      </w:r>
      <w:proofErr w:type="gramEnd"/>
    </w:p>
    <w:p w14:paraId="1BEB3C56" w14:textId="4AF7AE6F" w:rsidR="00FB5FE7" w:rsidRPr="00CE5963" w:rsidRDefault="00FB5FE7" w:rsidP="00C45229">
      <w:pPr>
        <w:pStyle w:val="enumlev2"/>
        <w:jc w:val="both"/>
      </w:pPr>
      <w:r w:rsidRPr="00CE5963">
        <w:rPr>
          <w:i/>
          <w:iCs/>
        </w:rPr>
        <w:t>j)</w:t>
      </w:r>
      <w:r w:rsidRPr="00CE5963">
        <w:tab/>
        <w:t>à titre individuel et en coopération, élaborent et appliquent des mesures propres à accroître la stabilité et la sécurité des réseaux internationaux de télécommunication et l</w:t>
      </w:r>
      <w:r w:rsidR="00157F52" w:rsidRPr="00CE5963">
        <w:t>'</w:t>
      </w:r>
      <w:r w:rsidRPr="00CE5963">
        <w:t>utilisation des TIC, afin d</w:t>
      </w:r>
      <w:r w:rsidR="00157F52" w:rsidRPr="00CE5963">
        <w:t>'</w:t>
      </w:r>
      <w:r w:rsidRPr="00CE5963">
        <w:t>en assurer l</w:t>
      </w:r>
      <w:r w:rsidR="00157F52" w:rsidRPr="00CE5963">
        <w:t>'</w:t>
      </w:r>
      <w:r w:rsidRPr="00CE5963">
        <w:t>utilisation efficace et d</w:t>
      </w:r>
      <w:r w:rsidR="00157F52" w:rsidRPr="00CE5963">
        <w:t>'</w:t>
      </w:r>
      <w:r w:rsidRPr="00CE5963">
        <w:t>éviter que des préjudices techniques leur soient causés, ainsi que de maintenir la paix et la sécurité internationales et le développement harmonieux des TIC et de prévenir les pratiques relatives aux TIC susceptibles de menacer la paix et la sécurité internationales</w:t>
      </w:r>
      <w:r w:rsidR="005C2BF3" w:rsidRPr="00CE5963">
        <w:t>;</w:t>
      </w:r>
    </w:p>
    <w:p w14:paraId="2A766AA0" w14:textId="7C701FEA" w:rsidR="00FB5FE7" w:rsidRPr="00CE5963" w:rsidRDefault="00FB5FE7" w:rsidP="00C45229">
      <w:pPr>
        <w:pStyle w:val="enumlev2"/>
        <w:jc w:val="both"/>
      </w:pPr>
      <w:r w:rsidRPr="00CE5963">
        <w:rPr>
          <w:i/>
          <w:iCs/>
        </w:rPr>
        <w:t>k)</w:t>
      </w:r>
      <w:r w:rsidRPr="00CE5963">
        <w:tab/>
        <w:t>tiennent compte, en cas d</w:t>
      </w:r>
      <w:r w:rsidR="00157F52" w:rsidRPr="00CE5963">
        <w:t>'</w:t>
      </w:r>
      <w:r w:rsidRPr="00CE5963">
        <w:t>incidents liés aux TIC, de toutes les informations pertinentes, y compris le contexte général de l</w:t>
      </w:r>
      <w:r w:rsidR="00157F52" w:rsidRPr="00CE5963">
        <w:t>'</w:t>
      </w:r>
      <w:r w:rsidRPr="00CE5963">
        <w:t>événement, les difficultés liées à l</w:t>
      </w:r>
      <w:r w:rsidR="00157F52" w:rsidRPr="00CE5963">
        <w:t>'</w:t>
      </w:r>
      <w:r w:rsidRPr="00CE5963">
        <w:t>attribution dans l</w:t>
      </w:r>
      <w:r w:rsidR="00157F52" w:rsidRPr="00CE5963">
        <w:t>'</w:t>
      </w:r>
      <w:r w:rsidRPr="00CE5963">
        <w:t>environnement des TIC, ainsi que la nature et l</w:t>
      </w:r>
      <w:r w:rsidR="00157F52" w:rsidRPr="00CE5963">
        <w:t>'</w:t>
      </w:r>
      <w:r w:rsidRPr="00CE5963">
        <w:t xml:space="preserve">étendue des </w:t>
      </w:r>
      <w:proofErr w:type="gramStart"/>
      <w:r w:rsidRPr="00CE5963">
        <w:t>conséquences</w:t>
      </w:r>
      <w:r w:rsidR="005C2BF3" w:rsidRPr="00CE5963">
        <w:t>;</w:t>
      </w:r>
      <w:proofErr w:type="gramEnd"/>
    </w:p>
    <w:p w14:paraId="1BE540E0" w14:textId="28A33DED" w:rsidR="00FB5FE7" w:rsidRPr="00CE5963" w:rsidRDefault="00FB5FE7" w:rsidP="00C45229">
      <w:pPr>
        <w:pStyle w:val="enumlev2"/>
        <w:jc w:val="both"/>
      </w:pPr>
      <w:r w:rsidRPr="00CE5963">
        <w:rPr>
          <w:i/>
          <w:iCs/>
        </w:rPr>
        <w:t>l)</w:t>
      </w:r>
      <w:r w:rsidRPr="00CE5963">
        <w:tab/>
        <w:t xml:space="preserve">ne laissent pas sciemment leur territoire être utilisé pour des faits internationalement illicites au moyen des </w:t>
      </w:r>
      <w:proofErr w:type="gramStart"/>
      <w:r w:rsidRPr="00CE5963">
        <w:t>TIC</w:t>
      </w:r>
      <w:r w:rsidR="005C2BF3" w:rsidRPr="00CE5963">
        <w:t>;</w:t>
      </w:r>
      <w:proofErr w:type="gramEnd"/>
    </w:p>
    <w:p w14:paraId="44F68ACF" w14:textId="4D6F1DAE" w:rsidR="00FB5FE7" w:rsidRPr="00C45229" w:rsidRDefault="00FB5FE7" w:rsidP="00C45229">
      <w:pPr>
        <w:pStyle w:val="enumlev2"/>
        <w:jc w:val="both"/>
        <w:rPr>
          <w:spacing w:val="-2"/>
        </w:rPr>
      </w:pPr>
      <w:r w:rsidRPr="00C45229">
        <w:rPr>
          <w:i/>
          <w:iCs/>
          <w:spacing w:val="-2"/>
        </w:rPr>
        <w:t>m)</w:t>
      </w:r>
      <w:r w:rsidRPr="00C45229">
        <w:rPr>
          <w:spacing w:val="-2"/>
        </w:rPr>
        <w:tab/>
        <w:t>envisagent la meilleure façon de coopérer pour échanger des informations, s</w:t>
      </w:r>
      <w:r w:rsidR="00157F52" w:rsidRPr="00C45229">
        <w:rPr>
          <w:spacing w:val="-2"/>
        </w:rPr>
        <w:t>'</w:t>
      </w:r>
      <w:r w:rsidRPr="00C45229">
        <w:rPr>
          <w:spacing w:val="-2"/>
        </w:rPr>
        <w:t xml:space="preserve">entraider, poursuivre les utilisations des TIC à des fins terroristes et criminelles et mettre en </w:t>
      </w:r>
      <w:r w:rsidR="00CE5963" w:rsidRPr="00C45229">
        <w:rPr>
          <w:spacing w:val="-2"/>
        </w:rPr>
        <w:t>œuvre</w:t>
      </w:r>
      <w:r w:rsidRPr="00C45229">
        <w:rPr>
          <w:spacing w:val="-2"/>
        </w:rPr>
        <w:t xml:space="preserve"> d</w:t>
      </w:r>
      <w:r w:rsidR="00157F52" w:rsidRPr="00C45229">
        <w:rPr>
          <w:spacing w:val="-2"/>
        </w:rPr>
        <w:t>'</w:t>
      </w:r>
      <w:r w:rsidRPr="00C45229">
        <w:rPr>
          <w:spacing w:val="-2"/>
        </w:rPr>
        <w:t xml:space="preserve">autres mesures de coopération pour faire face à ces </w:t>
      </w:r>
      <w:proofErr w:type="gramStart"/>
      <w:r w:rsidRPr="00C45229">
        <w:rPr>
          <w:spacing w:val="-2"/>
        </w:rPr>
        <w:t>menaces</w:t>
      </w:r>
      <w:r w:rsidR="005C2BF3" w:rsidRPr="00C45229">
        <w:rPr>
          <w:spacing w:val="-2"/>
        </w:rPr>
        <w:t>;</w:t>
      </w:r>
      <w:proofErr w:type="gramEnd"/>
    </w:p>
    <w:p w14:paraId="4137F696" w14:textId="06E9EB28" w:rsidR="00FB5FE7" w:rsidRPr="00CE5963" w:rsidRDefault="00FB5FE7" w:rsidP="00C45229">
      <w:pPr>
        <w:pStyle w:val="enumlev2"/>
        <w:jc w:val="both"/>
      </w:pPr>
      <w:r w:rsidRPr="00CE5963">
        <w:rPr>
          <w:i/>
          <w:iCs/>
        </w:rPr>
        <w:lastRenderedPageBreak/>
        <w:t>n)</w:t>
      </w:r>
      <w:r w:rsidRPr="00CE5963">
        <w:tab/>
        <w:t>s'abstiennent de mener ou de soutenir sciemment des activités TIC contraires à leurs obligations en vertu du droit international et qui endommagent intentionnellement les infrastructures essentielles ou compromettent de quelque manière que ce soit l</w:t>
      </w:r>
      <w:r w:rsidR="00157F52" w:rsidRPr="00CE5963">
        <w:t>'</w:t>
      </w:r>
      <w:r w:rsidRPr="00CE5963">
        <w:t xml:space="preserve">utilisation et le fonctionnement des infrastructures essentielles fournissant des services au </w:t>
      </w:r>
      <w:proofErr w:type="gramStart"/>
      <w:r w:rsidRPr="00CE5963">
        <w:t>public</w:t>
      </w:r>
      <w:r w:rsidR="005C2BF3" w:rsidRPr="00CE5963">
        <w:t>;</w:t>
      </w:r>
      <w:proofErr w:type="gramEnd"/>
    </w:p>
    <w:p w14:paraId="1AFBB050" w14:textId="2DF8F98E" w:rsidR="00FB5FE7" w:rsidRPr="00CE5963" w:rsidRDefault="00FB5FE7" w:rsidP="00C45229">
      <w:pPr>
        <w:pStyle w:val="enumlev2"/>
        <w:jc w:val="both"/>
      </w:pPr>
      <w:r w:rsidRPr="00CE5963">
        <w:rPr>
          <w:i/>
          <w:iCs/>
        </w:rPr>
        <w:t>o)</w:t>
      </w:r>
      <w:r w:rsidRPr="00CE5963">
        <w:tab/>
        <w:t>prennent les mesures voulues pour protéger leurs infrastructures essentielles contre les menaces liées aux TIC, compte tenu de la Résolution 58/199 de l</w:t>
      </w:r>
      <w:r w:rsidR="00157F52" w:rsidRPr="00CE5963">
        <w:t>'</w:t>
      </w:r>
      <w:r w:rsidRPr="00CE5963">
        <w:t>Assemblée générale sur la création d</w:t>
      </w:r>
      <w:r w:rsidR="00157F52" w:rsidRPr="00CE5963">
        <w:t>'</w:t>
      </w:r>
      <w:r w:rsidRPr="00CE5963">
        <w:t>une culture mondiale de la cybersécurité et la protection des infrastructures essentielles de l</w:t>
      </w:r>
      <w:r w:rsidR="00157F52" w:rsidRPr="00CE5963">
        <w:t>'</w:t>
      </w:r>
      <w:r w:rsidRPr="00CE5963">
        <w:t xml:space="preserve">information, et des autres résolutions </w:t>
      </w:r>
      <w:proofErr w:type="gramStart"/>
      <w:r w:rsidRPr="00CE5963">
        <w:t>pertinentes</w:t>
      </w:r>
      <w:r w:rsidR="005C2BF3" w:rsidRPr="00CE5963">
        <w:t>;</w:t>
      </w:r>
      <w:proofErr w:type="gramEnd"/>
    </w:p>
    <w:p w14:paraId="44A79C0B" w14:textId="31EB5C9F" w:rsidR="00FB5FE7" w:rsidRPr="00CE5963" w:rsidRDefault="00FB5FE7" w:rsidP="00C45229">
      <w:pPr>
        <w:pStyle w:val="enumlev2"/>
        <w:jc w:val="both"/>
      </w:pPr>
      <w:r w:rsidRPr="00CE5963">
        <w:rPr>
          <w:i/>
          <w:iCs/>
        </w:rPr>
        <w:t>p)</w:t>
      </w:r>
      <w:r w:rsidRPr="00CE5963">
        <w:tab/>
        <w:t>répondent aux demandes d</w:t>
      </w:r>
      <w:r w:rsidR="00157F52" w:rsidRPr="00CE5963">
        <w:t>'</w:t>
      </w:r>
      <w:r w:rsidRPr="00CE5963">
        <w:t>assistance appropriées émanant d</w:t>
      </w:r>
      <w:r w:rsidR="00157F52" w:rsidRPr="00CE5963">
        <w:t>'</w:t>
      </w:r>
      <w:r w:rsidRPr="00CE5963">
        <w:t>un autre État dont les infrastructures critiques font l'objet d</w:t>
      </w:r>
      <w:r w:rsidR="00157F52" w:rsidRPr="00CE5963">
        <w:t>'</w:t>
      </w:r>
      <w:r w:rsidRPr="00CE5963">
        <w:t xml:space="preserve">actes de malveillance dans le domaine des </w:t>
      </w:r>
      <w:proofErr w:type="gramStart"/>
      <w:r w:rsidRPr="00CE5963">
        <w:t>TIC</w:t>
      </w:r>
      <w:r w:rsidR="005C2BF3" w:rsidRPr="00CE5963">
        <w:t>;</w:t>
      </w:r>
      <w:proofErr w:type="gramEnd"/>
      <w:r w:rsidRPr="00CE5963">
        <w:t xml:space="preserve"> ils répondent également aux demandes appropriées visant à limiter les activités TIC malveillantes émanant de leur territoire visant les infrastructures critiques d</w:t>
      </w:r>
      <w:r w:rsidR="00157F52" w:rsidRPr="00CE5963">
        <w:t>'</w:t>
      </w:r>
      <w:r w:rsidRPr="00CE5963">
        <w:t xml:space="preserve">un autre État, dans le respect de la </w:t>
      </w:r>
      <w:proofErr w:type="gramStart"/>
      <w:r w:rsidRPr="00CE5963">
        <w:t>souveraineté;</w:t>
      </w:r>
      <w:proofErr w:type="gramEnd"/>
    </w:p>
    <w:p w14:paraId="6D1A2790" w14:textId="01A83CF3" w:rsidR="00FB5FE7" w:rsidRPr="00CE5963" w:rsidRDefault="00FB5FE7" w:rsidP="00C45229">
      <w:pPr>
        <w:pStyle w:val="enumlev2"/>
        <w:jc w:val="both"/>
      </w:pPr>
      <w:r w:rsidRPr="00CE5963">
        <w:rPr>
          <w:i/>
          <w:iCs/>
        </w:rPr>
        <w:t>q)</w:t>
      </w:r>
      <w:r w:rsidRPr="00CE5963">
        <w:tab/>
        <w:t>prennent des mesures raisonnables pour garantir l</w:t>
      </w:r>
      <w:r w:rsidR="00157F52" w:rsidRPr="00CE5963">
        <w:t>'</w:t>
      </w:r>
      <w:r w:rsidRPr="00CE5963">
        <w:t>intégrité de la chaîne d</w:t>
      </w:r>
      <w:r w:rsidR="00157F52" w:rsidRPr="00CE5963">
        <w:t>'</w:t>
      </w:r>
      <w:r w:rsidRPr="00CE5963">
        <w:t xml:space="preserve">approvisionnement afin que les utilisateurs finals puissent avoir confiance dans la sécurité des produits </w:t>
      </w:r>
      <w:proofErr w:type="gramStart"/>
      <w:r w:rsidRPr="00CE5963">
        <w:t>TIC</w:t>
      </w:r>
      <w:r w:rsidR="005C2BF3" w:rsidRPr="00CE5963">
        <w:t>;</w:t>
      </w:r>
      <w:proofErr w:type="gramEnd"/>
      <w:r w:rsidRPr="00CE5963">
        <w:t xml:space="preserve"> elles empêcheront la prolifération d</w:t>
      </w:r>
      <w:r w:rsidR="00157F52" w:rsidRPr="00CE5963">
        <w:t>'</w:t>
      </w:r>
      <w:r w:rsidRPr="00CE5963">
        <w:t>outils et de techniques TIC malveillants et l</w:t>
      </w:r>
      <w:r w:rsidR="00157F52" w:rsidRPr="00CE5963">
        <w:t>'</w:t>
      </w:r>
      <w:r w:rsidRPr="00CE5963">
        <w:t xml:space="preserve">utilisation de fonctions cachées </w:t>
      </w:r>
      <w:proofErr w:type="gramStart"/>
      <w:r w:rsidRPr="00CE5963">
        <w:t>nuisibles;</w:t>
      </w:r>
      <w:proofErr w:type="gramEnd"/>
    </w:p>
    <w:p w14:paraId="1F6CA9CA" w14:textId="21E05FED" w:rsidR="00FB5FE7" w:rsidRPr="00CE5963" w:rsidRDefault="00FB5FE7" w:rsidP="00C45229">
      <w:pPr>
        <w:pStyle w:val="enumlev2"/>
        <w:jc w:val="both"/>
      </w:pPr>
      <w:r w:rsidRPr="00CE5963">
        <w:rPr>
          <w:i/>
          <w:iCs/>
        </w:rPr>
        <w:t>r)</w:t>
      </w:r>
      <w:r w:rsidRPr="00CE5963">
        <w:tab/>
        <w:t>encouragent le signalement responsable des vulnérabilités des TIC et de diffuser les informations associées sur les solutions disponibles pour remédier à ces vulnérabilités, afin de limiter, voire d</w:t>
      </w:r>
      <w:r w:rsidR="00157F52" w:rsidRPr="00CE5963">
        <w:t>'</w:t>
      </w:r>
      <w:r w:rsidRPr="00CE5963">
        <w:t>éliminer les menaces potentielles pour les</w:t>
      </w:r>
      <w:r w:rsidR="00CE5963">
        <w:t> </w:t>
      </w:r>
      <w:r w:rsidRPr="00CE5963">
        <w:t xml:space="preserve">TIC et les infrastructures tributaires des </w:t>
      </w:r>
      <w:proofErr w:type="gramStart"/>
      <w:r w:rsidRPr="00CE5963">
        <w:t>TIC</w:t>
      </w:r>
      <w:r w:rsidR="005C2BF3" w:rsidRPr="00CE5963">
        <w:t>;</w:t>
      </w:r>
      <w:proofErr w:type="gramEnd"/>
    </w:p>
    <w:p w14:paraId="26BA6235" w14:textId="57BE4868" w:rsidR="00FB5FE7" w:rsidRPr="00CE5963" w:rsidRDefault="00FB5FE7" w:rsidP="00C45229">
      <w:pPr>
        <w:pStyle w:val="enumlev2"/>
        <w:jc w:val="both"/>
      </w:pPr>
      <w:r w:rsidRPr="00CE5963">
        <w:rPr>
          <w:i/>
          <w:iCs/>
        </w:rPr>
        <w:t>s)</w:t>
      </w:r>
      <w:r w:rsidRPr="00CE5963">
        <w:tab/>
        <w:t>s'abstiennent de mener ou de soutenir sciemment des activités susceptibles de nuire aux systèmes d</w:t>
      </w:r>
      <w:r w:rsidR="00157F52" w:rsidRPr="00CE5963">
        <w:t>'</w:t>
      </w:r>
      <w:r w:rsidRPr="00CE5963">
        <w:t>information des équipes d</w:t>
      </w:r>
      <w:r w:rsidR="00157F52" w:rsidRPr="00CE5963">
        <w:t>'</w:t>
      </w:r>
      <w:r w:rsidRPr="00CE5963">
        <w:t>intervention en cas d</w:t>
      </w:r>
      <w:r w:rsidR="00157F52" w:rsidRPr="00CE5963">
        <w:t>'</w:t>
      </w:r>
      <w:r w:rsidRPr="00CE5963">
        <w:t>urgence (parfois appelées équipes d</w:t>
      </w:r>
      <w:r w:rsidR="00157F52" w:rsidRPr="00CE5963">
        <w:t>'</w:t>
      </w:r>
      <w:r w:rsidRPr="00CE5963">
        <w:t>intervention en cas d</w:t>
      </w:r>
      <w:r w:rsidR="00157F52" w:rsidRPr="00CE5963">
        <w:t>'</w:t>
      </w:r>
      <w:r w:rsidRPr="00CE5963">
        <w:t>urgence informatique ou équipes d</w:t>
      </w:r>
      <w:r w:rsidR="00157F52" w:rsidRPr="00CE5963">
        <w:t>'</w:t>
      </w:r>
      <w:r w:rsidRPr="00CE5963">
        <w:t>intervention en cas d</w:t>
      </w:r>
      <w:r w:rsidR="00157F52" w:rsidRPr="00CE5963">
        <w:t>'</w:t>
      </w:r>
      <w:r w:rsidRPr="00CE5963">
        <w:t>incident de cybersécurité) d</w:t>
      </w:r>
      <w:r w:rsidR="00157F52" w:rsidRPr="00CE5963">
        <w:t>'</w:t>
      </w:r>
      <w:r w:rsidRPr="00CE5963">
        <w:t xml:space="preserve">un autre </w:t>
      </w:r>
      <w:proofErr w:type="gramStart"/>
      <w:r w:rsidRPr="00CE5963">
        <w:t>État</w:t>
      </w:r>
      <w:r w:rsidR="005C2BF3" w:rsidRPr="00CE5963">
        <w:t>;</w:t>
      </w:r>
      <w:proofErr w:type="gramEnd"/>
      <w:r w:rsidRPr="00CE5963">
        <w:t xml:space="preserve"> et ne doivent pas utiliser des équipes d</w:t>
      </w:r>
      <w:r w:rsidR="00157F52" w:rsidRPr="00CE5963">
        <w:t>'</w:t>
      </w:r>
      <w:r w:rsidRPr="00CE5963">
        <w:t>intervention d</w:t>
      </w:r>
      <w:r w:rsidR="00157F52" w:rsidRPr="00CE5963">
        <w:t>'</w:t>
      </w:r>
      <w:r w:rsidRPr="00CE5963">
        <w:t>urgence autorisées pour se livrer à des activités internationales malveillantes.</w:t>
      </w:r>
    </w:p>
    <w:p w14:paraId="57564B17" w14:textId="4912120B" w:rsidR="00FB5FE7" w:rsidRPr="00CE5963" w:rsidRDefault="00FB5FE7" w:rsidP="00C45229">
      <w:pPr>
        <w:pStyle w:val="enumlev1"/>
        <w:ind w:left="1134" w:hanging="1134"/>
        <w:jc w:val="both"/>
      </w:pPr>
      <w:r w:rsidRPr="00CE5963">
        <w:rPr>
          <w:b/>
          <w:bCs/>
        </w:rPr>
        <w:t xml:space="preserve">50, </w:t>
      </w:r>
      <w:proofErr w:type="gramStart"/>
      <w:r w:rsidRPr="00CE5963">
        <w:rPr>
          <w:b/>
          <w:bCs/>
        </w:rPr>
        <w:t>51</w:t>
      </w:r>
      <w:r w:rsidR="005C2BF3" w:rsidRPr="00CE5963">
        <w:t>:</w:t>
      </w:r>
      <w:proofErr w:type="gramEnd"/>
      <w:r w:rsidR="00CE5963" w:rsidRPr="00CE5963">
        <w:tab/>
      </w:r>
      <w:r w:rsidRPr="00CE5963">
        <w:t>Ces dispositions sur le spam (Article 7) devraient être remplacées par un texte plus détaillé, qui serait élaboré par un groupe ad hoc.</w:t>
      </w:r>
    </w:p>
    <w:p w14:paraId="248BA845" w14:textId="5D1884AB" w:rsidR="00FB5FE7" w:rsidRPr="00C3406C" w:rsidRDefault="00FB5FE7" w:rsidP="00C45229">
      <w:pPr>
        <w:pStyle w:val="enumlev1"/>
        <w:ind w:left="1134" w:hanging="1134"/>
        <w:jc w:val="both"/>
        <w:rPr>
          <w:bCs/>
        </w:rPr>
      </w:pPr>
      <w:r w:rsidRPr="00CE5963">
        <w:rPr>
          <w:b/>
          <w:bCs/>
        </w:rPr>
        <w:t xml:space="preserve">63 et </w:t>
      </w:r>
      <w:proofErr w:type="gramStart"/>
      <w:r w:rsidRPr="00CE5963">
        <w:rPr>
          <w:b/>
          <w:bCs/>
        </w:rPr>
        <w:t>64</w:t>
      </w:r>
      <w:r w:rsidR="005C2BF3">
        <w:t>:</w:t>
      </w:r>
      <w:proofErr w:type="gramEnd"/>
      <w:r w:rsidR="00CE5963">
        <w:tab/>
      </w:r>
      <w:r>
        <w:t>Cette disposition relative à la taxation (Article 8.3) est difficile à comprendre, à interpréter et à appliquer. Si l</w:t>
      </w:r>
      <w:r w:rsidR="00157F52">
        <w:t>'</w:t>
      </w:r>
      <w:r>
        <w:t>on souhaite préciser une information au sujet de la double imposition, il convient de l</w:t>
      </w:r>
      <w:r w:rsidR="00157F52">
        <w:t>'</w:t>
      </w:r>
      <w:r>
        <w:t xml:space="preserve">indiquer </w:t>
      </w:r>
      <w:proofErr w:type="gramStart"/>
      <w:r>
        <w:t>clairement</w:t>
      </w:r>
      <w:r w:rsidR="005C2BF3">
        <w:t>;</w:t>
      </w:r>
      <w:proofErr w:type="gramEnd"/>
      <w:r>
        <w:t xml:space="preserve"> la disposition actuelle n'est pas utile et ne fournit pas de "principes directeurs de haut niveau" appropriés pour l'environnement actuel des télécommunications/TIC.</w:t>
      </w:r>
    </w:p>
    <w:p w14:paraId="1CC31CA9" w14:textId="1FDFB8FB" w:rsidR="00FB5FE7" w:rsidRPr="00C3406C" w:rsidRDefault="00FB5FE7" w:rsidP="00C45229">
      <w:pPr>
        <w:pStyle w:val="enumlev1"/>
        <w:keepLines/>
        <w:jc w:val="both"/>
        <w:rPr>
          <w:bCs/>
        </w:rPr>
      </w:pPr>
      <w:proofErr w:type="gramStart"/>
      <w:r>
        <w:rPr>
          <w:b/>
          <w:bCs/>
        </w:rPr>
        <w:t>76</w:t>
      </w:r>
      <w:r>
        <w:t>:</w:t>
      </w:r>
      <w:proofErr w:type="gramEnd"/>
      <w:r>
        <w:tab/>
        <w:t>Nous sommes d</w:t>
      </w:r>
      <w:r w:rsidR="00157F52">
        <w:t>'</w:t>
      </w:r>
      <w:r>
        <w:t>avis que les dispositions de l</w:t>
      </w:r>
      <w:r w:rsidR="00157F52">
        <w:t>'</w:t>
      </w:r>
      <w:r>
        <w:t>Article 8.2 (8.2.1-8.2.5) se rapportent à des méthodes de répartition et de taxation qui ne sont utilisées que dans certaines juridictions. Ces juridictions peuvent inscrire ces méthodes dans leur droit national ou dans des accords régionaux, si elles le souhaitent. En conséquence, ces dispositions, ainsi que l</w:t>
      </w:r>
      <w:r w:rsidR="00157F52">
        <w:t>'</w:t>
      </w:r>
      <w:r>
        <w:t xml:space="preserve">Appendice 1, ne sont plus pertinentes et pourraient être </w:t>
      </w:r>
      <w:proofErr w:type="gramStart"/>
      <w:r>
        <w:t>abrogées</w:t>
      </w:r>
      <w:r w:rsidR="005C2BF3">
        <w:t>;</w:t>
      </w:r>
      <w:proofErr w:type="gramEnd"/>
      <w:r>
        <w:t xml:space="preserve"> et la disposition</w:t>
      </w:r>
      <w:r w:rsidR="00CE5963">
        <w:t> </w:t>
      </w:r>
      <w:r>
        <w:t>76 pourrait être modifiée en conséquence.</w:t>
      </w:r>
    </w:p>
    <w:p w14:paraId="042F3EB7" w14:textId="3B90A59C" w:rsidR="00FB5FE7" w:rsidRPr="00CE5963" w:rsidRDefault="00FB5FE7" w:rsidP="00C45229">
      <w:pPr>
        <w:jc w:val="both"/>
      </w:pPr>
      <w:r w:rsidRPr="00CE5963">
        <w:t>1.6</w:t>
      </w:r>
      <w:r w:rsidRPr="00CE5963">
        <w:tab/>
        <w:t>S</w:t>
      </w:r>
      <w:r w:rsidR="00157F52" w:rsidRPr="00CE5963">
        <w:t>'</w:t>
      </w:r>
      <w:r w:rsidRPr="00CE5963">
        <w:t>agissant des données empiriques sur l</w:t>
      </w:r>
      <w:r w:rsidR="00157F52" w:rsidRPr="00CE5963">
        <w:t>'</w:t>
      </w:r>
      <w:r w:rsidRPr="00CE5963">
        <w:t>utilisation actuelle du RTI par les exploitations et/ou les administrations et sur la proportion de services mondiaux de télécommunication qui s</w:t>
      </w:r>
      <w:r w:rsidR="00157F52" w:rsidRPr="00CE5963">
        <w:t>'</w:t>
      </w:r>
      <w:r w:rsidRPr="00CE5963">
        <w:t>appuient aujourd</w:t>
      </w:r>
      <w:r w:rsidR="00157F52" w:rsidRPr="00CE5963">
        <w:t>'</w:t>
      </w:r>
      <w:r w:rsidRPr="00CE5963">
        <w:t>hui sur le RTI, certains membres ont été d</w:t>
      </w:r>
      <w:r w:rsidR="00157F52" w:rsidRPr="00CE5963">
        <w:t>'</w:t>
      </w:r>
      <w:r w:rsidRPr="00CE5963">
        <w:t xml:space="preserve">avis que les données empiriques </w:t>
      </w:r>
      <w:r w:rsidRPr="00CE5963">
        <w:lastRenderedPageBreak/>
        <w:t>indiquent que les entreprises privées estiment nécessaire de disposer de dispositions plus strictes concernant la sécurité des réseaux internationaux de télécommunication</w:t>
      </w:r>
      <w:r w:rsidR="005C2BF3" w:rsidRPr="00CE5963">
        <w:t>;</w:t>
      </w:r>
      <w:r w:rsidRPr="00CE5963">
        <w:t xml:space="preserve"> et que des données empiriques indiquent que les entreprises privées estiment nécessaire de durcir les dispositions concernant le spam</w:t>
      </w:r>
      <w:r w:rsidR="005C2BF3" w:rsidRPr="00CE5963">
        <w:t>;</w:t>
      </w:r>
      <w:r w:rsidRPr="00CE5963">
        <w:t xml:space="preserve"> et que le trafic Internet, et une grande partie d</w:t>
      </w:r>
      <w:r w:rsidR="00157F52" w:rsidRPr="00CE5963">
        <w:t>'</w:t>
      </w:r>
      <w:r w:rsidRPr="00CE5963">
        <w:t>autres trafics de télécommunication internationaux, est rendu possible par l</w:t>
      </w:r>
      <w:r w:rsidR="00157F52" w:rsidRPr="00CE5963">
        <w:t>'</w:t>
      </w:r>
      <w:r w:rsidRPr="00CE5963">
        <w:t>Article 13, intitulé "Arrangements particuliers".</w:t>
      </w:r>
    </w:p>
    <w:p w14:paraId="23859241" w14:textId="77777777" w:rsidR="00FB5FE7" w:rsidRPr="00CE5963" w:rsidRDefault="00FB5FE7" w:rsidP="00C45229">
      <w:pPr>
        <w:jc w:val="both"/>
      </w:pPr>
      <w:r w:rsidRPr="00CE5963">
        <w:t>1.7</w:t>
      </w:r>
      <w:r w:rsidRPr="00CE5963">
        <w:tab/>
        <w:t xml:space="preserve">S'agissant de la pertinence du RTI, qui comprend des "principes directeurs de haut niveau", dans l'environnement des télécommunications/TIC actuel, certains membres ont estimé </w:t>
      </w:r>
      <w:proofErr w:type="gramStart"/>
      <w:r w:rsidRPr="00CE5963">
        <w:t>que:</w:t>
      </w:r>
      <w:proofErr w:type="gramEnd"/>
    </w:p>
    <w:p w14:paraId="56487BB0" w14:textId="54402E08" w:rsidR="00FB5FE7" w:rsidRPr="00C3406C" w:rsidRDefault="00FB5FE7" w:rsidP="00C45229">
      <w:pPr>
        <w:pStyle w:val="enumlev1"/>
        <w:jc w:val="both"/>
      </w:pPr>
      <w:r>
        <w:rPr>
          <w:i/>
          <w:iCs/>
        </w:rPr>
        <w:t>a)</w:t>
      </w:r>
      <w:r>
        <w:tab/>
        <w:t>Les dispositions suivantes du RTI dans sa version de 2012 n</w:t>
      </w:r>
      <w:r w:rsidR="00157F52">
        <w:t>'</w:t>
      </w:r>
      <w:r>
        <w:t>ont plus lieu d</w:t>
      </w:r>
      <w:r w:rsidR="00157F52">
        <w:t>'</w:t>
      </w:r>
      <w:r>
        <w:t xml:space="preserve">être et devraient être </w:t>
      </w:r>
      <w:proofErr w:type="gramStart"/>
      <w:r>
        <w:t>abrogées</w:t>
      </w:r>
      <w:r w:rsidR="005C2BF3">
        <w:t>:</w:t>
      </w:r>
      <w:proofErr w:type="gramEnd"/>
      <w:r>
        <w:t xml:space="preserve"> 3, 5, 11, 16, 17, 18, 19, 20, 21, 22, 23, 24, 25, 26, 29, 45, 46, 47, 53, 55, 56, 57, 58, 59, 60, 61, 62, 65, 66, 67, 68, 69, 73, 74, 75, 1/1-1/39 (c</w:t>
      </w:r>
      <w:r w:rsidR="00157F52">
        <w:t>'</w:t>
      </w:r>
      <w:r>
        <w:t>est</w:t>
      </w:r>
      <w:r w:rsidR="00CE5963">
        <w:noBreakHyphen/>
      </w:r>
      <w:r>
        <w:t>à</w:t>
      </w:r>
      <w:r w:rsidR="00CE5963">
        <w:noBreakHyphen/>
      </w:r>
      <w:r>
        <w:t>dire la totalité de l</w:t>
      </w:r>
      <w:r w:rsidR="00157F52">
        <w:t>'</w:t>
      </w:r>
      <w:r>
        <w:t>Appendice 1)</w:t>
      </w:r>
      <w:r w:rsidR="00CE5963">
        <w:t>,</w:t>
      </w:r>
      <w:r>
        <w:t xml:space="preserve"> 2/2, 2/9.</w:t>
      </w:r>
    </w:p>
    <w:p w14:paraId="35BDF1FE" w14:textId="74853BC8" w:rsidR="00FB5FE7" w:rsidRPr="00C3406C" w:rsidRDefault="00FB5FE7" w:rsidP="00C45229">
      <w:pPr>
        <w:pStyle w:val="enumlev1"/>
        <w:jc w:val="both"/>
      </w:pPr>
      <w:r>
        <w:rPr>
          <w:i/>
          <w:iCs/>
        </w:rPr>
        <w:t>b)</w:t>
      </w:r>
      <w:r>
        <w:tab/>
        <w:t xml:space="preserve">Les dispositions suivantes du RTI dans sa version de 2012 restent pertinentes et devraient rester </w:t>
      </w:r>
      <w:proofErr w:type="gramStart"/>
      <w:r>
        <w:t>inchangées</w:t>
      </w:r>
      <w:r w:rsidR="005C2BF3">
        <w:t>:</w:t>
      </w:r>
      <w:proofErr w:type="gramEnd"/>
      <w:r>
        <w:t xml:space="preserve"> 1, 2, 4, 6, 7, 8, 9, 10, 12, 13, 14, 15, 27, 28, 30, 31, 32, 33, 34, 35, 36, 37, 38, 39, 40, 41, 42, 43, 44, 48, 52, 54, 70, 71, 72, 77, 2/1, 2/3, 2/4, 2/5, 2/6, 2/7, 2/8, 2/10, 2/11, 2/12, 2/13, 2/14, 2/15, 2/16, 2/17, 2/18.</w:t>
      </w:r>
    </w:p>
    <w:p w14:paraId="52F97C0F" w14:textId="3320831B" w:rsidR="00FB5FE7" w:rsidRPr="00410A2C" w:rsidRDefault="00FB5FE7" w:rsidP="00C45229">
      <w:pPr>
        <w:jc w:val="both"/>
      </w:pPr>
      <w:r w:rsidRPr="00410A2C">
        <w:t>1.8</w:t>
      </w:r>
      <w:r w:rsidRPr="00410A2C">
        <w:tab/>
        <w:t>S</w:t>
      </w:r>
      <w:r w:rsidR="00157F52" w:rsidRPr="00410A2C">
        <w:t>'</w:t>
      </w:r>
      <w:r w:rsidRPr="00410A2C">
        <w:t>agissant des autres questions examinées, certains membres ont estimé qu</w:t>
      </w:r>
      <w:r w:rsidR="00157F52" w:rsidRPr="00410A2C">
        <w:t>'</w:t>
      </w:r>
      <w:r w:rsidRPr="00410A2C">
        <w:t>il conviendrait d</w:t>
      </w:r>
      <w:r w:rsidR="00157F52" w:rsidRPr="00410A2C">
        <w:t>'</w:t>
      </w:r>
      <w:r w:rsidRPr="00410A2C">
        <w:t>envisager d</w:t>
      </w:r>
      <w:r w:rsidR="00157F52" w:rsidRPr="00410A2C">
        <w:t>'</w:t>
      </w:r>
      <w:r w:rsidRPr="00410A2C">
        <w:t>élaborer une version entièrement nouvelle du RTI, suivant les principes proposés dans l</w:t>
      </w:r>
      <w:r w:rsidR="00157F52" w:rsidRPr="00410A2C">
        <w:t>'</w:t>
      </w:r>
      <w:r w:rsidRPr="00410A2C">
        <w:t xml:space="preserve">Annexe 15 de la </w:t>
      </w:r>
      <w:r w:rsidR="00410A2C">
        <w:t>C</w:t>
      </w:r>
      <w:r w:rsidRPr="00410A2C">
        <w:t xml:space="preserve">ontribution </w:t>
      </w:r>
      <w:hyperlink r:id="rId200" w:history="1">
        <w:proofErr w:type="spellStart"/>
        <w:r w:rsidRPr="00410A2C">
          <w:rPr>
            <w:rStyle w:val="Hyperlink"/>
            <w:rFonts w:eastAsia="Times New Roman" w:cs="Times New Roman"/>
            <w:szCs w:val="20"/>
          </w:rPr>
          <w:t>EG</w:t>
        </w:r>
        <w:proofErr w:type="spellEnd"/>
        <w:r w:rsidRPr="00410A2C">
          <w:rPr>
            <w:rStyle w:val="Hyperlink"/>
            <w:rFonts w:eastAsia="Times New Roman" w:cs="Times New Roman"/>
            <w:szCs w:val="20"/>
          </w:rPr>
          <w:t>-</w:t>
        </w:r>
        <w:proofErr w:type="spellStart"/>
        <w:r w:rsidRPr="00410A2C">
          <w:rPr>
            <w:rStyle w:val="Hyperlink"/>
            <w:rFonts w:eastAsia="Times New Roman" w:cs="Times New Roman"/>
            <w:szCs w:val="20"/>
          </w:rPr>
          <w:t>ITRs</w:t>
        </w:r>
        <w:proofErr w:type="spellEnd"/>
        <w:r w:rsidRPr="00410A2C">
          <w:rPr>
            <w:rStyle w:val="Hyperlink"/>
            <w:rFonts w:eastAsia="Times New Roman" w:cs="Times New Roman"/>
            <w:szCs w:val="20"/>
          </w:rPr>
          <w:t>-3/2</w:t>
        </w:r>
      </w:hyperlink>
      <w:r w:rsidRPr="00410A2C">
        <w:t>.</w:t>
      </w:r>
      <w:hyperlink r:id="rId201" w:history="1">
        <w:hyperlink r:id="rId202" w:history="1"/>
      </w:hyperlink>
    </w:p>
    <w:p w14:paraId="066DC86E" w14:textId="725913DF" w:rsidR="00FB5FE7" w:rsidRPr="00C3406C" w:rsidRDefault="00FB5FE7" w:rsidP="00357877">
      <w:pPr>
        <w:pStyle w:val="Heading1"/>
      </w:pPr>
      <w:r>
        <w:rPr>
          <w:bCs/>
        </w:rPr>
        <w:t>2</w:t>
      </w:r>
      <w:r>
        <w:tab/>
      </w:r>
      <w:r>
        <w:rPr>
          <w:bCs/>
        </w:rPr>
        <w:t>Déclaration de la Communauté régionale des communications</w:t>
      </w:r>
    </w:p>
    <w:p w14:paraId="3CAEE48D" w14:textId="21074122" w:rsidR="00FB5FE7" w:rsidRPr="00410A2C" w:rsidRDefault="00FB5FE7" w:rsidP="00C45229">
      <w:pPr>
        <w:jc w:val="both"/>
      </w:pPr>
      <w:r w:rsidRPr="00410A2C">
        <w:t>Depuis 2012, la plupart des membres de la Communauté régionale des communications s</w:t>
      </w:r>
      <w:r w:rsidR="00157F52" w:rsidRPr="00410A2C">
        <w:t>'</w:t>
      </w:r>
      <w:r w:rsidRPr="00410A2C">
        <w:t>accordent à dire que le Règlement des télécommunications internationales (RTI) devrait être un traité international évolutif, révisé régulièrement pour tenir compte de l</w:t>
      </w:r>
      <w:r w:rsidR="00157F52" w:rsidRPr="00410A2C">
        <w:t>'</w:t>
      </w:r>
      <w:r w:rsidRPr="00410A2C">
        <w:t>évolution rapide de l</w:t>
      </w:r>
      <w:r w:rsidR="00157F52" w:rsidRPr="00410A2C">
        <w:t>'</w:t>
      </w:r>
      <w:r w:rsidRPr="00410A2C">
        <w:t>environnement technologique.</w:t>
      </w:r>
    </w:p>
    <w:p w14:paraId="1C82BEBB" w14:textId="0C9CD399" w:rsidR="00FB5FE7" w:rsidRPr="00410A2C" w:rsidRDefault="00FB5FE7" w:rsidP="00C45229">
      <w:pPr>
        <w:jc w:val="both"/>
      </w:pPr>
      <w:r w:rsidRPr="00410A2C">
        <w:t>Dans le même temps, nous avons observé au fil des ans que plusieurs pays ou groupes de pays ont élaboré leurs propres nouveaux traités interétatiques régionaux sur les technologies au sein d</w:t>
      </w:r>
      <w:r w:rsidR="00157F52" w:rsidRPr="00410A2C">
        <w:t>'</w:t>
      </w:r>
      <w:r w:rsidRPr="00410A2C">
        <w:t>entités supranationales, tout en maintenant leurs obligations au titre du RTI dans sa version de 1988. En outre, ces nouveaux accords interétatiques demeurent fermés aux autres pays, ce qui met les pays en développement dans une position d</w:t>
      </w:r>
      <w:r w:rsidR="00157F52" w:rsidRPr="00410A2C">
        <w:t>'</w:t>
      </w:r>
      <w:r w:rsidRPr="00410A2C">
        <w:t>inéligibilité.</w:t>
      </w:r>
    </w:p>
    <w:p w14:paraId="5EDBC6AD" w14:textId="12920A5B" w:rsidR="00FB5FE7" w:rsidRPr="00410A2C" w:rsidRDefault="00FB5FE7" w:rsidP="00C45229">
      <w:pPr>
        <w:jc w:val="both"/>
      </w:pPr>
      <w:r w:rsidRPr="00410A2C">
        <w:t>Parallèlement, une grande partie des pays, principalement des pays en développement, qui ne disposent pas de telles entités et unions interétatiques et supranationales, souhaitent élaborer des normes réglementaires interétatiques de haut niveau pour les technologies modernes. Toutefois, au sein de l</w:t>
      </w:r>
      <w:r w:rsidR="00157F52" w:rsidRPr="00410A2C">
        <w:t>'</w:t>
      </w:r>
      <w:r w:rsidRPr="00410A2C">
        <w:t>Union internationale des télécommunications (UIT), de tels efforts sont abandonnés par les représentants des pays qui ont conclu d</w:t>
      </w:r>
      <w:r w:rsidR="00157F52" w:rsidRPr="00410A2C">
        <w:t>'</w:t>
      </w:r>
      <w:r w:rsidRPr="00410A2C">
        <w:t>autres accords interétatiques fermés, en dehors du cadre de l</w:t>
      </w:r>
      <w:r w:rsidR="00157F52" w:rsidRPr="00410A2C">
        <w:t>'</w:t>
      </w:r>
      <w:r w:rsidRPr="00410A2C">
        <w:t>UIT. Cet environnement de travail a déjà entraîné un recul des discussions et une érosion au sein du Groupe d</w:t>
      </w:r>
      <w:r w:rsidR="00157F52" w:rsidRPr="00410A2C">
        <w:t>'</w:t>
      </w:r>
      <w:r w:rsidRPr="00410A2C">
        <w:t>experts de l</w:t>
      </w:r>
      <w:r w:rsidR="00157F52" w:rsidRPr="00410A2C">
        <w:t>'</w:t>
      </w:r>
      <w:r w:rsidRPr="00410A2C">
        <w:t>UIT sur le</w:t>
      </w:r>
      <w:r w:rsidR="00410A2C">
        <w:t> </w:t>
      </w:r>
      <w:r w:rsidRPr="00410A2C">
        <w:t>RTI et ne facilite pas la recherche d</w:t>
      </w:r>
      <w:r w:rsidR="00157F52" w:rsidRPr="00410A2C">
        <w:t>'</w:t>
      </w:r>
      <w:r w:rsidRPr="00410A2C">
        <w:t>une voie à suivre pour ceux qui estiment nécessaire d</w:t>
      </w:r>
      <w:r w:rsidR="00157F52" w:rsidRPr="00410A2C">
        <w:t>'</w:t>
      </w:r>
      <w:r w:rsidRPr="00410A2C">
        <w:t>adhérer aux dispositions du traité international qui les lie et de le développer afin de suivre les avancées technologiques.</w:t>
      </w:r>
    </w:p>
    <w:p w14:paraId="3061C446" w14:textId="3BBB6C53" w:rsidR="00FB5FE7" w:rsidRPr="00410A2C" w:rsidRDefault="00FB5FE7" w:rsidP="00C45229">
      <w:pPr>
        <w:jc w:val="both"/>
      </w:pPr>
      <w:r w:rsidRPr="00410A2C">
        <w:t>Par ailleurs, la Convention de Vienne sur le droit des traités, la Constitution et la Convention de l</w:t>
      </w:r>
      <w:r w:rsidR="00157F52" w:rsidRPr="00410A2C">
        <w:t>'</w:t>
      </w:r>
      <w:r w:rsidRPr="00410A2C">
        <w:t xml:space="preserve">UIT prévoient le droit pour tous les </w:t>
      </w:r>
      <w:r w:rsidR="00410A2C" w:rsidRPr="00410A2C">
        <w:t>États</w:t>
      </w:r>
      <w:r w:rsidRPr="00410A2C">
        <w:t xml:space="preserve"> Membres de l</w:t>
      </w:r>
      <w:r w:rsidR="00157F52" w:rsidRPr="00410A2C">
        <w:t>'</w:t>
      </w:r>
      <w:r w:rsidRPr="00410A2C">
        <w:t xml:space="preserve">UIT qui sont parties au RTI de </w:t>
      </w:r>
      <w:r w:rsidRPr="00410A2C">
        <w:lastRenderedPageBreak/>
        <w:t>réviser ce traité international, en ce qui concerne les pays intéressés par celui-ci et qui ont l</w:t>
      </w:r>
      <w:r w:rsidR="00157F52" w:rsidRPr="00410A2C">
        <w:t>'</w:t>
      </w:r>
      <w:r w:rsidRPr="00410A2C">
        <w:t>intention de le mettre en œuvre.</w:t>
      </w:r>
    </w:p>
    <w:p w14:paraId="31B37AB6" w14:textId="1ECB8CE8" w:rsidR="00FB5FE7" w:rsidRPr="00410A2C" w:rsidRDefault="00FB5FE7" w:rsidP="00C45229">
      <w:pPr>
        <w:jc w:val="both"/>
      </w:pPr>
      <w:r w:rsidRPr="00410A2C">
        <w:t>En d</w:t>
      </w:r>
      <w:r w:rsidR="00157F52" w:rsidRPr="00410A2C">
        <w:t>'</w:t>
      </w:r>
      <w:r w:rsidRPr="00410A2C">
        <w:t>autres termes, le manque d</w:t>
      </w:r>
      <w:r w:rsidR="00157F52" w:rsidRPr="00410A2C">
        <w:t>'</w:t>
      </w:r>
      <w:r w:rsidRPr="00410A2C">
        <w:t>intérêt de certaines parties au traité pour l</w:t>
      </w:r>
      <w:r w:rsidR="00157F52" w:rsidRPr="00410A2C">
        <w:t>'</w:t>
      </w:r>
      <w:r w:rsidRPr="00410A2C">
        <w:t>élaboration et l</w:t>
      </w:r>
      <w:r w:rsidR="00157F52" w:rsidRPr="00410A2C">
        <w:t>'</w:t>
      </w:r>
      <w:r w:rsidRPr="00410A2C">
        <w:t>application de ses dispositions ne devrait pas empêcher la plupart des autres parties au traité d</w:t>
      </w:r>
      <w:r w:rsidR="00157F52" w:rsidRPr="00410A2C">
        <w:t>'</w:t>
      </w:r>
      <w:r w:rsidRPr="00410A2C">
        <w:t>améliorer ses dispositions.</w:t>
      </w:r>
    </w:p>
    <w:p w14:paraId="4D776452" w14:textId="35A76C58" w:rsidR="00FB5FE7" w:rsidRPr="00410A2C" w:rsidRDefault="00FB5FE7" w:rsidP="00C45229">
      <w:pPr>
        <w:jc w:val="both"/>
      </w:pPr>
      <w:r w:rsidRPr="00410A2C">
        <w:t>Par conséquent, nous estimons que l</w:t>
      </w:r>
      <w:r w:rsidR="00157F52" w:rsidRPr="00410A2C">
        <w:t>'</w:t>
      </w:r>
      <w:r w:rsidRPr="00410A2C">
        <w:t>approche à adopter à l</w:t>
      </w:r>
      <w:r w:rsidR="00157F52" w:rsidRPr="00410A2C">
        <w:t>'</w:t>
      </w:r>
      <w:r w:rsidRPr="00410A2C">
        <w:t>avenir en ce qui concerne le RTI consiste à organiser une Conférence mondiale des télécommunications internationales (CMTI) chargée de réviser partiellement ou complètement les dispositions du RTI.</w:t>
      </w:r>
    </w:p>
    <w:p w14:paraId="78506D36" w14:textId="1E7D7B04" w:rsidR="00FB5FE7" w:rsidRPr="00410A2C" w:rsidRDefault="00FB5FE7" w:rsidP="00C45229">
      <w:pPr>
        <w:jc w:val="both"/>
      </w:pPr>
      <w:r w:rsidRPr="00410A2C">
        <w:t>Cette solution ne limitera ni n</w:t>
      </w:r>
      <w:r w:rsidR="00157F52" w:rsidRPr="00410A2C">
        <w:t>'</w:t>
      </w:r>
      <w:r w:rsidRPr="00410A2C">
        <w:t>affectera en aucune manière les droits des pays qui souhaitent se lier uniquement aux dispositions du RTI dans sa version de 1988 et disposer de leurs propres accords interétatiques fermés, mais elle rétablira le droit de la plupart des pays en développement de conclure et d'élaborer des accords internationaux adaptés au niveau de développement technologique actuel.</w:t>
      </w:r>
    </w:p>
    <w:p w14:paraId="5DAC5800" w14:textId="59F08BE4" w:rsidR="006A11AE" w:rsidRDefault="00FB5FE7" w:rsidP="00C45229">
      <w:pPr>
        <w:jc w:val="both"/>
      </w:pPr>
      <w:r w:rsidRPr="00410A2C">
        <w:t>Une telle CMTI pourrait être convoquée à l</w:t>
      </w:r>
      <w:r w:rsidR="00157F52" w:rsidRPr="00410A2C">
        <w:t>'</w:t>
      </w:r>
      <w:r w:rsidRPr="00410A2C">
        <w:t>invitation du pays qui accueillera l</w:t>
      </w:r>
      <w:r w:rsidR="00157F52" w:rsidRPr="00410A2C">
        <w:t>'</w:t>
      </w:r>
      <w:r w:rsidRPr="00410A2C">
        <w:t>Assemblée mondiale de normalisation des télécommunications en 2028.</w:t>
      </w:r>
    </w:p>
    <w:p w14:paraId="0B598C85" w14:textId="77777777" w:rsidR="00C45229" w:rsidRPr="00410A2C" w:rsidRDefault="00C45229" w:rsidP="00C45229">
      <w:pPr>
        <w:jc w:val="both"/>
      </w:pPr>
    </w:p>
    <w:p w14:paraId="37B8EBC4" w14:textId="77777777" w:rsidR="00897553" w:rsidRDefault="006A11AE" w:rsidP="002D2336">
      <w:pPr>
        <w:jc w:val="center"/>
      </w:pPr>
      <w:r>
        <w:t>______________</w:t>
      </w:r>
    </w:p>
    <w:sectPr w:rsidR="00897553" w:rsidSect="00D72F49">
      <w:headerReference w:type="even" r:id="rId203"/>
      <w:footerReference w:type="even" r:id="rId204"/>
      <w:footerReference w:type="default" r:id="rId205"/>
      <w:headerReference w:type="first" r:id="rId206"/>
      <w:footerReference w:type="first" r:id="rId20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EBAE" w14:textId="77777777" w:rsidR="006D1329" w:rsidRDefault="006D1329">
      <w:r>
        <w:separator/>
      </w:r>
    </w:p>
  </w:endnote>
  <w:endnote w:type="continuationSeparator" w:id="0">
    <w:p w14:paraId="54A1BAD6" w14:textId="77777777" w:rsidR="006D1329" w:rsidRDefault="006D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CAFA" w14:textId="7B525F1C" w:rsidR="00732045" w:rsidRDefault="00A748E1">
    <w:pPr>
      <w:pStyle w:val="Footer"/>
    </w:pPr>
    <w:fldSimple w:instr=" FILENAME \p \* MERGEFORMAT ">
      <w:r>
        <w:t>P:\FRA\gDoc\SG\C26\2600462F.docx</w:t>
      </w:r>
    </w:fldSimple>
    <w:r w:rsidR="00732045">
      <w:tab/>
    </w:r>
    <w:r w:rsidR="002F1B76">
      <w:fldChar w:fldCharType="begin"/>
    </w:r>
    <w:r w:rsidR="00732045">
      <w:instrText xml:space="preserve"> savedate \@ dd.MM.yy </w:instrText>
    </w:r>
    <w:r w:rsidR="002F1B76">
      <w:fldChar w:fldCharType="separate"/>
    </w:r>
    <w:r w:rsidR="00CE02B0">
      <w:t>19.03.26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D9DE475" w14:textId="77777777" w:rsidTr="00E31DCE">
      <w:trPr>
        <w:jc w:val="center"/>
      </w:trPr>
      <w:tc>
        <w:tcPr>
          <w:tcW w:w="1803" w:type="dxa"/>
          <w:vAlign w:val="center"/>
        </w:tcPr>
        <w:p w14:paraId="505150AF" w14:textId="57D8B89C" w:rsidR="00A51849" w:rsidRDefault="00D75432" w:rsidP="00A51849">
          <w:pPr>
            <w:pStyle w:val="Header"/>
            <w:jc w:val="left"/>
            <w:rPr>
              <w:noProof/>
            </w:rPr>
          </w:pPr>
          <w:r>
            <w:rPr>
              <w:noProof/>
            </w:rPr>
            <w:t>2</w:t>
          </w:r>
          <w:r w:rsidR="000208B4">
            <w:rPr>
              <w:noProof/>
            </w:rPr>
            <w:t>600462</w:t>
          </w:r>
        </w:p>
      </w:tc>
      <w:tc>
        <w:tcPr>
          <w:tcW w:w="8261" w:type="dxa"/>
        </w:tcPr>
        <w:p w14:paraId="5A91274F" w14:textId="7FD09F1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D75432">
            <w:rPr>
              <w:bCs/>
            </w:rPr>
            <w:t>26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D521F69"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1EF0772" w14:textId="77777777" w:rsidTr="00E31DCE">
      <w:trPr>
        <w:jc w:val="center"/>
      </w:trPr>
      <w:tc>
        <w:tcPr>
          <w:tcW w:w="1803" w:type="dxa"/>
          <w:vAlign w:val="center"/>
        </w:tcPr>
        <w:p w14:paraId="4F0EA5A1" w14:textId="77777777" w:rsidR="00A51849" w:rsidRPr="00FC6D7D" w:rsidRDefault="00E4448E" w:rsidP="00A51849">
          <w:pPr>
            <w:pStyle w:val="Header"/>
            <w:jc w:val="left"/>
            <w:rPr>
              <w:noProof/>
              <w:color w:val="0563C1"/>
            </w:rPr>
          </w:pPr>
          <w:hyperlink r:id="rId1" w:anchor="/fr" w:history="1">
            <w:proofErr w:type="spellStart"/>
            <w:r>
              <w:rPr>
                <w:rStyle w:val="Hyperlink"/>
              </w:rPr>
              <w:t>council.itu.int</w:t>
            </w:r>
            <w:proofErr w:type="spellEnd"/>
            <w:r>
              <w:rPr>
                <w:rStyle w:val="Hyperlink"/>
              </w:rPr>
              <w:t>/2026</w:t>
            </w:r>
          </w:hyperlink>
        </w:p>
      </w:tc>
      <w:tc>
        <w:tcPr>
          <w:tcW w:w="8261" w:type="dxa"/>
        </w:tcPr>
        <w:p w14:paraId="7FF4EB2D" w14:textId="4FBA4E0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E4448E">
            <w:rPr>
              <w:bCs/>
            </w:rPr>
            <w:t>6</w:t>
          </w:r>
          <w:proofErr w:type="spellEnd"/>
          <w:r w:rsidRPr="00623AE3">
            <w:rPr>
              <w:bCs/>
            </w:rPr>
            <w:t>/</w:t>
          </w:r>
          <w:r w:rsidR="00357877">
            <w:rPr>
              <w:bCs/>
            </w:rPr>
            <w:t>26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9FD820B"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27DA" w14:textId="77777777" w:rsidR="006D1329" w:rsidRDefault="006D1329">
      <w:r>
        <w:t>____________________</w:t>
      </w:r>
    </w:p>
  </w:footnote>
  <w:footnote w:type="continuationSeparator" w:id="0">
    <w:p w14:paraId="3E6835E6" w14:textId="77777777" w:rsidR="006D1329" w:rsidRDefault="006D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90ED"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333B49B" w14:textId="77777777" w:rsidR="00732045" w:rsidRDefault="00732045">
    <w:pPr>
      <w:pStyle w:val="Header"/>
    </w:pPr>
    <w:proofErr w:type="spellStart"/>
    <w:r>
      <w:t>C2001</w:t>
    </w:r>
    <w:proofErr w:type="spellEnd"/>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9D6C" w14:textId="77777777" w:rsidR="00A51849" w:rsidRPr="001342E0" w:rsidRDefault="001342E0" w:rsidP="001342E0">
    <w:pPr>
      <w:pStyle w:val="Header"/>
    </w:pPr>
    <w:r>
      <w:rPr>
        <w:noProof/>
      </w:rPr>
      <w:drawing>
        <wp:inline distT="0" distB="0" distL="0" distR="0" wp14:anchorId="548045B8" wp14:editId="57FF7D3B">
          <wp:extent cx="5760085" cy="840740"/>
          <wp:effectExtent l="0" t="0" r="0" b="0"/>
          <wp:docPr id="32288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8A6B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50A28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46A7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7235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7A5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CC1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16AD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6C57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ACFF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D81B78"/>
    <w:lvl w:ilvl="0">
      <w:start w:val="1"/>
      <w:numFmt w:val="bullet"/>
      <w:lvlText w:val=""/>
      <w:lvlJc w:val="left"/>
      <w:pPr>
        <w:tabs>
          <w:tab w:val="num" w:pos="360"/>
        </w:tabs>
        <w:ind w:left="360" w:hanging="360"/>
      </w:pPr>
      <w:rPr>
        <w:rFonts w:ascii="Symbol" w:hAnsi="Symbol" w:hint="default"/>
      </w:rPr>
    </w:lvl>
  </w:abstractNum>
  <w:num w:numId="1" w16cid:durableId="803738765">
    <w:abstractNumId w:val="9"/>
  </w:num>
  <w:num w:numId="2" w16cid:durableId="1495103386">
    <w:abstractNumId w:val="7"/>
  </w:num>
  <w:num w:numId="3" w16cid:durableId="85269966">
    <w:abstractNumId w:val="6"/>
  </w:num>
  <w:num w:numId="4" w16cid:durableId="467168069">
    <w:abstractNumId w:val="5"/>
  </w:num>
  <w:num w:numId="5" w16cid:durableId="410660752">
    <w:abstractNumId w:val="4"/>
  </w:num>
  <w:num w:numId="6" w16cid:durableId="848523007">
    <w:abstractNumId w:val="8"/>
  </w:num>
  <w:num w:numId="7" w16cid:durableId="250823268">
    <w:abstractNumId w:val="3"/>
  </w:num>
  <w:num w:numId="8" w16cid:durableId="2054034357">
    <w:abstractNumId w:val="2"/>
  </w:num>
  <w:num w:numId="9" w16cid:durableId="1219392777">
    <w:abstractNumId w:val="1"/>
  </w:num>
  <w:num w:numId="10" w16cid:durableId="1808164918">
    <w:abstractNumId w:val="0"/>
  </w:num>
  <w:num w:numId="11" w16cid:durableId="915743788">
    <w:abstractNumId w:val="8"/>
  </w:num>
  <w:num w:numId="12" w16cid:durableId="748498904">
    <w:abstractNumId w:val="3"/>
  </w:num>
  <w:num w:numId="13" w16cid:durableId="1722171435">
    <w:abstractNumId w:val="2"/>
  </w:num>
  <w:num w:numId="14" w16cid:durableId="1218787376">
    <w:abstractNumId w:val="1"/>
  </w:num>
  <w:num w:numId="15" w16cid:durableId="122777725">
    <w:abstractNumId w:val="0"/>
  </w:num>
  <w:num w:numId="16" w16cid:durableId="294650041">
    <w:abstractNumId w:val="8"/>
  </w:num>
  <w:num w:numId="17" w16cid:durableId="595795062">
    <w:abstractNumId w:val="3"/>
  </w:num>
  <w:num w:numId="18" w16cid:durableId="696854305">
    <w:abstractNumId w:val="2"/>
  </w:num>
  <w:num w:numId="19" w16cid:durableId="1999336207">
    <w:abstractNumId w:val="1"/>
  </w:num>
  <w:num w:numId="20" w16cid:durableId="1067342646">
    <w:abstractNumId w:val="0"/>
  </w:num>
  <w:num w:numId="21" w16cid:durableId="379746635">
    <w:abstractNumId w:val="8"/>
  </w:num>
  <w:num w:numId="22" w16cid:durableId="1035231061">
    <w:abstractNumId w:val="3"/>
  </w:num>
  <w:num w:numId="23" w16cid:durableId="1869484850">
    <w:abstractNumId w:val="2"/>
  </w:num>
  <w:num w:numId="24" w16cid:durableId="46684396">
    <w:abstractNumId w:val="1"/>
  </w:num>
  <w:num w:numId="25" w16cid:durableId="31333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29"/>
    <w:rsid w:val="00002CD7"/>
    <w:rsid w:val="00015E85"/>
    <w:rsid w:val="000208B4"/>
    <w:rsid w:val="00076A2C"/>
    <w:rsid w:val="000846FC"/>
    <w:rsid w:val="0008631F"/>
    <w:rsid w:val="000D0D0A"/>
    <w:rsid w:val="000F0B13"/>
    <w:rsid w:val="00103163"/>
    <w:rsid w:val="00106B19"/>
    <w:rsid w:val="001133EF"/>
    <w:rsid w:val="00115D93"/>
    <w:rsid w:val="001171D1"/>
    <w:rsid w:val="001247A8"/>
    <w:rsid w:val="001342E0"/>
    <w:rsid w:val="001370B2"/>
    <w:rsid w:val="001378C0"/>
    <w:rsid w:val="00157F52"/>
    <w:rsid w:val="001658F9"/>
    <w:rsid w:val="001808A1"/>
    <w:rsid w:val="0018694A"/>
    <w:rsid w:val="0019129B"/>
    <w:rsid w:val="001A3287"/>
    <w:rsid w:val="001A54EF"/>
    <w:rsid w:val="001A6508"/>
    <w:rsid w:val="001D4C31"/>
    <w:rsid w:val="001E4D21"/>
    <w:rsid w:val="00207CD1"/>
    <w:rsid w:val="00216283"/>
    <w:rsid w:val="00226657"/>
    <w:rsid w:val="00230AC5"/>
    <w:rsid w:val="002477A2"/>
    <w:rsid w:val="00263A51"/>
    <w:rsid w:val="00267E02"/>
    <w:rsid w:val="00271321"/>
    <w:rsid w:val="00277DEA"/>
    <w:rsid w:val="002A5D44"/>
    <w:rsid w:val="002C3F32"/>
    <w:rsid w:val="002C4E3D"/>
    <w:rsid w:val="002D2336"/>
    <w:rsid w:val="002E0BC4"/>
    <w:rsid w:val="002F1B76"/>
    <w:rsid w:val="0032569D"/>
    <w:rsid w:val="0033568E"/>
    <w:rsid w:val="00355FF5"/>
    <w:rsid w:val="00357877"/>
    <w:rsid w:val="00361350"/>
    <w:rsid w:val="003C3FAE"/>
    <w:rsid w:val="004038CB"/>
    <w:rsid w:val="0040546F"/>
    <w:rsid w:val="00410A2C"/>
    <w:rsid w:val="004177BD"/>
    <w:rsid w:val="0042404A"/>
    <w:rsid w:val="0044618F"/>
    <w:rsid w:val="00465C35"/>
    <w:rsid w:val="0046769A"/>
    <w:rsid w:val="00475FB3"/>
    <w:rsid w:val="004C192D"/>
    <w:rsid w:val="004C37A9"/>
    <w:rsid w:val="004D1D50"/>
    <w:rsid w:val="004F259E"/>
    <w:rsid w:val="004F633A"/>
    <w:rsid w:val="00504C7F"/>
    <w:rsid w:val="00511F1D"/>
    <w:rsid w:val="00520F36"/>
    <w:rsid w:val="00524E8D"/>
    <w:rsid w:val="00534E13"/>
    <w:rsid w:val="00540615"/>
    <w:rsid w:val="00540A6D"/>
    <w:rsid w:val="00553536"/>
    <w:rsid w:val="00563561"/>
    <w:rsid w:val="00566679"/>
    <w:rsid w:val="00571EEA"/>
    <w:rsid w:val="00575417"/>
    <w:rsid w:val="005768E1"/>
    <w:rsid w:val="005A3E6B"/>
    <w:rsid w:val="005B1938"/>
    <w:rsid w:val="005B64FF"/>
    <w:rsid w:val="005C2BF3"/>
    <w:rsid w:val="005C3890"/>
    <w:rsid w:val="005F7BFE"/>
    <w:rsid w:val="00600017"/>
    <w:rsid w:val="00602682"/>
    <w:rsid w:val="006235CA"/>
    <w:rsid w:val="0062366E"/>
    <w:rsid w:val="006643AB"/>
    <w:rsid w:val="006A11AE"/>
    <w:rsid w:val="006B224B"/>
    <w:rsid w:val="006D1329"/>
    <w:rsid w:val="006D7721"/>
    <w:rsid w:val="006E3CA2"/>
    <w:rsid w:val="006F0A53"/>
    <w:rsid w:val="006F250C"/>
    <w:rsid w:val="007048BC"/>
    <w:rsid w:val="0071402E"/>
    <w:rsid w:val="007170D3"/>
    <w:rsid w:val="007210CD"/>
    <w:rsid w:val="00732045"/>
    <w:rsid w:val="0073275D"/>
    <w:rsid w:val="007369DB"/>
    <w:rsid w:val="0077110E"/>
    <w:rsid w:val="007956C2"/>
    <w:rsid w:val="00796BDB"/>
    <w:rsid w:val="007A187E"/>
    <w:rsid w:val="007C72C2"/>
    <w:rsid w:val="007D4436"/>
    <w:rsid w:val="007E2441"/>
    <w:rsid w:val="007F257A"/>
    <w:rsid w:val="007F3665"/>
    <w:rsid w:val="00800037"/>
    <w:rsid w:val="0082299A"/>
    <w:rsid w:val="0083391C"/>
    <w:rsid w:val="0084546D"/>
    <w:rsid w:val="00861D73"/>
    <w:rsid w:val="00882919"/>
    <w:rsid w:val="00884B99"/>
    <w:rsid w:val="00897553"/>
    <w:rsid w:val="008A4E87"/>
    <w:rsid w:val="008D76E6"/>
    <w:rsid w:val="009016DA"/>
    <w:rsid w:val="0092392D"/>
    <w:rsid w:val="0093234A"/>
    <w:rsid w:val="00933BE1"/>
    <w:rsid w:val="00956A78"/>
    <w:rsid w:val="009639DD"/>
    <w:rsid w:val="0097363B"/>
    <w:rsid w:val="00973F53"/>
    <w:rsid w:val="0098348E"/>
    <w:rsid w:val="009A6BAA"/>
    <w:rsid w:val="009A76A8"/>
    <w:rsid w:val="009C307F"/>
    <w:rsid w:val="009C353C"/>
    <w:rsid w:val="009D5955"/>
    <w:rsid w:val="009F0FB8"/>
    <w:rsid w:val="00A01F4F"/>
    <w:rsid w:val="00A109AF"/>
    <w:rsid w:val="00A125FB"/>
    <w:rsid w:val="00A2113E"/>
    <w:rsid w:val="00A23A51"/>
    <w:rsid w:val="00A24607"/>
    <w:rsid w:val="00A25CD3"/>
    <w:rsid w:val="00A51849"/>
    <w:rsid w:val="00A709FE"/>
    <w:rsid w:val="00A71AD8"/>
    <w:rsid w:val="00A73C60"/>
    <w:rsid w:val="00A748E1"/>
    <w:rsid w:val="00A82767"/>
    <w:rsid w:val="00AA332F"/>
    <w:rsid w:val="00AA3A9C"/>
    <w:rsid w:val="00AA7BBB"/>
    <w:rsid w:val="00AB64A8"/>
    <w:rsid w:val="00AC0266"/>
    <w:rsid w:val="00AC0F1D"/>
    <w:rsid w:val="00AD24EC"/>
    <w:rsid w:val="00AF3F98"/>
    <w:rsid w:val="00AF427B"/>
    <w:rsid w:val="00B27B00"/>
    <w:rsid w:val="00B309F9"/>
    <w:rsid w:val="00B32B60"/>
    <w:rsid w:val="00B469A8"/>
    <w:rsid w:val="00B51005"/>
    <w:rsid w:val="00B61619"/>
    <w:rsid w:val="00B813C1"/>
    <w:rsid w:val="00BB38C1"/>
    <w:rsid w:val="00BB4545"/>
    <w:rsid w:val="00BD5873"/>
    <w:rsid w:val="00BF4B60"/>
    <w:rsid w:val="00C049D7"/>
    <w:rsid w:val="00C04BE3"/>
    <w:rsid w:val="00C25D29"/>
    <w:rsid w:val="00C2625E"/>
    <w:rsid w:val="00C27A7C"/>
    <w:rsid w:val="00C42437"/>
    <w:rsid w:val="00C4499E"/>
    <w:rsid w:val="00C45229"/>
    <w:rsid w:val="00CA08ED"/>
    <w:rsid w:val="00CC6EAA"/>
    <w:rsid w:val="00CE02B0"/>
    <w:rsid w:val="00CE5172"/>
    <w:rsid w:val="00CE5963"/>
    <w:rsid w:val="00CF0534"/>
    <w:rsid w:val="00CF151F"/>
    <w:rsid w:val="00CF183B"/>
    <w:rsid w:val="00D05A8E"/>
    <w:rsid w:val="00D1136D"/>
    <w:rsid w:val="00D35461"/>
    <w:rsid w:val="00D375CD"/>
    <w:rsid w:val="00D37B53"/>
    <w:rsid w:val="00D45930"/>
    <w:rsid w:val="00D553A2"/>
    <w:rsid w:val="00D72F49"/>
    <w:rsid w:val="00D75432"/>
    <w:rsid w:val="00D774D3"/>
    <w:rsid w:val="00D904E8"/>
    <w:rsid w:val="00DA08C3"/>
    <w:rsid w:val="00DB5A3E"/>
    <w:rsid w:val="00DC1510"/>
    <w:rsid w:val="00DC22AA"/>
    <w:rsid w:val="00DD1A99"/>
    <w:rsid w:val="00DE062E"/>
    <w:rsid w:val="00DE62C6"/>
    <w:rsid w:val="00DF1C56"/>
    <w:rsid w:val="00DF74DD"/>
    <w:rsid w:val="00E06096"/>
    <w:rsid w:val="00E25AD0"/>
    <w:rsid w:val="00E4428F"/>
    <w:rsid w:val="00E4448E"/>
    <w:rsid w:val="00E47427"/>
    <w:rsid w:val="00E4785A"/>
    <w:rsid w:val="00E81F26"/>
    <w:rsid w:val="00E93668"/>
    <w:rsid w:val="00E95647"/>
    <w:rsid w:val="00EB05EB"/>
    <w:rsid w:val="00EB6350"/>
    <w:rsid w:val="00ED6DE6"/>
    <w:rsid w:val="00ED799B"/>
    <w:rsid w:val="00F15B57"/>
    <w:rsid w:val="00F35EF4"/>
    <w:rsid w:val="00F37FE5"/>
    <w:rsid w:val="00F42197"/>
    <w:rsid w:val="00F427DB"/>
    <w:rsid w:val="00F50931"/>
    <w:rsid w:val="00F52A0C"/>
    <w:rsid w:val="00FA5EB1"/>
    <w:rsid w:val="00FA7439"/>
    <w:rsid w:val="00FB5FE7"/>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22F2EF"/>
  <w15:docId w15:val="{208A3F09-FB80-47AD-BF84-C6C796F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qFormat/>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E4785A"/>
    <w:pPr>
      <w:framePr w:hSpace="181" w:wrap="around" w:vAnchor="page" w:hAnchor="page" w:x="1589" w:y="2314"/>
      <w:spacing w:before="840"/>
    </w:pPr>
    <w:rPr>
      <w:rFonts w:cstheme="minorHAnsi"/>
      <w:b/>
      <w:color w:val="000000"/>
      <w:sz w:val="32"/>
      <w:szCs w:val="34"/>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Tablefin">
    <w:name w:val="Table_fin"/>
    <w:basedOn w:val="Normal"/>
    <w:rsid w:val="00FB5FE7"/>
    <w:pPr>
      <w:tabs>
        <w:tab w:val="clear" w:pos="567"/>
        <w:tab w:val="clear" w:pos="1134"/>
        <w:tab w:val="clear" w:pos="1701"/>
        <w:tab w:val="clear" w:pos="2268"/>
        <w:tab w:val="clear" w:pos="2835"/>
      </w:tabs>
      <w:spacing w:before="0"/>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4-EGITRS3-C-0006/fr" TargetMode="External"/><Relationship Id="rId21" Type="http://schemas.openxmlformats.org/officeDocument/2006/relationships/hyperlink" Target="https://www.itu.int/en/council/Documents/basic-texts-2023/RES-146-F.pdf" TargetMode="External"/><Relationship Id="rId42" Type="http://schemas.openxmlformats.org/officeDocument/2006/relationships/hyperlink" Target="https://www.itu.int/md/S23-EGITRS1-C-0007/fr" TargetMode="External"/><Relationship Id="rId63" Type="http://schemas.openxmlformats.org/officeDocument/2006/relationships/hyperlink" Target="https://www.itu.int/md/S24-EGITRS2-C-0006/en" TargetMode="External"/><Relationship Id="rId84" Type="http://schemas.openxmlformats.org/officeDocument/2006/relationships/hyperlink" Target="https://www.itu.int/md/S24-EGITRS2-C-0015/en" TargetMode="External"/><Relationship Id="rId138" Type="http://schemas.openxmlformats.org/officeDocument/2006/relationships/hyperlink" Target="https://www.itu.int/md/S25-EGITRS4-C-0005/fr" TargetMode="External"/><Relationship Id="rId159" Type="http://schemas.openxmlformats.org/officeDocument/2006/relationships/hyperlink" Target="https://www.itu.int/md/S25-EGITRS5-C-0007/fr" TargetMode="External"/><Relationship Id="rId170" Type="http://schemas.openxmlformats.org/officeDocument/2006/relationships/hyperlink" Target="https://www.itu.int/md/S26-EGITRS6-C-0002/en" TargetMode="External"/><Relationship Id="rId191" Type="http://schemas.openxmlformats.org/officeDocument/2006/relationships/hyperlink" Target="https://www.itu.int/pub/T-REG-ACT-1988/fr" TargetMode="External"/><Relationship Id="rId205" Type="http://schemas.openxmlformats.org/officeDocument/2006/relationships/footer" Target="footer2.xml"/><Relationship Id="rId107" Type="http://schemas.openxmlformats.org/officeDocument/2006/relationships/hyperlink" Target="https://www.itu.int/md/S24-EGITRS3-C-0001/fr" TargetMode="External"/><Relationship Id="rId11" Type="http://schemas.openxmlformats.org/officeDocument/2006/relationships/hyperlink" Target="https://www.itu.int/md/S23-CL-C-0121/en" TargetMode="External"/><Relationship Id="rId32" Type="http://schemas.openxmlformats.org/officeDocument/2006/relationships/hyperlink" Target="https://www.itu.int/md/S23-EGITRS1-C-0001/en" TargetMode="External"/><Relationship Id="rId53" Type="http://schemas.openxmlformats.org/officeDocument/2006/relationships/hyperlink" Target="https://www.itu.int/md/S24-EGITRS2-C-0001/en" TargetMode="External"/><Relationship Id="rId74" Type="http://schemas.openxmlformats.org/officeDocument/2006/relationships/hyperlink" Target="https://www.itu.int/md/S24-EGITRS2-C-0013/en" TargetMode="External"/><Relationship Id="rId128" Type="http://schemas.openxmlformats.org/officeDocument/2006/relationships/hyperlink" Target="https://www.itu.int/md/S21-EGITR4-C-0008/fr" TargetMode="External"/><Relationship Id="rId149" Type="http://schemas.openxmlformats.org/officeDocument/2006/relationships/hyperlink" Target="https://www.itu.int/md/S25-EGITRS5-C-0002/fr" TargetMode="External"/><Relationship Id="rId5" Type="http://schemas.openxmlformats.org/officeDocument/2006/relationships/webSettings" Target="webSettings.xml"/><Relationship Id="rId95" Type="http://schemas.openxmlformats.org/officeDocument/2006/relationships/hyperlink" Target="https://www.itu.int/md/meetingdoc.asp?lang=en&amp;parent=S24-EGITRS2-C&amp;source=Belarus" TargetMode="External"/><Relationship Id="rId160" Type="http://schemas.openxmlformats.org/officeDocument/2006/relationships/hyperlink" Target="https://www.itu.int/md/S25-EGITRS5-C-0007/en" TargetMode="External"/><Relationship Id="rId181" Type="http://schemas.openxmlformats.org/officeDocument/2006/relationships/hyperlink" Target="https://www.itu.int/md/S26-EGITRS6-C-0008/en" TargetMode="External"/><Relationship Id="rId22" Type="http://schemas.openxmlformats.org/officeDocument/2006/relationships/hyperlink" Target="https://www.itu.int/en/council/Pages/eg-itrs.aspx" TargetMode="External"/><Relationship Id="rId43" Type="http://schemas.openxmlformats.org/officeDocument/2006/relationships/hyperlink" Target="https://www.itu.int/md/S23-EGITRS1-C-0007/en" TargetMode="External"/><Relationship Id="rId64" Type="http://schemas.openxmlformats.org/officeDocument/2006/relationships/hyperlink" Target="https://www.itu.int/md/S24-EGITRS2-C-0007/fr" TargetMode="External"/><Relationship Id="rId118" Type="http://schemas.openxmlformats.org/officeDocument/2006/relationships/hyperlink" Target="https://www.itu.int/md/S24-EGITRS3-C-0006/en" TargetMode="External"/><Relationship Id="rId139" Type="http://schemas.openxmlformats.org/officeDocument/2006/relationships/hyperlink" Target="https://www.itu.int/md/S25-EGITRS4-C-0005/en" TargetMode="External"/><Relationship Id="rId85" Type="http://schemas.openxmlformats.org/officeDocument/2006/relationships/hyperlink" Target="https://www.itu.int/md/meetingdoc.asp?lang=en&amp;parent=S24-EGITRS2-C&amp;source=Russian%20Federation" TargetMode="External"/><Relationship Id="rId150" Type="http://schemas.openxmlformats.org/officeDocument/2006/relationships/hyperlink" Target="https://www.itu.int/md/S25-EGITRS5-C-0002/en" TargetMode="External"/><Relationship Id="rId171" Type="http://schemas.openxmlformats.org/officeDocument/2006/relationships/hyperlink" Target="https://www.itu.int/md/S26-EGITRS6-C-0003/fr" TargetMode="External"/><Relationship Id="rId192" Type="http://schemas.openxmlformats.org/officeDocument/2006/relationships/hyperlink" Target="https://www.itu.int/md/S25-EGITRS4-C-0004/en" TargetMode="External"/><Relationship Id="rId206" Type="http://schemas.openxmlformats.org/officeDocument/2006/relationships/header" Target="header2.xml"/><Relationship Id="rId12" Type="http://schemas.openxmlformats.org/officeDocument/2006/relationships/hyperlink" Target="https://www.itu.int/fr/wcit-12/Pages/itrs.aspx" TargetMode="External"/><Relationship Id="rId33" Type="http://schemas.openxmlformats.org/officeDocument/2006/relationships/hyperlink" Target="https://www.itu.int/md/S23-EGITRS1-C-0002/fr" TargetMode="External"/><Relationship Id="rId108" Type="http://schemas.openxmlformats.org/officeDocument/2006/relationships/hyperlink" Target="https://www.itu.int/md/S24-EGITRS3-C-0001/en" TargetMode="External"/><Relationship Id="rId129" Type="http://schemas.openxmlformats.org/officeDocument/2006/relationships/hyperlink" Target="https://www.itu.int/md/S21-EGITR4-C-0008/en" TargetMode="External"/><Relationship Id="rId54" Type="http://schemas.openxmlformats.org/officeDocument/2006/relationships/hyperlink" Target="https://www.itu.int/md/S24-EGITRS2-C-0002/fr" TargetMode="External"/><Relationship Id="rId75" Type="http://schemas.openxmlformats.org/officeDocument/2006/relationships/hyperlink" Target="https://www.itu.int/md/S24-EGITRS2-C-0014/fr" TargetMode="External"/><Relationship Id="rId96" Type="http://schemas.openxmlformats.org/officeDocument/2006/relationships/hyperlink" Target="https://www.itu.int/md/meetingdoc.asp?lang=en&amp;parent=S24-EGITRS2-C&amp;source=Kyrgyzstan" TargetMode="External"/><Relationship Id="rId140" Type="http://schemas.openxmlformats.org/officeDocument/2006/relationships/hyperlink" Target="https://www.itu.int/md/S25-EGITRS4-C-0006/fr" TargetMode="External"/><Relationship Id="rId161" Type="http://schemas.openxmlformats.org/officeDocument/2006/relationships/hyperlink" Target="https://www.itu.int/md/S25-EGITRS5-C-0008/fr" TargetMode="External"/><Relationship Id="rId182" Type="http://schemas.openxmlformats.org/officeDocument/2006/relationships/hyperlink" Target="https://www.itu.int/md/meetingdoc.asp?lang=en&amp;parent=S26-EGITRS6-C&amp;source=Bulgaria" TargetMode="External"/><Relationship Id="rId6" Type="http://schemas.openxmlformats.org/officeDocument/2006/relationships/footnotes" Target="footnotes.xml"/><Relationship Id="rId23" Type="http://schemas.openxmlformats.org/officeDocument/2006/relationships/hyperlink" Target="https://www.itu.int/en/council/Documents/basic-texts-2023/RES-146-E.pdf" TargetMode="External"/><Relationship Id="rId119" Type="http://schemas.openxmlformats.org/officeDocument/2006/relationships/hyperlink" Target="https://www.itu.int/md/S24-EGITRS3-C-0007/en" TargetMode="External"/><Relationship Id="rId44" Type="http://schemas.openxmlformats.org/officeDocument/2006/relationships/hyperlink" Target="https://www.itu.int/md/S23-EGITRS1-C-0008/fr" TargetMode="External"/><Relationship Id="rId65" Type="http://schemas.openxmlformats.org/officeDocument/2006/relationships/hyperlink" Target="https://www.itu.int/md/S24-EGITRS2-C-0007/en" TargetMode="External"/><Relationship Id="rId86" Type="http://schemas.openxmlformats.org/officeDocument/2006/relationships/hyperlink" Target="https://www.itu.int/md/meetingdoc.asp?lang=en&amp;parent=S24-EGITRS2-C&amp;source=Armenia" TargetMode="External"/><Relationship Id="rId130" Type="http://schemas.openxmlformats.org/officeDocument/2006/relationships/hyperlink" Target="https://www.itu.int/md/S25-EGITRS4-C-0001/fr" TargetMode="External"/><Relationship Id="rId151" Type="http://schemas.openxmlformats.org/officeDocument/2006/relationships/hyperlink" Target="https://www.itu.int/md/S25-EGITRS5-C-0003/fr" TargetMode="External"/><Relationship Id="rId172" Type="http://schemas.openxmlformats.org/officeDocument/2006/relationships/hyperlink" Target="https://www.itu.int/md/S26-EGITRS6-C-0003/en" TargetMode="External"/><Relationship Id="rId193" Type="http://schemas.openxmlformats.org/officeDocument/2006/relationships/hyperlink" Target="https://www.itu.int/pub/S-CONF-WCIT-2012/en" TargetMode="External"/><Relationship Id="rId207" Type="http://schemas.openxmlformats.org/officeDocument/2006/relationships/footer" Target="footer3.xml"/><Relationship Id="rId13" Type="http://schemas.openxmlformats.org/officeDocument/2006/relationships/hyperlink" Target="https://www.itu.int/en/wcit-12/Pages/itrs.aspx" TargetMode="External"/><Relationship Id="rId109" Type="http://schemas.openxmlformats.org/officeDocument/2006/relationships/hyperlink" Target="https://www.itu.int/md/S24-EGITRS3-C-0002/fr" TargetMode="External"/><Relationship Id="rId34" Type="http://schemas.openxmlformats.org/officeDocument/2006/relationships/hyperlink" Target="https://www.itu.int/md/S23-EGITRS1-C-0002/en" TargetMode="External"/><Relationship Id="rId55" Type="http://schemas.openxmlformats.org/officeDocument/2006/relationships/hyperlink" Target="https://www.itu.int/md/S24-EGITRS2-C-0002/en" TargetMode="External"/><Relationship Id="rId76" Type="http://schemas.openxmlformats.org/officeDocument/2006/relationships/hyperlink" Target="https://www.itu.int/md/S24-EGITRS2-C-0014/en" TargetMode="External"/><Relationship Id="rId97" Type="http://schemas.openxmlformats.org/officeDocument/2006/relationships/hyperlink" Target="https://www.itu.int/md/meetingdoc.asp?lang=en&amp;parent=S24-EGITRS2-C&amp;source=Tajikistan" TargetMode="External"/><Relationship Id="rId120" Type="http://schemas.openxmlformats.org/officeDocument/2006/relationships/hyperlink" Target="https://www.itu.int/md/S24-EGITRS3-C-0008/fr" TargetMode="External"/><Relationship Id="rId141" Type="http://schemas.openxmlformats.org/officeDocument/2006/relationships/hyperlink" Target="https://www.itu.int/md/S25-EGITRS4-C-0006/en" TargetMode="External"/><Relationship Id="rId7" Type="http://schemas.openxmlformats.org/officeDocument/2006/relationships/endnotes" Target="endnotes.xml"/><Relationship Id="rId162" Type="http://schemas.openxmlformats.org/officeDocument/2006/relationships/hyperlink" Target="https://www.itu.int/md/S25-EGITRS5-C-0008/en" TargetMode="External"/><Relationship Id="rId183" Type="http://schemas.openxmlformats.org/officeDocument/2006/relationships/hyperlink" Target="https://www.itu.int/md/meetingdoc.asp?lang=en&amp;parent=S26-EGITRS6-C&amp;source=Czech%20Republic" TargetMode="External"/><Relationship Id="rId24" Type="http://schemas.openxmlformats.org/officeDocument/2006/relationships/hyperlink" Target="https://www.itu.int/en/council/Documents/basic-texts-2023/RES-146-E.pdf" TargetMode="External"/><Relationship Id="rId45" Type="http://schemas.openxmlformats.org/officeDocument/2006/relationships/hyperlink" Target="https://www.itu.int/md/S23-EGITRS1-C-0008/en" TargetMode="External"/><Relationship Id="rId66" Type="http://schemas.openxmlformats.org/officeDocument/2006/relationships/hyperlink" Target="https://www.itu.int/md/S24-EGITRS2-C-0008/fr" TargetMode="External"/><Relationship Id="rId87" Type="http://schemas.openxmlformats.org/officeDocument/2006/relationships/hyperlink" Target="https://www.itu.int/md/meetingdoc.asp?lang=en&amp;parent=S24-EGITRS2-C&amp;source=Belarus" TargetMode="External"/><Relationship Id="rId110" Type="http://schemas.openxmlformats.org/officeDocument/2006/relationships/hyperlink" Target="https://www.itu.int/md/S24-EGITRS3-C-0002/en" TargetMode="External"/><Relationship Id="rId131" Type="http://schemas.openxmlformats.org/officeDocument/2006/relationships/hyperlink" Target="https://www.itu.int/md/S25-EGITRS4-C-0001/en" TargetMode="External"/><Relationship Id="rId61" Type="http://schemas.openxmlformats.org/officeDocument/2006/relationships/hyperlink" Target="https://www.itu.int/md/S24-EGITRS2-C-0005/en" TargetMode="External"/><Relationship Id="rId82" Type="http://schemas.openxmlformats.org/officeDocument/2006/relationships/hyperlink" Target="https://www.itu.int/md/meetingdoc.asp?lang=en&amp;parent=S24-EGITRS2-C&amp;source=Uzbekistan" TargetMode="External"/><Relationship Id="rId152" Type="http://schemas.openxmlformats.org/officeDocument/2006/relationships/hyperlink" Target="https://www.itu.int/md/S25-EGITRS5-C-0003/en" TargetMode="External"/><Relationship Id="rId173" Type="http://schemas.openxmlformats.org/officeDocument/2006/relationships/hyperlink" Target="https://www.itu.int/md/S26-EGITRS6-C-0004/fr" TargetMode="External"/><Relationship Id="rId194" Type="http://schemas.openxmlformats.org/officeDocument/2006/relationships/hyperlink" Target="https://www.itu.int/pub/T-REG-ACT-1988" TargetMode="External"/><Relationship Id="rId199" Type="http://schemas.openxmlformats.org/officeDocument/2006/relationships/hyperlink" Target="https://www.itu.int/md/S25-EGITRS4-C-0004/en" TargetMode="External"/><Relationship Id="rId203" Type="http://schemas.openxmlformats.org/officeDocument/2006/relationships/header" Target="header1.xml"/><Relationship Id="rId208" Type="http://schemas.openxmlformats.org/officeDocument/2006/relationships/fontTable" Target="fontTable.xml"/><Relationship Id="rId19" Type="http://schemas.openxmlformats.org/officeDocument/2006/relationships/hyperlink" Target="https://www.itu.int/md/S22-PP-C-0035/en" TargetMode="External"/><Relationship Id="rId14" Type="http://schemas.openxmlformats.org/officeDocument/2006/relationships/hyperlink" Target="https://www.itu.int/md/S18-PP-C-0029/fr" TargetMode="External"/><Relationship Id="rId30" Type="http://schemas.openxmlformats.org/officeDocument/2006/relationships/hyperlink" Target="https://www.itu.int/md/S24-EGITRS2-C-0020/en" TargetMode="External"/><Relationship Id="rId35" Type="http://schemas.openxmlformats.org/officeDocument/2006/relationships/hyperlink" Target="https://www.itu.int/md/S23-EGITRS1-C-0003/fr" TargetMode="External"/><Relationship Id="rId56" Type="http://schemas.openxmlformats.org/officeDocument/2006/relationships/hyperlink" Target="https://www.itu.int/md/S24-EGITRS2-C-0003/fr" TargetMode="External"/><Relationship Id="rId77" Type="http://schemas.openxmlformats.org/officeDocument/2006/relationships/hyperlink" Target="https://www.itu.int/md/meetingdoc.asp?lang=en&amp;parent=S24-EGITRS2-C&amp;source=Russian%20Federation" TargetMode="External"/><Relationship Id="rId100" Type="http://schemas.openxmlformats.org/officeDocument/2006/relationships/hyperlink" Target="https://www.itu.int/md/S24-EGITRS2-C-0017/en" TargetMode="External"/><Relationship Id="rId105" Type="http://schemas.openxmlformats.org/officeDocument/2006/relationships/hyperlink" Target="https://www.itu.int/md/S24-EGITRS3-C-0012/fr" TargetMode="External"/><Relationship Id="rId126" Type="http://schemas.openxmlformats.org/officeDocument/2006/relationships/hyperlink" Target="https://www.itu.int/md/S24-EGITRS3-C-0011/fr" TargetMode="External"/><Relationship Id="rId147" Type="http://schemas.openxmlformats.org/officeDocument/2006/relationships/hyperlink" Target="https://www.itu.int/md/S25-EGITRS5-C-0001/fr" TargetMode="External"/><Relationship Id="rId168" Type="http://schemas.openxmlformats.org/officeDocument/2006/relationships/hyperlink" Target="https://www.itu.int/md/S26-EGITRS6-C-0001/en" TargetMode="External"/><Relationship Id="rId8" Type="http://schemas.openxmlformats.org/officeDocument/2006/relationships/hyperlink" Target="https://www.itu.int/en/council/Documents/basic-texts-2023/RES-146-F.pdf" TargetMode="External"/><Relationship Id="rId51" Type="http://schemas.openxmlformats.org/officeDocument/2006/relationships/hyperlink" Target="https://www.itu.int/md/S24-EGITRS2-C-0021/en" TargetMode="External"/><Relationship Id="rId72" Type="http://schemas.openxmlformats.org/officeDocument/2006/relationships/hyperlink" Target="https://www.itu.int/md/S24-EGITRS2-C-0012/en" TargetMode="External"/><Relationship Id="rId93" Type="http://schemas.openxmlformats.org/officeDocument/2006/relationships/hyperlink" Target="https://www.itu.int/md/meetingdoc.asp?lang=en&amp;parent=S24-EGITRS2-C&amp;source=Russian%20Federation" TargetMode="External"/><Relationship Id="rId98" Type="http://schemas.openxmlformats.org/officeDocument/2006/relationships/hyperlink" Target="https://www.itu.int/md/meetingdoc.asp?lang=en&amp;parent=S24-EGITRS2-C&amp;source=Uzbekistan" TargetMode="External"/><Relationship Id="rId121" Type="http://schemas.openxmlformats.org/officeDocument/2006/relationships/hyperlink" Target="https://www.itu.int/md/S24-EGITRS3-C-0008/en" TargetMode="External"/><Relationship Id="rId142" Type="http://schemas.openxmlformats.org/officeDocument/2006/relationships/hyperlink" Target="https://www.itu.int/md/S25-EGITRS4-C-0007/fr" TargetMode="External"/><Relationship Id="rId163" Type="http://schemas.openxmlformats.org/officeDocument/2006/relationships/hyperlink" Target="https://www.itu.int/md/S25-EGITRS5-C-0009/fr" TargetMode="External"/><Relationship Id="rId184" Type="http://schemas.openxmlformats.org/officeDocument/2006/relationships/hyperlink" Target="https://www.itu.int/md/meetingdoc.asp?lang=en&amp;parent=S26-EGITRS6-C&amp;source=Denmark" TargetMode="External"/><Relationship Id="rId189" Type="http://schemas.openxmlformats.org/officeDocument/2006/relationships/hyperlink" Target="https://www.itu.int/md/meetingdoc.asp?lang=en&amp;parent=S26-EGITRS6-C&amp;source=United%20Kingdom" TargetMode="External"/><Relationship Id="rId3" Type="http://schemas.openxmlformats.org/officeDocument/2006/relationships/styles" Target="styles.xml"/><Relationship Id="rId25" Type="http://schemas.openxmlformats.org/officeDocument/2006/relationships/hyperlink" Target="https://www.itu.int/en/council/Pages/eg-itrs.aspx" TargetMode="External"/><Relationship Id="rId46" Type="http://schemas.openxmlformats.org/officeDocument/2006/relationships/hyperlink" Target="https://www.itu.int/md/S23-EGITRS1-C-0009/fr" TargetMode="External"/><Relationship Id="rId67" Type="http://schemas.openxmlformats.org/officeDocument/2006/relationships/hyperlink" Target="https://www.itu.int/md/S24-EGITRS2-C-0008/en" TargetMode="External"/><Relationship Id="rId116" Type="http://schemas.openxmlformats.org/officeDocument/2006/relationships/hyperlink" Target="https://www.itu.int/md/S24-EGITRS3-C-0005/en" TargetMode="External"/><Relationship Id="rId137" Type="http://schemas.openxmlformats.org/officeDocument/2006/relationships/hyperlink" Target="https://www.itu.int/md/S25-EGITRS4-C-0004/en" TargetMode="External"/><Relationship Id="rId158" Type="http://schemas.openxmlformats.org/officeDocument/2006/relationships/hyperlink" Target="https://www.itu.int/md/S25-EGITRS5-C-0006/en" TargetMode="External"/><Relationship Id="rId20" Type="http://schemas.openxmlformats.org/officeDocument/2006/relationships/hyperlink" Target="https://www.itu.int/en/council/Documents/basic-texts-2023/RES-146-F.pdf" TargetMode="External"/><Relationship Id="rId41" Type="http://schemas.openxmlformats.org/officeDocument/2006/relationships/hyperlink" Target="https://www.itu.int/md/S23-EGITRS1-C-0006/en" TargetMode="External"/><Relationship Id="rId62" Type="http://schemas.openxmlformats.org/officeDocument/2006/relationships/hyperlink" Target="https://www.itu.int/md/S24-EGITRS2-C-0006/fr" TargetMode="External"/><Relationship Id="rId83" Type="http://schemas.openxmlformats.org/officeDocument/2006/relationships/hyperlink" Target="https://www.itu.int/md/S24-EGITRS2-C-0015/fr" TargetMode="External"/><Relationship Id="rId88" Type="http://schemas.openxmlformats.org/officeDocument/2006/relationships/hyperlink" Target="https://www.itu.int/md/meetingdoc.asp?lang=en&amp;parent=S24-EGITRS2-C&amp;source=Kyrgyzstan" TargetMode="External"/><Relationship Id="rId111" Type="http://schemas.openxmlformats.org/officeDocument/2006/relationships/hyperlink" Target="https://www.itu.int/md/S24-EGITRS3-C-0003/fr" TargetMode="External"/><Relationship Id="rId132" Type="http://schemas.openxmlformats.org/officeDocument/2006/relationships/hyperlink" Target="https://www.itu.int/md/S25-EGITRS4-C-0002/fr" TargetMode="External"/><Relationship Id="rId153" Type="http://schemas.openxmlformats.org/officeDocument/2006/relationships/hyperlink" Target="https://www.itu.int/md/S25-EGITRS5-C-0004/fr" TargetMode="External"/><Relationship Id="rId174" Type="http://schemas.openxmlformats.org/officeDocument/2006/relationships/hyperlink" Target="https://www.itu.int/md/S26-EGITRS6-C-0004/en" TargetMode="External"/><Relationship Id="rId179" Type="http://schemas.openxmlformats.org/officeDocument/2006/relationships/hyperlink" Target="https://www.itu.int/md/S26-EGITRS6-C-0007/en" TargetMode="External"/><Relationship Id="rId195" Type="http://schemas.openxmlformats.org/officeDocument/2006/relationships/hyperlink" Target="https://www.itu.int/md/S25-EGITRS4-C-0004/en" TargetMode="External"/><Relationship Id="rId209" Type="http://schemas.openxmlformats.org/officeDocument/2006/relationships/theme" Target="theme/theme1.xml"/><Relationship Id="rId190" Type="http://schemas.openxmlformats.org/officeDocument/2006/relationships/hyperlink" Target="https://www.itu.int/pub/S-CONF-WCIT-2012/fr" TargetMode="External"/><Relationship Id="rId204" Type="http://schemas.openxmlformats.org/officeDocument/2006/relationships/footer" Target="footer1.xml"/><Relationship Id="rId15" Type="http://schemas.openxmlformats.org/officeDocument/2006/relationships/hyperlink" Target="https://www.itu.int/md/S18-PP-C-0029/en" TargetMode="External"/><Relationship Id="rId36" Type="http://schemas.openxmlformats.org/officeDocument/2006/relationships/hyperlink" Target="https://www.itu.int/md/S23-EGITRS1-C-0003/en" TargetMode="External"/><Relationship Id="rId57" Type="http://schemas.openxmlformats.org/officeDocument/2006/relationships/hyperlink" Target="https://www.itu.int/md/S24-EGITRS2-C-0003/en" TargetMode="External"/><Relationship Id="rId106" Type="http://schemas.openxmlformats.org/officeDocument/2006/relationships/hyperlink" Target="https://www.itu.int/md/S24-EGITRS3-C-0012/en" TargetMode="External"/><Relationship Id="rId127" Type="http://schemas.openxmlformats.org/officeDocument/2006/relationships/hyperlink" Target="https://www.itu.int/md/S24-EGITRS3-C-0011/en" TargetMode="External"/><Relationship Id="rId10" Type="http://schemas.openxmlformats.org/officeDocument/2006/relationships/hyperlink" Target="https://www.itu.int/en/council/Documents/basic-texts-2023/RES-146-E.pdf" TargetMode="External"/><Relationship Id="rId31" Type="http://schemas.openxmlformats.org/officeDocument/2006/relationships/hyperlink" Target="https://www.itu.int/md/S23-EGITRS1-C-0001/fr" TargetMode="External"/><Relationship Id="rId52" Type="http://schemas.openxmlformats.org/officeDocument/2006/relationships/hyperlink" Target="https://www.itu.int/md/S24-EGITRS2-C-0001/fr" TargetMode="External"/><Relationship Id="rId73" Type="http://schemas.openxmlformats.org/officeDocument/2006/relationships/hyperlink" Target="https://www.itu.int/md/S24-EGITRS2-C-0013/fr" TargetMode="External"/><Relationship Id="rId78" Type="http://schemas.openxmlformats.org/officeDocument/2006/relationships/hyperlink" Target="https://www.itu.int/md/meetingdoc.asp?lang=en&amp;parent=S24-EGITRS2-C&amp;source=Armenia" TargetMode="External"/><Relationship Id="rId94" Type="http://schemas.openxmlformats.org/officeDocument/2006/relationships/hyperlink" Target="https://www.itu.int/md/meetingdoc.asp?lang=en&amp;parent=S24-EGITRS2-C&amp;source=Armenia" TargetMode="External"/><Relationship Id="rId99" Type="http://schemas.openxmlformats.org/officeDocument/2006/relationships/hyperlink" Target="https://www.itu.int/md/S24-EGITRS2-C-0017/fr" TargetMode="External"/><Relationship Id="rId101" Type="http://schemas.openxmlformats.org/officeDocument/2006/relationships/hyperlink" Target="https://www.itu.int/md/S24-EGITRS2-C-0018/fr" TargetMode="External"/><Relationship Id="rId122" Type="http://schemas.openxmlformats.org/officeDocument/2006/relationships/hyperlink" Target="https://www.itu.int/md/S24-EGITRS3-C-0009/fr" TargetMode="External"/><Relationship Id="rId143" Type="http://schemas.openxmlformats.org/officeDocument/2006/relationships/hyperlink" Target="https://www.itu.int/md/S25-EGITRS4-C-0007/en" TargetMode="External"/><Relationship Id="rId148" Type="http://schemas.openxmlformats.org/officeDocument/2006/relationships/hyperlink" Target="https://www.itu.int/md/S25-EGITRS5-C-0001/en" TargetMode="External"/><Relationship Id="rId164" Type="http://schemas.openxmlformats.org/officeDocument/2006/relationships/hyperlink" Target="https://www.itu.int/md/S25-EGITRS5-C-0009/en" TargetMode="External"/><Relationship Id="rId169" Type="http://schemas.openxmlformats.org/officeDocument/2006/relationships/hyperlink" Target="https://www.itu.int/md/S26-EGITRS6-C-0002/fr" TargetMode="External"/><Relationship Id="rId185" Type="http://schemas.openxmlformats.org/officeDocument/2006/relationships/hyperlink" Target="https://www.itu.int/md/meetingdoc.asp?lang=en&amp;parent=S26-EGITRS6-C&amp;source=Finland" TargetMode="External"/><Relationship Id="rId4" Type="http://schemas.openxmlformats.org/officeDocument/2006/relationships/settings" Target="settings.xml"/><Relationship Id="rId9" Type="http://schemas.openxmlformats.org/officeDocument/2006/relationships/hyperlink" Target="https://www.itu.int/md/S23-CL-C-0121/fr" TargetMode="External"/><Relationship Id="rId180" Type="http://schemas.openxmlformats.org/officeDocument/2006/relationships/hyperlink" Target="https://www.itu.int/md/S26-EGITRS6-C-0008/fr" TargetMode="External"/><Relationship Id="rId26" Type="http://schemas.openxmlformats.org/officeDocument/2006/relationships/hyperlink" Target="https://www.itu.int/md/S23-CL-C-0121/en" TargetMode="External"/><Relationship Id="rId47" Type="http://schemas.openxmlformats.org/officeDocument/2006/relationships/hyperlink" Target="https://www.itu.int/md/S23-EGITRS1-C-0009/en" TargetMode="External"/><Relationship Id="rId68" Type="http://schemas.openxmlformats.org/officeDocument/2006/relationships/hyperlink" Target="https://www.itu.int/md/S24-EGITRS2-C-0010/fr" TargetMode="External"/><Relationship Id="rId89" Type="http://schemas.openxmlformats.org/officeDocument/2006/relationships/hyperlink" Target="https://www.itu.int/md/meetingdoc.asp?lang=en&amp;parent=S24-EGITRS2-C&amp;source=Tajikistan" TargetMode="External"/><Relationship Id="rId112" Type="http://schemas.openxmlformats.org/officeDocument/2006/relationships/hyperlink" Target="https://www.itu.int/md/S24-EGITRS3-C-0003/en" TargetMode="External"/><Relationship Id="rId133" Type="http://schemas.openxmlformats.org/officeDocument/2006/relationships/hyperlink" Target="https://www.itu.int/md/S25-EGITRS4-C-0002/en" TargetMode="External"/><Relationship Id="rId154" Type="http://schemas.openxmlformats.org/officeDocument/2006/relationships/hyperlink" Target="https://www.itu.int/md/S25-EGITRS5-C-0004/en" TargetMode="External"/><Relationship Id="rId175" Type="http://schemas.openxmlformats.org/officeDocument/2006/relationships/hyperlink" Target="https://www.itu.int/md/S26-EGITRS6-C-0005/fr" TargetMode="External"/><Relationship Id="rId196" Type="http://schemas.openxmlformats.org/officeDocument/2006/relationships/hyperlink" Target="https://www.itu.int/md/S24-EGITRS3-C-0002/en" TargetMode="External"/><Relationship Id="rId200" Type="http://schemas.openxmlformats.org/officeDocument/2006/relationships/hyperlink" Target="https://www.itu.int/md/S24-EGITRS3-C-0002/en" TargetMode="External"/><Relationship Id="rId16" Type="http://schemas.openxmlformats.org/officeDocument/2006/relationships/hyperlink" Target="https://www.itu.int/en/council/Documents/basic-texts/RES-146-F.pdf" TargetMode="External"/><Relationship Id="rId37" Type="http://schemas.openxmlformats.org/officeDocument/2006/relationships/hyperlink" Target="https://www.itu.int/md/S23-EGITRS1-C-0004/fr" TargetMode="External"/><Relationship Id="rId58" Type="http://schemas.openxmlformats.org/officeDocument/2006/relationships/hyperlink" Target="https://www.itu.int/md/S24-EGITRS2-C-0004/fr" TargetMode="External"/><Relationship Id="rId79" Type="http://schemas.openxmlformats.org/officeDocument/2006/relationships/hyperlink" Target="https://www.itu.int/md/meetingdoc.asp?lang=en&amp;parent=S24-EGITRS2-C&amp;source=Belarus" TargetMode="External"/><Relationship Id="rId102" Type="http://schemas.openxmlformats.org/officeDocument/2006/relationships/hyperlink" Target="https://www.itu.int/md/S24-EGITRS2-C-0018/en" TargetMode="External"/><Relationship Id="rId123" Type="http://schemas.openxmlformats.org/officeDocument/2006/relationships/hyperlink" Target="https://www.itu.int/md/S24-EGITRS3-C-0009/en" TargetMode="External"/><Relationship Id="rId144" Type="http://schemas.openxmlformats.org/officeDocument/2006/relationships/hyperlink" Target="https://www.itu.int/md/S25-EGITRS4-C-0008/en" TargetMode="External"/><Relationship Id="rId90" Type="http://schemas.openxmlformats.org/officeDocument/2006/relationships/hyperlink" Target="https://www.itu.int/md/meetingdoc.asp?lang=en&amp;parent=S24-EGITRS2-C&amp;source=Uzbekistan" TargetMode="External"/><Relationship Id="rId165" Type="http://schemas.openxmlformats.org/officeDocument/2006/relationships/hyperlink" Target="https://www.itu.int/md/S26-EGITRS6-C-0009/fr" TargetMode="External"/><Relationship Id="rId186" Type="http://schemas.openxmlformats.org/officeDocument/2006/relationships/hyperlink" Target="https://www.itu.int/md/meetingdoc.asp?lang=en&amp;parent=S26-EGITRS6-C&amp;source=Germany" TargetMode="External"/><Relationship Id="rId27" Type="http://schemas.openxmlformats.org/officeDocument/2006/relationships/hyperlink" Target="https://www.itu.int/en/council/Pages/eg-itrs.aspx" TargetMode="External"/><Relationship Id="rId48" Type="http://schemas.openxmlformats.org/officeDocument/2006/relationships/hyperlink" Target="https://www.itu.int/md/S23-EGITRS1-C-0010/fr" TargetMode="External"/><Relationship Id="rId69" Type="http://schemas.openxmlformats.org/officeDocument/2006/relationships/hyperlink" Target="https://www.itu.int/md/S24-EGITRS2-C-0010/en" TargetMode="External"/><Relationship Id="rId113" Type="http://schemas.openxmlformats.org/officeDocument/2006/relationships/hyperlink" Target="https://www.itu.int/md/S24-EGITRS3-C-0004/fr" TargetMode="External"/><Relationship Id="rId134" Type="http://schemas.openxmlformats.org/officeDocument/2006/relationships/hyperlink" Target="https://www.itu.int/md/S25-EGITRS4-C-0003/fr" TargetMode="External"/><Relationship Id="rId80" Type="http://schemas.openxmlformats.org/officeDocument/2006/relationships/hyperlink" Target="https://www.itu.int/md/meetingdoc.asp?lang=en&amp;parent=S24-EGITRS2-C&amp;source=Kyrgyzstan" TargetMode="External"/><Relationship Id="rId155" Type="http://schemas.openxmlformats.org/officeDocument/2006/relationships/hyperlink" Target="https://www.itu.int/md/S25-EGITRS5-C-0005/fr" TargetMode="External"/><Relationship Id="rId176" Type="http://schemas.openxmlformats.org/officeDocument/2006/relationships/hyperlink" Target="https://www.itu.int/md/S26-EGITRS6-C-0005/en" TargetMode="External"/><Relationship Id="rId197" Type="http://schemas.openxmlformats.org/officeDocument/2006/relationships/hyperlink" Target="https://www.itu.int/md/S25-EGITRS4-C-0004/en" TargetMode="External"/><Relationship Id="rId201" Type="http://schemas.openxmlformats.org/officeDocument/2006/relationships/hyperlink" Target="https://www.itu.int/md/S23-EGITRS1-C-0002/en" TargetMode="External"/><Relationship Id="rId17" Type="http://schemas.openxmlformats.org/officeDocument/2006/relationships/hyperlink" Target="https://www.itu.int/md/S22-PP-C-0035/fr" TargetMode="External"/><Relationship Id="rId38" Type="http://schemas.openxmlformats.org/officeDocument/2006/relationships/hyperlink" Target="https://www.itu.int/md/S23-EGITRS1-C-0004/en" TargetMode="External"/><Relationship Id="rId59" Type="http://schemas.openxmlformats.org/officeDocument/2006/relationships/hyperlink" Target="https://www.itu.int/md/S24-EGITRS2-C-0004/en" TargetMode="External"/><Relationship Id="rId103" Type="http://schemas.openxmlformats.org/officeDocument/2006/relationships/hyperlink" Target="https://www.itu.int/md/S24-EGITRS2-C-0019/fr" TargetMode="External"/><Relationship Id="rId124" Type="http://schemas.openxmlformats.org/officeDocument/2006/relationships/hyperlink" Target="https://www.itu.int/md/S24-EGITRS3-C-0010/fr" TargetMode="External"/><Relationship Id="rId70" Type="http://schemas.openxmlformats.org/officeDocument/2006/relationships/hyperlink" Target="https://www.itu.int/md/S24-EGITRS2-C-0011/en" TargetMode="External"/><Relationship Id="rId91" Type="http://schemas.openxmlformats.org/officeDocument/2006/relationships/hyperlink" Target="https://www.itu.int/md/S24-EGITRS2-C-0016/fr" TargetMode="External"/><Relationship Id="rId145" Type="http://schemas.openxmlformats.org/officeDocument/2006/relationships/hyperlink" Target="https://www.itu.int/md/S25-EGITRS5-C-0010/fr" TargetMode="External"/><Relationship Id="rId166" Type="http://schemas.openxmlformats.org/officeDocument/2006/relationships/hyperlink" Target="https://www.itu.int/md/S26-EGITRS6-C-0009/en" TargetMode="External"/><Relationship Id="rId187" Type="http://schemas.openxmlformats.org/officeDocument/2006/relationships/hyperlink" Target="https://www.itu.int/md/meetingdoc.asp?lang=en&amp;parent=S26-EGITRS6-C&amp;source=Lithuania" TargetMode="External"/><Relationship Id="rId1" Type="http://schemas.openxmlformats.org/officeDocument/2006/relationships/customXml" Target="../customXml/item1.xml"/><Relationship Id="rId28" Type="http://schemas.openxmlformats.org/officeDocument/2006/relationships/hyperlink" Target="https://www.itu.int/en/council/Pages/eg-itrs.aspx" TargetMode="External"/><Relationship Id="rId49" Type="http://schemas.openxmlformats.org/officeDocument/2006/relationships/hyperlink" Target="https://www.itu.int/md/S23-EGITRS1-C-0010/en" TargetMode="External"/><Relationship Id="rId114" Type="http://schemas.openxmlformats.org/officeDocument/2006/relationships/hyperlink" Target="https://www.itu.int/md/S24-EGITRS3-C-0004/en" TargetMode="External"/><Relationship Id="rId60" Type="http://schemas.openxmlformats.org/officeDocument/2006/relationships/hyperlink" Target="https://www.itu.int/md/S24-EGITRS2-C-0005/fr" TargetMode="External"/><Relationship Id="rId81" Type="http://schemas.openxmlformats.org/officeDocument/2006/relationships/hyperlink" Target="https://www.itu.int/md/meetingdoc.asp?lang=en&amp;parent=S24-EGITRS2-C&amp;source=Tajikistan" TargetMode="External"/><Relationship Id="rId135" Type="http://schemas.openxmlformats.org/officeDocument/2006/relationships/hyperlink" Target="https://www.itu.int/md/S25-EGITRS4-C-0003/en" TargetMode="External"/><Relationship Id="rId156" Type="http://schemas.openxmlformats.org/officeDocument/2006/relationships/hyperlink" Target="https://www.itu.int/md/S25-EGITRS5-C-0005/en" TargetMode="External"/><Relationship Id="rId177" Type="http://schemas.openxmlformats.org/officeDocument/2006/relationships/hyperlink" Target="https://www.itu.int/md/S26-EGITRS6-C-0006/en" TargetMode="External"/><Relationship Id="rId198" Type="http://schemas.openxmlformats.org/officeDocument/2006/relationships/hyperlink" Target="https://www.itu.int/md/S24-EGITRS3-C-0002/en" TargetMode="External"/><Relationship Id="rId202" Type="http://schemas.openxmlformats.org/officeDocument/2006/relationships/hyperlink" Target="https://www.itu.int/md/S24-EGITRS3-C-0002/en" TargetMode="External"/><Relationship Id="rId18" Type="http://schemas.openxmlformats.org/officeDocument/2006/relationships/hyperlink" Target="https://www.itu.int/en/council/Documents/basic-texts/RES-146-E.pdf" TargetMode="External"/><Relationship Id="rId39" Type="http://schemas.openxmlformats.org/officeDocument/2006/relationships/hyperlink" Target="https://www.itu.int/md/S23-EGITRS1-C-0005/fr" TargetMode="External"/><Relationship Id="rId50" Type="http://schemas.openxmlformats.org/officeDocument/2006/relationships/hyperlink" Target="https://www.itu.int/md/S24-EGITRS2-C-0021/fr" TargetMode="External"/><Relationship Id="rId104" Type="http://schemas.openxmlformats.org/officeDocument/2006/relationships/hyperlink" Target="https://www.itu.int/md/S24-EGITRS2-C-0019/en" TargetMode="External"/><Relationship Id="rId125" Type="http://schemas.openxmlformats.org/officeDocument/2006/relationships/hyperlink" Target="https://www.itu.int/md/S24-EGITRS3-C-0010/en" TargetMode="External"/><Relationship Id="rId146" Type="http://schemas.openxmlformats.org/officeDocument/2006/relationships/hyperlink" Target="https://www.itu.int/md/S25-EGITRS5-C-0010/en" TargetMode="External"/><Relationship Id="rId167" Type="http://schemas.openxmlformats.org/officeDocument/2006/relationships/hyperlink" Target="https://www.itu.int/md/S26-EGITRS6-C-0001/fr" TargetMode="External"/><Relationship Id="rId188" Type="http://schemas.openxmlformats.org/officeDocument/2006/relationships/hyperlink" Target="https://www.itu.int/md/meetingdoc.asp?lang=en&amp;parent=S26-EGITRS6-C&amp;source=Sweden" TargetMode="External"/><Relationship Id="rId71" Type="http://schemas.openxmlformats.org/officeDocument/2006/relationships/hyperlink" Target="https://www.itu.int/md/S24-EGITRS2-C-0012/fr" TargetMode="External"/><Relationship Id="rId92" Type="http://schemas.openxmlformats.org/officeDocument/2006/relationships/hyperlink" Target="https://www.itu.int/md/S24-EGITRS2-C-0016/en" TargetMode="External"/><Relationship Id="rId2" Type="http://schemas.openxmlformats.org/officeDocument/2006/relationships/numbering" Target="numbering.xml"/><Relationship Id="rId29" Type="http://schemas.openxmlformats.org/officeDocument/2006/relationships/hyperlink" Target="https://www.itu.int/md/S24-EGITRS2-C-0020/fr" TargetMode="External"/><Relationship Id="rId40" Type="http://schemas.openxmlformats.org/officeDocument/2006/relationships/hyperlink" Target="https://www.itu.int/md/S23-EGITRS1-C-0005/en" TargetMode="External"/><Relationship Id="rId115" Type="http://schemas.openxmlformats.org/officeDocument/2006/relationships/hyperlink" Target="https://www.itu.int/md/S24-EGITRS3-C-0005/fr" TargetMode="External"/><Relationship Id="rId136" Type="http://schemas.openxmlformats.org/officeDocument/2006/relationships/hyperlink" Target="https://www.itu.int/md/S25-EGITRS4-C-0004/fr" TargetMode="External"/><Relationship Id="rId157" Type="http://schemas.openxmlformats.org/officeDocument/2006/relationships/hyperlink" Target="https://www.itu.int/md/S25-EGITRS5-C-0006/fr" TargetMode="External"/><Relationship Id="rId178" Type="http://schemas.openxmlformats.org/officeDocument/2006/relationships/hyperlink" Target="https://www.itu.int/md/S26-EGITRS6-C-0007/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FC2D7-554E-46EB-8337-026183D8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PF_Council26.dotx</Template>
  <TotalTime>2</TotalTime>
  <Pages>15</Pages>
  <Words>6398</Words>
  <Characters>50502</Characters>
  <Application>Microsoft Office Word</Application>
  <DocSecurity>0</DocSecurity>
  <Lines>901</Lines>
  <Paragraphs>338</Paragraphs>
  <ScaleCrop>false</ScaleCrop>
  <HeadingPairs>
    <vt:vector size="2" baseType="variant">
      <vt:variant>
        <vt:lpstr>Title</vt:lpstr>
      </vt:variant>
      <vt:variant>
        <vt:i4>1</vt:i4>
      </vt:variant>
    </vt:vector>
  </HeadingPairs>
  <TitlesOfParts>
    <vt:vector size="1" baseType="lpstr">
      <vt:lpstr>Rapport final du Groupe d'experts sur le RTI</vt:lpstr>
    </vt:vector>
  </TitlesOfParts>
  <Manager>Secrétariat général - Pool</Manager>
  <Company>Union internationale des télécommunications (UIT)</Company>
  <LinksUpToDate>false</LinksUpToDate>
  <CharactersWithSpaces>56562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final du Groupe d'experts sur le RTI</dc:title>
  <dc:subject>Conseil 2026 de l'UIT</dc:subject>
  <cp:keywords>C26; C2026; Council 2026; PP26</cp:keywords>
  <dc:description/>
  <cp:lastPrinted>2000-07-18T08:55:00Z</cp:lastPrinted>
  <dcterms:created xsi:type="dcterms:W3CDTF">2026-03-23T13:53:00Z</dcterms:created>
  <dcterms:modified xsi:type="dcterms:W3CDTF">2026-03-23T13:55:00Z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