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7F2641" w14:paraId="7DA41590" w14:textId="77777777" w:rsidTr="00C4421B">
        <w:trPr>
          <w:cantSplit/>
          <w:trHeight w:val="23"/>
        </w:trPr>
        <w:tc>
          <w:tcPr>
            <w:tcW w:w="3969" w:type="dxa"/>
            <w:vMerge w:val="restart"/>
            <w:tcMar>
              <w:left w:w="0" w:type="dxa"/>
            </w:tcMar>
          </w:tcPr>
          <w:p w14:paraId="3FEA63B5" w14:textId="5D455A93" w:rsidR="00FE57F6" w:rsidRPr="007F2641" w:rsidRDefault="00CC1FAF" w:rsidP="00C4421B">
            <w:pPr>
              <w:tabs>
                <w:tab w:val="left" w:pos="851"/>
              </w:tabs>
              <w:spacing w:before="0" w:line="240" w:lineRule="atLeast"/>
              <w:rPr>
                <w:b/>
                <w:lang w:val="es-ES"/>
              </w:rPr>
            </w:pPr>
            <w:bookmarkStart w:id="0" w:name="_Hlk133421839"/>
            <w:r w:rsidRPr="007F2641">
              <w:rPr>
                <w:b/>
                <w:lang w:val="es-ES"/>
              </w:rPr>
              <w:t>Punto del o</w:t>
            </w:r>
            <w:r w:rsidR="00BB6FD8" w:rsidRPr="007F2641">
              <w:rPr>
                <w:b/>
                <w:lang w:val="es-ES"/>
              </w:rPr>
              <w:t>rden del día</w:t>
            </w:r>
            <w:r w:rsidR="00FE57F6" w:rsidRPr="007F2641">
              <w:rPr>
                <w:b/>
                <w:lang w:val="es-ES"/>
              </w:rPr>
              <w:t xml:space="preserve">: </w:t>
            </w:r>
            <w:r w:rsidR="00C668EB" w:rsidRPr="007F2641">
              <w:rPr>
                <w:b/>
                <w:lang w:val="es-ES"/>
              </w:rPr>
              <w:t>PL 2</w:t>
            </w:r>
          </w:p>
        </w:tc>
        <w:tc>
          <w:tcPr>
            <w:tcW w:w="5245" w:type="dxa"/>
          </w:tcPr>
          <w:p w14:paraId="1DFFE941" w14:textId="06B0C4A1" w:rsidR="00FE57F6" w:rsidRPr="007F2641" w:rsidRDefault="00FE57F6" w:rsidP="00C4421B">
            <w:pPr>
              <w:tabs>
                <w:tab w:val="left" w:pos="851"/>
              </w:tabs>
              <w:spacing w:before="0" w:line="240" w:lineRule="atLeast"/>
              <w:jc w:val="right"/>
              <w:rPr>
                <w:b/>
                <w:lang w:val="es-ES"/>
              </w:rPr>
            </w:pPr>
            <w:r w:rsidRPr="007F2641">
              <w:rPr>
                <w:b/>
                <w:lang w:val="es-ES"/>
              </w:rPr>
              <w:t>Document</w:t>
            </w:r>
            <w:r w:rsidR="00F24B71" w:rsidRPr="007F2641">
              <w:rPr>
                <w:b/>
                <w:lang w:val="es-ES"/>
              </w:rPr>
              <w:t>o</w:t>
            </w:r>
            <w:r w:rsidRPr="007F2641">
              <w:rPr>
                <w:b/>
                <w:lang w:val="es-ES"/>
              </w:rPr>
              <w:t xml:space="preserve"> C2</w:t>
            </w:r>
            <w:r w:rsidR="00F85E5C" w:rsidRPr="007F2641">
              <w:rPr>
                <w:b/>
                <w:lang w:val="es-ES"/>
              </w:rPr>
              <w:t>6</w:t>
            </w:r>
            <w:r w:rsidRPr="007F2641">
              <w:rPr>
                <w:b/>
                <w:lang w:val="es-ES"/>
              </w:rPr>
              <w:t>/</w:t>
            </w:r>
            <w:r w:rsidR="00C668EB" w:rsidRPr="007F2641">
              <w:rPr>
                <w:b/>
                <w:lang w:val="es-ES"/>
              </w:rPr>
              <w:t>25</w:t>
            </w:r>
            <w:r w:rsidRPr="007F2641">
              <w:rPr>
                <w:b/>
                <w:lang w:val="es-ES"/>
              </w:rPr>
              <w:t>-</w:t>
            </w:r>
            <w:r w:rsidR="00F24B71" w:rsidRPr="007F2641">
              <w:rPr>
                <w:b/>
                <w:lang w:val="es-ES"/>
              </w:rPr>
              <w:t>S</w:t>
            </w:r>
          </w:p>
        </w:tc>
      </w:tr>
      <w:tr w:rsidR="00FE57F6" w:rsidRPr="007F2641" w14:paraId="2D855081" w14:textId="77777777" w:rsidTr="00C4421B">
        <w:trPr>
          <w:cantSplit/>
        </w:trPr>
        <w:tc>
          <w:tcPr>
            <w:tcW w:w="3969" w:type="dxa"/>
            <w:vMerge/>
          </w:tcPr>
          <w:p w14:paraId="1ADC22EF" w14:textId="77777777" w:rsidR="00FE57F6" w:rsidRPr="007F2641" w:rsidRDefault="00FE57F6" w:rsidP="00C4421B">
            <w:pPr>
              <w:tabs>
                <w:tab w:val="left" w:pos="851"/>
              </w:tabs>
              <w:spacing w:line="240" w:lineRule="atLeast"/>
              <w:rPr>
                <w:b/>
                <w:lang w:val="es-ES"/>
              </w:rPr>
            </w:pPr>
          </w:p>
        </w:tc>
        <w:tc>
          <w:tcPr>
            <w:tcW w:w="5245" w:type="dxa"/>
          </w:tcPr>
          <w:p w14:paraId="0A34FAC7" w14:textId="52DA1D0F" w:rsidR="00FE57F6" w:rsidRPr="007F2641" w:rsidRDefault="00C668EB" w:rsidP="00C4421B">
            <w:pPr>
              <w:tabs>
                <w:tab w:val="left" w:pos="851"/>
              </w:tabs>
              <w:spacing w:before="0"/>
              <w:jc w:val="right"/>
              <w:rPr>
                <w:b/>
                <w:lang w:val="es-ES"/>
              </w:rPr>
            </w:pPr>
            <w:r w:rsidRPr="007F2641">
              <w:rPr>
                <w:b/>
                <w:lang w:val="es-ES"/>
              </w:rPr>
              <w:t>30 de marzo de 2026</w:t>
            </w:r>
          </w:p>
        </w:tc>
      </w:tr>
      <w:tr w:rsidR="00FE57F6" w:rsidRPr="007F2641" w14:paraId="39CE76C8" w14:textId="77777777" w:rsidTr="00C4421B">
        <w:trPr>
          <w:cantSplit/>
          <w:trHeight w:val="23"/>
        </w:trPr>
        <w:tc>
          <w:tcPr>
            <w:tcW w:w="3969" w:type="dxa"/>
            <w:vMerge/>
          </w:tcPr>
          <w:p w14:paraId="6E6E1EC8" w14:textId="77777777" w:rsidR="00FE57F6" w:rsidRPr="007F2641" w:rsidRDefault="00FE57F6" w:rsidP="00C4421B">
            <w:pPr>
              <w:tabs>
                <w:tab w:val="left" w:pos="851"/>
              </w:tabs>
              <w:spacing w:line="240" w:lineRule="atLeast"/>
              <w:rPr>
                <w:b/>
                <w:lang w:val="es-ES"/>
              </w:rPr>
            </w:pPr>
          </w:p>
        </w:tc>
        <w:tc>
          <w:tcPr>
            <w:tcW w:w="5245" w:type="dxa"/>
          </w:tcPr>
          <w:p w14:paraId="119FC829" w14:textId="77777777" w:rsidR="00FE57F6" w:rsidRPr="007F2641" w:rsidRDefault="00F24B71" w:rsidP="00C4421B">
            <w:pPr>
              <w:tabs>
                <w:tab w:val="left" w:pos="851"/>
              </w:tabs>
              <w:spacing w:before="0" w:line="240" w:lineRule="atLeast"/>
              <w:jc w:val="right"/>
              <w:rPr>
                <w:b/>
                <w:bCs/>
                <w:lang w:val="es-ES"/>
              </w:rPr>
            </w:pPr>
            <w:r w:rsidRPr="007F2641">
              <w:rPr>
                <w:rFonts w:cstheme="minorHAnsi"/>
                <w:b/>
                <w:bCs/>
                <w:lang w:val="es-ES"/>
              </w:rPr>
              <w:t>Original: inglés</w:t>
            </w:r>
          </w:p>
        </w:tc>
      </w:tr>
      <w:tr w:rsidR="00FE57F6" w:rsidRPr="007F2641" w14:paraId="67A4DB80" w14:textId="77777777" w:rsidTr="00C4421B">
        <w:trPr>
          <w:cantSplit/>
          <w:trHeight w:val="23"/>
        </w:trPr>
        <w:tc>
          <w:tcPr>
            <w:tcW w:w="3969" w:type="dxa"/>
          </w:tcPr>
          <w:p w14:paraId="40AF9EBD" w14:textId="77777777" w:rsidR="00FE57F6" w:rsidRPr="007F2641" w:rsidRDefault="00FE57F6" w:rsidP="00C4421B">
            <w:pPr>
              <w:tabs>
                <w:tab w:val="left" w:pos="851"/>
              </w:tabs>
              <w:spacing w:line="240" w:lineRule="atLeast"/>
              <w:rPr>
                <w:b/>
                <w:lang w:val="es-ES"/>
              </w:rPr>
            </w:pPr>
          </w:p>
        </w:tc>
        <w:tc>
          <w:tcPr>
            <w:tcW w:w="5245" w:type="dxa"/>
          </w:tcPr>
          <w:p w14:paraId="2C698876" w14:textId="77777777" w:rsidR="00FE57F6" w:rsidRPr="007F2641" w:rsidRDefault="00FE57F6" w:rsidP="00C4421B">
            <w:pPr>
              <w:tabs>
                <w:tab w:val="left" w:pos="851"/>
              </w:tabs>
              <w:spacing w:before="0" w:line="240" w:lineRule="atLeast"/>
              <w:jc w:val="right"/>
              <w:rPr>
                <w:b/>
                <w:lang w:val="es-ES"/>
              </w:rPr>
            </w:pPr>
          </w:p>
        </w:tc>
      </w:tr>
      <w:tr w:rsidR="00FE57F6" w:rsidRPr="007F2641" w14:paraId="343F1CEE" w14:textId="77777777" w:rsidTr="00C4421B">
        <w:trPr>
          <w:cantSplit/>
        </w:trPr>
        <w:tc>
          <w:tcPr>
            <w:tcW w:w="9214" w:type="dxa"/>
            <w:gridSpan w:val="2"/>
            <w:tcMar>
              <w:left w:w="0" w:type="dxa"/>
            </w:tcMar>
          </w:tcPr>
          <w:p w14:paraId="3A85A607" w14:textId="77777777" w:rsidR="00FE57F6" w:rsidRPr="007F2641" w:rsidRDefault="00157AC4" w:rsidP="00C4421B">
            <w:pPr>
              <w:pStyle w:val="Source"/>
              <w:jc w:val="left"/>
              <w:rPr>
                <w:sz w:val="34"/>
                <w:szCs w:val="34"/>
                <w:lang w:val="es-ES"/>
              </w:rPr>
            </w:pPr>
            <w:r w:rsidRPr="007F2641">
              <w:rPr>
                <w:rFonts w:cstheme="minorHAnsi"/>
                <w:sz w:val="34"/>
                <w:szCs w:val="34"/>
                <w:lang w:val="es-ES"/>
              </w:rPr>
              <w:t>Informe de la Secretaria General</w:t>
            </w:r>
          </w:p>
        </w:tc>
      </w:tr>
      <w:tr w:rsidR="00FE57F6" w:rsidRPr="007F2641" w14:paraId="3027900B" w14:textId="77777777" w:rsidTr="00C4421B">
        <w:trPr>
          <w:cantSplit/>
        </w:trPr>
        <w:tc>
          <w:tcPr>
            <w:tcW w:w="9214" w:type="dxa"/>
            <w:gridSpan w:val="2"/>
            <w:tcMar>
              <w:left w:w="0" w:type="dxa"/>
            </w:tcMar>
          </w:tcPr>
          <w:p w14:paraId="7445ADC0" w14:textId="01ABCFD7" w:rsidR="00FE57F6" w:rsidRPr="007F2641" w:rsidRDefault="00C668EB" w:rsidP="00C4421B">
            <w:pPr>
              <w:pStyle w:val="Subtitle"/>
              <w:framePr w:hSpace="0" w:wrap="auto" w:hAnchor="text" w:xAlign="left" w:yAlign="inline"/>
              <w:rPr>
                <w:lang w:val="es-ES"/>
              </w:rPr>
            </w:pPr>
            <w:r w:rsidRPr="007F2641">
              <w:rPr>
                <w:lang w:val="es-ES"/>
              </w:rPr>
              <w:t>FORTALECIMIENTO DE LA PRESENCIA REGIONAL DE LA UIT</w:t>
            </w:r>
          </w:p>
        </w:tc>
      </w:tr>
      <w:tr w:rsidR="00FE57F6" w:rsidRPr="007F2641" w14:paraId="2C73BE4F" w14:textId="77777777" w:rsidTr="00C4421B">
        <w:trPr>
          <w:cantSplit/>
        </w:trPr>
        <w:tc>
          <w:tcPr>
            <w:tcW w:w="9214" w:type="dxa"/>
            <w:gridSpan w:val="2"/>
            <w:tcBorders>
              <w:top w:val="single" w:sz="4" w:space="0" w:color="auto"/>
              <w:bottom w:val="single" w:sz="4" w:space="0" w:color="auto"/>
            </w:tcBorders>
            <w:tcMar>
              <w:left w:w="0" w:type="dxa"/>
            </w:tcMar>
          </w:tcPr>
          <w:p w14:paraId="78CDC20C" w14:textId="77777777" w:rsidR="00FE57F6" w:rsidRPr="007F2641" w:rsidRDefault="00F24B71" w:rsidP="00C4421B">
            <w:pPr>
              <w:spacing w:before="160"/>
              <w:rPr>
                <w:b/>
                <w:bCs/>
                <w:sz w:val="26"/>
                <w:szCs w:val="26"/>
                <w:lang w:val="es-ES"/>
              </w:rPr>
            </w:pPr>
            <w:r w:rsidRPr="007F2641">
              <w:rPr>
                <w:b/>
                <w:bCs/>
                <w:sz w:val="26"/>
                <w:szCs w:val="26"/>
                <w:lang w:val="es-ES"/>
              </w:rPr>
              <w:t>Finalidad</w:t>
            </w:r>
          </w:p>
          <w:p w14:paraId="089A2E37" w14:textId="1C2718C1" w:rsidR="00FE57F6" w:rsidRPr="007F2641" w:rsidRDefault="00C668EB" w:rsidP="00C668EB">
            <w:pPr>
              <w:rPr>
                <w:lang w:val="es-ES"/>
              </w:rPr>
            </w:pPr>
            <w:r w:rsidRPr="007F2641">
              <w:rPr>
                <w:lang w:val="es-ES"/>
              </w:rPr>
              <w:t>En el presente documento se describe la contribución de la presencia regional al cumplimiento del mandato de la UIT. Se presenta información sobre el trabajo realizado a escala regional para la aplicación del Plan Estratégico de la UIT, el Plan de Acción de Kigali de la CMDT-22, el Plan de Acción de Bakú de la CMDT-25 recientemente aprobado, y las Iniciativas regionales.</w:t>
            </w:r>
          </w:p>
          <w:p w14:paraId="1DEB9E2B" w14:textId="77777777" w:rsidR="00FE57F6" w:rsidRPr="007F2641" w:rsidRDefault="00F24B71" w:rsidP="00C4421B">
            <w:pPr>
              <w:spacing w:before="160"/>
              <w:rPr>
                <w:b/>
                <w:bCs/>
                <w:sz w:val="26"/>
                <w:szCs w:val="26"/>
                <w:lang w:val="es-ES"/>
              </w:rPr>
            </w:pPr>
            <w:r w:rsidRPr="007F2641">
              <w:rPr>
                <w:b/>
                <w:bCs/>
                <w:sz w:val="26"/>
                <w:szCs w:val="26"/>
                <w:lang w:val="es-ES"/>
              </w:rPr>
              <w:t xml:space="preserve">Acción solicitada </w:t>
            </w:r>
            <w:r w:rsidR="00677A97" w:rsidRPr="007F2641">
              <w:rPr>
                <w:b/>
                <w:bCs/>
                <w:sz w:val="26"/>
                <w:szCs w:val="26"/>
                <w:lang w:val="es-ES"/>
              </w:rPr>
              <w:t>al</w:t>
            </w:r>
            <w:r w:rsidRPr="007F2641">
              <w:rPr>
                <w:b/>
                <w:bCs/>
                <w:sz w:val="26"/>
                <w:szCs w:val="26"/>
                <w:lang w:val="es-ES"/>
              </w:rPr>
              <w:t xml:space="preserve"> Consejo</w:t>
            </w:r>
          </w:p>
          <w:p w14:paraId="40F68156" w14:textId="77777777" w:rsidR="00C668EB" w:rsidRPr="007F2641" w:rsidRDefault="00C668EB" w:rsidP="00C668EB">
            <w:pPr>
              <w:spacing w:before="160"/>
              <w:rPr>
                <w:szCs w:val="24"/>
                <w:lang w:val="es-ES"/>
              </w:rPr>
            </w:pPr>
            <w:r w:rsidRPr="007F2641">
              <w:rPr>
                <w:szCs w:val="24"/>
                <w:lang w:val="es-ES"/>
              </w:rPr>
              <w:t xml:space="preserve">Se invita al Consejo a </w:t>
            </w:r>
            <w:r w:rsidRPr="007F2641">
              <w:rPr>
                <w:b/>
                <w:bCs/>
                <w:szCs w:val="24"/>
                <w:lang w:val="es-ES"/>
              </w:rPr>
              <w:t xml:space="preserve">tomar nota </w:t>
            </w:r>
            <w:r w:rsidRPr="007F2641">
              <w:rPr>
                <w:szCs w:val="24"/>
                <w:lang w:val="es-ES"/>
              </w:rPr>
              <w:t>del presente documento.</w:t>
            </w:r>
          </w:p>
          <w:p w14:paraId="1DAC1E4C" w14:textId="77777777" w:rsidR="00F92BED" w:rsidRPr="007F2641" w:rsidRDefault="00F92BED" w:rsidP="00C4421B">
            <w:pPr>
              <w:spacing w:before="160"/>
              <w:rPr>
                <w:b/>
                <w:bCs/>
                <w:sz w:val="26"/>
                <w:szCs w:val="26"/>
                <w:lang w:val="es-ES"/>
              </w:rPr>
            </w:pPr>
            <w:r w:rsidRPr="007F2641">
              <w:rPr>
                <w:b/>
                <w:bCs/>
                <w:sz w:val="26"/>
                <w:szCs w:val="26"/>
                <w:lang w:val="es-ES"/>
              </w:rPr>
              <w:t>Vínculo(s) pertinente(s) con el Plan Estratégico</w:t>
            </w:r>
          </w:p>
          <w:p w14:paraId="6F130FD1" w14:textId="59776ED1" w:rsidR="00F92BED" w:rsidRPr="007F2641" w:rsidRDefault="00C668EB" w:rsidP="00C4421B">
            <w:pPr>
              <w:rPr>
                <w:lang w:val="es-ES"/>
              </w:rPr>
            </w:pPr>
            <w:r w:rsidRPr="007F2641">
              <w:rPr>
                <w:lang w:val="es-ES"/>
              </w:rPr>
              <w:t>Presencia regional.</w:t>
            </w:r>
          </w:p>
          <w:p w14:paraId="4952A655" w14:textId="77777777" w:rsidR="00F92BED" w:rsidRPr="007F2641" w:rsidRDefault="00F92BED" w:rsidP="00C4421B">
            <w:pPr>
              <w:spacing w:before="160"/>
              <w:rPr>
                <w:b/>
                <w:bCs/>
                <w:sz w:val="26"/>
                <w:szCs w:val="26"/>
                <w:lang w:val="es-ES"/>
              </w:rPr>
            </w:pPr>
            <w:r w:rsidRPr="007F2641">
              <w:rPr>
                <w:b/>
                <w:bCs/>
                <w:sz w:val="26"/>
                <w:szCs w:val="26"/>
                <w:lang w:val="es-ES"/>
              </w:rPr>
              <w:t>Repercusiones financieras</w:t>
            </w:r>
          </w:p>
          <w:p w14:paraId="02C3E9D1" w14:textId="07856A35" w:rsidR="00F92BED" w:rsidRPr="007F2641" w:rsidRDefault="00C668EB" w:rsidP="00C4421B">
            <w:pPr>
              <w:rPr>
                <w:lang w:val="es-ES"/>
              </w:rPr>
            </w:pPr>
            <w:r w:rsidRPr="007F2641">
              <w:rPr>
                <w:lang w:val="es-ES"/>
              </w:rPr>
              <w:t>Con cargo al presupuesto asignado para 2024-2025. Financiación de las Iniciativas regionales de la CMDT-25 para el período 2026-2029.</w:t>
            </w:r>
          </w:p>
          <w:p w14:paraId="30EDAFB9" w14:textId="77777777" w:rsidR="00FE57F6" w:rsidRPr="007F2641" w:rsidRDefault="00FE57F6" w:rsidP="00C4421B">
            <w:pPr>
              <w:spacing w:before="160"/>
              <w:rPr>
                <w:caps/>
                <w:sz w:val="22"/>
                <w:lang w:val="es-ES"/>
              </w:rPr>
            </w:pPr>
            <w:r w:rsidRPr="007F2641">
              <w:rPr>
                <w:sz w:val="22"/>
                <w:lang w:val="es-ES"/>
              </w:rPr>
              <w:t>__________________</w:t>
            </w:r>
          </w:p>
          <w:p w14:paraId="297B19E9" w14:textId="197B7168" w:rsidR="00FE57F6" w:rsidRPr="007F2641" w:rsidRDefault="00F24B71" w:rsidP="00C4421B">
            <w:pPr>
              <w:spacing w:before="160"/>
              <w:rPr>
                <w:b/>
                <w:bCs/>
                <w:sz w:val="26"/>
                <w:szCs w:val="26"/>
                <w:lang w:val="es-ES"/>
              </w:rPr>
            </w:pPr>
            <w:r w:rsidRPr="007F2641">
              <w:rPr>
                <w:b/>
                <w:bCs/>
                <w:sz w:val="26"/>
                <w:szCs w:val="26"/>
                <w:lang w:val="es-ES"/>
              </w:rPr>
              <w:t>Referencia</w:t>
            </w:r>
            <w:r w:rsidR="00F92BED" w:rsidRPr="007F2641">
              <w:rPr>
                <w:b/>
                <w:bCs/>
                <w:sz w:val="26"/>
                <w:szCs w:val="26"/>
                <w:lang w:val="es-ES"/>
              </w:rPr>
              <w:t>s</w:t>
            </w:r>
          </w:p>
          <w:p w14:paraId="729DD7FB" w14:textId="4DD073D6" w:rsidR="00FE57F6" w:rsidRPr="007F2641" w:rsidRDefault="00C668EB" w:rsidP="004A7A11">
            <w:pPr>
              <w:spacing w:after="160"/>
              <w:rPr>
                <w:i/>
                <w:iCs/>
                <w:sz w:val="22"/>
                <w:szCs w:val="22"/>
                <w:lang w:val="es-ES"/>
              </w:rPr>
            </w:pPr>
            <w:r w:rsidRPr="007F2641">
              <w:rPr>
                <w:i/>
                <w:iCs/>
                <w:sz w:val="22"/>
                <w:szCs w:val="22"/>
                <w:lang w:val="es-ES"/>
              </w:rPr>
              <w:t xml:space="preserve">Resoluciones </w:t>
            </w:r>
            <w:hyperlink r:id="rId8">
              <w:r w:rsidRPr="007F2641">
                <w:rPr>
                  <w:rStyle w:val="Hyperlink"/>
                  <w:rFonts w:eastAsia="Times New Roman" w:cs="Times New Roman"/>
                  <w:i/>
                  <w:iCs/>
                  <w:sz w:val="22"/>
                  <w:lang w:val="es-ES"/>
                </w:rPr>
                <w:t>25 (Rev. Bucarest</w:t>
              </w:r>
              <w:r w:rsidR="007F2641" w:rsidRPr="007F2641">
                <w:rPr>
                  <w:rStyle w:val="Hyperlink"/>
                  <w:rFonts w:eastAsia="Times New Roman" w:cs="Times New Roman"/>
                  <w:i/>
                  <w:iCs/>
                  <w:sz w:val="22"/>
                  <w:lang w:val="es-ES"/>
                </w:rPr>
                <w:t>,</w:t>
              </w:r>
              <w:r w:rsidRPr="007F2641">
                <w:rPr>
                  <w:rStyle w:val="Hyperlink"/>
                  <w:rFonts w:eastAsia="Times New Roman" w:cs="Times New Roman"/>
                  <w:i/>
                  <w:iCs/>
                  <w:sz w:val="22"/>
                  <w:lang w:val="es-ES"/>
                </w:rPr>
                <w:t xml:space="preserve"> 2022)</w:t>
              </w:r>
            </w:hyperlink>
            <w:r w:rsidRPr="007F2641">
              <w:rPr>
                <w:i/>
                <w:iCs/>
                <w:sz w:val="22"/>
                <w:szCs w:val="22"/>
                <w:lang w:val="es-ES"/>
              </w:rPr>
              <w:t xml:space="preserve">, </w:t>
            </w:r>
            <w:hyperlink r:id="rId9">
              <w:r w:rsidRPr="007F2641">
                <w:rPr>
                  <w:rStyle w:val="Hyperlink"/>
                  <w:rFonts w:eastAsia="Times New Roman" w:cs="Times New Roman"/>
                  <w:i/>
                  <w:iCs/>
                  <w:sz w:val="22"/>
                  <w:lang w:val="es-ES"/>
                </w:rPr>
                <w:t>135 (Rev. Bucarest</w:t>
              </w:r>
              <w:r w:rsidR="007F2641" w:rsidRPr="007F2641">
                <w:rPr>
                  <w:rStyle w:val="Hyperlink"/>
                  <w:rFonts w:eastAsia="Times New Roman" w:cs="Times New Roman"/>
                  <w:i/>
                  <w:iCs/>
                  <w:sz w:val="22"/>
                  <w:lang w:val="es-ES"/>
                </w:rPr>
                <w:t>,</w:t>
              </w:r>
              <w:r w:rsidRPr="007F2641">
                <w:rPr>
                  <w:rStyle w:val="Hyperlink"/>
                  <w:rFonts w:eastAsia="Times New Roman" w:cs="Times New Roman"/>
                  <w:i/>
                  <w:iCs/>
                  <w:sz w:val="22"/>
                  <w:lang w:val="es-ES"/>
                </w:rPr>
                <w:t xml:space="preserve"> 2022)</w:t>
              </w:r>
            </w:hyperlink>
            <w:r w:rsidRPr="007F2641">
              <w:rPr>
                <w:i/>
                <w:iCs/>
                <w:sz w:val="22"/>
                <w:szCs w:val="22"/>
                <w:lang w:val="es-ES"/>
              </w:rPr>
              <w:t xml:space="preserve"> y </w:t>
            </w:r>
            <w:hyperlink r:id="rId10">
              <w:r w:rsidRPr="007F2641">
                <w:rPr>
                  <w:rStyle w:val="Hyperlink"/>
                  <w:rFonts w:eastAsia="Times New Roman" w:cs="Times New Roman"/>
                  <w:i/>
                  <w:iCs/>
                  <w:sz w:val="22"/>
                  <w:lang w:val="es-ES"/>
                </w:rPr>
                <w:t>157 (Rev. Bucarest, 2022)</w:t>
              </w:r>
            </w:hyperlink>
            <w:r w:rsidRPr="007F2641">
              <w:rPr>
                <w:i/>
                <w:iCs/>
                <w:sz w:val="22"/>
                <w:szCs w:val="22"/>
                <w:lang w:val="es-ES"/>
              </w:rPr>
              <w:t xml:space="preserve"> de la Conferencia de Plenipotenciarios; Informes finales de la </w:t>
            </w:r>
            <w:hyperlink r:id="rId11">
              <w:r w:rsidRPr="007F2641">
                <w:rPr>
                  <w:rStyle w:val="Hyperlink"/>
                  <w:rFonts w:eastAsia="Times New Roman" w:cs="Times New Roman"/>
                  <w:i/>
                  <w:iCs/>
                  <w:sz w:val="22"/>
                  <w:lang w:val="es-ES"/>
                </w:rPr>
                <w:t>CMDT-22 ( Plan de Acción de Kigali )</w:t>
              </w:r>
            </w:hyperlink>
            <w:r w:rsidRPr="007F2641">
              <w:rPr>
                <w:i/>
                <w:iCs/>
                <w:sz w:val="22"/>
                <w:szCs w:val="22"/>
                <w:u w:val="single"/>
                <w:lang w:val="es-ES"/>
              </w:rPr>
              <w:t xml:space="preserve"> y la CMDT</w:t>
            </w:r>
            <w:hyperlink r:id="rId12">
              <w:r w:rsidRPr="007F2641">
                <w:rPr>
                  <w:rStyle w:val="Hyperlink"/>
                  <w:rFonts w:eastAsia="Times New Roman" w:cs="Times New Roman"/>
                  <w:i/>
                  <w:iCs/>
                  <w:sz w:val="22"/>
                  <w:lang w:val="es-ES"/>
                </w:rPr>
                <w:t>-25 (Plan de Acción de Bakú)</w:t>
              </w:r>
            </w:hyperlink>
            <w:r w:rsidRPr="007F2641">
              <w:rPr>
                <w:i/>
                <w:iCs/>
                <w:sz w:val="22"/>
                <w:szCs w:val="22"/>
                <w:u w:val="single"/>
                <w:lang w:val="es-ES"/>
              </w:rPr>
              <w:t xml:space="preserve">; Resoluciones </w:t>
            </w:r>
            <w:hyperlink r:id="rId13">
              <w:r w:rsidRPr="007F2641">
                <w:rPr>
                  <w:rStyle w:val="Hyperlink"/>
                  <w:rFonts w:eastAsia="Times New Roman" w:cs="Times New Roman"/>
                  <w:i/>
                  <w:iCs/>
                  <w:sz w:val="22"/>
                  <w:lang w:val="es-ES"/>
                </w:rPr>
                <w:t>17 (Rev. Bakú, 2025) y 31 (Rev. Bakú, 2025)</w:t>
              </w:r>
            </w:hyperlink>
            <w:r w:rsidR="007F2641" w:rsidRPr="007F2641">
              <w:rPr>
                <w:i/>
                <w:iCs/>
                <w:sz w:val="22"/>
                <w:szCs w:val="22"/>
                <w:lang w:val="es-ES"/>
              </w:rPr>
              <w:t xml:space="preserve"> </w:t>
            </w:r>
            <w:r w:rsidRPr="007F2641">
              <w:rPr>
                <w:i/>
                <w:iCs/>
                <w:sz w:val="22"/>
                <w:szCs w:val="22"/>
                <w:lang w:val="es-ES"/>
              </w:rPr>
              <w:t>de la Conferencia Mundial de Desarrollo de las Telecomunicaciones</w:t>
            </w:r>
            <w:r w:rsidR="007F2641" w:rsidRPr="007F2641">
              <w:rPr>
                <w:i/>
                <w:iCs/>
                <w:sz w:val="22"/>
                <w:szCs w:val="22"/>
                <w:lang w:val="es-ES"/>
              </w:rPr>
              <w:t>;</w:t>
            </w:r>
            <w:r w:rsidRPr="007F2641">
              <w:rPr>
                <w:i/>
                <w:iCs/>
                <w:sz w:val="22"/>
                <w:szCs w:val="22"/>
                <w:lang w:val="es-ES"/>
              </w:rPr>
              <w:t xml:space="preserve"> Documentos </w:t>
            </w:r>
            <w:hyperlink r:id="rId14">
              <w:r w:rsidRPr="007F2641">
                <w:rPr>
                  <w:rStyle w:val="Hyperlink"/>
                  <w:rFonts w:eastAsia="Times New Roman" w:cs="Times New Roman"/>
                  <w:i/>
                  <w:iCs/>
                  <w:sz w:val="22"/>
                  <w:lang w:val="es-ES"/>
                </w:rPr>
                <w:t>C25/25</w:t>
              </w:r>
            </w:hyperlink>
            <w:r w:rsidRPr="007F2641">
              <w:rPr>
                <w:i/>
                <w:iCs/>
                <w:sz w:val="22"/>
                <w:szCs w:val="22"/>
                <w:lang w:val="es-ES"/>
              </w:rPr>
              <w:t xml:space="preserve">, </w:t>
            </w:r>
            <w:hyperlink r:id="rId15">
              <w:r w:rsidRPr="007F2641">
                <w:rPr>
                  <w:rStyle w:val="Hyperlink"/>
                  <w:rFonts w:eastAsia="Times New Roman" w:cs="Times New Roman"/>
                  <w:i/>
                  <w:iCs/>
                  <w:sz w:val="22"/>
                  <w:lang w:val="es-ES"/>
                </w:rPr>
                <w:t>TDAG-25/24</w:t>
              </w:r>
            </w:hyperlink>
            <w:r w:rsidRPr="007F2641">
              <w:rPr>
                <w:i/>
                <w:iCs/>
                <w:sz w:val="22"/>
                <w:szCs w:val="22"/>
                <w:lang w:val="es-ES"/>
              </w:rPr>
              <w:t xml:space="preserve">, </w:t>
            </w:r>
            <w:hyperlink r:id="rId16">
              <w:r w:rsidRPr="007F2641">
                <w:rPr>
                  <w:rStyle w:val="Hyperlink"/>
                  <w:rFonts w:eastAsia="Times New Roman" w:cs="Times New Roman"/>
                  <w:i/>
                  <w:iCs/>
                  <w:sz w:val="22"/>
                  <w:lang w:val="es-ES"/>
                </w:rPr>
                <w:t>WTDC-25/2</w:t>
              </w:r>
            </w:hyperlink>
            <w:r w:rsidRPr="007F2641">
              <w:rPr>
                <w:i/>
                <w:iCs/>
                <w:sz w:val="22"/>
                <w:szCs w:val="22"/>
                <w:lang w:val="es-ES"/>
              </w:rPr>
              <w:t xml:space="preserve">, </w:t>
            </w:r>
            <w:hyperlink r:id="rId17" w:history="1">
              <w:r w:rsidRPr="007F2641">
                <w:rPr>
                  <w:rStyle w:val="Hyperlink"/>
                  <w:rFonts w:eastAsia="Times New Roman" w:cs="Times New Roman"/>
                  <w:i/>
                  <w:iCs/>
                  <w:sz w:val="22"/>
                  <w:lang w:val="es-ES"/>
                </w:rPr>
                <w:t>TDAG-26/19</w:t>
              </w:r>
            </w:hyperlink>
            <w:r w:rsidRPr="007F2641">
              <w:rPr>
                <w:lang w:val="es-ES"/>
              </w:rPr>
              <w:t>,</w:t>
            </w:r>
            <w:r w:rsidRPr="007F2641">
              <w:rPr>
                <w:i/>
                <w:iCs/>
                <w:sz w:val="22"/>
                <w:szCs w:val="22"/>
                <w:lang w:val="es-ES"/>
              </w:rPr>
              <w:t xml:space="preserve"> </w:t>
            </w:r>
            <w:hyperlink r:id="rId18">
              <w:r w:rsidRPr="007F2641">
                <w:rPr>
                  <w:rStyle w:val="Hyperlink"/>
                  <w:rFonts w:eastAsia="Times New Roman" w:cs="Times New Roman"/>
                  <w:i/>
                  <w:iCs/>
                  <w:sz w:val="22"/>
                  <w:lang w:val="es-ES"/>
                </w:rPr>
                <w:t>TDAG-26/16</w:t>
              </w:r>
            </w:hyperlink>
            <w:r w:rsidRPr="007F2641">
              <w:rPr>
                <w:i/>
                <w:iCs/>
                <w:sz w:val="22"/>
                <w:szCs w:val="22"/>
                <w:lang w:val="es-ES"/>
              </w:rPr>
              <w:t xml:space="preserve">, </w:t>
            </w:r>
            <w:hyperlink r:id="rId19">
              <w:r w:rsidRPr="007F2641">
                <w:rPr>
                  <w:rStyle w:val="Hyperlink"/>
                  <w:rFonts w:eastAsia="Times New Roman" w:cs="Times New Roman"/>
                  <w:i/>
                  <w:iCs/>
                  <w:sz w:val="22"/>
                  <w:lang w:val="es-ES"/>
                </w:rPr>
                <w:t>TDAG-26/8</w:t>
              </w:r>
            </w:hyperlink>
            <w:r w:rsidRPr="007F2641">
              <w:rPr>
                <w:i/>
                <w:iCs/>
                <w:sz w:val="22"/>
                <w:szCs w:val="22"/>
                <w:lang w:val="es-ES"/>
              </w:rPr>
              <w:t xml:space="preserve">, y </w:t>
            </w:r>
            <w:hyperlink r:id="rId20">
              <w:r w:rsidRPr="007F2641">
                <w:rPr>
                  <w:rStyle w:val="Hyperlink"/>
                  <w:rFonts w:eastAsia="Times New Roman" w:cs="Times New Roman"/>
                  <w:i/>
                  <w:iCs/>
                  <w:sz w:val="22"/>
                  <w:lang w:val="es-ES"/>
                </w:rPr>
                <w:t>TDAG-26/4</w:t>
              </w:r>
            </w:hyperlink>
          </w:p>
        </w:tc>
      </w:tr>
      <w:bookmarkEnd w:id="0"/>
    </w:tbl>
    <w:p w14:paraId="6F589591" w14:textId="77777777" w:rsidR="00093EEB" w:rsidRPr="007F2641" w:rsidRDefault="00093EEB">
      <w:pPr>
        <w:rPr>
          <w:lang w:val="es-ES"/>
        </w:rPr>
      </w:pPr>
    </w:p>
    <w:p w14:paraId="346ED6B6" w14:textId="77777777" w:rsidR="001559F5" w:rsidRPr="007F2641"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7F2641">
        <w:rPr>
          <w:lang w:val="es-ES"/>
        </w:rPr>
        <w:br w:type="page"/>
      </w:r>
    </w:p>
    <w:p w14:paraId="5348C3FE" w14:textId="77777777" w:rsidR="00C668EB" w:rsidRPr="007F2641" w:rsidRDefault="00C668EB" w:rsidP="003A11AC">
      <w:pPr>
        <w:pStyle w:val="Heading1"/>
        <w:rPr>
          <w:lang w:val="es-ES"/>
        </w:rPr>
      </w:pPr>
      <w:r w:rsidRPr="007F2641">
        <w:rPr>
          <w:lang w:val="es-ES"/>
        </w:rPr>
        <w:lastRenderedPageBreak/>
        <w:t>1</w:t>
      </w:r>
      <w:r w:rsidRPr="007F2641">
        <w:rPr>
          <w:lang w:val="es-ES"/>
        </w:rPr>
        <w:tab/>
        <w:t>Antecedentes</w:t>
      </w:r>
    </w:p>
    <w:p w14:paraId="2993C589" w14:textId="6F9EF525" w:rsidR="00C668EB" w:rsidRPr="007F2641" w:rsidRDefault="00C668EB" w:rsidP="00C668EB">
      <w:pPr>
        <w:rPr>
          <w:lang w:val="es-ES"/>
        </w:rPr>
      </w:pPr>
      <w:r w:rsidRPr="007F2641">
        <w:rPr>
          <w:lang w:val="es-ES"/>
        </w:rPr>
        <w:t>1.1</w:t>
      </w:r>
      <w:r w:rsidRPr="007F2641">
        <w:rPr>
          <w:lang w:val="es-ES"/>
        </w:rPr>
        <w:tab/>
        <w:t xml:space="preserve">Reconociendo los Artículos 1 y 21 de la Constitución de la UIT, así como los Artículos 5 y 14 del Convenio de la UIT, y la Resolución 25 (Rev. Bucarest, 2022) de la Conferencia de Plenipotenciarios, se pide que la UIT "siga reforzando las funciones de las Oficinas Regionales y Zonales para que puedan desempeñar un importante papel en la ejecución del Plan Estratégico, los programas y proyectos de la UIT y las iniciativas regionales establecidas en el Plan de Acción de Kigali (PAK) con arreglo a la Resolución 17 (Rev. Kigali, 2022) de la CMDT, con sujeción a los recursos disponibles, incluidos los asignados por el Plan Financiero y los obtenidos de otras fuentes pertinentes, como las contribuciones voluntarias y los patrocinios". En la CMDT-25, celebrada del 17 al 28 de noviembre de 2025 en Bakú, Azerbaiyán, con arreglo al lema </w:t>
      </w:r>
      <w:r w:rsidR="003A2660" w:rsidRPr="007F2641">
        <w:rPr>
          <w:lang w:val="es-ES"/>
        </w:rPr>
        <w:t>"</w:t>
      </w:r>
      <w:r w:rsidRPr="007F2641">
        <w:rPr>
          <w:lang w:val="es-ES"/>
        </w:rPr>
        <w:t>Conectividad universal, efectiva y asequible para un futuro digital inclusivo y sostenible</w:t>
      </w:r>
      <w:r w:rsidR="003A2660" w:rsidRPr="007F2641">
        <w:rPr>
          <w:lang w:val="es-ES"/>
        </w:rPr>
        <w:t>"</w:t>
      </w:r>
      <w:r w:rsidRPr="007F2641">
        <w:rPr>
          <w:lang w:val="es-ES"/>
        </w:rPr>
        <w:t>, los miembros de la UIT aprobaron el Plan de Acción de Bakú y respaldaron la Resolución 17 de la CMDT (Rev. Bakú, 2025), en virtud de la cual se definen las Iniciativas regionales cuya aplicación se prevé de 2026 y 2029 en las seis regiones.</w:t>
      </w:r>
    </w:p>
    <w:p w14:paraId="250DDF94" w14:textId="362C7422" w:rsidR="00C668EB" w:rsidRPr="007F2641" w:rsidRDefault="00C668EB" w:rsidP="00C668EB">
      <w:pPr>
        <w:rPr>
          <w:lang w:val="es-ES"/>
        </w:rPr>
      </w:pPr>
      <w:r w:rsidRPr="007F2641">
        <w:rPr>
          <w:lang w:val="es-ES"/>
        </w:rPr>
        <w:t>1.2</w:t>
      </w:r>
      <w:r w:rsidRPr="007F2641">
        <w:rPr>
          <w:lang w:val="es-ES"/>
        </w:rPr>
        <w:tab/>
        <w:t>En la Resolución 25 (Rev. Bucarest, 2022) se subraya el papel primordial que desempeñan las Oficinas Regionales y Zonales de la UIT para fortalecer la colaboración de la Unión con sus Miembros. Dichas oficinas funcionan como canal para ejecutar programas, proyectos y actividades, difundir información sobre las actividades de la Unión, establecer vínculos más estrechos con organizaciones regionales y subregionales de telecomunicaciones, así como con los organismos de las Naciones Unidas, y proporcionar asistencia técnica a los países, incluidos los países menos adelantados (PMA), los países en desarrollo sin litoral (PDSL), los pequeños Estados insulares en desarrollo (PEID) y los países con necesidades especiales.</w:t>
      </w:r>
    </w:p>
    <w:p w14:paraId="2046FD32" w14:textId="77777777" w:rsidR="00C668EB" w:rsidRPr="007F2641" w:rsidRDefault="00C668EB" w:rsidP="00C668EB">
      <w:pPr>
        <w:rPr>
          <w:lang w:val="es-ES"/>
        </w:rPr>
      </w:pPr>
      <w:r w:rsidRPr="007F2641">
        <w:rPr>
          <w:lang w:val="es-ES"/>
        </w:rPr>
        <w:t>1.3</w:t>
      </w:r>
      <w:r w:rsidRPr="007F2641">
        <w:rPr>
          <w:lang w:val="es-ES"/>
        </w:rPr>
        <w:tab/>
        <w:t xml:space="preserve">En este Informe se presenta información sobre las actividades realizadas </w:t>
      </w:r>
      <w:r w:rsidRPr="007F2641">
        <w:rPr>
          <w:i/>
          <w:iCs/>
          <w:lang w:val="es-ES"/>
        </w:rPr>
        <w:t>in situ</w:t>
      </w:r>
      <w:r w:rsidRPr="007F2641">
        <w:rPr>
          <w:lang w:val="es-ES"/>
        </w:rPr>
        <w:t xml:space="preserve"> por las Oficinas Regionales y Zonales de la UIT relacionadas con los tres Sectores de la Unión.</w:t>
      </w:r>
    </w:p>
    <w:p w14:paraId="5E6C2521" w14:textId="77777777" w:rsidR="00C668EB" w:rsidRPr="007F2641" w:rsidRDefault="00C668EB" w:rsidP="003A11AC">
      <w:pPr>
        <w:pStyle w:val="Heading1"/>
        <w:rPr>
          <w:lang w:val="es-ES"/>
        </w:rPr>
      </w:pPr>
      <w:r w:rsidRPr="007F2641">
        <w:rPr>
          <w:lang w:val="es-ES"/>
        </w:rPr>
        <w:t>2</w:t>
      </w:r>
      <w:r w:rsidRPr="007F2641">
        <w:rPr>
          <w:lang w:val="es-ES"/>
        </w:rPr>
        <w:tab/>
        <w:t>Actividades relacionadas con el Sector de Desarrollo de la UIT y la BDT</w:t>
      </w:r>
    </w:p>
    <w:p w14:paraId="75D94524" w14:textId="3F8E7783" w:rsidR="00C668EB" w:rsidRPr="007F2641" w:rsidRDefault="00C668EB" w:rsidP="003A11AC">
      <w:pPr>
        <w:rPr>
          <w:lang w:val="es-ES"/>
        </w:rPr>
      </w:pPr>
      <w:r w:rsidRPr="007F2641">
        <w:rPr>
          <w:lang w:val="es-ES"/>
        </w:rPr>
        <w:t xml:space="preserve">La Oficina de Desarrollo de las Telecomunicaciones (BDT), en estrecha colaboración con la Oficina de Radiocomunicaciones (BR), la Oficina de Normalización de las Telecomunicaciones (TSB) y la Secretaría General, sigue fortaleciendo activamente la presencia regional de la UIT. Las Oficinas Regionales y Zonales siguen desempeñando un papel primordial, al constituir la vanguardia de la colaboración de la UIT con las partes interesadas y los gobiernos a escala local. En el documento </w:t>
      </w:r>
      <w:hyperlink r:id="rId21" w:history="1">
        <w:r w:rsidRPr="007F2641">
          <w:rPr>
            <w:rStyle w:val="Hyperlink"/>
            <w:lang w:val="es-ES"/>
          </w:rPr>
          <w:t>WTDC-25/2</w:t>
        </w:r>
      </w:hyperlink>
      <w:r w:rsidRPr="007F2641">
        <w:rPr>
          <w:lang w:val="es-ES"/>
        </w:rPr>
        <w:t xml:space="preserve"> figura un informe detallado sobre la aplicación del Plan de Acción de Kigali (KAP), la contribución del UIT-D al Plan Estratégico de la UIT y la ejecución de las Iniciativas regionales.</w:t>
      </w:r>
    </w:p>
    <w:p w14:paraId="2B3E7455" w14:textId="77777777" w:rsidR="00C668EB" w:rsidRPr="007F2641" w:rsidRDefault="00C668EB" w:rsidP="003A2660">
      <w:pPr>
        <w:pStyle w:val="Heading2"/>
        <w:rPr>
          <w:lang w:val="es-ES"/>
        </w:rPr>
      </w:pPr>
      <w:r w:rsidRPr="007F2641">
        <w:rPr>
          <w:lang w:val="es-ES"/>
        </w:rPr>
        <w:t>2.1</w:t>
      </w:r>
      <w:r w:rsidRPr="007F2641">
        <w:rPr>
          <w:lang w:val="es-ES"/>
        </w:rPr>
        <w:tab/>
        <w:t xml:space="preserve">Foros Regionales de Desarrollo (FRD) </w:t>
      </w:r>
    </w:p>
    <w:p w14:paraId="1601BD45" w14:textId="73C12318" w:rsidR="00C668EB" w:rsidRPr="007F2641" w:rsidRDefault="00C668EB" w:rsidP="003A11AC">
      <w:pPr>
        <w:rPr>
          <w:lang w:val="es-ES"/>
        </w:rPr>
      </w:pPr>
      <w:r w:rsidRPr="007F2641">
        <w:rPr>
          <w:lang w:val="es-ES"/>
        </w:rPr>
        <w:t>2.1.1</w:t>
      </w:r>
      <w:r w:rsidRPr="007F2641">
        <w:rPr>
          <w:lang w:val="es-ES"/>
        </w:rPr>
        <w:tab/>
        <w:t>De febrero a abril de 2025, la BDT organizó un conjunto de seis FRD celebrados de forma consecutiva con las Reuniones preparatorias regionales (RPM) de la UIT para la CMDT</w:t>
      </w:r>
      <w:r w:rsidR="003A11AC" w:rsidRPr="007F2641">
        <w:rPr>
          <w:lang w:val="es-ES"/>
        </w:rPr>
        <w:noBreakHyphen/>
      </w:r>
      <w:r w:rsidRPr="007F2641">
        <w:rPr>
          <w:lang w:val="es-ES"/>
        </w:rPr>
        <w:t xml:space="preserve">25, tal y como se muestra en el </w:t>
      </w:r>
      <w:r w:rsidR="003A11AC" w:rsidRPr="007F2641">
        <w:rPr>
          <w:lang w:val="es-ES"/>
        </w:rPr>
        <w:t>C</w:t>
      </w:r>
      <w:r w:rsidRPr="007F2641">
        <w:rPr>
          <w:lang w:val="es-ES"/>
        </w:rPr>
        <w:t>uadro 1 a continuación:</w:t>
      </w:r>
    </w:p>
    <w:p w14:paraId="70AC0F9F" w14:textId="77777777" w:rsidR="00C668EB" w:rsidRPr="007F2641" w:rsidRDefault="00C668EB" w:rsidP="003A2660">
      <w:pPr>
        <w:pStyle w:val="TableNo"/>
        <w:rPr>
          <w:lang w:val="es-ES"/>
        </w:rPr>
      </w:pPr>
      <w:r w:rsidRPr="007F2641">
        <w:rPr>
          <w:lang w:val="es-ES"/>
        </w:rPr>
        <w:lastRenderedPageBreak/>
        <w:t>CUADRO 1</w:t>
      </w:r>
    </w:p>
    <w:p w14:paraId="13E04817" w14:textId="77777777" w:rsidR="00C668EB" w:rsidRPr="007F2641" w:rsidRDefault="00C668EB" w:rsidP="003A2660">
      <w:pPr>
        <w:pStyle w:val="Tabletitle"/>
        <w:rPr>
          <w:lang w:val="es-ES"/>
        </w:rPr>
      </w:pPr>
      <w:r w:rsidRPr="007F2641">
        <w:rPr>
          <w:lang w:val="es-ES"/>
        </w:rPr>
        <w:t>Fechas y lugares de celebración de los FRD organizados en 2025</w:t>
      </w:r>
    </w:p>
    <w:tbl>
      <w:tblPr>
        <w:tblStyle w:val="TableGrid"/>
        <w:tblW w:w="0" w:type="auto"/>
        <w:jc w:val="center"/>
        <w:tblLayout w:type="fixed"/>
        <w:tblCellMar>
          <w:left w:w="28" w:type="dxa"/>
          <w:right w:w="28" w:type="dxa"/>
        </w:tblCellMar>
        <w:tblLook w:val="04A0" w:firstRow="1" w:lastRow="0" w:firstColumn="1" w:lastColumn="0" w:noHBand="0" w:noVBand="1"/>
      </w:tblPr>
      <w:tblGrid>
        <w:gridCol w:w="1975"/>
        <w:gridCol w:w="1980"/>
        <w:gridCol w:w="1710"/>
        <w:gridCol w:w="2700"/>
      </w:tblGrid>
      <w:tr w:rsidR="00C668EB" w:rsidRPr="007F2641" w14:paraId="363CA602" w14:textId="77777777" w:rsidTr="001031AD">
        <w:trPr>
          <w:cantSplit/>
          <w:tblHeader/>
          <w:jc w:val="center"/>
        </w:trPr>
        <w:tc>
          <w:tcPr>
            <w:tcW w:w="1975" w:type="dxa"/>
            <w:vAlign w:val="center"/>
          </w:tcPr>
          <w:p w14:paraId="1E3A619D" w14:textId="77777777" w:rsidR="00C668EB" w:rsidRPr="007F2641" w:rsidRDefault="00C668EB" w:rsidP="001031AD">
            <w:pPr>
              <w:pStyle w:val="Tablehead"/>
              <w:rPr>
                <w:lang w:val="es-ES"/>
              </w:rPr>
            </w:pPr>
            <w:r w:rsidRPr="007F2641">
              <w:rPr>
                <w:lang w:val="es-ES"/>
              </w:rPr>
              <w:t>Región</w:t>
            </w:r>
          </w:p>
        </w:tc>
        <w:tc>
          <w:tcPr>
            <w:tcW w:w="1980" w:type="dxa"/>
            <w:vAlign w:val="center"/>
          </w:tcPr>
          <w:p w14:paraId="40BF93E9" w14:textId="77777777" w:rsidR="00C668EB" w:rsidRPr="007F2641" w:rsidRDefault="00C668EB" w:rsidP="001031AD">
            <w:pPr>
              <w:pStyle w:val="Tablehead"/>
              <w:rPr>
                <w:lang w:val="es-ES"/>
              </w:rPr>
            </w:pPr>
            <w:r w:rsidRPr="007F2641">
              <w:rPr>
                <w:lang w:val="es-ES"/>
              </w:rPr>
              <w:t>Fechas</w:t>
            </w:r>
          </w:p>
        </w:tc>
        <w:tc>
          <w:tcPr>
            <w:tcW w:w="1710" w:type="dxa"/>
            <w:vAlign w:val="center"/>
          </w:tcPr>
          <w:p w14:paraId="109A1D40" w14:textId="77777777" w:rsidR="00C668EB" w:rsidRPr="007F2641" w:rsidRDefault="00C668EB" w:rsidP="001031AD">
            <w:pPr>
              <w:pStyle w:val="Tablehead"/>
              <w:rPr>
                <w:lang w:val="es-ES"/>
              </w:rPr>
            </w:pPr>
            <w:r w:rsidRPr="007F2641">
              <w:rPr>
                <w:lang w:val="es-ES"/>
              </w:rPr>
              <w:t>Ciudad y país anfitrión</w:t>
            </w:r>
          </w:p>
        </w:tc>
        <w:tc>
          <w:tcPr>
            <w:tcW w:w="2700" w:type="dxa"/>
            <w:vAlign w:val="center"/>
          </w:tcPr>
          <w:p w14:paraId="0360DE4B" w14:textId="77777777" w:rsidR="00C668EB" w:rsidRPr="007F2641" w:rsidRDefault="00C668EB" w:rsidP="001031AD">
            <w:pPr>
              <w:pStyle w:val="Tablehead"/>
              <w:rPr>
                <w:lang w:val="es-ES"/>
              </w:rPr>
            </w:pPr>
            <w:r w:rsidRPr="007F2641">
              <w:rPr>
                <w:lang w:val="es-ES"/>
              </w:rPr>
              <w:t>Sitio web</w:t>
            </w:r>
          </w:p>
        </w:tc>
      </w:tr>
      <w:tr w:rsidR="00C668EB" w:rsidRPr="007F2641" w14:paraId="2E5EAB31" w14:textId="77777777" w:rsidTr="001031AD">
        <w:trPr>
          <w:cantSplit/>
          <w:jc w:val="center"/>
        </w:trPr>
        <w:tc>
          <w:tcPr>
            <w:tcW w:w="1975" w:type="dxa"/>
          </w:tcPr>
          <w:p w14:paraId="4FB96E7F" w14:textId="77777777" w:rsidR="00C668EB" w:rsidRPr="007F2641" w:rsidRDefault="00C668EB" w:rsidP="001031AD">
            <w:pPr>
              <w:pStyle w:val="Tabletext"/>
              <w:jc w:val="center"/>
              <w:rPr>
                <w:lang w:val="es-ES"/>
              </w:rPr>
            </w:pPr>
            <w:r w:rsidRPr="007F2641">
              <w:rPr>
                <w:lang w:val="es-ES"/>
              </w:rPr>
              <w:t>FRD-ARB</w:t>
            </w:r>
          </w:p>
        </w:tc>
        <w:tc>
          <w:tcPr>
            <w:tcW w:w="1980" w:type="dxa"/>
          </w:tcPr>
          <w:p w14:paraId="17D0DAD3" w14:textId="77777777" w:rsidR="00C668EB" w:rsidRPr="007F2641" w:rsidRDefault="00C668EB" w:rsidP="000809DB">
            <w:pPr>
              <w:pStyle w:val="Tabletext"/>
              <w:jc w:val="center"/>
              <w:rPr>
                <w:lang w:val="es-ES"/>
              </w:rPr>
            </w:pPr>
            <w:r w:rsidRPr="007F2641">
              <w:rPr>
                <w:lang w:val="es-ES"/>
              </w:rPr>
              <w:t>3 de febrero de 2025</w:t>
            </w:r>
          </w:p>
        </w:tc>
        <w:tc>
          <w:tcPr>
            <w:tcW w:w="1710" w:type="dxa"/>
          </w:tcPr>
          <w:p w14:paraId="42679E94" w14:textId="77777777" w:rsidR="00C668EB" w:rsidRPr="007F2641" w:rsidRDefault="00C668EB" w:rsidP="000809DB">
            <w:pPr>
              <w:pStyle w:val="Tabletext"/>
              <w:jc w:val="center"/>
              <w:rPr>
                <w:lang w:val="es-ES"/>
              </w:rPr>
            </w:pPr>
            <w:r w:rsidRPr="007F2641">
              <w:rPr>
                <w:lang w:val="es-ES"/>
              </w:rPr>
              <w:t>Ammán, Jordania</w:t>
            </w:r>
          </w:p>
        </w:tc>
        <w:tc>
          <w:tcPr>
            <w:tcW w:w="2700" w:type="dxa"/>
          </w:tcPr>
          <w:p w14:paraId="1C3B6A03" w14:textId="6317E6EB" w:rsidR="00C668EB" w:rsidRPr="007F2641" w:rsidRDefault="00C668EB" w:rsidP="001031AD">
            <w:pPr>
              <w:pStyle w:val="Tabletext"/>
              <w:jc w:val="center"/>
              <w:rPr>
                <w:rStyle w:val="Hyperlink"/>
                <w:lang w:val="es-ES"/>
              </w:rPr>
            </w:pPr>
            <w:hyperlink r:id="rId22" w:anchor="/es" w:history="1">
              <w:r w:rsidRPr="007F2641">
                <w:rPr>
                  <w:rStyle w:val="Hyperlink"/>
                  <w:lang w:val="es-ES"/>
                </w:rPr>
                <w:t>Página web del evento</w:t>
              </w:r>
            </w:hyperlink>
          </w:p>
        </w:tc>
      </w:tr>
      <w:tr w:rsidR="00C668EB" w:rsidRPr="007F2641" w14:paraId="1A09712F" w14:textId="77777777" w:rsidTr="001031AD">
        <w:trPr>
          <w:cantSplit/>
          <w:jc w:val="center"/>
        </w:trPr>
        <w:tc>
          <w:tcPr>
            <w:tcW w:w="1975" w:type="dxa"/>
          </w:tcPr>
          <w:p w14:paraId="00DA2FD3" w14:textId="3D95DB08" w:rsidR="00C668EB" w:rsidRPr="007F2641" w:rsidRDefault="00C668EB" w:rsidP="001031AD">
            <w:pPr>
              <w:pStyle w:val="Tabletext"/>
              <w:jc w:val="center"/>
              <w:rPr>
                <w:lang w:val="es-ES"/>
              </w:rPr>
            </w:pPr>
            <w:r w:rsidRPr="007F2641">
              <w:rPr>
                <w:lang w:val="es-ES"/>
              </w:rPr>
              <w:t>FRD-EUR</w:t>
            </w:r>
          </w:p>
        </w:tc>
        <w:tc>
          <w:tcPr>
            <w:tcW w:w="1980" w:type="dxa"/>
          </w:tcPr>
          <w:p w14:paraId="4D696DE5" w14:textId="77777777" w:rsidR="00C668EB" w:rsidRPr="007F2641" w:rsidRDefault="00C668EB" w:rsidP="000809DB">
            <w:pPr>
              <w:pStyle w:val="Tabletext"/>
              <w:jc w:val="center"/>
              <w:rPr>
                <w:lang w:val="es-ES"/>
              </w:rPr>
            </w:pPr>
            <w:r w:rsidRPr="007F2641">
              <w:rPr>
                <w:lang w:val="es-ES"/>
              </w:rPr>
              <w:t>24 de febrero de 2025</w:t>
            </w:r>
          </w:p>
        </w:tc>
        <w:tc>
          <w:tcPr>
            <w:tcW w:w="1710" w:type="dxa"/>
          </w:tcPr>
          <w:p w14:paraId="60A9C587" w14:textId="77777777" w:rsidR="00C668EB" w:rsidRPr="007F2641" w:rsidRDefault="00C668EB" w:rsidP="000809DB">
            <w:pPr>
              <w:pStyle w:val="Tabletext"/>
              <w:jc w:val="center"/>
              <w:rPr>
                <w:lang w:val="es-ES"/>
              </w:rPr>
            </w:pPr>
            <w:r w:rsidRPr="007F2641">
              <w:rPr>
                <w:lang w:val="es-ES"/>
              </w:rPr>
              <w:t>Budapest, Hungría</w:t>
            </w:r>
          </w:p>
        </w:tc>
        <w:tc>
          <w:tcPr>
            <w:tcW w:w="2700" w:type="dxa"/>
          </w:tcPr>
          <w:p w14:paraId="6C0BC174" w14:textId="25C67DDF" w:rsidR="00C668EB" w:rsidRPr="007F2641" w:rsidRDefault="00C668EB" w:rsidP="001031AD">
            <w:pPr>
              <w:pStyle w:val="Tabletext"/>
              <w:jc w:val="center"/>
              <w:rPr>
                <w:rStyle w:val="Hyperlink"/>
                <w:lang w:val="es-ES"/>
              </w:rPr>
            </w:pPr>
            <w:hyperlink r:id="rId23" w:anchor="/es" w:history="1">
              <w:r w:rsidRPr="007F2641">
                <w:rPr>
                  <w:rStyle w:val="Hyperlink"/>
                  <w:lang w:val="es-ES"/>
                </w:rPr>
                <w:t>Página web del evento</w:t>
              </w:r>
            </w:hyperlink>
          </w:p>
        </w:tc>
      </w:tr>
      <w:tr w:rsidR="00C668EB" w:rsidRPr="007F2641" w14:paraId="4DCA96AD" w14:textId="77777777" w:rsidTr="001031AD">
        <w:trPr>
          <w:cantSplit/>
          <w:jc w:val="center"/>
        </w:trPr>
        <w:tc>
          <w:tcPr>
            <w:tcW w:w="1975" w:type="dxa"/>
          </w:tcPr>
          <w:p w14:paraId="7747DD3B" w14:textId="77777777" w:rsidR="00C668EB" w:rsidRPr="007F2641" w:rsidRDefault="00C668EB" w:rsidP="001031AD">
            <w:pPr>
              <w:pStyle w:val="Tabletext"/>
              <w:jc w:val="center"/>
              <w:rPr>
                <w:lang w:val="es-ES"/>
              </w:rPr>
            </w:pPr>
            <w:r w:rsidRPr="007F2641">
              <w:rPr>
                <w:lang w:val="es-ES"/>
              </w:rPr>
              <w:t>FRD-ASP</w:t>
            </w:r>
          </w:p>
        </w:tc>
        <w:tc>
          <w:tcPr>
            <w:tcW w:w="1980" w:type="dxa"/>
          </w:tcPr>
          <w:p w14:paraId="1AFF1360" w14:textId="77777777" w:rsidR="00C668EB" w:rsidRPr="007F2641" w:rsidRDefault="00C668EB" w:rsidP="000809DB">
            <w:pPr>
              <w:pStyle w:val="Tabletext"/>
              <w:jc w:val="center"/>
              <w:rPr>
                <w:lang w:val="es-ES"/>
              </w:rPr>
            </w:pPr>
            <w:r w:rsidRPr="007F2641">
              <w:rPr>
                <w:lang w:val="es-ES"/>
              </w:rPr>
              <w:t>19 de marzo de 2025</w:t>
            </w:r>
          </w:p>
        </w:tc>
        <w:tc>
          <w:tcPr>
            <w:tcW w:w="1710" w:type="dxa"/>
          </w:tcPr>
          <w:p w14:paraId="469715ED" w14:textId="77777777" w:rsidR="00C668EB" w:rsidRPr="007F2641" w:rsidRDefault="00C668EB" w:rsidP="000809DB">
            <w:pPr>
              <w:pStyle w:val="Tabletext"/>
              <w:jc w:val="center"/>
              <w:rPr>
                <w:lang w:val="es-ES"/>
              </w:rPr>
            </w:pPr>
            <w:r w:rsidRPr="007F2641">
              <w:rPr>
                <w:lang w:val="es-ES"/>
              </w:rPr>
              <w:t>Bangkok, Tailandia</w:t>
            </w:r>
          </w:p>
        </w:tc>
        <w:tc>
          <w:tcPr>
            <w:tcW w:w="2700" w:type="dxa"/>
          </w:tcPr>
          <w:p w14:paraId="2D310CF3" w14:textId="2638E3E3" w:rsidR="00C668EB" w:rsidRPr="007F2641" w:rsidRDefault="00C668EB" w:rsidP="001031AD">
            <w:pPr>
              <w:pStyle w:val="Tabletext"/>
              <w:jc w:val="center"/>
              <w:rPr>
                <w:rStyle w:val="Hyperlink"/>
                <w:lang w:val="es-ES"/>
              </w:rPr>
            </w:pPr>
            <w:hyperlink r:id="rId24" w:anchor="/es" w:history="1">
              <w:r w:rsidRPr="007F2641">
                <w:rPr>
                  <w:rStyle w:val="Hyperlink"/>
                  <w:lang w:val="es-ES"/>
                </w:rPr>
                <w:t>Página web del evento</w:t>
              </w:r>
            </w:hyperlink>
          </w:p>
        </w:tc>
      </w:tr>
      <w:tr w:rsidR="00C668EB" w:rsidRPr="007F2641" w14:paraId="6DDDB474" w14:textId="77777777" w:rsidTr="001031AD">
        <w:trPr>
          <w:cantSplit/>
          <w:jc w:val="center"/>
        </w:trPr>
        <w:tc>
          <w:tcPr>
            <w:tcW w:w="1975" w:type="dxa"/>
          </w:tcPr>
          <w:p w14:paraId="700340DD" w14:textId="39008E8F" w:rsidR="00C668EB" w:rsidRPr="007F2641" w:rsidRDefault="00C668EB" w:rsidP="001031AD">
            <w:pPr>
              <w:pStyle w:val="Tabletext"/>
              <w:jc w:val="center"/>
              <w:rPr>
                <w:lang w:val="es-ES"/>
              </w:rPr>
            </w:pPr>
            <w:r w:rsidRPr="007F2641">
              <w:rPr>
                <w:lang w:val="es-ES"/>
              </w:rPr>
              <w:t>FRD-AMS</w:t>
            </w:r>
          </w:p>
        </w:tc>
        <w:tc>
          <w:tcPr>
            <w:tcW w:w="1980" w:type="dxa"/>
          </w:tcPr>
          <w:p w14:paraId="47DC4C34" w14:textId="77777777" w:rsidR="00C668EB" w:rsidRPr="007F2641" w:rsidRDefault="00C668EB" w:rsidP="000809DB">
            <w:pPr>
              <w:pStyle w:val="Tabletext"/>
              <w:jc w:val="center"/>
              <w:rPr>
                <w:lang w:val="es-ES"/>
              </w:rPr>
            </w:pPr>
            <w:r w:rsidRPr="007F2641">
              <w:rPr>
                <w:lang w:val="es-ES"/>
              </w:rPr>
              <w:t>31 de marzo de 2025</w:t>
            </w:r>
          </w:p>
        </w:tc>
        <w:tc>
          <w:tcPr>
            <w:tcW w:w="1710" w:type="dxa"/>
          </w:tcPr>
          <w:p w14:paraId="696452B6" w14:textId="77777777" w:rsidR="00C668EB" w:rsidRPr="007F2641" w:rsidRDefault="00C668EB" w:rsidP="000809DB">
            <w:pPr>
              <w:pStyle w:val="Tabletext"/>
              <w:jc w:val="center"/>
              <w:rPr>
                <w:lang w:val="es-ES"/>
              </w:rPr>
            </w:pPr>
            <w:r w:rsidRPr="007F2641">
              <w:rPr>
                <w:lang w:val="es-ES"/>
              </w:rPr>
              <w:t>Asunción, Paraguay</w:t>
            </w:r>
          </w:p>
        </w:tc>
        <w:tc>
          <w:tcPr>
            <w:tcW w:w="2700" w:type="dxa"/>
          </w:tcPr>
          <w:p w14:paraId="48C5F891" w14:textId="1398CB44" w:rsidR="00C668EB" w:rsidRPr="007F2641" w:rsidRDefault="00C668EB" w:rsidP="001031AD">
            <w:pPr>
              <w:pStyle w:val="Tabletext"/>
              <w:jc w:val="center"/>
              <w:rPr>
                <w:rStyle w:val="Hyperlink"/>
                <w:lang w:val="es-ES"/>
              </w:rPr>
            </w:pPr>
            <w:hyperlink r:id="rId25" w:anchor="/es" w:history="1">
              <w:r w:rsidRPr="007F2641">
                <w:rPr>
                  <w:rStyle w:val="Hyperlink"/>
                  <w:lang w:val="es-ES"/>
                </w:rPr>
                <w:t>Página web del evento</w:t>
              </w:r>
            </w:hyperlink>
          </w:p>
        </w:tc>
      </w:tr>
      <w:tr w:rsidR="00C668EB" w:rsidRPr="007F2641" w14:paraId="0C9BB92F" w14:textId="77777777" w:rsidTr="001031AD">
        <w:trPr>
          <w:cantSplit/>
          <w:jc w:val="center"/>
        </w:trPr>
        <w:tc>
          <w:tcPr>
            <w:tcW w:w="1975" w:type="dxa"/>
          </w:tcPr>
          <w:p w14:paraId="6D60C7EA" w14:textId="77777777" w:rsidR="00C668EB" w:rsidRPr="007F2641" w:rsidRDefault="00C668EB" w:rsidP="001031AD">
            <w:pPr>
              <w:pStyle w:val="Tabletext"/>
              <w:jc w:val="center"/>
              <w:rPr>
                <w:lang w:val="es-ES"/>
              </w:rPr>
            </w:pPr>
            <w:r w:rsidRPr="007F2641">
              <w:rPr>
                <w:lang w:val="es-ES"/>
              </w:rPr>
              <w:t>FRD-AFR</w:t>
            </w:r>
          </w:p>
        </w:tc>
        <w:tc>
          <w:tcPr>
            <w:tcW w:w="1980" w:type="dxa"/>
          </w:tcPr>
          <w:p w14:paraId="34E24CED" w14:textId="77777777" w:rsidR="00C668EB" w:rsidRPr="007F2641" w:rsidRDefault="00C668EB" w:rsidP="000809DB">
            <w:pPr>
              <w:pStyle w:val="Tabletext"/>
              <w:jc w:val="center"/>
              <w:rPr>
                <w:lang w:val="es-ES"/>
              </w:rPr>
            </w:pPr>
            <w:r w:rsidRPr="007F2641">
              <w:rPr>
                <w:lang w:val="es-ES"/>
              </w:rPr>
              <w:t>7 de abril de 2025</w:t>
            </w:r>
          </w:p>
        </w:tc>
        <w:tc>
          <w:tcPr>
            <w:tcW w:w="1710" w:type="dxa"/>
          </w:tcPr>
          <w:p w14:paraId="68ADEFBF" w14:textId="77777777" w:rsidR="00C668EB" w:rsidRPr="007F2641" w:rsidRDefault="00C668EB" w:rsidP="000809DB">
            <w:pPr>
              <w:pStyle w:val="Tabletext"/>
              <w:jc w:val="center"/>
              <w:rPr>
                <w:lang w:val="es-ES"/>
              </w:rPr>
            </w:pPr>
            <w:r w:rsidRPr="007F2641">
              <w:rPr>
                <w:lang w:val="es-ES"/>
              </w:rPr>
              <w:t>Nairobi, Kenya</w:t>
            </w:r>
          </w:p>
        </w:tc>
        <w:tc>
          <w:tcPr>
            <w:tcW w:w="2700" w:type="dxa"/>
          </w:tcPr>
          <w:p w14:paraId="73D34F72" w14:textId="62DB2207" w:rsidR="00C668EB" w:rsidRPr="007F2641" w:rsidRDefault="00C668EB" w:rsidP="001031AD">
            <w:pPr>
              <w:pStyle w:val="Tabletext"/>
              <w:jc w:val="center"/>
              <w:rPr>
                <w:rStyle w:val="Hyperlink"/>
                <w:lang w:val="es-ES"/>
              </w:rPr>
            </w:pPr>
            <w:hyperlink r:id="rId26" w:anchor="/es" w:history="1">
              <w:r w:rsidRPr="007F2641">
                <w:rPr>
                  <w:rStyle w:val="Hyperlink"/>
                  <w:lang w:val="es-ES"/>
                </w:rPr>
                <w:t>Página web del evento</w:t>
              </w:r>
            </w:hyperlink>
          </w:p>
        </w:tc>
      </w:tr>
      <w:tr w:rsidR="00C668EB" w:rsidRPr="007F2641" w14:paraId="2EA3B7EC" w14:textId="77777777" w:rsidTr="001031AD">
        <w:trPr>
          <w:cantSplit/>
          <w:jc w:val="center"/>
        </w:trPr>
        <w:tc>
          <w:tcPr>
            <w:tcW w:w="1975" w:type="dxa"/>
          </w:tcPr>
          <w:p w14:paraId="4D1C01C9" w14:textId="77777777" w:rsidR="00C668EB" w:rsidRPr="007F2641" w:rsidRDefault="00C668EB" w:rsidP="001031AD">
            <w:pPr>
              <w:pStyle w:val="Tabletext"/>
              <w:jc w:val="center"/>
              <w:rPr>
                <w:lang w:val="es-ES"/>
              </w:rPr>
            </w:pPr>
            <w:r w:rsidRPr="007F2641">
              <w:rPr>
                <w:lang w:val="es-ES"/>
              </w:rPr>
              <w:t>FRD-CIS</w:t>
            </w:r>
          </w:p>
        </w:tc>
        <w:tc>
          <w:tcPr>
            <w:tcW w:w="1980" w:type="dxa"/>
          </w:tcPr>
          <w:p w14:paraId="467D6153" w14:textId="77777777" w:rsidR="00C668EB" w:rsidRPr="007F2641" w:rsidRDefault="00C668EB" w:rsidP="000809DB">
            <w:pPr>
              <w:pStyle w:val="Tabletext"/>
              <w:jc w:val="center"/>
              <w:rPr>
                <w:lang w:val="es-ES"/>
              </w:rPr>
            </w:pPr>
            <w:r w:rsidRPr="007F2641">
              <w:rPr>
                <w:lang w:val="es-ES"/>
              </w:rPr>
              <w:t xml:space="preserve">23 de abril de 2025 </w:t>
            </w:r>
          </w:p>
        </w:tc>
        <w:tc>
          <w:tcPr>
            <w:tcW w:w="1710" w:type="dxa"/>
          </w:tcPr>
          <w:p w14:paraId="530B76CE" w14:textId="77777777" w:rsidR="00C668EB" w:rsidRPr="007F2641" w:rsidRDefault="00C668EB" w:rsidP="000809DB">
            <w:pPr>
              <w:pStyle w:val="Tabletext"/>
              <w:jc w:val="center"/>
              <w:rPr>
                <w:lang w:val="es-ES"/>
              </w:rPr>
            </w:pPr>
            <w:r w:rsidRPr="007F2641">
              <w:rPr>
                <w:lang w:val="es-ES"/>
              </w:rPr>
              <w:t>Bishkek, Kirguistán</w:t>
            </w:r>
          </w:p>
        </w:tc>
        <w:tc>
          <w:tcPr>
            <w:tcW w:w="2700" w:type="dxa"/>
          </w:tcPr>
          <w:p w14:paraId="79D9ABE0" w14:textId="47CABD85" w:rsidR="00C668EB" w:rsidRPr="007F2641" w:rsidRDefault="00C668EB" w:rsidP="001031AD">
            <w:pPr>
              <w:pStyle w:val="Tabletext"/>
              <w:jc w:val="center"/>
              <w:rPr>
                <w:rStyle w:val="Hyperlink"/>
                <w:lang w:val="es-ES"/>
              </w:rPr>
            </w:pPr>
            <w:hyperlink r:id="rId27" w:anchor="/es" w:history="1">
              <w:r w:rsidRPr="007F2641">
                <w:rPr>
                  <w:rStyle w:val="Hyperlink"/>
                  <w:lang w:val="es-ES"/>
                </w:rPr>
                <w:t>Página web del evento</w:t>
              </w:r>
            </w:hyperlink>
          </w:p>
        </w:tc>
      </w:tr>
    </w:tbl>
    <w:p w14:paraId="271ADE3C" w14:textId="77777777" w:rsidR="00C668EB" w:rsidRPr="007F2641" w:rsidRDefault="00C668EB" w:rsidP="000809DB">
      <w:pPr>
        <w:pStyle w:val="Normalaftertitle"/>
        <w:rPr>
          <w:lang w:val="es-ES"/>
        </w:rPr>
      </w:pPr>
      <w:r w:rsidRPr="007F2641">
        <w:rPr>
          <w:lang w:val="es-ES"/>
        </w:rPr>
        <w:t>2.1.2</w:t>
      </w:r>
      <w:r w:rsidRPr="007F2641">
        <w:rPr>
          <w:lang w:val="es-ES"/>
        </w:rPr>
        <w:tab/>
        <w:t>Los FRD promueven asociaciones multipartitas entre los Estados Miembros, los sectores industrial y académico, la sociedad civil y el sistema de las Naciones Unidas, así como organismos y organizaciones de desarrollo regionales e internacionales sobre asuntos regionales específicos de telecomunicaciones y TIC. Estos foros brindaron la oportunidad de entablar un diálogo de alto nivel entre la BDT, los Estados Miembros y los Miembros de Sector del UIT-D, principalmente en torno a la aplicación de las Iniciativas regionales y el Plan de Acción de Kigali.</w:t>
      </w:r>
    </w:p>
    <w:p w14:paraId="4CCC6C41" w14:textId="4D6092E9" w:rsidR="00C668EB" w:rsidRPr="00347E46" w:rsidRDefault="00C668EB" w:rsidP="000809DB">
      <w:pPr>
        <w:rPr>
          <w:lang w:val="es-ES"/>
        </w:rPr>
      </w:pPr>
      <w:r w:rsidRPr="007F2641">
        <w:rPr>
          <w:lang w:val="es-ES"/>
        </w:rPr>
        <w:t>2.1.3</w:t>
      </w:r>
      <w:r w:rsidRPr="007F2641">
        <w:rPr>
          <w:lang w:val="es-ES"/>
        </w:rPr>
        <w:tab/>
      </w:r>
      <w:r w:rsidR="00347E46" w:rsidRPr="00347E46">
        <w:rPr>
          <w:lang w:val="es-ES"/>
        </w:rPr>
        <w:t>Los próximos FRD previstos para 2026 figuran en el Cuadro 2. Los FRD son primordiales para la aplicación del Plan de Acción de Bakú (BAP) de la CMDT-25 y brindan una plataforma para propiciar el diálogo estratégico y la colaboración. Por otro lado, la organización de mesas redondas para el establecimiento de contactos reviste importancia a los efectos de puesta en marcha de proyectos sostenibles, en los que colaboren los asociados y se pongan a disposición recursos con el fin de impulsar actividades de desarrollo efectivas en la región. Al fomentar ese tipo de asociaciones, los FRD contribuyen a armonizar las iniciativas con las prioridades regionales y fomentar el desarrollo y la transformación a largo plazo en el sector de las TIC.</w:t>
      </w:r>
    </w:p>
    <w:p w14:paraId="5961C5E4" w14:textId="77777777" w:rsidR="00C668EB" w:rsidRPr="007F2641" w:rsidRDefault="00C668EB" w:rsidP="00C668EB">
      <w:pPr>
        <w:pStyle w:val="TableNo"/>
        <w:rPr>
          <w:lang w:val="es-ES"/>
        </w:rPr>
      </w:pPr>
      <w:r w:rsidRPr="007F2641">
        <w:rPr>
          <w:lang w:val="es-ES"/>
        </w:rPr>
        <w:t>CUADRO 2</w:t>
      </w:r>
    </w:p>
    <w:p w14:paraId="16F19239" w14:textId="77777777" w:rsidR="00C668EB" w:rsidRPr="007F2641" w:rsidRDefault="00C668EB" w:rsidP="00C668EB">
      <w:pPr>
        <w:pStyle w:val="Tabletitle"/>
        <w:rPr>
          <w:lang w:val="es-ES"/>
        </w:rPr>
      </w:pPr>
      <w:r w:rsidRPr="007F2641">
        <w:rPr>
          <w:lang w:val="es-ES"/>
        </w:rPr>
        <w:t>Fecha y lugar de celebración de los FRD en 2026</w:t>
      </w:r>
    </w:p>
    <w:tbl>
      <w:tblPr>
        <w:tblStyle w:val="TableGrid"/>
        <w:tblW w:w="0" w:type="auto"/>
        <w:jc w:val="center"/>
        <w:tblLayout w:type="fixed"/>
        <w:tblCellMar>
          <w:left w:w="28" w:type="dxa"/>
          <w:right w:w="28" w:type="dxa"/>
        </w:tblCellMar>
        <w:tblLook w:val="04A0" w:firstRow="1" w:lastRow="0" w:firstColumn="1" w:lastColumn="0" w:noHBand="0" w:noVBand="1"/>
      </w:tblPr>
      <w:tblGrid>
        <w:gridCol w:w="1980"/>
        <w:gridCol w:w="2906"/>
        <w:gridCol w:w="2906"/>
      </w:tblGrid>
      <w:tr w:rsidR="00C668EB" w:rsidRPr="007F2641" w14:paraId="70C09954" w14:textId="77777777" w:rsidTr="001031AD">
        <w:trPr>
          <w:cantSplit/>
          <w:tblHeader/>
          <w:jc w:val="center"/>
        </w:trPr>
        <w:tc>
          <w:tcPr>
            <w:tcW w:w="1980" w:type="dxa"/>
            <w:vAlign w:val="center"/>
          </w:tcPr>
          <w:p w14:paraId="4C8358BE" w14:textId="77777777" w:rsidR="00C668EB" w:rsidRPr="007F2641" w:rsidRDefault="00C668EB" w:rsidP="001031AD">
            <w:pPr>
              <w:pStyle w:val="Tablehead"/>
              <w:rPr>
                <w:rFonts w:eastAsia="SimSun"/>
                <w:lang w:val="es-ES"/>
              </w:rPr>
            </w:pPr>
            <w:r w:rsidRPr="007F2641">
              <w:rPr>
                <w:lang w:val="es-ES"/>
              </w:rPr>
              <w:t>Región</w:t>
            </w:r>
          </w:p>
        </w:tc>
        <w:tc>
          <w:tcPr>
            <w:tcW w:w="2906" w:type="dxa"/>
            <w:vAlign w:val="center"/>
          </w:tcPr>
          <w:p w14:paraId="65F0482A" w14:textId="77777777" w:rsidR="00C668EB" w:rsidRPr="007F2641" w:rsidRDefault="00C668EB" w:rsidP="001031AD">
            <w:pPr>
              <w:pStyle w:val="Tablehead"/>
              <w:rPr>
                <w:rFonts w:eastAsia="SimSun"/>
                <w:lang w:val="es-ES"/>
              </w:rPr>
            </w:pPr>
            <w:r w:rsidRPr="007F2641">
              <w:rPr>
                <w:lang w:val="es-ES"/>
              </w:rPr>
              <w:t>Fecha</w:t>
            </w:r>
          </w:p>
        </w:tc>
        <w:tc>
          <w:tcPr>
            <w:tcW w:w="2906" w:type="dxa"/>
            <w:vAlign w:val="center"/>
          </w:tcPr>
          <w:p w14:paraId="4E0D569D" w14:textId="77777777" w:rsidR="00C668EB" w:rsidRPr="007F2641" w:rsidRDefault="00C668EB" w:rsidP="001031AD">
            <w:pPr>
              <w:pStyle w:val="Tablehead"/>
              <w:rPr>
                <w:rFonts w:eastAsia="SimSun"/>
                <w:lang w:val="es-ES"/>
              </w:rPr>
            </w:pPr>
            <w:r w:rsidRPr="007F2641">
              <w:rPr>
                <w:lang w:val="es-ES"/>
              </w:rPr>
              <w:t>Ciudad y país anfitrión</w:t>
            </w:r>
          </w:p>
        </w:tc>
      </w:tr>
      <w:tr w:rsidR="00C668EB" w:rsidRPr="007F2641" w14:paraId="0F03E245" w14:textId="77777777" w:rsidTr="001031AD">
        <w:trPr>
          <w:cantSplit/>
          <w:jc w:val="center"/>
        </w:trPr>
        <w:tc>
          <w:tcPr>
            <w:tcW w:w="1980" w:type="dxa"/>
          </w:tcPr>
          <w:p w14:paraId="27C7129E" w14:textId="77777777" w:rsidR="00C668EB" w:rsidRPr="007F2641" w:rsidRDefault="00C668EB" w:rsidP="001031AD">
            <w:pPr>
              <w:pStyle w:val="Tabletext"/>
              <w:jc w:val="center"/>
              <w:rPr>
                <w:rFonts w:eastAsia="SimSun"/>
                <w:lang w:val="es-ES"/>
              </w:rPr>
            </w:pPr>
            <w:r w:rsidRPr="007F2641">
              <w:rPr>
                <w:lang w:val="es-ES"/>
              </w:rPr>
              <w:t>RDF-EUR</w:t>
            </w:r>
          </w:p>
        </w:tc>
        <w:tc>
          <w:tcPr>
            <w:tcW w:w="2906" w:type="dxa"/>
          </w:tcPr>
          <w:p w14:paraId="1B220ED8" w14:textId="77777777" w:rsidR="00C668EB" w:rsidRPr="007F2641" w:rsidRDefault="00C668EB" w:rsidP="001031AD">
            <w:pPr>
              <w:pStyle w:val="Tabletext"/>
              <w:jc w:val="center"/>
              <w:rPr>
                <w:rFonts w:eastAsia="SimSun"/>
                <w:lang w:val="es-ES"/>
              </w:rPr>
            </w:pPr>
            <w:r w:rsidRPr="007F2641">
              <w:rPr>
                <w:lang w:val="es-ES"/>
              </w:rPr>
              <w:t>24 de marzo de 2026</w:t>
            </w:r>
          </w:p>
        </w:tc>
        <w:tc>
          <w:tcPr>
            <w:tcW w:w="2906" w:type="dxa"/>
          </w:tcPr>
          <w:p w14:paraId="04A026F9" w14:textId="77777777" w:rsidR="00C668EB" w:rsidRPr="007F2641" w:rsidRDefault="00C668EB" w:rsidP="001031AD">
            <w:pPr>
              <w:pStyle w:val="Tabletext"/>
              <w:rPr>
                <w:rFonts w:eastAsia="SimSun"/>
                <w:lang w:val="es-ES"/>
              </w:rPr>
            </w:pPr>
            <w:r w:rsidRPr="007F2641">
              <w:rPr>
                <w:lang w:val="es-ES"/>
              </w:rPr>
              <w:t>Praga, República Checa</w:t>
            </w:r>
          </w:p>
        </w:tc>
      </w:tr>
      <w:tr w:rsidR="00C668EB" w:rsidRPr="007F2641" w14:paraId="2E414243" w14:textId="77777777" w:rsidTr="001031AD">
        <w:trPr>
          <w:cantSplit/>
          <w:jc w:val="center"/>
        </w:trPr>
        <w:tc>
          <w:tcPr>
            <w:tcW w:w="1980" w:type="dxa"/>
          </w:tcPr>
          <w:p w14:paraId="230C334E" w14:textId="77777777" w:rsidR="00C668EB" w:rsidRPr="007F2641" w:rsidRDefault="00C668EB" w:rsidP="001031AD">
            <w:pPr>
              <w:pStyle w:val="Tabletext"/>
              <w:jc w:val="center"/>
              <w:rPr>
                <w:rFonts w:eastAsia="SimSun"/>
                <w:lang w:val="es-ES"/>
              </w:rPr>
            </w:pPr>
            <w:r w:rsidRPr="007F2641">
              <w:rPr>
                <w:lang w:val="es-ES"/>
              </w:rPr>
              <w:t>RDF-AFR</w:t>
            </w:r>
          </w:p>
        </w:tc>
        <w:tc>
          <w:tcPr>
            <w:tcW w:w="2906" w:type="dxa"/>
          </w:tcPr>
          <w:p w14:paraId="261900B1" w14:textId="77777777" w:rsidR="00C668EB" w:rsidRPr="007F2641" w:rsidRDefault="00C668EB" w:rsidP="001031AD">
            <w:pPr>
              <w:pStyle w:val="Tabletext"/>
              <w:jc w:val="center"/>
              <w:rPr>
                <w:rFonts w:eastAsia="SimSun"/>
                <w:lang w:val="es-ES"/>
              </w:rPr>
            </w:pPr>
            <w:r w:rsidRPr="007F2641">
              <w:rPr>
                <w:lang w:val="es-ES"/>
              </w:rPr>
              <w:t>25-26 de mayo de 2026</w:t>
            </w:r>
          </w:p>
        </w:tc>
        <w:tc>
          <w:tcPr>
            <w:tcW w:w="2906" w:type="dxa"/>
          </w:tcPr>
          <w:p w14:paraId="283C5979" w14:textId="77777777" w:rsidR="00C668EB" w:rsidRPr="007F2641" w:rsidRDefault="00C668EB" w:rsidP="001031AD">
            <w:pPr>
              <w:pStyle w:val="Tabletext"/>
              <w:rPr>
                <w:rFonts w:eastAsia="SimSun"/>
                <w:lang w:val="es-ES"/>
              </w:rPr>
            </w:pPr>
            <w:r w:rsidRPr="007F2641">
              <w:rPr>
                <w:lang w:val="es-ES"/>
              </w:rPr>
              <w:t>Victoria Falls, Zimbabwe</w:t>
            </w:r>
          </w:p>
        </w:tc>
      </w:tr>
      <w:tr w:rsidR="00C668EB" w:rsidRPr="007F2641" w14:paraId="44C623A9" w14:textId="77777777" w:rsidTr="001031AD">
        <w:trPr>
          <w:cantSplit/>
          <w:jc w:val="center"/>
        </w:trPr>
        <w:tc>
          <w:tcPr>
            <w:tcW w:w="1980" w:type="dxa"/>
          </w:tcPr>
          <w:p w14:paraId="1897CCE0" w14:textId="77777777" w:rsidR="00C668EB" w:rsidRPr="007F2641" w:rsidRDefault="00C668EB" w:rsidP="001031AD">
            <w:pPr>
              <w:pStyle w:val="Tabletext"/>
              <w:jc w:val="center"/>
              <w:rPr>
                <w:rFonts w:eastAsia="SimSun"/>
                <w:lang w:val="es-ES"/>
              </w:rPr>
            </w:pPr>
            <w:r w:rsidRPr="007F2641">
              <w:rPr>
                <w:lang w:val="es-ES"/>
              </w:rPr>
              <w:t>RDF-AMS</w:t>
            </w:r>
          </w:p>
        </w:tc>
        <w:tc>
          <w:tcPr>
            <w:tcW w:w="2906" w:type="dxa"/>
          </w:tcPr>
          <w:p w14:paraId="129B5A43" w14:textId="77777777" w:rsidR="00C668EB" w:rsidRPr="007F2641" w:rsidRDefault="00C668EB" w:rsidP="001031AD">
            <w:pPr>
              <w:pStyle w:val="Tabletext"/>
              <w:jc w:val="center"/>
              <w:rPr>
                <w:lang w:val="es-ES"/>
              </w:rPr>
            </w:pPr>
            <w:r w:rsidRPr="007F2641">
              <w:rPr>
                <w:lang w:val="es-ES"/>
              </w:rPr>
              <w:t>16-17 de junio de 2026</w:t>
            </w:r>
          </w:p>
        </w:tc>
        <w:tc>
          <w:tcPr>
            <w:tcW w:w="2906" w:type="dxa"/>
          </w:tcPr>
          <w:p w14:paraId="6CE2683F" w14:textId="77777777" w:rsidR="00C668EB" w:rsidRPr="007F2641" w:rsidRDefault="00C668EB" w:rsidP="001031AD">
            <w:pPr>
              <w:pStyle w:val="Tabletext"/>
              <w:rPr>
                <w:rFonts w:eastAsia="SimSun"/>
                <w:lang w:val="es-ES"/>
              </w:rPr>
            </w:pPr>
            <w:r w:rsidRPr="007F2641">
              <w:rPr>
                <w:lang w:val="es-ES"/>
              </w:rPr>
              <w:t>Cartagena de Indias, Colombia</w:t>
            </w:r>
          </w:p>
        </w:tc>
      </w:tr>
      <w:tr w:rsidR="00C668EB" w:rsidRPr="007F2641" w14:paraId="791CEE84" w14:textId="77777777" w:rsidTr="001031AD">
        <w:trPr>
          <w:cantSplit/>
          <w:jc w:val="center"/>
        </w:trPr>
        <w:tc>
          <w:tcPr>
            <w:tcW w:w="1980" w:type="dxa"/>
          </w:tcPr>
          <w:p w14:paraId="0052DE18" w14:textId="77777777" w:rsidR="00C668EB" w:rsidRPr="007F2641" w:rsidRDefault="00C668EB" w:rsidP="001031AD">
            <w:pPr>
              <w:pStyle w:val="Tabletext"/>
              <w:jc w:val="center"/>
              <w:rPr>
                <w:rFonts w:eastAsia="SimSun"/>
                <w:lang w:val="es-ES"/>
              </w:rPr>
            </w:pPr>
            <w:r w:rsidRPr="007F2641">
              <w:rPr>
                <w:lang w:val="es-ES"/>
              </w:rPr>
              <w:t>RDF-ARB</w:t>
            </w:r>
          </w:p>
        </w:tc>
        <w:tc>
          <w:tcPr>
            <w:tcW w:w="2906" w:type="dxa"/>
          </w:tcPr>
          <w:p w14:paraId="061EEE14" w14:textId="77777777" w:rsidR="00C668EB" w:rsidRPr="007F2641" w:rsidRDefault="00C668EB" w:rsidP="001031AD">
            <w:pPr>
              <w:pStyle w:val="Tabletext"/>
              <w:jc w:val="center"/>
              <w:rPr>
                <w:rFonts w:eastAsia="SimSun"/>
                <w:lang w:val="es-ES"/>
              </w:rPr>
            </w:pPr>
            <w:r w:rsidRPr="007F2641">
              <w:rPr>
                <w:lang w:val="es-ES"/>
              </w:rPr>
              <w:t>1-2 de julio de 2026</w:t>
            </w:r>
          </w:p>
        </w:tc>
        <w:tc>
          <w:tcPr>
            <w:tcW w:w="2906" w:type="dxa"/>
          </w:tcPr>
          <w:p w14:paraId="6BA020F3" w14:textId="77777777" w:rsidR="00C668EB" w:rsidRPr="007F2641" w:rsidRDefault="00C668EB" w:rsidP="001031AD">
            <w:pPr>
              <w:pStyle w:val="Tabletext"/>
              <w:rPr>
                <w:rFonts w:eastAsia="SimSun"/>
                <w:lang w:val="es-ES"/>
              </w:rPr>
            </w:pPr>
            <w:r w:rsidRPr="007F2641">
              <w:rPr>
                <w:i/>
                <w:iCs/>
                <w:lang w:val="es-ES"/>
              </w:rPr>
              <w:t>Por determinar</w:t>
            </w:r>
          </w:p>
        </w:tc>
      </w:tr>
      <w:tr w:rsidR="00C668EB" w:rsidRPr="007F2641" w14:paraId="568D8248" w14:textId="77777777" w:rsidTr="001031AD">
        <w:trPr>
          <w:cantSplit/>
          <w:jc w:val="center"/>
        </w:trPr>
        <w:tc>
          <w:tcPr>
            <w:tcW w:w="1980" w:type="dxa"/>
          </w:tcPr>
          <w:p w14:paraId="65F728B9" w14:textId="77777777" w:rsidR="00C668EB" w:rsidRPr="007F2641" w:rsidRDefault="00C668EB" w:rsidP="001031AD">
            <w:pPr>
              <w:pStyle w:val="Tabletext"/>
              <w:jc w:val="center"/>
              <w:rPr>
                <w:lang w:val="es-ES"/>
              </w:rPr>
            </w:pPr>
            <w:r w:rsidRPr="007F2641">
              <w:rPr>
                <w:lang w:val="es-ES"/>
              </w:rPr>
              <w:t>RDF-ASP</w:t>
            </w:r>
          </w:p>
        </w:tc>
        <w:tc>
          <w:tcPr>
            <w:tcW w:w="2906" w:type="dxa"/>
          </w:tcPr>
          <w:p w14:paraId="55E23B44" w14:textId="77777777" w:rsidR="00C668EB" w:rsidRPr="007F2641" w:rsidRDefault="00C668EB" w:rsidP="001031AD">
            <w:pPr>
              <w:pStyle w:val="Tabletext"/>
              <w:jc w:val="center"/>
              <w:rPr>
                <w:rFonts w:eastAsia="SimSun"/>
                <w:lang w:val="es-ES"/>
              </w:rPr>
            </w:pPr>
            <w:r w:rsidRPr="007F2641">
              <w:rPr>
                <w:lang w:val="es-ES"/>
              </w:rPr>
              <w:t>16-17 de julio de 2026</w:t>
            </w:r>
          </w:p>
        </w:tc>
        <w:tc>
          <w:tcPr>
            <w:tcW w:w="2906" w:type="dxa"/>
          </w:tcPr>
          <w:p w14:paraId="6308756B" w14:textId="77777777" w:rsidR="00C668EB" w:rsidRPr="007F2641" w:rsidRDefault="00C668EB" w:rsidP="001031AD">
            <w:pPr>
              <w:pStyle w:val="Tabletext"/>
              <w:rPr>
                <w:rFonts w:eastAsia="SimSun"/>
                <w:lang w:val="es-ES"/>
              </w:rPr>
            </w:pPr>
            <w:r w:rsidRPr="007F2641">
              <w:rPr>
                <w:lang w:val="es-ES"/>
              </w:rPr>
              <w:t>Bangkok, Tailandia</w:t>
            </w:r>
          </w:p>
        </w:tc>
      </w:tr>
      <w:tr w:rsidR="00C668EB" w:rsidRPr="007F2641" w14:paraId="1EF82ED6" w14:textId="77777777" w:rsidTr="001031AD">
        <w:trPr>
          <w:cantSplit/>
          <w:jc w:val="center"/>
        </w:trPr>
        <w:tc>
          <w:tcPr>
            <w:tcW w:w="1980" w:type="dxa"/>
          </w:tcPr>
          <w:p w14:paraId="0DCBDA07" w14:textId="77777777" w:rsidR="00C668EB" w:rsidRPr="007F2641" w:rsidRDefault="00C668EB" w:rsidP="001031AD">
            <w:pPr>
              <w:pStyle w:val="Tabletext"/>
              <w:jc w:val="center"/>
              <w:rPr>
                <w:lang w:val="es-ES"/>
              </w:rPr>
            </w:pPr>
            <w:r w:rsidRPr="007F2641">
              <w:rPr>
                <w:lang w:val="es-ES"/>
              </w:rPr>
              <w:t>RDF-CIS</w:t>
            </w:r>
          </w:p>
        </w:tc>
        <w:tc>
          <w:tcPr>
            <w:tcW w:w="2906" w:type="dxa"/>
          </w:tcPr>
          <w:p w14:paraId="6077F829" w14:textId="77777777" w:rsidR="00C668EB" w:rsidRPr="007F2641" w:rsidRDefault="00C668EB" w:rsidP="001031AD">
            <w:pPr>
              <w:pStyle w:val="Tabletext"/>
              <w:jc w:val="center"/>
              <w:rPr>
                <w:rFonts w:eastAsia="SimSun"/>
                <w:lang w:val="es-ES"/>
              </w:rPr>
            </w:pPr>
            <w:r w:rsidRPr="007F2641">
              <w:rPr>
                <w:lang w:val="es-ES"/>
              </w:rPr>
              <w:t>29-30 de septiembre de 2026</w:t>
            </w:r>
          </w:p>
        </w:tc>
        <w:tc>
          <w:tcPr>
            <w:tcW w:w="2906" w:type="dxa"/>
          </w:tcPr>
          <w:p w14:paraId="757830E1" w14:textId="702D70D8" w:rsidR="00C668EB" w:rsidRPr="007F2641" w:rsidRDefault="00C668EB" w:rsidP="001031AD">
            <w:pPr>
              <w:pStyle w:val="Tabletext"/>
              <w:rPr>
                <w:rFonts w:eastAsia="SimSun"/>
                <w:lang w:val="es-ES"/>
              </w:rPr>
            </w:pPr>
            <w:r w:rsidRPr="007F2641">
              <w:rPr>
                <w:lang w:val="es-ES"/>
              </w:rPr>
              <w:t xml:space="preserve">Dushanbe, </w:t>
            </w:r>
            <w:r w:rsidR="005067D1" w:rsidRPr="007F2641">
              <w:rPr>
                <w:lang w:val="es-ES"/>
              </w:rPr>
              <w:t>Tayikistán</w:t>
            </w:r>
          </w:p>
        </w:tc>
      </w:tr>
    </w:tbl>
    <w:p w14:paraId="7F48C3E8" w14:textId="77777777" w:rsidR="00C668EB" w:rsidRPr="007F2641" w:rsidRDefault="00C668EB" w:rsidP="00C668EB">
      <w:pPr>
        <w:pStyle w:val="Heading2"/>
        <w:rPr>
          <w:lang w:val="es-ES"/>
        </w:rPr>
      </w:pPr>
      <w:r w:rsidRPr="007F2641">
        <w:rPr>
          <w:lang w:val="es-ES"/>
        </w:rPr>
        <w:t>2.2</w:t>
      </w:r>
      <w:r w:rsidRPr="007F2641">
        <w:rPr>
          <w:lang w:val="es-ES"/>
        </w:rPr>
        <w:tab/>
        <w:t>Aplicación del Plan Operacional del UIT-D</w:t>
      </w:r>
    </w:p>
    <w:p w14:paraId="259087DB" w14:textId="406211F4" w:rsidR="00C668EB" w:rsidRPr="007F2641" w:rsidRDefault="00C668EB" w:rsidP="000809DB">
      <w:pPr>
        <w:rPr>
          <w:lang w:val="es-ES"/>
        </w:rPr>
      </w:pPr>
      <w:r w:rsidRPr="007F2641">
        <w:rPr>
          <w:lang w:val="es-ES"/>
        </w:rPr>
        <w:t>2.2.1</w:t>
      </w:r>
      <w:r w:rsidRPr="007F2641">
        <w:rPr>
          <w:lang w:val="es-ES"/>
        </w:rPr>
        <w:tab/>
        <w:t>La eficacia de las actividades regionales de la UIT contribuye notablemente a facilitar su misión global de conectar el mundo, fomentar la transformación digital sostenible y lograr resultados específicos en materia de desarrollo en los Estados Miembros en el marco de la labor de la BDT. Estos esfuerzos están estratégicamente diseñados para garantizar que la UIT conserva su capacidad de reacción ante la rápida evolución de las necesidades de las economías y sociedades digitales de todo el mundo.</w:t>
      </w:r>
    </w:p>
    <w:p w14:paraId="34B897AE" w14:textId="77777777" w:rsidR="00C668EB" w:rsidRPr="007F2641" w:rsidRDefault="00C668EB" w:rsidP="000809DB">
      <w:pPr>
        <w:rPr>
          <w:lang w:val="es-ES"/>
        </w:rPr>
      </w:pPr>
      <w:r w:rsidRPr="007F2641">
        <w:rPr>
          <w:lang w:val="es-ES"/>
        </w:rPr>
        <w:t>2.2.2</w:t>
      </w:r>
      <w:r w:rsidRPr="007F2641">
        <w:rPr>
          <w:lang w:val="es-ES"/>
        </w:rPr>
        <w:tab/>
        <w:t>A raíz de la CMDT-25, en la que se aprobó el Plan de Acción de Buenos Aires (BAP), el Plan Operacional del UIT-D se elaboró en consonancia con la estructura del Plan estratégico de la Unión para 2024</w:t>
      </w:r>
      <w:r w:rsidRPr="007F2641">
        <w:rPr>
          <w:lang w:val="es-ES"/>
        </w:rPr>
        <w:noBreakHyphen/>
        <w:t>2027. Dicha estructura se ajusta al BAP, en el que se esbozan las Prioridades y el Facilitador del UIT-D, y sus correspondientes resultados, productos y servicios, así como los indicadores utilizados para medir el grado de cumplimiento de las actividades del Sector. En la actualidad se llevan a cabo 130 medidas a escalas mundial y regional. Para facilitar la implementación se identifican activamente sinergias entre los resultados regionales, así como entre las iniciativas a escalas regional y mundial, en estrecha colaboración con otras Oficinas de la UIT y la Secretaría General.</w:t>
      </w:r>
    </w:p>
    <w:p w14:paraId="289FADC0" w14:textId="72A62F03" w:rsidR="00C668EB" w:rsidRPr="007F2641" w:rsidRDefault="00C668EB" w:rsidP="000809DB">
      <w:pPr>
        <w:rPr>
          <w:lang w:val="es-ES"/>
        </w:rPr>
      </w:pPr>
      <w:r w:rsidRPr="007F2641">
        <w:rPr>
          <w:lang w:val="es-ES"/>
        </w:rPr>
        <w:t>2.2.3</w:t>
      </w:r>
      <w:r w:rsidRPr="007F2641">
        <w:rPr>
          <w:lang w:val="es-ES"/>
        </w:rPr>
        <w:tab/>
        <w:t>Las Oficinas Regionales y Zonales forman parte integrante del proceso de planificación operacional del que dan cuenta los tablones de la BDT para el PO y los proyectos. Las Oficinas Regionales y Zonales de la UIT colaboran estrechamente con la Sede en la identificación, ejecución y supervisión del PO. La asignación presupuestaria y la evaluación del rendimiento se efectúan de forma conjunta. Ello incluye la entrega de resultados (productos y servicios del UIT-D) y de realizaciones (resultados) a los Estados Miembros, así como la atención a las necesidades específicas de cada país, en consonancia con las Prioridades y el Facilitador del UIT-D y las Resoluciones y las Iniciativas regionales adoptadas en la CMDT</w:t>
      </w:r>
      <w:r w:rsidRPr="007F2641">
        <w:rPr>
          <w:lang w:val="es-ES"/>
        </w:rPr>
        <w:noBreakHyphen/>
        <w:t>25. Este enfoque integrado mejora los resultados y las sinergias entre las actividades ordinarias y extrapresupuestarias.</w:t>
      </w:r>
    </w:p>
    <w:p w14:paraId="10D979CB" w14:textId="6C666C11" w:rsidR="00C668EB" w:rsidRPr="007F2641" w:rsidRDefault="00C668EB" w:rsidP="000809DB">
      <w:pPr>
        <w:rPr>
          <w:lang w:val="es-ES"/>
        </w:rPr>
      </w:pPr>
      <w:r w:rsidRPr="007F2641">
        <w:rPr>
          <w:lang w:val="es-ES"/>
        </w:rPr>
        <w:t>2.2.4</w:t>
      </w:r>
      <w:r w:rsidRPr="007F2641">
        <w:rPr>
          <w:lang w:val="es-ES"/>
        </w:rPr>
        <w:tab/>
        <w:t>Sobre la base de los resultados y los indicadores de realizaciones pertinentes, el PO se desarrolla, gestiona y documenta de forma conjunta por las Oficinas Regionales y Zonales y la Sede.</w:t>
      </w:r>
    </w:p>
    <w:p w14:paraId="02220876" w14:textId="082C76FA" w:rsidR="00C668EB" w:rsidRPr="007F2641" w:rsidRDefault="00C668EB" w:rsidP="000809DB">
      <w:pPr>
        <w:rPr>
          <w:lang w:val="es-ES"/>
        </w:rPr>
      </w:pPr>
      <w:r w:rsidRPr="007F2641">
        <w:rPr>
          <w:lang w:val="es-ES"/>
        </w:rPr>
        <w:t>2.2.5</w:t>
      </w:r>
      <w:r w:rsidRPr="007F2641">
        <w:rPr>
          <w:lang w:val="es-ES"/>
        </w:rPr>
        <w:tab/>
        <w:t xml:space="preserve">En lo que respecta a las actividades del PO, las Oficinas Regionales y Zonales son responsables de prestación de servicios a los Estados Miembros, al tiempo que los servicios de la BDT en la Sede garantizan el desarrollo de nuevos productos y la gestión de actividades en varias regiones. Para los proyectos específicos a una región o país, los gestores de </w:t>
      </w:r>
      <w:proofErr w:type="gramStart"/>
      <w:r w:rsidRPr="007F2641">
        <w:rPr>
          <w:lang w:val="es-ES"/>
        </w:rPr>
        <w:t>los mismos</w:t>
      </w:r>
      <w:proofErr w:type="gramEnd"/>
      <w:r w:rsidRPr="007F2641">
        <w:rPr>
          <w:lang w:val="es-ES"/>
        </w:rPr>
        <w:t xml:space="preserve"> residen en las Oficinas Regionales o Zonales. La aplicación de las actividades del PO y de los proyectos del UIT-D se mide de acuerdo con los indicadores adoptados en la CDMT</w:t>
      </w:r>
      <w:r w:rsidR="005067D1" w:rsidRPr="007F2641">
        <w:rPr>
          <w:lang w:val="es-ES"/>
        </w:rPr>
        <w:noBreakHyphen/>
      </w:r>
      <w:r w:rsidRPr="007F2641">
        <w:rPr>
          <w:lang w:val="es-ES"/>
        </w:rPr>
        <w:t>25.</w:t>
      </w:r>
    </w:p>
    <w:p w14:paraId="6EAB54AE" w14:textId="2CDD15DC" w:rsidR="00C668EB" w:rsidRPr="007F2641" w:rsidRDefault="00C668EB" w:rsidP="000809DB">
      <w:pPr>
        <w:rPr>
          <w:lang w:val="es-ES"/>
        </w:rPr>
      </w:pPr>
      <w:r w:rsidRPr="007F2641">
        <w:rPr>
          <w:lang w:val="es-ES"/>
        </w:rPr>
        <w:t>2.2.6</w:t>
      </w:r>
      <w:r w:rsidRPr="007F2641">
        <w:rPr>
          <w:lang w:val="es-ES"/>
        </w:rPr>
        <w:tab/>
        <w:t>En su 32</w:t>
      </w:r>
      <w:r w:rsidR="005067D1" w:rsidRPr="007F2641">
        <w:rPr>
          <w:lang w:val="es-ES"/>
        </w:rPr>
        <w:t>.</w:t>
      </w:r>
      <w:r w:rsidRPr="007F2641">
        <w:rPr>
          <w:lang w:val="es-ES"/>
        </w:rPr>
        <w:t xml:space="preserve">ª reunión, celebrada del 12 al 16 de mayo de 2025, el GADT examinó el Informe sobre la presencia regional reproducido en el Documento </w:t>
      </w:r>
      <w:hyperlink r:id="rId28" w:history="1">
        <w:r w:rsidRPr="007F2641">
          <w:rPr>
            <w:rStyle w:val="Hyperlink"/>
            <w:lang w:val="es-ES"/>
          </w:rPr>
          <w:t>TDAG-25/24</w:t>
        </w:r>
      </w:hyperlink>
      <w:r w:rsidRPr="007F2641">
        <w:rPr>
          <w:lang w:val="es-ES"/>
        </w:rPr>
        <w:t>. El GADT tomó nota del Informe y reconoció la importancia fundamental de las Oficinas Regionales y Zonales para la aplicación de las Iniciativas regionales y el Plan de Acción de Kigali, y confirmó su función complementaria en las actividades relacionadas con el desarrollo, así como las que llevan a cabo el UIT-T y el UIT-R. El GADT reconoció y alabó la estrecha colaboración que mantienen las Oficinas Regionales y la BDT, de la que se hizo gala en las sesiones dedicadas a los Directores Regionales y la influencia de su actividad en las regiones. El GADT tomó nota con satisfacción de las sinergias existentes entre las Oficinas Regionales y la BDT en términos de planificación, ejecución, supervisión y evaluación de las actividades y proyectos, que recibieron el reconocimiento de muchos Miembros en sus intervenciones. Toda revisión del fortalecimiento de la presencia regional debe tener debidamente en cuenta la Resolución 25 (Rev. Bucarest, 2022).</w:t>
      </w:r>
    </w:p>
    <w:p w14:paraId="3DDC91CC" w14:textId="389C65E0" w:rsidR="00C668EB" w:rsidRPr="007F2641" w:rsidRDefault="00C668EB" w:rsidP="003A2660">
      <w:pPr>
        <w:pStyle w:val="Heading2"/>
        <w:rPr>
          <w:lang w:val="es-ES"/>
        </w:rPr>
      </w:pPr>
      <w:r w:rsidRPr="007F2641">
        <w:rPr>
          <w:lang w:val="es-ES"/>
        </w:rPr>
        <w:t>2.3</w:t>
      </w:r>
      <w:r w:rsidRPr="007F2641">
        <w:rPr>
          <w:lang w:val="es-ES"/>
        </w:rPr>
        <w:tab/>
        <w:t>Examen de la presencia regional de la UIT</w:t>
      </w:r>
    </w:p>
    <w:p w14:paraId="51D20FF5" w14:textId="77777777" w:rsidR="00C668EB" w:rsidRPr="007F2641" w:rsidRDefault="00C668EB" w:rsidP="000809DB">
      <w:pPr>
        <w:rPr>
          <w:lang w:val="es-ES"/>
        </w:rPr>
      </w:pPr>
      <w:r w:rsidRPr="007F2641">
        <w:rPr>
          <w:lang w:val="es-ES"/>
        </w:rPr>
        <w:t>2.3.1</w:t>
      </w:r>
      <w:r w:rsidRPr="007F2641">
        <w:rPr>
          <w:lang w:val="es-ES"/>
        </w:rPr>
        <w:tab/>
        <w:t xml:space="preserve">De conformidad con las recomendaciones de la reunión de 2025 del Consejo (Informe del Presidente de la Comisión Permanente sobre Administración y Gestión, Documento </w:t>
      </w:r>
      <w:hyperlink r:id="rId29">
        <w:r w:rsidRPr="007F2641">
          <w:rPr>
            <w:rStyle w:val="Hyperlink"/>
            <w:lang w:val="es-ES"/>
          </w:rPr>
          <w:t>C25/105</w:t>
        </w:r>
      </w:hyperlink>
      <w:r w:rsidRPr="007F2641">
        <w:rPr>
          <w:lang w:val="es-ES"/>
        </w:rPr>
        <w:t>, § 26, Anexos H, A y 1</w:t>
      </w:r>
      <w:r w:rsidRPr="007F2641">
        <w:rPr>
          <w:rStyle w:val="FootnoteReference"/>
          <w:lang w:val="es-ES"/>
        </w:rPr>
        <w:footnoteReference w:id="1"/>
      </w:r>
      <w:r w:rsidRPr="007F2641">
        <w:rPr>
          <w:lang w:val="es-ES"/>
        </w:rPr>
        <w:t xml:space="preserve">), </w:t>
      </w:r>
      <w:r w:rsidRPr="007F2641">
        <w:rPr>
          <w:b/>
          <w:bCs/>
          <w:lang w:val="es-ES"/>
        </w:rPr>
        <w:t>se ha llevado a cabo el examen de la presencia regional de la UIT</w:t>
      </w:r>
      <w:r w:rsidRPr="007F2641">
        <w:rPr>
          <w:lang w:val="es-ES"/>
        </w:rPr>
        <w:t>.</w:t>
      </w:r>
    </w:p>
    <w:p w14:paraId="02BB0379" w14:textId="2E56EE89" w:rsidR="00C668EB" w:rsidRPr="007F2641" w:rsidRDefault="00C668EB" w:rsidP="000809DB">
      <w:pPr>
        <w:rPr>
          <w:lang w:val="es-ES"/>
        </w:rPr>
      </w:pPr>
      <w:r w:rsidRPr="007F2641">
        <w:rPr>
          <w:lang w:val="es-ES"/>
        </w:rPr>
        <w:t>2.3.2</w:t>
      </w:r>
      <w:r w:rsidRPr="007F2641">
        <w:rPr>
          <w:lang w:val="es-ES"/>
        </w:rPr>
        <w:tab/>
        <w:t>La BDT ha realizado las siguientes actividades desde julio de 2025:</w:t>
      </w:r>
    </w:p>
    <w:p w14:paraId="5B80E7C9" w14:textId="5EADE0ED" w:rsidR="00C668EB" w:rsidRPr="007F2641" w:rsidRDefault="00C668EB" w:rsidP="005067D1">
      <w:pPr>
        <w:pStyle w:val="enumlev1"/>
        <w:rPr>
          <w:lang w:val="es-ES"/>
        </w:rPr>
      </w:pPr>
      <w:r w:rsidRPr="007F2641">
        <w:rPr>
          <w:lang w:val="es-ES"/>
        </w:rPr>
        <w:t>a)</w:t>
      </w:r>
      <w:r w:rsidR="008F5D92" w:rsidRPr="007F2641">
        <w:rPr>
          <w:lang w:val="es-ES"/>
        </w:rPr>
        <w:tab/>
      </w:r>
      <w:r w:rsidRPr="007F2641">
        <w:rPr>
          <w:lang w:val="es-ES"/>
        </w:rPr>
        <w:t>Elaboración y puesta en marcha de la encuesta a los Miembros de la UIT</w:t>
      </w:r>
      <w:r w:rsidR="008F5D92" w:rsidRPr="007F2641">
        <w:rPr>
          <w:lang w:val="es-ES"/>
        </w:rPr>
        <w:t>;</w:t>
      </w:r>
    </w:p>
    <w:p w14:paraId="7B48F803" w14:textId="4F9ABCF6" w:rsidR="00C668EB" w:rsidRPr="007F2641" w:rsidRDefault="00C668EB" w:rsidP="008F5D92">
      <w:pPr>
        <w:pStyle w:val="enumlev1"/>
        <w:rPr>
          <w:lang w:val="es-ES"/>
        </w:rPr>
      </w:pPr>
      <w:r w:rsidRPr="007F2641">
        <w:rPr>
          <w:lang w:val="es-ES"/>
        </w:rPr>
        <w:t>b)</w:t>
      </w:r>
      <w:r w:rsidR="008F5D92" w:rsidRPr="007F2641">
        <w:rPr>
          <w:lang w:val="es-ES"/>
        </w:rPr>
        <w:tab/>
      </w:r>
      <w:r w:rsidRPr="007F2641">
        <w:rPr>
          <w:lang w:val="es-ES"/>
        </w:rPr>
        <w:t>Revisión documental</w:t>
      </w:r>
      <w:r w:rsidR="008F5D92" w:rsidRPr="007F2641">
        <w:rPr>
          <w:lang w:val="es-ES"/>
        </w:rPr>
        <w:t>;</w:t>
      </w:r>
    </w:p>
    <w:p w14:paraId="395F94CF" w14:textId="610A7DBB" w:rsidR="00C668EB" w:rsidRPr="007F2641" w:rsidRDefault="00C668EB" w:rsidP="008F5D92">
      <w:pPr>
        <w:pStyle w:val="enumlev1"/>
        <w:rPr>
          <w:lang w:val="es-ES"/>
        </w:rPr>
      </w:pPr>
      <w:r w:rsidRPr="007F2641">
        <w:rPr>
          <w:lang w:val="es-ES"/>
        </w:rPr>
        <w:t>c)</w:t>
      </w:r>
      <w:r w:rsidR="008F5D92" w:rsidRPr="007F2641">
        <w:rPr>
          <w:lang w:val="es-ES"/>
        </w:rPr>
        <w:tab/>
      </w:r>
      <w:r w:rsidRPr="007F2641">
        <w:rPr>
          <w:lang w:val="es-ES"/>
        </w:rPr>
        <w:t>Consulta a las partes interesadas, incluidas la elaboración y la puesta en marcha de la encuesta de evaluación interna y la realización de entrevistas a organizaciones regionales de telecomunicaciones</w:t>
      </w:r>
      <w:r w:rsidR="008F5D92" w:rsidRPr="007F2641">
        <w:rPr>
          <w:lang w:val="es-ES"/>
        </w:rPr>
        <w:t>;</w:t>
      </w:r>
    </w:p>
    <w:p w14:paraId="22DC9DA5" w14:textId="484A1FAC" w:rsidR="00C668EB" w:rsidRPr="007F2641" w:rsidRDefault="00C668EB" w:rsidP="008F5D92">
      <w:pPr>
        <w:pStyle w:val="enumlev1"/>
        <w:rPr>
          <w:lang w:val="es-ES"/>
        </w:rPr>
      </w:pPr>
      <w:r w:rsidRPr="007F2641">
        <w:rPr>
          <w:lang w:val="es-ES"/>
        </w:rPr>
        <w:t>d)</w:t>
      </w:r>
      <w:r w:rsidR="008F5D92" w:rsidRPr="007F2641">
        <w:rPr>
          <w:lang w:val="es-ES"/>
        </w:rPr>
        <w:tab/>
      </w:r>
      <w:r w:rsidRPr="007F2641">
        <w:rPr>
          <w:lang w:val="es-ES"/>
        </w:rPr>
        <w:t>Presentación de informes periódicos de conformidad con las instrucciones del Grupo de Trabajo del Consejo sobre Recursos Humanos y Financieros (GTC-RHF) y del Consejo.</w:t>
      </w:r>
    </w:p>
    <w:p w14:paraId="0498919F" w14:textId="01BBC323" w:rsidR="00C668EB" w:rsidRPr="007F2641" w:rsidRDefault="00C668EB" w:rsidP="000809DB">
      <w:pPr>
        <w:rPr>
          <w:lang w:val="es-ES"/>
        </w:rPr>
      </w:pPr>
      <w:r w:rsidRPr="007F2641">
        <w:rPr>
          <w:lang w:val="es-ES"/>
        </w:rPr>
        <w:t>2.3.3 El informe provisional sobre el examen de la presencia regional de la UIT (Doc.</w:t>
      </w:r>
      <w:r w:rsidR="008F5D92" w:rsidRPr="007F2641">
        <w:rPr>
          <w:lang w:val="es-ES"/>
        </w:rPr>
        <w:t> </w:t>
      </w:r>
      <w:hyperlink r:id="rId30">
        <w:r w:rsidRPr="007F2641">
          <w:rPr>
            <w:rStyle w:val="Hyperlink"/>
            <w:lang w:val="es-ES"/>
          </w:rPr>
          <w:t>CWG</w:t>
        </w:r>
        <w:r w:rsidR="008F5D92" w:rsidRPr="007F2641">
          <w:rPr>
            <w:rStyle w:val="Hyperlink"/>
            <w:lang w:val="es-ES"/>
          </w:rPr>
          <w:noBreakHyphen/>
        </w:r>
        <w:r w:rsidRPr="007F2641">
          <w:rPr>
            <w:rStyle w:val="Hyperlink"/>
            <w:lang w:val="es-ES"/>
          </w:rPr>
          <w:t>FHR-22/4</w:t>
        </w:r>
      </w:hyperlink>
      <w:r w:rsidRPr="007F2641">
        <w:rPr>
          <w:lang w:val="es-ES"/>
        </w:rPr>
        <w:t>) se presentó en la 22</w:t>
      </w:r>
      <w:r w:rsidR="008F5D92" w:rsidRPr="007F2641">
        <w:rPr>
          <w:lang w:val="es-ES"/>
        </w:rPr>
        <w:t>.ª</w:t>
      </w:r>
      <w:r w:rsidRPr="007F2641">
        <w:rPr>
          <w:lang w:val="es-ES"/>
        </w:rPr>
        <w:t xml:space="preserve"> reunión del GTC-RHF, celebrada el 16 de enero de 2026, acompañado del documento de información </w:t>
      </w:r>
      <w:hyperlink r:id="rId31">
        <w:r w:rsidRPr="007F2641">
          <w:rPr>
            <w:rStyle w:val="Hyperlink"/>
            <w:lang w:val="es-ES"/>
          </w:rPr>
          <w:t>CWG-FHR-22/INF/1</w:t>
        </w:r>
      </w:hyperlink>
      <w:r w:rsidRPr="007F2641">
        <w:rPr>
          <w:lang w:val="es-ES"/>
        </w:rPr>
        <w:t xml:space="preserve">, en el que se detallan iniciativas específicas de la BDT que fortalecen aún más la presencia regional. En la CMDT-25, que tuvo lugar el 24 de noviembre de 2025, se celebró una sesión especial sobre las conclusiones previas de la encuesta a los Miembros (Doc. </w:t>
      </w:r>
      <w:hyperlink r:id="rId32" w:history="1">
        <w:r w:rsidRPr="007F2641">
          <w:rPr>
            <w:rStyle w:val="Hyperlink"/>
            <w:lang w:val="es-ES"/>
          </w:rPr>
          <w:t>CWG-FHR-22/4</w:t>
        </w:r>
      </w:hyperlink>
      <w:r w:rsidRPr="007F2641">
        <w:rPr>
          <w:lang w:val="es-ES"/>
        </w:rPr>
        <w:t xml:space="preserve">, Anexo 2). Con el fin de recabar más información y obtener orientación estratégica sobre el futuro de la Presencia Regional de la UIT en el marco de consultas con los Grupos Asesores de la UIT, la BDT presentó el Informe provisional en las reuniones de 2026 del GANT (Doc. </w:t>
      </w:r>
      <w:hyperlink r:id="rId33">
        <w:r w:rsidRPr="007F2641">
          <w:rPr>
            <w:rStyle w:val="Hyperlink"/>
            <w:lang w:val="es-ES"/>
          </w:rPr>
          <w:t>TSAG-TD314</w:t>
        </w:r>
      </w:hyperlink>
      <w:r w:rsidRPr="007F2641">
        <w:rPr>
          <w:lang w:val="es-ES"/>
        </w:rPr>
        <w:t xml:space="preserve">), el GADT (Doc. </w:t>
      </w:r>
      <w:hyperlink r:id="rId34">
        <w:r w:rsidRPr="007F2641">
          <w:rPr>
            <w:rStyle w:val="Hyperlink"/>
            <w:lang w:val="es-ES"/>
          </w:rPr>
          <w:t>TDAG-26/16</w:t>
        </w:r>
      </w:hyperlink>
      <w:r w:rsidRPr="007F2641">
        <w:rPr>
          <w:lang w:val="es-ES"/>
        </w:rPr>
        <w:t xml:space="preserve">) y el GAR (Doc. </w:t>
      </w:r>
      <w:hyperlink r:id="rId35">
        <w:r w:rsidRPr="007F2641">
          <w:rPr>
            <w:rStyle w:val="Hyperlink"/>
            <w:lang w:val="es-ES"/>
          </w:rPr>
          <w:t>RAG/66</w:t>
        </w:r>
      </w:hyperlink>
      <w:r w:rsidRPr="007F2641">
        <w:rPr>
          <w:lang w:val="es-ES"/>
        </w:rPr>
        <w:t>). Tal y como se solicitó en la 22</w:t>
      </w:r>
      <w:r w:rsidR="008F5D92" w:rsidRPr="007F2641">
        <w:rPr>
          <w:lang w:val="es-ES"/>
        </w:rPr>
        <w:t>.ª</w:t>
      </w:r>
      <w:r w:rsidRPr="007F2641">
        <w:rPr>
          <w:lang w:val="es-ES"/>
        </w:rPr>
        <w:t xml:space="preserve"> reunión del GTC-RHF, el 5 de marzo de 2026 se celebró una reunión informativa sobre la presencia regional antes de la reunión de 2026 del Consejo. Esos esfuerzos dieron lugar a la elaboración del informe final sobre el examen de la presencia regional de la UIT, que se presentará en la reunión de 2026 del Consejo.</w:t>
      </w:r>
    </w:p>
    <w:p w14:paraId="4FA3AC32" w14:textId="12D7F336" w:rsidR="00C668EB" w:rsidRPr="007F2641" w:rsidRDefault="00C668EB" w:rsidP="003A2660">
      <w:pPr>
        <w:pStyle w:val="Heading2"/>
        <w:rPr>
          <w:lang w:val="es-ES"/>
        </w:rPr>
      </w:pPr>
      <w:r w:rsidRPr="007F2641">
        <w:rPr>
          <w:lang w:val="es-ES"/>
        </w:rPr>
        <w:t>2.4</w:t>
      </w:r>
      <w:r w:rsidRPr="007F2641">
        <w:rPr>
          <w:lang w:val="es-ES"/>
        </w:rPr>
        <w:tab/>
        <w:t>Colaboración de las Oficinas Regionales y Zonales en la ejecución de proyectos del</w:t>
      </w:r>
      <w:r w:rsidR="008F5D92" w:rsidRPr="007F2641">
        <w:rPr>
          <w:lang w:val="es-ES"/>
        </w:rPr>
        <w:t> </w:t>
      </w:r>
      <w:r w:rsidRPr="007F2641">
        <w:rPr>
          <w:lang w:val="es-ES"/>
        </w:rPr>
        <w:t>UIT-D</w:t>
      </w:r>
    </w:p>
    <w:p w14:paraId="5511DD4B" w14:textId="77777777" w:rsidR="00C668EB" w:rsidRPr="007F2641" w:rsidRDefault="00C668EB" w:rsidP="000809DB">
      <w:pPr>
        <w:rPr>
          <w:lang w:val="es-ES"/>
        </w:rPr>
      </w:pPr>
      <w:r w:rsidRPr="007F2641">
        <w:rPr>
          <w:lang w:val="es-ES"/>
        </w:rPr>
        <w:t>2.4.1</w:t>
      </w:r>
      <w:r w:rsidRPr="007F2641">
        <w:rPr>
          <w:lang w:val="es-ES"/>
        </w:rPr>
        <w:tab/>
        <w:t>Los proyectos del UIT-D, diseñados para facilitar y mejorar el desarrollo de las telecomunicaciones y TIC mediante cooperación y asistencia técnicas, se llevan a cabo en las seis regiones de la UIT. La BDT es responsable de las actividades de diseño, desarrollo, ejecución y evaluación.</w:t>
      </w:r>
    </w:p>
    <w:p w14:paraId="29636C00" w14:textId="77777777" w:rsidR="00C668EB" w:rsidRPr="007F2641" w:rsidRDefault="00C668EB" w:rsidP="000809DB">
      <w:pPr>
        <w:rPr>
          <w:lang w:val="es-ES"/>
        </w:rPr>
      </w:pPr>
      <w:r w:rsidRPr="007F2641">
        <w:rPr>
          <w:lang w:val="es-ES"/>
        </w:rPr>
        <w:t>2.4.2</w:t>
      </w:r>
      <w:r w:rsidRPr="007F2641">
        <w:rPr>
          <w:lang w:val="es-ES"/>
        </w:rPr>
        <w:tab/>
        <w:t>Las Oficinas Regionales y Zonales desempeñan un papel esencial en materia de colaboración de la UIT para con los gobiernos e interesados locales, al trabajar en estrecha colaboración con la Sede para identificar, ejecutar y supervisar proyectos de asistencia técnica, productos y servicios del UIT-D, respondiendo a las necesidades específicas de cada país conforme al Plan de Acción y las iniciativas regionales. Este enfoque integrado, que aprovecha la sinergia entre actividades ordinarias y extrapresupuestarias, permite a la BDT ofrecer un mejor servicio a los Estados Miembros.</w:t>
      </w:r>
    </w:p>
    <w:p w14:paraId="66330919" w14:textId="77777777" w:rsidR="00C668EB" w:rsidRPr="007F2641" w:rsidRDefault="00C668EB" w:rsidP="000809DB">
      <w:pPr>
        <w:rPr>
          <w:lang w:val="es-ES"/>
        </w:rPr>
      </w:pPr>
      <w:r w:rsidRPr="007F2641">
        <w:rPr>
          <w:lang w:val="es-ES"/>
        </w:rPr>
        <w:t xml:space="preserve">2.4.3 </w:t>
      </w:r>
      <w:r w:rsidRPr="007F2641">
        <w:rPr>
          <w:lang w:val="es-ES"/>
        </w:rPr>
        <w:tab/>
        <w:t>La BDT ha reforzado la gestión de proyectos mediante la formación de directores de proyecto, el establecimiento de una clara gobernanza a través de la Junta de Proyectos de la BDT, la mejora de la presentación de informes a los asociados de financiación y la optimización de los sistemas de supervisión. Los proyectos se supervisan de forma continuada y se informa de ellos trimestralmente mediante paneles de control e informes de evaluación, con el fin de facilitar la toma de decisiones basada en datos. Dicha Junta de Proyectos garantiza la coherencia con el Plan de Acción y la gobernanza adecuada del conjunto de proyectos. Los informes trimestrales son revisados y evaluados por equipos independientes (Apoyo a proyectos) que no participan en la ejecución, con el fin de obtener una evaluación imparcial de los avances.</w:t>
      </w:r>
    </w:p>
    <w:p w14:paraId="4EF100C3" w14:textId="52E779CB" w:rsidR="00C668EB" w:rsidRPr="007F2641" w:rsidRDefault="00C668EB" w:rsidP="000809DB">
      <w:pPr>
        <w:rPr>
          <w:lang w:val="es-ES"/>
        </w:rPr>
      </w:pPr>
      <w:r w:rsidRPr="007F2641">
        <w:rPr>
          <w:lang w:val="es-ES"/>
        </w:rPr>
        <w:t xml:space="preserve">2.4.4 </w:t>
      </w:r>
      <w:r w:rsidRPr="007F2641">
        <w:rPr>
          <w:lang w:val="es-ES"/>
        </w:rPr>
        <w:tab/>
        <w:t xml:space="preserve">A raíz de la CMDT-22, la BDT movilizó recursos extrapresupuestarios y desarrolló y ejecutó 91 proyectos que generaron 51 millones de francos suizos durante el período trienal del KAP, lo que contribuyó a la aplicación de las prioridades e Iniciativas Regionales a tenor de las necesidades específicas de las regiones. Para cada región, los proyectos de la BDT contribuyen al desarrollo de una gran variedad de productos y servicios en consonancia con las Prioridades y los Facilitadores del UIT-D definidos en el marco del KAP, así como con el Plan Estratégico de la UIT. Los proyectos de la BDT ejecutados o en curso de realización en el marco de cada Iniciativa Regional para 2023-2025 figuran en el Documento de Información </w:t>
      </w:r>
      <w:hyperlink r:id="rId36" w:history="1">
        <w:r w:rsidRPr="007F2641">
          <w:rPr>
            <w:rStyle w:val="Hyperlink"/>
            <w:lang w:val="es-ES"/>
          </w:rPr>
          <w:t>TDAG-25/INF/4</w:t>
        </w:r>
      </w:hyperlink>
      <w:r w:rsidRPr="007F2641">
        <w:rPr>
          <w:lang w:val="es-ES"/>
        </w:rPr>
        <w:t>.</w:t>
      </w:r>
    </w:p>
    <w:p w14:paraId="0EB71C46" w14:textId="13210CEC" w:rsidR="00C668EB" w:rsidRPr="007F2641" w:rsidRDefault="00C668EB" w:rsidP="000809DB">
      <w:pPr>
        <w:rPr>
          <w:lang w:val="es-ES"/>
        </w:rPr>
      </w:pPr>
      <w:r w:rsidRPr="007F2641">
        <w:rPr>
          <w:lang w:val="es-ES"/>
        </w:rPr>
        <w:t xml:space="preserve">2.4.5 </w:t>
      </w:r>
      <w:r w:rsidRPr="007F2641">
        <w:rPr>
          <w:lang w:val="es-ES"/>
        </w:rPr>
        <w:tab/>
        <w:t xml:space="preserve">Tras la adopción del BAP, aprobaron Resoluciones e Iniciativas Regionales nuevas o modificadas para su aplicación de 2026 a 2029. El documento </w:t>
      </w:r>
      <w:hyperlink r:id="rId37" w:history="1">
        <w:r w:rsidRPr="007F2641">
          <w:rPr>
            <w:rStyle w:val="Hyperlink"/>
            <w:lang w:val="es-ES"/>
          </w:rPr>
          <w:t>TDAG-26/4</w:t>
        </w:r>
      </w:hyperlink>
      <w:r w:rsidRPr="007F2641">
        <w:rPr>
          <w:lang w:val="es-ES"/>
        </w:rPr>
        <w:t xml:space="preserve"> se presentan las repercusiones financieras de las Resoluciones adoptadas por la CMDT-25, al tiempo que el documento </w:t>
      </w:r>
      <w:hyperlink r:id="rId38" w:history="1">
        <w:r w:rsidRPr="007F2641">
          <w:rPr>
            <w:rStyle w:val="Hyperlink"/>
            <w:lang w:val="es-ES"/>
          </w:rPr>
          <w:t>TDAG-26/19</w:t>
        </w:r>
      </w:hyperlink>
      <w:r w:rsidRPr="007F2641">
        <w:rPr>
          <w:lang w:val="es-ES"/>
        </w:rPr>
        <w:t xml:space="preserve"> recoge las repercusiones financieras de las Iniciativas Regionales recientemente adoptadas. Se amplía información sobre los proyectos del UIT-D en los documentos </w:t>
      </w:r>
      <w:hyperlink r:id="rId39" w:history="1">
        <w:r w:rsidRPr="007F2641">
          <w:rPr>
            <w:rStyle w:val="Hyperlink"/>
            <w:lang w:val="es-ES"/>
          </w:rPr>
          <w:t>TDAG-25/5</w:t>
        </w:r>
      </w:hyperlink>
      <w:r w:rsidRPr="007F2641">
        <w:rPr>
          <w:lang w:val="es-ES"/>
        </w:rPr>
        <w:t xml:space="preserve"> y </w:t>
      </w:r>
      <w:hyperlink r:id="rId40" w:history="1">
        <w:r w:rsidRPr="007F2641">
          <w:rPr>
            <w:rStyle w:val="Hyperlink"/>
            <w:lang w:val="es-ES"/>
          </w:rPr>
          <w:t>TDAG</w:t>
        </w:r>
        <w:r w:rsidRPr="007F2641">
          <w:rPr>
            <w:rStyle w:val="Hyperlink"/>
            <w:lang w:val="es-ES"/>
          </w:rPr>
          <w:noBreakHyphen/>
          <w:t>26/8</w:t>
        </w:r>
      </w:hyperlink>
      <w:r w:rsidRPr="007F2641">
        <w:rPr>
          <w:lang w:val="es-ES"/>
        </w:rPr>
        <w:t>.</w:t>
      </w:r>
    </w:p>
    <w:p w14:paraId="21C45E55" w14:textId="77777777" w:rsidR="00C668EB" w:rsidRPr="007F2641" w:rsidRDefault="00C668EB" w:rsidP="00C668EB">
      <w:pPr>
        <w:pStyle w:val="Heading1"/>
        <w:rPr>
          <w:lang w:val="es-ES"/>
        </w:rPr>
      </w:pPr>
      <w:r w:rsidRPr="007F2641">
        <w:rPr>
          <w:lang w:val="es-ES"/>
        </w:rPr>
        <w:t>3</w:t>
      </w:r>
      <w:r w:rsidRPr="007F2641">
        <w:rPr>
          <w:lang w:val="es-ES"/>
        </w:rPr>
        <w:tab/>
        <w:t>Actividades relacionadas con otros Sectores y Oficinas de la UIT</w:t>
      </w:r>
    </w:p>
    <w:p w14:paraId="05639F80" w14:textId="77777777" w:rsidR="00C668EB" w:rsidRPr="007F2641" w:rsidRDefault="00C668EB" w:rsidP="00C668EB">
      <w:pPr>
        <w:pStyle w:val="Heading2"/>
        <w:rPr>
          <w:lang w:val="es-ES"/>
        </w:rPr>
      </w:pPr>
      <w:r w:rsidRPr="007F2641">
        <w:rPr>
          <w:lang w:val="es-ES"/>
        </w:rPr>
        <w:t>3.1</w:t>
      </w:r>
      <w:r w:rsidRPr="007F2641">
        <w:rPr>
          <w:lang w:val="es-ES"/>
        </w:rPr>
        <w:tab/>
        <w:t>Colaboración general</w:t>
      </w:r>
    </w:p>
    <w:p w14:paraId="59EAA2F4" w14:textId="77777777" w:rsidR="00C668EB" w:rsidRPr="007F2641" w:rsidRDefault="00C668EB" w:rsidP="00C668EB">
      <w:pPr>
        <w:rPr>
          <w:lang w:val="es-ES"/>
        </w:rPr>
      </w:pPr>
      <w:r w:rsidRPr="007F2641">
        <w:rPr>
          <w:lang w:val="es-ES"/>
        </w:rPr>
        <w:t>La BDT, en coordinación y estrecha colaboración con la BR, la TSB y la Secretaría General, fortalece de forma continuada la presencia regional de la UIT y mejora su prestación de servicios a los Estados Miembros.</w:t>
      </w:r>
    </w:p>
    <w:p w14:paraId="197A3FFD" w14:textId="3F376F1E" w:rsidR="00C668EB" w:rsidRPr="007F2641" w:rsidRDefault="00C668EB" w:rsidP="00C668EB">
      <w:pPr>
        <w:pStyle w:val="Heading2"/>
        <w:rPr>
          <w:lang w:val="es-ES"/>
        </w:rPr>
      </w:pPr>
      <w:r w:rsidRPr="007F2641">
        <w:rPr>
          <w:lang w:val="es-ES"/>
        </w:rPr>
        <w:t>3.2</w:t>
      </w:r>
      <w:r w:rsidRPr="007F2641">
        <w:rPr>
          <w:lang w:val="es-ES"/>
        </w:rPr>
        <w:tab/>
        <w:t>Oficina Regional para África (OR-</w:t>
      </w:r>
      <w:proofErr w:type="gramStart"/>
      <w:r w:rsidRPr="007F2641">
        <w:rPr>
          <w:lang w:val="es-ES"/>
        </w:rPr>
        <w:t>AFR)/</w:t>
      </w:r>
      <w:proofErr w:type="gramEnd"/>
      <w:r w:rsidRPr="007F2641">
        <w:rPr>
          <w:lang w:val="es-ES"/>
        </w:rPr>
        <w:t>Actividades en África</w:t>
      </w:r>
    </w:p>
    <w:p w14:paraId="01F57C1E" w14:textId="77777777" w:rsidR="00C668EB" w:rsidRPr="007F2641" w:rsidRDefault="00C668EB" w:rsidP="00C668EB">
      <w:pPr>
        <w:pStyle w:val="Headingb"/>
        <w:rPr>
          <w:lang w:val="es-ES"/>
        </w:rPr>
      </w:pPr>
      <w:r w:rsidRPr="007F2641">
        <w:rPr>
          <w:lang w:val="es-ES"/>
        </w:rPr>
        <w:t>Actividades relacionadas con la BR</w:t>
      </w:r>
    </w:p>
    <w:p w14:paraId="41A74F02" w14:textId="5D67B5C4" w:rsidR="00C668EB" w:rsidRPr="007F2641" w:rsidRDefault="00C668EB" w:rsidP="00D93B76">
      <w:pPr>
        <w:pStyle w:val="enumlev1"/>
        <w:rPr>
          <w:lang w:val="es-ES"/>
        </w:rPr>
      </w:pPr>
      <w:r w:rsidRPr="007F2641">
        <w:rPr>
          <w:lang w:val="es-ES"/>
        </w:rPr>
        <w:t>–</w:t>
      </w:r>
      <w:r w:rsidRPr="007F2641">
        <w:rPr>
          <w:lang w:val="es-ES"/>
        </w:rPr>
        <w:tab/>
        <w:t xml:space="preserve">La OR-AFR brindó su apoyo a la organización del </w:t>
      </w:r>
      <w:hyperlink r:id="rId41" w:history="1">
        <w:r w:rsidRPr="007F2641">
          <w:rPr>
            <w:rStyle w:val="Hyperlink"/>
            <w:rFonts w:eastAsia="Times New Roman" w:cs="Times New Roman"/>
            <w:szCs w:val="20"/>
            <w:lang w:val="es-ES"/>
          </w:rPr>
          <w:t>Seminario Regional de Radiocomunicaciones de la UIT para África</w:t>
        </w:r>
      </w:hyperlink>
      <w:r w:rsidRPr="007F2641">
        <w:rPr>
          <w:lang w:val="es-ES"/>
        </w:rPr>
        <w:t>, del 5 al 8 de mayo de 2025, en Djibouti.</w:t>
      </w:r>
    </w:p>
    <w:p w14:paraId="4A8EDDD7" w14:textId="1E7F9B16" w:rsidR="00C668EB" w:rsidRPr="007F2641" w:rsidRDefault="00C668EB" w:rsidP="00D93B76">
      <w:pPr>
        <w:pStyle w:val="enumlev1"/>
        <w:rPr>
          <w:lang w:val="es-ES"/>
        </w:rPr>
      </w:pPr>
      <w:r w:rsidRPr="007F2641">
        <w:rPr>
          <w:lang w:val="es-ES"/>
        </w:rPr>
        <w:t>–</w:t>
      </w:r>
      <w:r w:rsidRPr="007F2641">
        <w:rPr>
          <w:lang w:val="es-ES"/>
        </w:rPr>
        <w:tab/>
        <w:t xml:space="preserve">La OR-AFR, en colaboración con la GSMA, la Comunidad del África Oriental (EAC) y la Autoridad Intergubernamental para el Desarrollo (IGAD), y con el apoyo del Banco Mundial a través del Proyecto de Integración Digital Regional del África Oriental (EARDIP), organizó un taller el 20 de octubre de 2025 en Kigali, Rwanda, sobre </w:t>
      </w:r>
      <w:hyperlink r:id="rId42" w:history="1">
        <w:r w:rsidRPr="007F2641">
          <w:rPr>
            <w:rStyle w:val="Hyperlink"/>
            <w:rFonts w:eastAsia="Times New Roman" w:cs="Times New Roman"/>
            <w:szCs w:val="20"/>
            <w:lang w:val="es-ES"/>
          </w:rPr>
          <w:t>gestión del espectro para facilitar la armonización regional con miras a fomentar la conectividad transfronteriza en África oriental</w:t>
        </w:r>
      </w:hyperlink>
      <w:r w:rsidRPr="007F2641">
        <w:rPr>
          <w:lang w:val="es-ES"/>
        </w:rPr>
        <w:t>. Con la participación de 42 asistentes de Burundi, la República Democrática del Congo, Yibuti, Etiopía, Kenya, Rwanda, Somalia, Sudán, Sudán del Sur, Tanzan</w:t>
      </w:r>
      <w:r w:rsidR="00D93B76" w:rsidRPr="007F2641">
        <w:rPr>
          <w:lang w:val="es-ES"/>
        </w:rPr>
        <w:t>í</w:t>
      </w:r>
      <w:r w:rsidRPr="007F2641">
        <w:rPr>
          <w:lang w:val="es-ES"/>
        </w:rPr>
        <w:t>a y Uganda, la formación sobre gestión del espectro hizo hincapié en la integración regional y la coordinación transfronteriza en África oriental, y capacitó a organismos de reglamentación y encargados de la formulación de políticas en la aplicación de modelos de gobernanza del espectro interoperables, resilientes y orientados al futuro más allá de las fronteras nacionales. En colaboración con la BR, se impartió formación sobre los aspectos normativos de la coordinación de las IMT y la notificación a la UIT; la armonización regional de bandas de frecuencias y las condiciones técnicas; y la experiencia de la UIT en su función de coordinación transfronteriza del espectro para la normalización de tecnologías de banda ancha terrenal.</w:t>
      </w:r>
    </w:p>
    <w:p w14:paraId="65E150FA" w14:textId="77777777" w:rsidR="00C668EB" w:rsidRPr="007F2641" w:rsidRDefault="00C668EB" w:rsidP="003A2660">
      <w:pPr>
        <w:pStyle w:val="Headingb"/>
        <w:rPr>
          <w:lang w:val="es-ES"/>
        </w:rPr>
      </w:pPr>
      <w:r w:rsidRPr="007F2641">
        <w:rPr>
          <w:lang w:val="es-ES"/>
        </w:rPr>
        <w:t>Actividades relacionadas con la TSB</w:t>
      </w:r>
    </w:p>
    <w:p w14:paraId="0FEC78CA" w14:textId="77777777" w:rsidR="00C668EB" w:rsidRPr="007F2641" w:rsidRDefault="00C668EB" w:rsidP="00D93B76">
      <w:pPr>
        <w:pStyle w:val="enumlev1"/>
        <w:rPr>
          <w:lang w:val="es-ES"/>
        </w:rPr>
      </w:pPr>
      <w:r w:rsidRPr="007F2641">
        <w:rPr>
          <w:lang w:val="es-ES"/>
        </w:rPr>
        <w:t>–</w:t>
      </w:r>
      <w:r w:rsidRPr="007F2641">
        <w:rPr>
          <w:lang w:val="es-ES"/>
        </w:rPr>
        <w:tab/>
        <w:t>En colaboración con la TSB, se celebró una serie de talleres prácticos sobre seguridad de los servicios financieros digitales (SFD) en Gambia, Sudán del Sur, Ghana, Zimbabwe, Malawi, Lesotho, Etiopía, Eswatini, Sierra Leona, Burkina Faso y Gabón.</w:t>
      </w:r>
    </w:p>
    <w:p w14:paraId="7DE29B6C" w14:textId="05DE3AB8" w:rsidR="00C668EB" w:rsidRPr="007F2641" w:rsidRDefault="00C668EB" w:rsidP="00D93B76">
      <w:pPr>
        <w:pStyle w:val="enumlev1"/>
        <w:rPr>
          <w:lang w:val="es-ES"/>
        </w:rPr>
      </w:pPr>
      <w:r w:rsidRPr="007F2641">
        <w:rPr>
          <w:lang w:val="es-ES"/>
        </w:rPr>
        <w:t>–</w:t>
      </w:r>
      <w:r w:rsidRPr="007F2641">
        <w:rPr>
          <w:lang w:val="es-ES"/>
        </w:rPr>
        <w:tab/>
        <w:t>La OR-AFR, en colaboración con la GSMA, coordinó en Benín un taller celebrado el 5 de septiembre de 2025, en el que la TSB impartió una formación sobre la calidad del servicio y las recomendaciones pertinentes adoptadas por la UIT.</w:t>
      </w:r>
    </w:p>
    <w:p w14:paraId="7971675B" w14:textId="6A3B2A92" w:rsidR="00C668EB" w:rsidRPr="007F2641" w:rsidRDefault="00D93B76" w:rsidP="00D93B76">
      <w:pPr>
        <w:pStyle w:val="enumlev1"/>
        <w:rPr>
          <w:lang w:val="es-ES"/>
        </w:rPr>
      </w:pPr>
      <w:r w:rsidRPr="007F2641">
        <w:rPr>
          <w:lang w:val="es-ES"/>
        </w:rPr>
        <w:t>–</w:t>
      </w:r>
      <w:r w:rsidRPr="007F2641">
        <w:rPr>
          <w:lang w:val="es-ES"/>
        </w:rPr>
        <w:tab/>
      </w:r>
      <w:r w:rsidR="00C668EB" w:rsidRPr="007F2641">
        <w:rPr>
          <w:lang w:val="es-ES"/>
        </w:rPr>
        <w:t>Tres miembros del personal de la TSB se destinaron a la OR-AFR para prestar asistencia a los Miembros en tareas relacionadas con la normalización.</w:t>
      </w:r>
    </w:p>
    <w:p w14:paraId="0E970845" w14:textId="77777777" w:rsidR="00C668EB" w:rsidRPr="007F2641" w:rsidRDefault="00C668EB" w:rsidP="00C668EB">
      <w:pPr>
        <w:pStyle w:val="Heading2"/>
        <w:rPr>
          <w:lang w:val="es-ES"/>
        </w:rPr>
      </w:pPr>
      <w:r w:rsidRPr="007F2641">
        <w:rPr>
          <w:lang w:val="es-ES"/>
        </w:rPr>
        <w:t>3.3</w:t>
      </w:r>
      <w:r w:rsidRPr="007F2641">
        <w:rPr>
          <w:lang w:val="es-ES"/>
        </w:rPr>
        <w:tab/>
        <w:t>Oficina Regional para las Américas (OR-</w:t>
      </w:r>
      <w:proofErr w:type="gramStart"/>
      <w:r w:rsidRPr="007F2641">
        <w:rPr>
          <w:lang w:val="es-ES"/>
        </w:rPr>
        <w:t>AMS)/</w:t>
      </w:r>
      <w:proofErr w:type="gramEnd"/>
      <w:r w:rsidRPr="007F2641">
        <w:rPr>
          <w:lang w:val="es-ES"/>
        </w:rPr>
        <w:t>Actividades en las Américas</w:t>
      </w:r>
    </w:p>
    <w:p w14:paraId="5324FC6F" w14:textId="77777777" w:rsidR="00C668EB" w:rsidRPr="007F2641" w:rsidRDefault="00C668EB" w:rsidP="00C668EB">
      <w:pPr>
        <w:pStyle w:val="Headingb"/>
        <w:rPr>
          <w:lang w:val="es-ES"/>
        </w:rPr>
      </w:pPr>
      <w:r w:rsidRPr="007F2641">
        <w:rPr>
          <w:lang w:val="es-ES"/>
        </w:rPr>
        <w:t>Actividades relacionadas con la BR</w:t>
      </w:r>
    </w:p>
    <w:p w14:paraId="4CF4FF19" w14:textId="77777777" w:rsidR="00C668EB" w:rsidRPr="007F2641" w:rsidRDefault="00C668EB" w:rsidP="00D93B76">
      <w:pPr>
        <w:pStyle w:val="enumlev1"/>
        <w:rPr>
          <w:lang w:val="es-ES"/>
        </w:rPr>
      </w:pPr>
      <w:r w:rsidRPr="007F2641">
        <w:rPr>
          <w:lang w:val="es-ES"/>
        </w:rPr>
        <w:t>–</w:t>
      </w:r>
      <w:r w:rsidRPr="007F2641">
        <w:rPr>
          <w:lang w:val="es-ES"/>
        </w:rPr>
        <w:tab/>
        <w:t>Se desplegaron equipos de satélite en Jamaica (2025) para ayudar en las actividades de respuesta a los huracanes. Se habían establecido previamente equipos de satélite en Barbados, antes de la estación de huracanes de 2024.</w:t>
      </w:r>
    </w:p>
    <w:p w14:paraId="6DEB3493" w14:textId="3A34967F" w:rsidR="00C668EB" w:rsidRPr="007F2641" w:rsidRDefault="00C668EB" w:rsidP="00D93B76">
      <w:pPr>
        <w:pStyle w:val="enumlev1"/>
        <w:rPr>
          <w:lang w:val="es-ES"/>
        </w:rPr>
      </w:pPr>
      <w:r w:rsidRPr="007F2641">
        <w:rPr>
          <w:lang w:val="es-ES"/>
        </w:rPr>
        <w:t>–</w:t>
      </w:r>
      <w:r w:rsidRPr="007F2641">
        <w:rPr>
          <w:lang w:val="es-ES"/>
        </w:rPr>
        <w:tab/>
        <w:t xml:space="preserve">La OR-AMS colaboró en la organización del </w:t>
      </w:r>
      <w:hyperlink r:id="rId43" w:history="1">
        <w:r w:rsidRPr="007F2641">
          <w:rPr>
            <w:rStyle w:val="Hyperlink"/>
            <w:rFonts w:eastAsia="Times New Roman" w:cs="Times New Roman"/>
            <w:szCs w:val="20"/>
            <w:lang w:val="es-ES"/>
          </w:rPr>
          <w:t>Seminario Regional de Radiocomunicaciones para América</w:t>
        </w:r>
      </w:hyperlink>
      <w:r w:rsidRPr="007F2641">
        <w:rPr>
          <w:lang w:val="es-ES"/>
        </w:rPr>
        <w:t>, celebrado del 12 al 16 de junio de 2025 en Tegucigalpa (Honduras), con el fin de brindar asistencia a los Estados miembros en la integración de la tecnología de satélite en sus estrategias nacionales de banda ancha.</w:t>
      </w:r>
    </w:p>
    <w:p w14:paraId="734CEB14" w14:textId="77777777" w:rsidR="00C668EB" w:rsidRPr="007F2641" w:rsidRDefault="00C668EB" w:rsidP="00D93B76">
      <w:pPr>
        <w:pStyle w:val="enumlev1"/>
        <w:rPr>
          <w:lang w:val="es-ES"/>
        </w:rPr>
      </w:pPr>
      <w:r w:rsidRPr="007F2641">
        <w:rPr>
          <w:lang w:val="es-ES"/>
        </w:rPr>
        <w:t>–</w:t>
      </w:r>
      <w:r w:rsidRPr="007F2641">
        <w:rPr>
          <w:lang w:val="es-ES"/>
        </w:rPr>
        <w:tab/>
        <w:t>La BDT colaboró en diversos programas de capacitación sobre gestión del espectro radioeléctrico con varios centros de formación de la Academia de la UIT en Perú y Brasil, incluidos ocho cursos relativos a la tecnología 5G que se impartieron en Costa Rica de septiembre a octubre de 2025.</w:t>
      </w:r>
    </w:p>
    <w:p w14:paraId="68E34BE2" w14:textId="25A5D12C" w:rsidR="00C668EB" w:rsidRPr="007F2641" w:rsidRDefault="00C668EB" w:rsidP="00D93B76">
      <w:pPr>
        <w:pStyle w:val="enumlev1"/>
        <w:rPr>
          <w:lang w:val="es-ES"/>
        </w:rPr>
      </w:pPr>
      <w:r w:rsidRPr="007F2641">
        <w:rPr>
          <w:lang w:val="es-ES"/>
        </w:rPr>
        <w:t>–</w:t>
      </w:r>
      <w:r w:rsidR="00D93B76" w:rsidRPr="007F2641">
        <w:rPr>
          <w:lang w:val="es-ES"/>
        </w:rPr>
        <w:tab/>
        <w:t xml:space="preserve">En </w:t>
      </w:r>
      <w:r w:rsidRPr="007F2641">
        <w:rPr>
          <w:lang w:val="es-ES"/>
        </w:rPr>
        <w:t>diciembre de 2025, la BDT facilitó en Colombia el Plan General para la Interrupción de las Emisiones de Televisión Analógica (PGCEA).</w:t>
      </w:r>
    </w:p>
    <w:p w14:paraId="72E31369" w14:textId="3830F37F" w:rsidR="00C668EB" w:rsidRPr="007F2641" w:rsidRDefault="00C668EB" w:rsidP="00D93B76">
      <w:pPr>
        <w:pStyle w:val="enumlev1"/>
        <w:rPr>
          <w:lang w:val="es-ES"/>
        </w:rPr>
      </w:pPr>
      <w:r w:rsidRPr="007F2641">
        <w:rPr>
          <w:lang w:val="es-ES"/>
        </w:rPr>
        <w:t>–</w:t>
      </w:r>
      <w:r w:rsidR="00D93B76" w:rsidRPr="007F2641">
        <w:rPr>
          <w:lang w:val="es-ES"/>
        </w:rPr>
        <w:tab/>
      </w:r>
      <w:r w:rsidRPr="007F2641">
        <w:rPr>
          <w:lang w:val="es-ES"/>
        </w:rPr>
        <w:t>Se prestó asistencia técnica a la República Dominicana (2025) para establecer una hoja de ruta destinada a la implementación de un sistema de cartografía.</w:t>
      </w:r>
    </w:p>
    <w:p w14:paraId="0C6C9C15" w14:textId="77777777" w:rsidR="00C668EB" w:rsidRPr="007F2641" w:rsidRDefault="00C668EB" w:rsidP="00C668EB">
      <w:pPr>
        <w:pStyle w:val="Headingb"/>
        <w:rPr>
          <w:lang w:val="es-ES"/>
        </w:rPr>
      </w:pPr>
      <w:r w:rsidRPr="007F2641">
        <w:rPr>
          <w:lang w:val="es-ES"/>
        </w:rPr>
        <w:t>Actividades relacionadas con la TSB</w:t>
      </w:r>
    </w:p>
    <w:p w14:paraId="3DAC8BB3" w14:textId="77777777" w:rsidR="00C668EB" w:rsidRPr="007F2641" w:rsidRDefault="00C668EB" w:rsidP="00C668EB">
      <w:pPr>
        <w:pStyle w:val="enumlev1"/>
        <w:rPr>
          <w:lang w:val="es-ES"/>
        </w:rPr>
      </w:pPr>
      <w:r w:rsidRPr="007F2641">
        <w:rPr>
          <w:lang w:val="es-ES"/>
        </w:rPr>
        <w:t>–</w:t>
      </w:r>
      <w:r w:rsidRPr="007F2641">
        <w:rPr>
          <w:lang w:val="es-ES"/>
        </w:rPr>
        <w:tab/>
        <w:t xml:space="preserve">A través de la OR-AMS, la BDT ha promovido la </w:t>
      </w:r>
      <w:proofErr w:type="gramStart"/>
      <w:r w:rsidRPr="007F2641">
        <w:rPr>
          <w:lang w:val="es-ES"/>
        </w:rPr>
        <w:t>participación activa</w:t>
      </w:r>
      <w:proofErr w:type="gramEnd"/>
      <w:r w:rsidRPr="007F2641">
        <w:rPr>
          <w:lang w:val="es-ES"/>
        </w:rPr>
        <w:t xml:space="preserve"> de los Estados Miembros de las Américas y de los miembros de la industria en las Comisiones de Estudio de la TSB en diversas reuniones.</w:t>
      </w:r>
    </w:p>
    <w:p w14:paraId="1F78231A" w14:textId="77777777" w:rsidR="00C668EB" w:rsidRPr="007F2641" w:rsidRDefault="00C668EB" w:rsidP="00C668EB">
      <w:pPr>
        <w:pStyle w:val="enumlev1"/>
        <w:rPr>
          <w:rFonts w:eastAsia="Aptos"/>
          <w:lang w:val="es-ES"/>
        </w:rPr>
      </w:pPr>
      <w:r w:rsidRPr="007F2641">
        <w:rPr>
          <w:rFonts w:eastAsia="Aptos"/>
          <w:lang w:val="es-ES"/>
        </w:rPr>
        <w:t>–</w:t>
      </w:r>
      <w:r w:rsidRPr="007F2641">
        <w:rPr>
          <w:lang w:val="es-ES"/>
        </w:rPr>
        <w:tab/>
        <w:t>El Director de la BDT y el Equipo directivo de la TSB han celebrado periódicamente llamadas de coordinación, que se han visto completadas por consultas a nivel operacional siempre que ha sido necesario</w:t>
      </w:r>
      <w:r w:rsidRPr="007F2641">
        <w:rPr>
          <w:rFonts w:eastAsia="Aptos"/>
          <w:lang w:val="es-ES"/>
        </w:rPr>
        <w:t>.</w:t>
      </w:r>
    </w:p>
    <w:p w14:paraId="5EE76473" w14:textId="77777777" w:rsidR="00C668EB" w:rsidRPr="007F2641" w:rsidRDefault="00C668EB" w:rsidP="00C668EB">
      <w:pPr>
        <w:pStyle w:val="enumlev1"/>
        <w:rPr>
          <w:rFonts w:eastAsia="Aptos"/>
          <w:lang w:val="es-ES"/>
        </w:rPr>
      </w:pPr>
      <w:r w:rsidRPr="007F2641">
        <w:rPr>
          <w:rFonts w:eastAsia="Aptos"/>
          <w:lang w:val="es-ES"/>
        </w:rPr>
        <w:t>–</w:t>
      </w:r>
      <w:r w:rsidRPr="007F2641">
        <w:rPr>
          <w:lang w:val="es-ES"/>
        </w:rPr>
        <w:tab/>
        <w:t>La OR-AMS también ha facilitado la coordinación entre la TSB y las organizaciones regionales</w:t>
      </w:r>
      <w:r w:rsidRPr="007F2641">
        <w:rPr>
          <w:rFonts w:eastAsia="Aptos"/>
          <w:lang w:val="es-ES"/>
        </w:rPr>
        <w:t xml:space="preserve"> (CITEL, en particular el PCC.I) y ha prestado la asistencia necesaria para garantizar la colaboración regional. En el marco de la iniciativa Cierre de la Brecha de Normalización (BSG), la OR-AMS ha prestado ayuda a la TSB al más alto nivel en los eventos o plataformas pertinentes mediante productos y servicios renovados para reducir la brecha de normalización (véanse las Resoluciones 123 de la PP-22 y 44 de la AMNT-24). </w:t>
      </w:r>
    </w:p>
    <w:p w14:paraId="6E057EF8" w14:textId="77777777" w:rsidR="00C668EB" w:rsidRPr="007F2641" w:rsidRDefault="00C668EB" w:rsidP="00C668EB">
      <w:pPr>
        <w:pStyle w:val="enumlev1"/>
        <w:rPr>
          <w:rFonts w:eastAsia="Aptos"/>
          <w:lang w:val="es-ES"/>
        </w:rPr>
      </w:pPr>
      <w:r w:rsidRPr="007F2641">
        <w:rPr>
          <w:rFonts w:eastAsia="Aptos"/>
          <w:lang w:val="es-ES"/>
        </w:rPr>
        <w:t>–</w:t>
      </w:r>
      <w:r w:rsidRPr="007F2641">
        <w:rPr>
          <w:lang w:val="es-ES"/>
        </w:rPr>
        <w:tab/>
        <w:t>La TSB participó activamente en el Diálogo Económico Regional (DER</w:t>
      </w:r>
      <w:r w:rsidRPr="007F2641">
        <w:rPr>
          <w:rFonts w:eastAsia="Aptos"/>
          <w:lang w:val="es-ES"/>
        </w:rPr>
        <w:t>-AMS) celebrado en octubre de 2025 en Montevideo (Uruguay), en el que compartió sus conocimientos y experiencia al presentar los trabajos en curso de la Comisión de Estudio 3 del UIT-T y el Grupo Temático sobre el coste de los datos (FG-CD), así como sobre la normativa aplicable a las redes de telecomunicaciones.</w:t>
      </w:r>
    </w:p>
    <w:p w14:paraId="63E4DF36" w14:textId="77777777" w:rsidR="00C668EB" w:rsidRPr="007F2641" w:rsidRDefault="00C668EB" w:rsidP="00C668EB">
      <w:pPr>
        <w:pStyle w:val="enumlev1"/>
        <w:rPr>
          <w:rFonts w:eastAsia="Aptos"/>
          <w:lang w:val="es-ES"/>
        </w:rPr>
      </w:pPr>
      <w:r w:rsidRPr="007F2641">
        <w:rPr>
          <w:rFonts w:eastAsia="Aptos"/>
          <w:lang w:val="es-ES"/>
        </w:rPr>
        <w:t>–</w:t>
      </w:r>
      <w:r w:rsidRPr="007F2641">
        <w:rPr>
          <w:lang w:val="es-ES"/>
        </w:rPr>
        <w:tab/>
        <w:t xml:space="preserve">La OR-AMS facilitó la celebración de la reunión del Grupo Regional de la Comisión de Estudio 3 del UIT-T para América Latina y el Caribe (GRCE3-LAC) y la reunión del Grupo Regional de la Comisión de Estudio 2 del UIT-T, celebrada en </w:t>
      </w:r>
      <w:r w:rsidRPr="007F2641">
        <w:rPr>
          <w:rFonts w:eastAsia="Aptos"/>
          <w:lang w:val="es-ES"/>
        </w:rPr>
        <w:t>Montevideo (Uruguay)</w:t>
      </w:r>
      <w:r w:rsidRPr="007F2641">
        <w:rPr>
          <w:lang w:val="es-ES"/>
        </w:rPr>
        <w:t>, en octubre de 2025</w:t>
      </w:r>
      <w:r w:rsidRPr="007F2641">
        <w:rPr>
          <w:rFonts w:eastAsia="Aptos"/>
          <w:lang w:val="es-ES"/>
        </w:rPr>
        <w:t>.</w:t>
      </w:r>
    </w:p>
    <w:p w14:paraId="5E5402D7" w14:textId="77777777" w:rsidR="00C668EB" w:rsidRPr="007F2641" w:rsidRDefault="00C668EB" w:rsidP="00C668EB">
      <w:pPr>
        <w:pStyle w:val="Heading2"/>
        <w:rPr>
          <w:lang w:val="es-ES"/>
        </w:rPr>
      </w:pPr>
      <w:r w:rsidRPr="007F2641">
        <w:rPr>
          <w:lang w:val="es-ES"/>
        </w:rPr>
        <w:t>3.4</w:t>
      </w:r>
      <w:r w:rsidRPr="007F2641">
        <w:rPr>
          <w:lang w:val="es-ES"/>
        </w:rPr>
        <w:tab/>
        <w:t>Oficina Regional para los Estados Árabes (OR-</w:t>
      </w:r>
      <w:proofErr w:type="gramStart"/>
      <w:r w:rsidRPr="007F2641">
        <w:rPr>
          <w:lang w:val="es-ES"/>
        </w:rPr>
        <w:t>ARB)/</w:t>
      </w:r>
      <w:proofErr w:type="gramEnd"/>
      <w:r w:rsidRPr="007F2641">
        <w:rPr>
          <w:lang w:val="es-ES"/>
        </w:rPr>
        <w:t>Actividades en los Estados Árabes</w:t>
      </w:r>
    </w:p>
    <w:p w14:paraId="57FDE558" w14:textId="77777777" w:rsidR="00C668EB" w:rsidRPr="007F2641" w:rsidRDefault="00C668EB" w:rsidP="00C668EB">
      <w:pPr>
        <w:pStyle w:val="Headingb"/>
        <w:rPr>
          <w:lang w:val="es-ES"/>
        </w:rPr>
      </w:pPr>
      <w:r w:rsidRPr="007F2641">
        <w:rPr>
          <w:lang w:val="es-ES"/>
        </w:rPr>
        <w:t>Actividades relacionadas con la BR</w:t>
      </w:r>
    </w:p>
    <w:p w14:paraId="425448BF" w14:textId="77777777" w:rsidR="00C668EB" w:rsidRPr="007F2641" w:rsidRDefault="00C668EB" w:rsidP="00C668EB">
      <w:pPr>
        <w:pStyle w:val="enumlev1"/>
        <w:rPr>
          <w:lang w:val="es-ES"/>
        </w:rPr>
      </w:pPr>
      <w:r w:rsidRPr="007F2641">
        <w:rPr>
          <w:lang w:val="es-ES"/>
        </w:rPr>
        <w:t>–</w:t>
      </w:r>
      <w:r w:rsidRPr="007F2641">
        <w:rPr>
          <w:lang w:val="es-ES"/>
        </w:rPr>
        <w:tab/>
        <w:t>Se organizó en Argel el Taller Regional de la UIT Hacia una conectividad universal y efectiva para la Región Árabe, en el que se abordaron los retos que plantea el desarrollo de infraestructuras y la conectividad.</w:t>
      </w:r>
    </w:p>
    <w:p w14:paraId="367790D1" w14:textId="65AB900F" w:rsidR="00C668EB" w:rsidRPr="007F2641" w:rsidRDefault="00C668EB" w:rsidP="00C668EB">
      <w:pPr>
        <w:pStyle w:val="enumlev1"/>
        <w:rPr>
          <w:lang w:val="es-ES"/>
        </w:rPr>
      </w:pPr>
      <w:r w:rsidRPr="007F2641">
        <w:rPr>
          <w:lang w:val="es-ES"/>
        </w:rPr>
        <w:t>–</w:t>
      </w:r>
      <w:r w:rsidRPr="007F2641">
        <w:rPr>
          <w:lang w:val="es-ES"/>
        </w:rPr>
        <w:tab/>
      </w:r>
      <w:r w:rsidR="00BE2432" w:rsidRPr="007F2641">
        <w:rPr>
          <w:lang w:val="es-ES"/>
        </w:rPr>
        <w:t>L</w:t>
      </w:r>
      <w:r w:rsidRPr="007F2641">
        <w:rPr>
          <w:lang w:val="es-ES"/>
        </w:rPr>
        <w:t>a OR-ARB prosiguió la colaboración con la BR en relación con las actividades regionales en el marco del Grupo de Gestión del Espectro de los Estados árabes (ASMG).</w:t>
      </w:r>
    </w:p>
    <w:p w14:paraId="23FB7C11" w14:textId="77777777" w:rsidR="00C668EB" w:rsidRPr="007F2641" w:rsidRDefault="00C668EB" w:rsidP="00C668EB">
      <w:pPr>
        <w:pStyle w:val="Headingb"/>
        <w:rPr>
          <w:lang w:val="es-ES"/>
        </w:rPr>
      </w:pPr>
      <w:r w:rsidRPr="007F2641">
        <w:rPr>
          <w:lang w:val="es-ES"/>
        </w:rPr>
        <w:t>Actividades relacionadas con la TSB</w:t>
      </w:r>
    </w:p>
    <w:p w14:paraId="01D35F5D" w14:textId="77777777" w:rsidR="00C668EB" w:rsidRPr="007F2641" w:rsidRDefault="00C668EB" w:rsidP="00C668EB">
      <w:pPr>
        <w:pStyle w:val="enumlev1"/>
        <w:rPr>
          <w:lang w:val="es-ES"/>
        </w:rPr>
      </w:pPr>
      <w:r w:rsidRPr="007F2641">
        <w:rPr>
          <w:lang w:val="es-ES"/>
        </w:rPr>
        <w:t>–</w:t>
      </w:r>
      <w:r w:rsidRPr="007F2641">
        <w:rPr>
          <w:lang w:val="es-ES"/>
        </w:rPr>
        <w:tab/>
        <w:t>La BDT prestó asistencia a los trabajos de la reunión del Grupo Regional de la Comisión de Estudio 3 del UIT-T, celebrada en Ammán, Jordania, en febrero de 2025.</w:t>
      </w:r>
    </w:p>
    <w:p w14:paraId="24FE1554" w14:textId="61E2CDF9" w:rsidR="00C668EB" w:rsidRPr="007F2641" w:rsidRDefault="000809DB" w:rsidP="000809DB">
      <w:pPr>
        <w:pStyle w:val="enumlev1"/>
        <w:rPr>
          <w:lang w:val="es-ES"/>
        </w:rPr>
      </w:pPr>
      <w:r w:rsidRPr="007F2641">
        <w:rPr>
          <w:lang w:val="es-ES"/>
        </w:rPr>
        <w:t>–</w:t>
      </w:r>
      <w:r w:rsidRPr="007F2641">
        <w:rPr>
          <w:lang w:val="es-ES"/>
        </w:rPr>
        <w:tab/>
      </w:r>
      <w:r w:rsidR="00C668EB" w:rsidRPr="007F2641">
        <w:rPr>
          <w:lang w:val="es-ES"/>
        </w:rPr>
        <w:t xml:space="preserve">La BDT y la Autoridad Nacional de Regulación de las Telecomunicaciones de Egipto (NTRA) llevan a cabo el proyecto </w:t>
      </w:r>
      <w:r w:rsidR="003A2660" w:rsidRPr="007F2641">
        <w:rPr>
          <w:lang w:val="es-ES"/>
        </w:rPr>
        <w:t>"</w:t>
      </w:r>
      <w:r w:rsidR="00C668EB" w:rsidRPr="007F2641">
        <w:rPr>
          <w:lang w:val="es-ES"/>
        </w:rPr>
        <w:t>Ciudades y comunidades inteligentes y sostenibles (C+CIS)</w:t>
      </w:r>
      <w:r w:rsidR="003A2660" w:rsidRPr="007F2641">
        <w:rPr>
          <w:lang w:val="es-ES"/>
        </w:rPr>
        <w:t>"</w:t>
      </w:r>
      <w:r w:rsidR="00C668EB" w:rsidRPr="007F2641">
        <w:rPr>
          <w:lang w:val="es-ES"/>
        </w:rPr>
        <w:t>. En el marco de dicho proyecto, la OR-ARB coordinó el desarrollo y la promoción de C+CIS con la Comisión de Estudio 20 del UIT-T. Por otro lado, las aportaciones de la dirección de la Comisión de Estudio 20 del UIT-T, sus observaciones y sus orientaciones técnicas se han integrado en el trabajo desarrollado por la BDT sobre el proyecto de Marco de Evaluación de C+CIS para Egipto.</w:t>
      </w:r>
    </w:p>
    <w:p w14:paraId="4285073E" w14:textId="7C2AC709" w:rsidR="00C668EB" w:rsidRPr="007F2641" w:rsidRDefault="00C668EB" w:rsidP="00C668EB">
      <w:pPr>
        <w:pStyle w:val="enumlev1"/>
        <w:rPr>
          <w:lang w:val="es-ES"/>
        </w:rPr>
      </w:pPr>
      <w:r w:rsidRPr="007F2641">
        <w:rPr>
          <w:lang w:val="es-ES"/>
        </w:rPr>
        <w:t>–</w:t>
      </w:r>
      <w:r w:rsidR="00BE2432" w:rsidRPr="007F2641">
        <w:rPr>
          <w:lang w:val="es-ES"/>
        </w:rPr>
        <w:tab/>
      </w:r>
      <w:r w:rsidRPr="007F2641">
        <w:rPr>
          <w:lang w:val="es-ES"/>
        </w:rPr>
        <w:t>Se prevé que el Grupo Regional de la Comisión de Estudio 3 del UIT-T para la Región árabe del UIT-T (GRCE3-ARB) se reúna del 29 al 30 de marzo de 2026, seguido de la reunión del Grupo Regional de la Comisión de Estudio 20 del UIT-T para África (GRCE3</w:t>
      </w:r>
      <w:r w:rsidR="00BE2432" w:rsidRPr="007F2641">
        <w:rPr>
          <w:lang w:val="es-ES"/>
        </w:rPr>
        <w:noBreakHyphen/>
      </w:r>
      <w:r w:rsidRPr="007F2641">
        <w:rPr>
          <w:lang w:val="es-ES"/>
        </w:rPr>
        <w:t>AFR) del 30 al 31 de marzo de 2026 en El Cairo (Egipto).</w:t>
      </w:r>
    </w:p>
    <w:p w14:paraId="0473AA32" w14:textId="1D59F8B4" w:rsidR="00C668EB" w:rsidRPr="007F2641" w:rsidRDefault="00C668EB" w:rsidP="00C668EB">
      <w:pPr>
        <w:pStyle w:val="enumlev1"/>
        <w:rPr>
          <w:lang w:val="es-ES"/>
        </w:rPr>
      </w:pPr>
      <w:r w:rsidRPr="007F2641">
        <w:rPr>
          <w:lang w:val="es-ES"/>
        </w:rPr>
        <w:t>–</w:t>
      </w:r>
      <w:r w:rsidR="00BE2432" w:rsidRPr="007F2641">
        <w:rPr>
          <w:lang w:val="es-ES"/>
        </w:rPr>
        <w:tab/>
      </w:r>
      <w:r w:rsidRPr="007F2641">
        <w:rPr>
          <w:lang w:val="es-ES"/>
        </w:rPr>
        <w:t>Se ha designado a un miembro del personal de nivel G en la OR-ARB para mejorar la coordinación y facilitar las actividades relacionadas con las Comisiones de Estudio en colaboración con la TSB.</w:t>
      </w:r>
    </w:p>
    <w:p w14:paraId="2B895B70" w14:textId="77777777" w:rsidR="00C668EB" w:rsidRPr="007F2641" w:rsidRDefault="00C668EB" w:rsidP="00C668EB">
      <w:pPr>
        <w:pStyle w:val="Heading2"/>
        <w:rPr>
          <w:lang w:val="es-ES"/>
        </w:rPr>
      </w:pPr>
      <w:r w:rsidRPr="007F2641">
        <w:rPr>
          <w:lang w:val="es-ES"/>
        </w:rPr>
        <w:t>3.5</w:t>
      </w:r>
      <w:r w:rsidRPr="007F2641">
        <w:rPr>
          <w:lang w:val="es-ES"/>
        </w:rPr>
        <w:tab/>
        <w:t>Oficina Regional para Asia</w:t>
      </w:r>
      <w:r w:rsidRPr="007F2641">
        <w:rPr>
          <w:lang w:val="es-ES"/>
        </w:rPr>
        <w:noBreakHyphen/>
        <w:t>Pacífico (OR-</w:t>
      </w:r>
      <w:proofErr w:type="gramStart"/>
      <w:r w:rsidRPr="007F2641">
        <w:rPr>
          <w:lang w:val="es-ES"/>
        </w:rPr>
        <w:t>ASP)/</w:t>
      </w:r>
      <w:proofErr w:type="gramEnd"/>
      <w:r w:rsidRPr="007F2641">
        <w:rPr>
          <w:lang w:val="es-ES"/>
        </w:rPr>
        <w:t>Actividades en Asia-Pacífico</w:t>
      </w:r>
    </w:p>
    <w:p w14:paraId="4F85B26D" w14:textId="77777777" w:rsidR="00C668EB" w:rsidRPr="007F2641" w:rsidRDefault="00C668EB" w:rsidP="00C668EB">
      <w:pPr>
        <w:pStyle w:val="Headingb"/>
        <w:rPr>
          <w:lang w:val="es-ES"/>
        </w:rPr>
      </w:pPr>
      <w:r w:rsidRPr="007F2641">
        <w:rPr>
          <w:lang w:val="es-ES"/>
        </w:rPr>
        <w:t>Actividades relacionadas con la BR</w:t>
      </w:r>
    </w:p>
    <w:p w14:paraId="571AD829" w14:textId="18E7C686" w:rsidR="00C668EB" w:rsidRPr="007F2641" w:rsidRDefault="00C668EB" w:rsidP="000809DB">
      <w:pPr>
        <w:pStyle w:val="enumlev1"/>
        <w:rPr>
          <w:lang w:val="es-ES"/>
        </w:rPr>
      </w:pPr>
      <w:r w:rsidRPr="007F2641">
        <w:rPr>
          <w:lang w:val="es-ES"/>
        </w:rPr>
        <w:t>–</w:t>
      </w:r>
      <w:r w:rsidR="00BE2432" w:rsidRPr="007F2641">
        <w:rPr>
          <w:lang w:val="es-ES"/>
        </w:rPr>
        <w:tab/>
      </w:r>
      <w:r w:rsidRPr="007F2641">
        <w:rPr>
          <w:lang w:val="es-ES"/>
        </w:rPr>
        <w:t xml:space="preserve">Del 20 al 24 de octubre de 2025, la OR-ASP prestó apoyo en Chengdu (República Popular China) a la BR en la organización del </w:t>
      </w:r>
      <w:hyperlink r:id="rId44" w:history="1">
        <w:r w:rsidRPr="007F2641">
          <w:rPr>
            <w:rStyle w:val="Hyperlink"/>
            <w:rFonts w:eastAsia="Times New Roman" w:cs="Times New Roman"/>
            <w:szCs w:val="20"/>
            <w:lang w:val="es-ES"/>
          </w:rPr>
          <w:t>Seminario Regional de Radiocomunicaciones del UIT-R para Asia y el Pacífico</w:t>
        </w:r>
      </w:hyperlink>
      <w:r w:rsidRPr="007F2641">
        <w:rPr>
          <w:lang w:val="es-ES"/>
        </w:rPr>
        <w:t xml:space="preserve">. Las actividades de la OR-ASP se llevaron a cabo en el marco de la Resolución 9 de la CMDT-22 y en consonancia con la Iniciativa Regional 3 de la ASP </w:t>
      </w:r>
      <w:r w:rsidR="00BE2432" w:rsidRPr="007F2641">
        <w:rPr>
          <w:lang w:val="es-ES"/>
        </w:rPr>
        <w:t xml:space="preserve">– </w:t>
      </w:r>
      <w:r w:rsidRPr="007F2641">
        <w:rPr>
          <w:lang w:val="es-ES"/>
        </w:rPr>
        <w:t>Resultado previsto 6.</w:t>
      </w:r>
    </w:p>
    <w:p w14:paraId="3BE3918F" w14:textId="3AF962F0" w:rsidR="00C668EB" w:rsidRPr="007F2641" w:rsidRDefault="00C668EB" w:rsidP="000809DB">
      <w:pPr>
        <w:pStyle w:val="enumlev1"/>
        <w:rPr>
          <w:lang w:val="es-ES"/>
        </w:rPr>
      </w:pPr>
      <w:r w:rsidRPr="007F2641">
        <w:rPr>
          <w:lang w:val="es-ES"/>
        </w:rPr>
        <w:t>–</w:t>
      </w:r>
      <w:r w:rsidR="00BE2432" w:rsidRPr="007F2641">
        <w:rPr>
          <w:lang w:val="es-ES"/>
        </w:rPr>
        <w:tab/>
      </w:r>
      <w:r w:rsidRPr="007F2641">
        <w:rPr>
          <w:lang w:val="es-ES"/>
        </w:rPr>
        <w:t xml:space="preserve">La OR-ASP prestó apoyo a BR en la organización del </w:t>
      </w:r>
      <w:hyperlink r:id="rId45" w:history="1">
        <w:r w:rsidRPr="007F2641">
          <w:rPr>
            <w:rStyle w:val="Hyperlink"/>
            <w:rFonts w:eastAsia="Times New Roman" w:cs="Times New Roman"/>
            <w:szCs w:val="20"/>
            <w:lang w:val="es-ES"/>
          </w:rPr>
          <w:t>Taller de la UIT sobre Gestión Moderna del Espectro 2025 para la Región 3 (WS-MSS-25-R3)</w:t>
        </w:r>
      </w:hyperlink>
      <w:r w:rsidRPr="007F2641">
        <w:rPr>
          <w:lang w:val="es-ES"/>
        </w:rPr>
        <w:t>. Hizo hincapié en los requisitos del espectro de radiofrecuencia para servicios esenciales, incluidos los aeronáuticos, marítimos, de alerta temprana y de mitigación de catástrofes, y destacó las características del sistema SMS4DC para la automatización de las funciones de gestión del espectro. El taller se celebró del 27 al 29 de octubre de 2025 con apoyo del MIIT de China.</w:t>
      </w:r>
    </w:p>
    <w:p w14:paraId="2453EDAC" w14:textId="0ECE0647" w:rsidR="00C668EB" w:rsidRPr="007F2641" w:rsidRDefault="00C668EB" w:rsidP="000809DB">
      <w:pPr>
        <w:pStyle w:val="enumlev1"/>
        <w:rPr>
          <w:lang w:val="es-ES"/>
        </w:rPr>
      </w:pPr>
      <w:r w:rsidRPr="007F2641">
        <w:rPr>
          <w:lang w:val="es-ES"/>
        </w:rPr>
        <w:t>–</w:t>
      </w:r>
      <w:r w:rsidR="00BE2432" w:rsidRPr="007F2641">
        <w:rPr>
          <w:lang w:val="es-ES"/>
        </w:rPr>
        <w:tab/>
      </w:r>
      <w:r w:rsidRPr="007F2641">
        <w:rPr>
          <w:lang w:val="es-ES"/>
        </w:rPr>
        <w:t>La OR-ASP facilitó asimismo el Seminario sobre Servicios Científicos en el marco de los preparativos de la CMR-27, celebrado del 9 al 10 de diciembre de 2025 en Cyberjaya (Malasia).</w:t>
      </w:r>
    </w:p>
    <w:p w14:paraId="42D1A757" w14:textId="31D26670" w:rsidR="00C668EB" w:rsidRPr="007F2641" w:rsidRDefault="00C668EB" w:rsidP="00BE2432">
      <w:pPr>
        <w:pStyle w:val="enumlev1"/>
        <w:rPr>
          <w:lang w:val="es-ES"/>
        </w:rPr>
      </w:pPr>
      <w:r w:rsidRPr="007F2641">
        <w:rPr>
          <w:lang w:val="es-ES"/>
        </w:rPr>
        <w:t>–</w:t>
      </w:r>
      <w:r w:rsidR="00BE2432" w:rsidRPr="007F2641">
        <w:rPr>
          <w:lang w:val="es-ES"/>
        </w:rPr>
        <w:tab/>
        <w:t xml:space="preserve">En </w:t>
      </w:r>
      <w:r w:rsidRPr="007F2641">
        <w:rPr>
          <w:lang w:val="es-ES"/>
        </w:rPr>
        <w:t xml:space="preserve">las actividades de apoyo directo a Palau, Nauru y Vanuatu en el marco de la Iniciativa Regional 3 de la ASP </w:t>
      </w:r>
      <w:r w:rsidR="00BE2432" w:rsidRPr="007F2641">
        <w:rPr>
          <w:lang w:val="es-ES"/>
        </w:rPr>
        <w:t>–</w:t>
      </w:r>
      <w:r w:rsidRPr="007F2641">
        <w:rPr>
          <w:lang w:val="es-ES"/>
        </w:rPr>
        <w:t>Resultado previsto 6</w:t>
      </w:r>
      <w:r w:rsidR="00BE2432" w:rsidRPr="007F2641">
        <w:rPr>
          <w:lang w:val="es-ES"/>
        </w:rPr>
        <w:t>–</w:t>
      </w:r>
      <w:r w:rsidRPr="007F2641">
        <w:rPr>
          <w:lang w:val="es-ES"/>
        </w:rPr>
        <w:t xml:space="preserve">, se mejoraron los conocimientos de base del personal técnico mediante reuniones específicas sobre gestión nacional del espectro, la comprobación técnica de radiofrecuencias, la coordinación internacional y la función de las CMR. Se ha previsto prestar una asistencia análoga a Timor-Leste, la República de las Islas Marshall y </w:t>
      </w:r>
      <w:r w:rsidR="00BE2432" w:rsidRPr="007F2641">
        <w:rPr>
          <w:lang w:val="es-ES"/>
        </w:rPr>
        <w:t xml:space="preserve">Brunei </w:t>
      </w:r>
      <w:r w:rsidRPr="007F2641">
        <w:rPr>
          <w:lang w:val="es-ES"/>
        </w:rPr>
        <w:t>en 2026.</w:t>
      </w:r>
    </w:p>
    <w:p w14:paraId="000D95DE" w14:textId="1B240F39" w:rsidR="00C668EB" w:rsidRPr="007F2641" w:rsidRDefault="00C668EB" w:rsidP="000809DB">
      <w:pPr>
        <w:pStyle w:val="enumlev1"/>
        <w:rPr>
          <w:lang w:val="es-ES"/>
        </w:rPr>
      </w:pPr>
      <w:r w:rsidRPr="007F2641">
        <w:rPr>
          <w:lang w:val="es-ES"/>
        </w:rPr>
        <w:t>–</w:t>
      </w:r>
      <w:r w:rsidR="00BE2432" w:rsidRPr="007F2641">
        <w:rPr>
          <w:lang w:val="es-ES"/>
        </w:rPr>
        <w:tab/>
      </w:r>
      <w:r w:rsidRPr="007F2641">
        <w:rPr>
          <w:lang w:val="es-ES"/>
        </w:rPr>
        <w:t xml:space="preserve">El </w:t>
      </w:r>
      <w:hyperlink r:id="rId46" w:history="1">
        <w:r w:rsidRPr="007F2641">
          <w:rPr>
            <w:rStyle w:val="Hyperlink"/>
            <w:rFonts w:eastAsia="Times New Roman" w:cs="Times New Roman"/>
            <w:szCs w:val="20"/>
            <w:lang w:val="es-ES"/>
          </w:rPr>
          <w:t>Seminario de la UIT - ITTLLDC (Grupo de Internacional Reflexión para los Países en Desarrollo sin Litoral) de 2025</w:t>
        </w:r>
      </w:hyperlink>
      <w:r w:rsidRPr="007F2641">
        <w:rPr>
          <w:lang w:val="es-ES"/>
        </w:rPr>
        <w:t xml:space="preserve"> se organizó del 28 al 29 de agosto de 2025 en Ulán Bator (Mongolia) bajo el lema: </w:t>
      </w:r>
      <w:r w:rsidR="003A2660" w:rsidRPr="007F2641">
        <w:rPr>
          <w:lang w:val="es-ES"/>
        </w:rPr>
        <w:t>"</w:t>
      </w:r>
      <w:r w:rsidRPr="007F2641">
        <w:rPr>
          <w:lang w:val="es-ES"/>
        </w:rPr>
        <w:t>Cooperación en aras de la conectividad espacial sostenible, la utilización del espectro y los sistemas de alerta temprana</w:t>
      </w:r>
      <w:r w:rsidR="003A2660" w:rsidRPr="007F2641">
        <w:rPr>
          <w:lang w:val="es-ES"/>
        </w:rPr>
        <w:t>"</w:t>
      </w:r>
      <w:r w:rsidRPr="007F2641">
        <w:rPr>
          <w:lang w:val="es-ES"/>
        </w:rPr>
        <w:t>. En el evento participaron varios países en desarrollo sin litoral de la ASP y la CEI, así como otros países de la región de la ASP.</w:t>
      </w:r>
    </w:p>
    <w:p w14:paraId="243B1049" w14:textId="1FFD0225" w:rsidR="00C668EB" w:rsidRPr="007F2641" w:rsidRDefault="00C668EB" w:rsidP="000809DB">
      <w:pPr>
        <w:pStyle w:val="enumlev1"/>
        <w:rPr>
          <w:lang w:val="es-ES"/>
        </w:rPr>
      </w:pPr>
      <w:r w:rsidRPr="007F2641">
        <w:rPr>
          <w:lang w:val="es-ES"/>
        </w:rPr>
        <w:t>–</w:t>
      </w:r>
      <w:r w:rsidR="00BE2432" w:rsidRPr="007F2641">
        <w:rPr>
          <w:lang w:val="es-ES"/>
        </w:rPr>
        <w:tab/>
        <w:t>P</w:t>
      </w:r>
      <w:r w:rsidRPr="007F2641">
        <w:rPr>
          <w:lang w:val="es-ES"/>
        </w:rPr>
        <w:t xml:space="preserve">or otro lado, se realizaron varias actividades en el marco del </w:t>
      </w:r>
      <w:hyperlink r:id="rId47" w:history="1">
        <w:r w:rsidRPr="007F2641">
          <w:rPr>
            <w:rStyle w:val="Hyperlink"/>
            <w:rFonts w:eastAsia="Times New Roman" w:cs="Times New Roman"/>
            <w:szCs w:val="20"/>
            <w:lang w:val="es-ES"/>
          </w:rPr>
          <w:t xml:space="preserve">Programa </w:t>
        </w:r>
        <w:r w:rsidR="003A2660" w:rsidRPr="007F2641">
          <w:rPr>
            <w:rStyle w:val="Hyperlink"/>
            <w:rFonts w:eastAsia="Times New Roman" w:cs="Times New Roman"/>
            <w:szCs w:val="20"/>
            <w:lang w:val="es-ES"/>
          </w:rPr>
          <w:t>"</w:t>
        </w:r>
        <w:r w:rsidRPr="007F2641">
          <w:rPr>
            <w:rStyle w:val="Hyperlink"/>
            <w:rFonts w:eastAsia="Times New Roman" w:cs="Times New Roman"/>
            <w:szCs w:val="20"/>
            <w:lang w:val="es-ES"/>
          </w:rPr>
          <w:t>Alerta Temprana para Todos</w:t>
        </w:r>
        <w:r w:rsidR="003A2660" w:rsidRPr="007F2641">
          <w:rPr>
            <w:rStyle w:val="Hyperlink"/>
            <w:rFonts w:eastAsia="Times New Roman" w:cs="Times New Roman"/>
            <w:szCs w:val="20"/>
            <w:lang w:val="es-ES"/>
          </w:rPr>
          <w:t>"</w:t>
        </w:r>
        <w:r w:rsidRPr="007F2641">
          <w:rPr>
            <w:rStyle w:val="Hyperlink"/>
            <w:rFonts w:eastAsia="Times New Roman" w:cs="Times New Roman"/>
            <w:szCs w:val="20"/>
            <w:lang w:val="es-ES"/>
          </w:rPr>
          <w:t xml:space="preserve"> (EW4ALL) en la ASP</w:t>
        </w:r>
      </w:hyperlink>
      <w:r w:rsidRPr="007F2641">
        <w:rPr>
          <w:lang w:val="es-ES"/>
        </w:rPr>
        <w:t xml:space="preserve"> pertinentes para la labor de la BR.</w:t>
      </w:r>
    </w:p>
    <w:p w14:paraId="08EC8190" w14:textId="464DD10C" w:rsidR="00C668EB" w:rsidRPr="007F2641" w:rsidRDefault="00C668EB" w:rsidP="000809DB">
      <w:pPr>
        <w:pStyle w:val="enumlev1"/>
        <w:rPr>
          <w:lang w:val="es-ES"/>
        </w:rPr>
      </w:pPr>
      <w:r w:rsidRPr="007F2641">
        <w:rPr>
          <w:lang w:val="es-ES"/>
        </w:rPr>
        <w:t>–</w:t>
      </w:r>
      <w:r w:rsidR="00BE2432" w:rsidRPr="007F2641">
        <w:rPr>
          <w:lang w:val="es-ES"/>
        </w:rPr>
        <w:tab/>
      </w:r>
      <w:r w:rsidRPr="007F2641">
        <w:rPr>
          <w:lang w:val="es-ES"/>
        </w:rPr>
        <w:t>La OR-ASP asistió a la 12</w:t>
      </w:r>
      <w:r w:rsidR="008F5D92" w:rsidRPr="007F2641">
        <w:rPr>
          <w:lang w:val="es-ES"/>
        </w:rPr>
        <w:t>.ª</w:t>
      </w:r>
      <w:r w:rsidRPr="007F2641">
        <w:rPr>
          <w:lang w:val="es-ES"/>
        </w:rPr>
        <w:t xml:space="preserve"> Conferencia sobre Gestión del Espectro de Asia-Pacífico, organizada por Forum Global en Phnom Penh, del 11 al 12 de marzo de 2026.</w:t>
      </w:r>
    </w:p>
    <w:p w14:paraId="6933E9C2" w14:textId="32598749" w:rsidR="00C668EB" w:rsidRPr="007F2641" w:rsidRDefault="00C668EB" w:rsidP="001310F9">
      <w:pPr>
        <w:pStyle w:val="Headingb"/>
        <w:keepNext w:val="0"/>
        <w:keepLines w:val="0"/>
        <w:rPr>
          <w:lang w:val="es-ES"/>
        </w:rPr>
      </w:pPr>
      <w:r w:rsidRPr="007F2641">
        <w:rPr>
          <w:lang w:val="es-ES"/>
        </w:rPr>
        <w:t>Actividades relacionadas con la TSB</w:t>
      </w:r>
    </w:p>
    <w:p w14:paraId="079BB463" w14:textId="5427024D" w:rsidR="00C668EB" w:rsidRPr="007F2641" w:rsidRDefault="00C668EB" w:rsidP="001310F9">
      <w:pPr>
        <w:pStyle w:val="enumlev1"/>
        <w:rPr>
          <w:lang w:val="es-ES"/>
        </w:rPr>
      </w:pPr>
      <w:r w:rsidRPr="007F2641">
        <w:rPr>
          <w:lang w:val="es-ES"/>
        </w:rPr>
        <w:t>–</w:t>
      </w:r>
      <w:r w:rsidRPr="007F2641">
        <w:rPr>
          <w:lang w:val="es-ES"/>
        </w:rPr>
        <w:tab/>
        <w:t xml:space="preserve">A raíz de las consultas con la TSB y el Ministerio de Asuntos Internos y Comunicaciones (MIC) de Japón, la BDT y el MIC intercambiaron correspondencia el 6 de febrero de 2025, lo que permitió la financiación del proyecto </w:t>
      </w:r>
      <w:r w:rsidR="001310F9" w:rsidRPr="007F2641">
        <w:rPr>
          <w:lang w:val="es-ES"/>
        </w:rPr>
        <w:t>"</w:t>
      </w:r>
      <w:r w:rsidRPr="007F2641">
        <w:rPr>
          <w:lang w:val="es-ES"/>
        </w:rPr>
        <w:t>Capacitación en tecnología y normativa de inteligencia artificial en Asia-Pacífico</w:t>
      </w:r>
      <w:r w:rsidR="003A2660" w:rsidRPr="007F2641">
        <w:rPr>
          <w:lang w:val="es-ES"/>
        </w:rPr>
        <w:t>"</w:t>
      </w:r>
      <w:r w:rsidRPr="007F2641">
        <w:rPr>
          <w:lang w:val="es-ES"/>
        </w:rPr>
        <w:t>, destinado a reforzar la capacidad de gobiernos y partes interesadas en lo que respecta a las tecnologías y normas de IA, con el fin de facilitar la transformación digital y reducir la brecha de normalización. Tras el primer taller celebrado en Delhi (India) en mayo de 2025, en 2025 se organizaron los nuevos talleres que figuran a continuación:</w:t>
      </w:r>
    </w:p>
    <w:p w14:paraId="7B63E592" w14:textId="36735C87" w:rsidR="00C668EB" w:rsidRPr="007F2641" w:rsidRDefault="00C668EB" w:rsidP="001310F9">
      <w:pPr>
        <w:pStyle w:val="enumlev2"/>
        <w:rPr>
          <w:lang w:val="es-ES"/>
        </w:rPr>
      </w:pPr>
      <w:r w:rsidRPr="007F2641">
        <w:rPr>
          <w:lang w:val="es-ES"/>
        </w:rPr>
        <w:t>•</w:t>
      </w:r>
      <w:r w:rsidR="001310F9" w:rsidRPr="007F2641">
        <w:rPr>
          <w:lang w:val="es-ES"/>
        </w:rPr>
        <w:tab/>
      </w:r>
      <w:r w:rsidRPr="007F2641">
        <w:rPr>
          <w:lang w:val="es-ES"/>
        </w:rPr>
        <w:t>Kuala Lumpur (Malasia), del 9 al 12 de septiembre, en el que se impartió formación a 73 participantes de nueve Estados miembros, entre ellos Malasia, Indonesia, Brunei, Timor Oriental, Tailandia, Camboya, Mongolia, la República Democrática Popular Lao y Pakistán. Se organizaron dos reuniones en línea previas al taller, el 19 y el 16 de agosto, que abarcaron contenido didáctico sobre a) normas de IA y b) tecnologías de IA.</w:t>
      </w:r>
    </w:p>
    <w:p w14:paraId="426B074D" w14:textId="6E215372" w:rsidR="00C668EB" w:rsidRPr="007F2641" w:rsidRDefault="00C668EB" w:rsidP="001310F9">
      <w:pPr>
        <w:pStyle w:val="enumlev2"/>
        <w:rPr>
          <w:lang w:val="es-ES"/>
        </w:rPr>
      </w:pPr>
      <w:r w:rsidRPr="007F2641">
        <w:rPr>
          <w:lang w:val="es-ES"/>
        </w:rPr>
        <w:t>•</w:t>
      </w:r>
      <w:r w:rsidR="001310F9" w:rsidRPr="007F2641">
        <w:rPr>
          <w:lang w:val="es-ES"/>
        </w:rPr>
        <w:tab/>
      </w:r>
      <w:r w:rsidRPr="007F2641">
        <w:rPr>
          <w:lang w:val="es-ES"/>
        </w:rPr>
        <w:t>Timbú, Bután, del 22 al 26 de septiembre, en el que se impartió formación a 69 funcionarios públicos de Bután sobre los fundamentos de la IA en dos grupos.</w:t>
      </w:r>
    </w:p>
    <w:p w14:paraId="1F03F927" w14:textId="67DE5664" w:rsidR="00C668EB" w:rsidRPr="007F2641" w:rsidRDefault="00C668EB" w:rsidP="001310F9">
      <w:pPr>
        <w:pStyle w:val="enumlev2"/>
        <w:rPr>
          <w:lang w:val="es-ES"/>
        </w:rPr>
      </w:pPr>
      <w:r w:rsidRPr="007F2641">
        <w:rPr>
          <w:lang w:val="es-ES"/>
        </w:rPr>
        <w:t>•</w:t>
      </w:r>
      <w:r w:rsidR="001310F9" w:rsidRPr="007F2641">
        <w:rPr>
          <w:lang w:val="es-ES"/>
        </w:rPr>
        <w:tab/>
      </w:r>
      <w:r w:rsidRPr="007F2641">
        <w:rPr>
          <w:lang w:val="es-ES"/>
        </w:rPr>
        <w:t>Phnom Penh (Camboya), del 8 al 10 de octubre, en el que se impartió formación a 55 participantes a escala nacional. El 3 de octubre se organizó una reunión en línea adicional para complementar la formación presencial, en la que se abordó contenido sobre normas de IA.</w:t>
      </w:r>
    </w:p>
    <w:p w14:paraId="767A2162" w14:textId="789DE6C2" w:rsidR="00C668EB" w:rsidRPr="007F2641" w:rsidRDefault="00C668EB" w:rsidP="001310F9">
      <w:pPr>
        <w:pStyle w:val="enumlev1"/>
        <w:rPr>
          <w:lang w:val="es-ES"/>
        </w:rPr>
      </w:pPr>
      <w:r w:rsidRPr="007F2641">
        <w:rPr>
          <w:lang w:val="es-ES"/>
        </w:rPr>
        <w:t>–</w:t>
      </w:r>
      <w:r w:rsidR="001310F9" w:rsidRPr="007F2641">
        <w:rPr>
          <w:lang w:val="es-ES"/>
        </w:rPr>
        <w:tab/>
      </w:r>
      <w:r w:rsidRPr="007F2641">
        <w:rPr>
          <w:lang w:val="es-ES"/>
        </w:rPr>
        <w:t>Se promovieron iniciativas del UIT-T, en particular AI4GOOD, la Coalición de Competencias en IA y el Intercambio de Normas de IA, en el evento organizado simultáneamente sobre gobierno digital en el marco de la Semana Digital de Vietnam, el 28 de octubre de 2025.</w:t>
      </w:r>
    </w:p>
    <w:p w14:paraId="465FB319" w14:textId="15598DA0" w:rsidR="00C668EB" w:rsidRPr="007F2641" w:rsidRDefault="00C668EB" w:rsidP="001310F9">
      <w:pPr>
        <w:pStyle w:val="enumlev1"/>
        <w:rPr>
          <w:lang w:val="es-ES"/>
        </w:rPr>
      </w:pPr>
      <w:r w:rsidRPr="007F2641">
        <w:rPr>
          <w:lang w:val="es-ES"/>
        </w:rPr>
        <w:t>–</w:t>
      </w:r>
      <w:r w:rsidR="001310F9" w:rsidRPr="007F2641">
        <w:rPr>
          <w:lang w:val="es-ES"/>
        </w:rPr>
        <w:tab/>
      </w:r>
      <w:r w:rsidRPr="007F2641">
        <w:rPr>
          <w:lang w:val="es-ES"/>
        </w:rPr>
        <w:t>En colaboración con la Asociación de Tecnología de las Telecomunicaciones (TTA) de la República de Corea y Passwordless Alliance, se organizó un curso de formación interregional del 11 al 13 de febrero de 2026 en Bangkok (Tailandia) sobre dos Recomendaciones del UIT-T, a saber, Protección del almacenamiento (X.1220/X.nspam) y Autenticación sin contraseña (X.1280), en el que se presentaron a los participantes de las regiones de ASP y la CEI las repercusiones de dichas normas de ciberseguridad.</w:t>
      </w:r>
    </w:p>
    <w:p w14:paraId="6066A1B8" w14:textId="43C22A90" w:rsidR="00C668EB" w:rsidRPr="007F2641" w:rsidRDefault="00C668EB" w:rsidP="001310F9">
      <w:pPr>
        <w:pStyle w:val="enumlev1"/>
        <w:rPr>
          <w:lang w:val="es-ES"/>
        </w:rPr>
      </w:pPr>
      <w:r w:rsidRPr="007F2641">
        <w:rPr>
          <w:lang w:val="es-ES"/>
        </w:rPr>
        <w:t>–</w:t>
      </w:r>
      <w:r w:rsidR="001310F9" w:rsidRPr="007F2641">
        <w:rPr>
          <w:lang w:val="es-ES"/>
        </w:rPr>
        <w:tab/>
      </w:r>
      <w:r w:rsidRPr="007F2641">
        <w:rPr>
          <w:lang w:val="es-ES"/>
        </w:rPr>
        <w:t xml:space="preserve">A petición de la TSB, el Director Regional de la ASP participó como ponente en la Cumbre India-AI Impact 2026, en el marco de la reunión sobre </w:t>
      </w:r>
      <w:r w:rsidR="003A2660" w:rsidRPr="007F2641">
        <w:rPr>
          <w:lang w:val="es-ES"/>
        </w:rPr>
        <w:t>"</w:t>
      </w:r>
      <w:r w:rsidRPr="007F2641">
        <w:rPr>
          <w:lang w:val="es-ES"/>
        </w:rPr>
        <w:t>Normas y opciones sobre políticas para ampliar los sistemas agroalimentarios basados en IA orientados a los agricultores</w:t>
      </w:r>
      <w:r w:rsidR="003A2660" w:rsidRPr="007F2641">
        <w:rPr>
          <w:lang w:val="es-ES"/>
        </w:rPr>
        <w:t>"</w:t>
      </w:r>
      <w:r w:rsidRPr="007F2641">
        <w:rPr>
          <w:lang w:val="es-ES"/>
        </w:rPr>
        <w:t>, celebrada el 16 de febrero de 2026.</w:t>
      </w:r>
    </w:p>
    <w:p w14:paraId="5C56EF4D" w14:textId="743B5DE7" w:rsidR="00C668EB" w:rsidRPr="007F2641" w:rsidRDefault="00C668EB" w:rsidP="001310F9">
      <w:pPr>
        <w:pStyle w:val="enumlev1"/>
        <w:rPr>
          <w:lang w:val="es-ES"/>
        </w:rPr>
      </w:pPr>
      <w:r w:rsidRPr="007F2641">
        <w:rPr>
          <w:lang w:val="es-ES"/>
        </w:rPr>
        <w:t>–</w:t>
      </w:r>
      <w:r w:rsidR="001310F9" w:rsidRPr="007F2641">
        <w:rPr>
          <w:lang w:val="es-ES"/>
        </w:rPr>
        <w:tab/>
      </w:r>
      <w:r w:rsidRPr="007F2641">
        <w:rPr>
          <w:lang w:val="es-ES"/>
        </w:rPr>
        <w:t xml:space="preserve">En apoyo a la iniciativa </w:t>
      </w:r>
      <w:hyperlink r:id="rId48" w:history="1">
        <w:r w:rsidRPr="007F2641">
          <w:rPr>
            <w:rStyle w:val="Hyperlink"/>
            <w:lang w:val="es-ES"/>
          </w:rPr>
          <w:t>Unidos por las Ciudades Inteligentes y Sostenibles</w:t>
        </w:r>
      </w:hyperlink>
      <w:r w:rsidRPr="007F2641">
        <w:rPr>
          <w:lang w:val="es-ES"/>
        </w:rPr>
        <w:t xml:space="preserve"> (U4SSC), la OR-ASP aunó esfuerzos con la TSB para fomentar la colaboración con ONU-Hábitat en Asia y el Pacífico en 2026, y se llevan a cabo conversaciones al respecto.</w:t>
      </w:r>
    </w:p>
    <w:p w14:paraId="0E27468D" w14:textId="03CC7C65" w:rsidR="00C668EB" w:rsidRPr="007F2641" w:rsidRDefault="00C668EB" w:rsidP="001310F9">
      <w:pPr>
        <w:pStyle w:val="enumlev1"/>
        <w:rPr>
          <w:lang w:val="es-ES"/>
        </w:rPr>
      </w:pPr>
      <w:r w:rsidRPr="007F2641">
        <w:rPr>
          <w:lang w:val="es-ES"/>
        </w:rPr>
        <w:t>–</w:t>
      </w:r>
      <w:r w:rsidR="001310F9" w:rsidRPr="007F2641">
        <w:rPr>
          <w:lang w:val="es-ES"/>
        </w:rPr>
        <w:tab/>
      </w:r>
      <w:r w:rsidRPr="007F2641">
        <w:rPr>
          <w:lang w:val="es-ES"/>
        </w:rPr>
        <w:t>Se ha contratado a un miembro del personal de la TSB en la Oficina Regional de la India.</w:t>
      </w:r>
    </w:p>
    <w:p w14:paraId="13CA4014" w14:textId="77777777" w:rsidR="00C668EB" w:rsidRPr="007F2641" w:rsidRDefault="00C668EB" w:rsidP="001310F9">
      <w:pPr>
        <w:pStyle w:val="Heading2"/>
        <w:rPr>
          <w:lang w:val="es-ES"/>
        </w:rPr>
      </w:pPr>
      <w:r w:rsidRPr="007F2641">
        <w:rPr>
          <w:lang w:val="es-ES"/>
        </w:rPr>
        <w:t>3.6</w:t>
      </w:r>
      <w:r w:rsidRPr="007F2641">
        <w:rPr>
          <w:lang w:val="es-ES"/>
        </w:rPr>
        <w:tab/>
        <w:t>Oficina Regional para la CEI (OR-</w:t>
      </w:r>
      <w:proofErr w:type="gramStart"/>
      <w:r w:rsidRPr="007F2641">
        <w:rPr>
          <w:lang w:val="es-ES"/>
        </w:rPr>
        <w:t>CEI)/</w:t>
      </w:r>
      <w:proofErr w:type="gramEnd"/>
      <w:r w:rsidRPr="007F2641">
        <w:rPr>
          <w:lang w:val="es-ES"/>
        </w:rPr>
        <w:t>Actividades en la CEI</w:t>
      </w:r>
    </w:p>
    <w:p w14:paraId="5109033A" w14:textId="77777777" w:rsidR="00C668EB" w:rsidRPr="007F2641" w:rsidRDefault="00C668EB" w:rsidP="00C668EB">
      <w:pPr>
        <w:pStyle w:val="Headingb"/>
        <w:rPr>
          <w:lang w:val="es-ES"/>
        </w:rPr>
      </w:pPr>
      <w:r w:rsidRPr="007F2641">
        <w:rPr>
          <w:lang w:val="es-ES"/>
        </w:rPr>
        <w:t>Actividades relacionadas con la BR</w:t>
      </w:r>
    </w:p>
    <w:p w14:paraId="61CD983E" w14:textId="7C8827C9" w:rsidR="00C668EB" w:rsidRPr="007F2641" w:rsidRDefault="00C668EB" w:rsidP="00C668EB">
      <w:pPr>
        <w:pStyle w:val="enumlev1"/>
        <w:rPr>
          <w:lang w:val="es-ES"/>
        </w:rPr>
      </w:pPr>
      <w:r w:rsidRPr="007F2641">
        <w:rPr>
          <w:lang w:val="es-ES"/>
        </w:rPr>
        <w:t>–</w:t>
      </w:r>
      <w:r w:rsidRPr="007F2641">
        <w:rPr>
          <w:lang w:val="es-ES"/>
        </w:rPr>
        <w:tab/>
        <w:t>En febrero de 2025, la BDT, junto con Intersputnik y con la participación de expertos de la BR, organizó un taller sobre "</w:t>
      </w:r>
      <w:r w:rsidR="001310F9" w:rsidRPr="007F2641">
        <w:rPr>
          <w:lang w:val="es-ES"/>
        </w:rPr>
        <w:t>L</w:t>
      </w:r>
      <w:r w:rsidRPr="007F2641">
        <w:rPr>
          <w:lang w:val="es-ES"/>
        </w:rPr>
        <w:t>as actividades espaciales en la realidad moderna" en Almaty, Kazajistán. El evento, al que asistió la comunidad de comunicaciones por satélite, y que fue muy valorado por los participantes, ofreció una oportunidad excepcional para compartir prácticas idóneas a la hora de crear o mejorar la legislación nacional en materia de actividades espaciales, y abordar a su vez los retos que plantean las políticas nacionales de acceso al mercado de los sistemas por satélite. En septiembre de 2025 se celebró una segunda reunión de formación sobre la situación a escala mundial de la conectividad espacial, organizada por la Agencia Espacial AzerCosmos de la República de Azerbaiyán.</w:t>
      </w:r>
    </w:p>
    <w:p w14:paraId="27566A00" w14:textId="176FFA50" w:rsidR="00C668EB" w:rsidRPr="007F2641" w:rsidRDefault="00C668EB" w:rsidP="00C668EB">
      <w:pPr>
        <w:pStyle w:val="enumlev1"/>
        <w:rPr>
          <w:lang w:val="es-ES"/>
        </w:rPr>
      </w:pPr>
      <w:r w:rsidRPr="007F2641">
        <w:rPr>
          <w:lang w:val="es-ES"/>
        </w:rPr>
        <w:t>–</w:t>
      </w:r>
      <w:r w:rsidR="001310F9" w:rsidRPr="007F2641">
        <w:rPr>
          <w:lang w:val="es-ES"/>
        </w:rPr>
        <w:tab/>
      </w:r>
      <w:r w:rsidRPr="007F2641">
        <w:rPr>
          <w:lang w:val="es-ES"/>
        </w:rPr>
        <w:t>Se prevé prestar asistencia técnica a Armenia, Azerbaiyán y Georgia sobre planificación de frecuencias para radiodifusión sonora digital (DAB) en la banda 174-230</w:t>
      </w:r>
      <w:r w:rsidR="001310F9" w:rsidRPr="007F2641">
        <w:rPr>
          <w:lang w:val="es-ES"/>
        </w:rPr>
        <w:t> </w:t>
      </w:r>
      <w:r w:rsidRPr="007F2641">
        <w:rPr>
          <w:lang w:val="es-ES"/>
        </w:rPr>
        <w:t>MHz.</w:t>
      </w:r>
    </w:p>
    <w:p w14:paraId="392D55EC" w14:textId="36747145" w:rsidR="00C668EB" w:rsidRPr="007F2641" w:rsidRDefault="00C668EB" w:rsidP="00C668EB">
      <w:pPr>
        <w:pStyle w:val="enumlev1"/>
        <w:rPr>
          <w:lang w:val="es-ES"/>
        </w:rPr>
      </w:pPr>
      <w:r w:rsidRPr="007F2641">
        <w:rPr>
          <w:lang w:val="es-ES"/>
        </w:rPr>
        <w:t>–</w:t>
      </w:r>
      <w:r w:rsidR="001310F9" w:rsidRPr="007F2641">
        <w:rPr>
          <w:lang w:val="es-ES"/>
        </w:rPr>
        <w:tab/>
      </w:r>
      <w:r w:rsidRPr="007F2641">
        <w:rPr>
          <w:lang w:val="es-ES"/>
        </w:rPr>
        <w:t xml:space="preserve">La BR y la BDT prestaron asistencia reglamentaria y técnica integral a Uzbekistán en el marco de un taller específico que abarcó procedimientos de coordinación, notificación e inscripción de asignaciones de frecuencias terrenales y por satélite en el marco del Reglamento de Radiocomunicaciones. La asistencia incluyó formación práctica sobre las herramientas y el </w:t>
      </w:r>
      <w:r w:rsidRPr="007F2641">
        <w:rPr>
          <w:i/>
          <w:iCs/>
          <w:lang w:val="es-ES"/>
        </w:rPr>
        <w:t>software</w:t>
      </w:r>
      <w:r w:rsidRPr="007F2641">
        <w:rPr>
          <w:lang w:val="es-ES"/>
        </w:rPr>
        <w:t xml:space="preserve"> de la UIT (en particular, BR IFIC, SpaceCom y GIMS), orientación sobre implementación y protección de asignaciones y adjudicaciones de frecuencias a escala nacional, y apoyo personalizado para abordar asuntos específicos sobre coordinación y conformidad planteados por la Administración de Uzbekistán.</w:t>
      </w:r>
    </w:p>
    <w:p w14:paraId="67EDB651" w14:textId="77777777" w:rsidR="00C668EB" w:rsidRPr="007F2641" w:rsidRDefault="00C668EB" w:rsidP="00C668EB">
      <w:pPr>
        <w:pStyle w:val="Headingb"/>
        <w:rPr>
          <w:lang w:val="es-ES"/>
        </w:rPr>
      </w:pPr>
      <w:r w:rsidRPr="007F2641">
        <w:rPr>
          <w:lang w:val="es-ES"/>
        </w:rPr>
        <w:t>Actividades relacionadas con la TSB</w:t>
      </w:r>
    </w:p>
    <w:p w14:paraId="25783EC8" w14:textId="6E1566A9" w:rsidR="00C668EB" w:rsidRPr="007F2641" w:rsidRDefault="00C668EB" w:rsidP="001310F9">
      <w:pPr>
        <w:rPr>
          <w:lang w:val="es-ES"/>
        </w:rPr>
      </w:pPr>
      <w:r w:rsidRPr="007F2641">
        <w:rPr>
          <w:lang w:val="es-ES"/>
        </w:rPr>
        <w:t>En lo que respecta a esferas temáticas específicas de trabajo, la OR-CIS colaboró estrechamente con equipos de la BDT y la TSB en las siguientes actividades:</w:t>
      </w:r>
    </w:p>
    <w:p w14:paraId="110D5414" w14:textId="24E05E76" w:rsidR="00C668EB" w:rsidRPr="007F2641" w:rsidRDefault="00C668EB" w:rsidP="00C668EB">
      <w:pPr>
        <w:pStyle w:val="enumlev1"/>
        <w:rPr>
          <w:lang w:val="es-ES"/>
        </w:rPr>
      </w:pPr>
      <w:r w:rsidRPr="007F2641">
        <w:rPr>
          <w:lang w:val="es-ES"/>
        </w:rPr>
        <w:t>–</w:t>
      </w:r>
      <w:r w:rsidRPr="007F2641">
        <w:rPr>
          <w:lang w:val="es-ES"/>
        </w:rPr>
        <w:tab/>
        <w:t xml:space="preserve">Ejecución del proyecto regional sobre conformidad e interoperabilidad </w:t>
      </w:r>
      <w:r w:rsidR="003A2660" w:rsidRPr="007F2641">
        <w:rPr>
          <w:lang w:val="es-ES"/>
        </w:rPr>
        <w:t>"</w:t>
      </w:r>
      <w:r w:rsidRPr="007F2641">
        <w:rPr>
          <w:lang w:val="es-ES"/>
        </w:rPr>
        <w:t xml:space="preserve">Centro Internacional de Investigación, Desarrollo y Ensayos para los Estados Miembros de la UIT y los Miembros de Sector del UIT-T en la Región de la CEI </w:t>
      </w:r>
      <w:r w:rsidR="001310F9" w:rsidRPr="007F2641">
        <w:rPr>
          <w:lang w:val="es-ES"/>
        </w:rPr>
        <w:t>–</w:t>
      </w:r>
      <w:r w:rsidRPr="007F2641">
        <w:rPr>
          <w:lang w:val="es-ES"/>
        </w:rPr>
        <w:t xml:space="preserve"> Fase 2</w:t>
      </w:r>
      <w:r w:rsidR="003A2660" w:rsidRPr="007F2641">
        <w:rPr>
          <w:lang w:val="es-ES"/>
        </w:rPr>
        <w:t>"</w:t>
      </w:r>
      <w:r w:rsidRPr="007F2641">
        <w:rPr>
          <w:lang w:val="es-ES"/>
        </w:rPr>
        <w:t>, cofinanciado por la UIT y Rostelecom (Miembro de Sector de la UIT-T). Durante el período que abarca el informe, el equipo del proyecto llevó a cabo un conjunto de ensayos de equipos de telecomunicaciones para verificar su conformidad con las Recomendaciones del UIT-T.</w:t>
      </w:r>
    </w:p>
    <w:p w14:paraId="475F3970" w14:textId="4E948A24" w:rsidR="00C668EB" w:rsidRPr="007F2641" w:rsidRDefault="00C668EB" w:rsidP="00C668EB">
      <w:pPr>
        <w:pStyle w:val="enumlev1"/>
        <w:rPr>
          <w:lang w:val="es-ES"/>
        </w:rPr>
      </w:pPr>
      <w:r w:rsidRPr="007F2641">
        <w:rPr>
          <w:lang w:val="es-ES"/>
        </w:rPr>
        <w:t>–</w:t>
      </w:r>
      <w:r w:rsidRPr="007F2641">
        <w:rPr>
          <w:lang w:val="es-ES"/>
        </w:rPr>
        <w:tab/>
        <w:t xml:space="preserve">Foro Regional de la UIT </w:t>
      </w:r>
      <w:r w:rsidR="003A2660" w:rsidRPr="007F2641">
        <w:rPr>
          <w:lang w:val="es-ES"/>
        </w:rPr>
        <w:t>"</w:t>
      </w:r>
      <w:hyperlink r:id="rId49" w:history="1">
        <w:r w:rsidRPr="007F2641">
          <w:rPr>
            <w:rStyle w:val="Hyperlink"/>
            <w:lang w:val="es-ES"/>
          </w:rPr>
          <w:t>Tecnologías del futuro: IA, metaverso, HTC y otras aplicaciones y servicios de las TIC. Visión 2030</w:t>
        </w:r>
      </w:hyperlink>
      <w:r w:rsidR="003A2660" w:rsidRPr="007F2641">
        <w:rPr>
          <w:lang w:val="es-ES"/>
        </w:rPr>
        <w:t>"</w:t>
      </w:r>
      <w:r w:rsidRPr="007F2641">
        <w:rPr>
          <w:lang w:val="es-ES"/>
        </w:rPr>
        <w:t>, que tuvo lugar en San Petersburgo (Federación de Rusia) del 9 al 11 de junio de 2025. El Foro fue organizado conjuntamente por la UIT y la Comunidad Regional de Comunicaciones (RCC), con el apoyo del Ministerio de Desarrollo Digital, Comunicaciones y Medios de Comunicación de la Federación de Rusia. El Foro se celebró inmediatamente después de las reuniones de las Comisiones de Estudio 11, 13 y 20 del UIT-T para Europa oriental, Asia central y Transcaucasia (SG11RG-EECAT, SG13RG-EECAT y SG20RG-EECAT).</w:t>
      </w:r>
    </w:p>
    <w:p w14:paraId="2B2B640B" w14:textId="77777777" w:rsidR="00C668EB" w:rsidRPr="007F2641" w:rsidRDefault="00C668EB" w:rsidP="00C668EB">
      <w:pPr>
        <w:pStyle w:val="Heading2"/>
        <w:rPr>
          <w:lang w:val="es-ES"/>
        </w:rPr>
      </w:pPr>
      <w:r w:rsidRPr="007F2641">
        <w:rPr>
          <w:lang w:val="es-ES"/>
        </w:rPr>
        <w:t>3.7</w:t>
      </w:r>
      <w:r w:rsidRPr="007F2641">
        <w:rPr>
          <w:lang w:val="es-ES"/>
        </w:rPr>
        <w:tab/>
        <w:t>Oficina de la UIT para Europa (OR-</w:t>
      </w:r>
      <w:proofErr w:type="gramStart"/>
      <w:r w:rsidRPr="007F2641">
        <w:rPr>
          <w:lang w:val="es-ES"/>
        </w:rPr>
        <w:t>EUR)/</w:t>
      </w:r>
      <w:proofErr w:type="gramEnd"/>
      <w:r w:rsidRPr="007F2641">
        <w:rPr>
          <w:lang w:val="es-ES"/>
        </w:rPr>
        <w:t>Actividades en Europa</w:t>
      </w:r>
    </w:p>
    <w:p w14:paraId="3AA9B21E" w14:textId="77777777" w:rsidR="00C668EB" w:rsidRPr="007F2641" w:rsidRDefault="00C668EB" w:rsidP="00C668EB">
      <w:pPr>
        <w:pStyle w:val="Headingb"/>
        <w:rPr>
          <w:lang w:val="es-ES"/>
        </w:rPr>
      </w:pPr>
      <w:r w:rsidRPr="007F2641">
        <w:rPr>
          <w:lang w:val="es-ES"/>
        </w:rPr>
        <w:t>Actividades relacionadas con la BR</w:t>
      </w:r>
    </w:p>
    <w:p w14:paraId="1B23049D" w14:textId="77777777" w:rsidR="00C668EB" w:rsidRPr="007F2641" w:rsidRDefault="00C668EB" w:rsidP="00C668EB">
      <w:pPr>
        <w:pStyle w:val="enumlev1"/>
        <w:rPr>
          <w:lang w:val="es-ES"/>
        </w:rPr>
      </w:pPr>
      <w:r w:rsidRPr="007F2641">
        <w:rPr>
          <w:lang w:val="es-ES"/>
        </w:rPr>
        <w:t>–</w:t>
      </w:r>
      <w:r w:rsidRPr="007F2641">
        <w:rPr>
          <w:lang w:val="es-ES"/>
        </w:rPr>
        <w:tab/>
        <w:t>El 27 de marzo de 2025 se organizó en Bruselas una sesión informativa ejecutiva sobre cuestiones relacionadas con la BR dirigida al Grupo de Trabajo del Consejo de la UE sobre Telecomunicaciones y Sociedad de la Información.</w:t>
      </w:r>
    </w:p>
    <w:p w14:paraId="2974BB1A" w14:textId="77777777" w:rsidR="00C668EB" w:rsidRPr="007F2641" w:rsidRDefault="00C668EB" w:rsidP="001310F9">
      <w:pPr>
        <w:pStyle w:val="enumlev1"/>
        <w:rPr>
          <w:lang w:val="es-ES"/>
        </w:rPr>
      </w:pPr>
      <w:r w:rsidRPr="007F2641">
        <w:rPr>
          <w:lang w:val="es-ES"/>
        </w:rPr>
        <w:t>–</w:t>
      </w:r>
      <w:r w:rsidRPr="007F2641">
        <w:rPr>
          <w:lang w:val="es-ES"/>
        </w:rPr>
        <w:tab/>
        <w:t>Los expertos de la BR contribuyeron a prestar asistencia técnica a Ucrania de conformidad con la Resolución 1408 del Consejo de la UIT. Ello incluyó la celebración de consultas en línea sobre espectro destinadas a funcionarios ucranianos y la elaboración del orden del día del próximo taller TAIEX de la UIT y la CE, que se celebrará en el segundo trimestre de 2026.</w:t>
      </w:r>
    </w:p>
    <w:p w14:paraId="7E3A9388" w14:textId="5ABF94FB" w:rsidR="00C668EB" w:rsidRPr="007F2641" w:rsidRDefault="00C668EB" w:rsidP="00C668EB">
      <w:pPr>
        <w:pStyle w:val="enumlev1"/>
        <w:rPr>
          <w:lang w:val="es-ES"/>
        </w:rPr>
      </w:pPr>
      <w:r w:rsidRPr="007F2641">
        <w:rPr>
          <w:lang w:val="es-ES"/>
        </w:rPr>
        <w:t>–</w:t>
      </w:r>
      <w:r w:rsidRPr="007F2641">
        <w:rPr>
          <w:lang w:val="es-ES"/>
        </w:rPr>
        <w:tab/>
        <w:t>Expertos de la BR contribuyeron a los talleres de EaPeReg, reforzando así la cooperación entre la UIT y los miembros de EaPeReg. El taller de capacitación UIT</w:t>
      </w:r>
      <w:r w:rsidR="00201294" w:rsidRPr="007F2641">
        <w:rPr>
          <w:lang w:val="es-ES"/>
        </w:rPr>
        <w:noBreakHyphen/>
      </w:r>
      <w:r w:rsidRPr="007F2641">
        <w:rPr>
          <w:lang w:val="es-ES"/>
        </w:rPr>
        <w:t>EaPeReg-EMERG sobre calidad del servicio y la resiliencia de la infraestructura digital para autoridades reguladoras se celebró los días 14 y 15 de octubre de 2025 en Chipre y contribuyó a fortalecer la capacidad de más de 60 partes interesadas de 14 países.</w:t>
      </w:r>
    </w:p>
    <w:p w14:paraId="283AC65D" w14:textId="4B2B5296" w:rsidR="00C668EB" w:rsidRPr="007F2641" w:rsidRDefault="00C668EB" w:rsidP="00C668EB">
      <w:pPr>
        <w:pStyle w:val="enumlev1"/>
        <w:rPr>
          <w:lang w:val="es-ES"/>
        </w:rPr>
      </w:pPr>
      <w:r w:rsidRPr="007F2641">
        <w:rPr>
          <w:lang w:val="es-ES"/>
        </w:rPr>
        <w:t>–</w:t>
      </w:r>
      <w:r w:rsidR="00201294" w:rsidRPr="007F2641">
        <w:rPr>
          <w:lang w:val="es-ES"/>
        </w:rPr>
        <w:tab/>
      </w:r>
      <w:r w:rsidRPr="007F2641">
        <w:rPr>
          <w:lang w:val="es-ES"/>
        </w:rPr>
        <w:t xml:space="preserve">El </w:t>
      </w:r>
      <w:hyperlink r:id="rId50" w:history="1">
        <w:r w:rsidRPr="007F2641">
          <w:rPr>
            <w:rStyle w:val="Hyperlink"/>
            <w:lang w:val="es-ES"/>
          </w:rPr>
          <w:t>Seminario Regional de Radiocomunicaciones</w:t>
        </w:r>
      </w:hyperlink>
      <w:r w:rsidRPr="007F2641">
        <w:rPr>
          <w:lang w:val="es-ES"/>
        </w:rPr>
        <w:t xml:space="preserve"> de la UIT para Europa se celebró del 16 al 20 de febrero de 2026 en Atenas (Grecia) y contribuyó a desarrollar aún más la capacitación de más de 120 expertos de más de 30 países europeos.</w:t>
      </w:r>
    </w:p>
    <w:p w14:paraId="1E3DB283" w14:textId="77777777" w:rsidR="00C668EB" w:rsidRPr="007F2641" w:rsidRDefault="00C668EB" w:rsidP="00C668EB">
      <w:pPr>
        <w:pStyle w:val="Headingb"/>
        <w:rPr>
          <w:lang w:val="es-ES"/>
        </w:rPr>
      </w:pPr>
      <w:r w:rsidRPr="007F2641">
        <w:rPr>
          <w:lang w:val="es-ES"/>
        </w:rPr>
        <w:t>Actividades relacionadas con la TSB</w:t>
      </w:r>
    </w:p>
    <w:p w14:paraId="3FF60A74" w14:textId="7E94EBC0" w:rsidR="00C668EB" w:rsidRPr="007F2641" w:rsidRDefault="00C668EB" w:rsidP="00C668EB">
      <w:pPr>
        <w:pStyle w:val="enumlev1"/>
        <w:rPr>
          <w:lang w:val="es-ES"/>
        </w:rPr>
      </w:pPr>
      <w:r w:rsidRPr="007F2641">
        <w:rPr>
          <w:lang w:val="es-ES"/>
        </w:rPr>
        <w:t>–</w:t>
      </w:r>
      <w:r w:rsidRPr="007F2641">
        <w:rPr>
          <w:lang w:val="es-ES"/>
        </w:rPr>
        <w:tab/>
        <w:t>La OR-EUR facilitó la coordinación entre la TSB y varias organizaciones regionales (la CEPT y la UE), siguió supervisando los trabajos de Com-UIT de la CEPT en el marco del UIT-T y prestó apoyo a la participación del Director de la TSB en una reunión de Com</w:t>
      </w:r>
      <w:r w:rsidR="00201294" w:rsidRPr="007F2641">
        <w:rPr>
          <w:lang w:val="es-ES"/>
        </w:rPr>
        <w:noBreakHyphen/>
      </w:r>
      <w:r w:rsidRPr="007F2641">
        <w:rPr>
          <w:lang w:val="es-ES"/>
        </w:rPr>
        <w:t>UIT de la CEPT en Atenas (septiembre de 2025).</w:t>
      </w:r>
    </w:p>
    <w:p w14:paraId="5CFBED30" w14:textId="0B34990E" w:rsidR="00C668EB" w:rsidRPr="007F2641" w:rsidRDefault="00C668EB" w:rsidP="00C668EB">
      <w:pPr>
        <w:pStyle w:val="enumlev1"/>
        <w:rPr>
          <w:lang w:val="es-ES"/>
        </w:rPr>
      </w:pPr>
      <w:r w:rsidRPr="007F2641">
        <w:rPr>
          <w:lang w:val="es-ES"/>
        </w:rPr>
        <w:t>–</w:t>
      </w:r>
      <w:r w:rsidR="00201294" w:rsidRPr="007F2641">
        <w:rPr>
          <w:lang w:val="es-ES"/>
        </w:rPr>
        <w:tab/>
      </w:r>
      <w:r w:rsidRPr="007F2641">
        <w:rPr>
          <w:lang w:val="es-ES"/>
        </w:rPr>
        <w:t>El 19 de febrero de 2025 se organizó en Bruselas un taller de coordinación entre la TSB y la Comisión Europea con el fin de identificar esferas en las que mejorar la cooperación.</w:t>
      </w:r>
    </w:p>
    <w:p w14:paraId="47C73D9A" w14:textId="77777777" w:rsidR="00C668EB" w:rsidRPr="007F2641" w:rsidRDefault="00C668EB" w:rsidP="00C668EB">
      <w:pPr>
        <w:pStyle w:val="enumlev1"/>
        <w:rPr>
          <w:lang w:val="es-ES"/>
        </w:rPr>
      </w:pPr>
      <w:r w:rsidRPr="007F2641">
        <w:rPr>
          <w:lang w:val="es-ES"/>
        </w:rPr>
        <w:t>–</w:t>
      </w:r>
      <w:r w:rsidRPr="007F2641">
        <w:rPr>
          <w:lang w:val="es-ES"/>
        </w:rPr>
        <w:tab/>
        <w:t>El 20 de febrero de 2025 se organizó en Bruselas una sesión informativa ejecutiva sobre cuestiones relacionadas con la TSB dirigida al Grupo de Trabajo del Consejo de la UE sobre Telecomunicaciones y Sociedad de la Información.</w:t>
      </w:r>
    </w:p>
    <w:p w14:paraId="41931DC1" w14:textId="59DBA609" w:rsidR="00C668EB" w:rsidRPr="007F2641" w:rsidRDefault="00201294" w:rsidP="00201294">
      <w:pPr>
        <w:pStyle w:val="enumlev1"/>
        <w:rPr>
          <w:lang w:val="es-ES"/>
        </w:rPr>
      </w:pPr>
      <w:r w:rsidRPr="007F2641">
        <w:rPr>
          <w:lang w:val="es-ES"/>
        </w:rPr>
        <w:t>–</w:t>
      </w:r>
      <w:r w:rsidRPr="007F2641">
        <w:rPr>
          <w:lang w:val="es-ES"/>
        </w:rPr>
        <w:tab/>
      </w:r>
      <w:r w:rsidR="00C668EB" w:rsidRPr="007F2641">
        <w:rPr>
          <w:lang w:val="es-ES"/>
        </w:rPr>
        <w:t xml:space="preserve">En septiembre de 2025, se organizó en Moldova, en colaboración con la TSB, el taller </w:t>
      </w:r>
      <w:r w:rsidR="003A2660" w:rsidRPr="007F2641">
        <w:rPr>
          <w:lang w:val="es-ES"/>
        </w:rPr>
        <w:t>"</w:t>
      </w:r>
      <w:hyperlink r:id="rId51" w:history="1">
        <w:r w:rsidR="00C668EB" w:rsidRPr="007F2641">
          <w:rPr>
            <w:rStyle w:val="Hyperlink"/>
            <w:rFonts w:eastAsia="Times New Roman" w:cs="Times New Roman"/>
            <w:szCs w:val="20"/>
            <w:lang w:val="es-ES"/>
          </w:rPr>
          <w:t>Armonización de campos electromagnéticos: políticas, estrategias y normas a escalas internacional, regional y nacional en relación con la exposición humana a los campos electromagnéticos</w:t>
        </w:r>
      </w:hyperlink>
      <w:r w:rsidR="003A2660" w:rsidRPr="007F2641">
        <w:rPr>
          <w:lang w:val="es-ES"/>
        </w:rPr>
        <w:t>"</w:t>
      </w:r>
      <w:r w:rsidR="00C668EB" w:rsidRPr="007F2641">
        <w:rPr>
          <w:lang w:val="es-ES"/>
        </w:rPr>
        <w:t>, y se prestó asistencia técnica a dicho país.</w:t>
      </w:r>
    </w:p>
    <w:p w14:paraId="43E942AA" w14:textId="1F6C7734" w:rsidR="00C668EB" w:rsidRPr="007F2641" w:rsidRDefault="00201294" w:rsidP="00C668EB">
      <w:pPr>
        <w:pStyle w:val="enumlev1"/>
        <w:rPr>
          <w:lang w:val="es-ES"/>
        </w:rPr>
      </w:pPr>
      <w:r w:rsidRPr="007F2641">
        <w:rPr>
          <w:lang w:val="es-ES"/>
        </w:rPr>
        <w:t>–</w:t>
      </w:r>
      <w:r w:rsidRPr="007F2641">
        <w:rPr>
          <w:lang w:val="es-ES"/>
        </w:rPr>
        <w:tab/>
      </w:r>
      <w:r w:rsidR="00C668EB" w:rsidRPr="007F2641">
        <w:rPr>
          <w:lang w:val="es-ES"/>
        </w:rPr>
        <w:t xml:space="preserve">El foro </w:t>
      </w:r>
      <w:r w:rsidR="003A2660" w:rsidRPr="007F2641">
        <w:rPr>
          <w:lang w:val="es-ES"/>
        </w:rPr>
        <w:t>"</w:t>
      </w:r>
      <w:r w:rsidR="00C668EB" w:rsidRPr="007F2641">
        <w:rPr>
          <w:lang w:val="es-ES"/>
        </w:rPr>
        <w:t>Europa accesible: ICT4ALL</w:t>
      </w:r>
      <w:r w:rsidR="003A2660" w:rsidRPr="007F2641">
        <w:rPr>
          <w:lang w:val="es-ES"/>
        </w:rPr>
        <w:t>"</w:t>
      </w:r>
      <w:r w:rsidR="00C668EB" w:rsidRPr="007F2641">
        <w:rPr>
          <w:lang w:val="es-ES"/>
        </w:rPr>
        <w:t xml:space="preserve"> de la UIT y la CE se celebró del 2 al 3 de diciembre de 2025 en Bruselas, con un programa elaborado </w:t>
      </w:r>
      <w:proofErr w:type="gramStart"/>
      <w:r w:rsidR="00C668EB" w:rsidRPr="007F2641">
        <w:rPr>
          <w:lang w:val="es-ES"/>
        </w:rPr>
        <w:t>conjuntamente con</w:t>
      </w:r>
      <w:proofErr w:type="gramEnd"/>
      <w:r w:rsidR="00C668EB" w:rsidRPr="007F2641">
        <w:rPr>
          <w:lang w:val="es-ES"/>
        </w:rPr>
        <w:t xml:space="preserve"> todos los Sectores y la TSB, que coordinó reuniones sobre IA y ciudades inteligentes.</w:t>
      </w:r>
    </w:p>
    <w:p w14:paraId="6E3DD861" w14:textId="2EA115B7" w:rsidR="00C668EB" w:rsidRPr="007F2641" w:rsidRDefault="00201294" w:rsidP="00C668EB">
      <w:pPr>
        <w:pStyle w:val="enumlev1"/>
        <w:rPr>
          <w:lang w:val="es-ES"/>
        </w:rPr>
      </w:pPr>
      <w:r w:rsidRPr="007F2641">
        <w:rPr>
          <w:lang w:val="es-ES"/>
        </w:rPr>
        <w:t>–</w:t>
      </w:r>
      <w:r w:rsidRPr="007F2641">
        <w:rPr>
          <w:lang w:val="es-ES"/>
        </w:rPr>
        <w:tab/>
        <w:t>L</w:t>
      </w:r>
      <w:r w:rsidR="00C668EB" w:rsidRPr="007F2641">
        <w:rPr>
          <w:lang w:val="es-ES"/>
        </w:rPr>
        <w:t xml:space="preserve">a OR-EUR colaboró con el taller del UIT-T </w:t>
      </w:r>
      <w:r w:rsidR="003A2660" w:rsidRPr="007F2641">
        <w:rPr>
          <w:lang w:val="es-ES"/>
        </w:rPr>
        <w:t>"</w:t>
      </w:r>
      <w:r w:rsidR="00C668EB" w:rsidRPr="007F2641">
        <w:rPr>
          <w:lang w:val="es-ES"/>
        </w:rPr>
        <w:t>Iniciativa mundial sobre resiliencia frente a riesgos naturales mediante soluciones de IA</w:t>
      </w:r>
      <w:r w:rsidR="003A2660" w:rsidRPr="007F2641">
        <w:rPr>
          <w:lang w:val="es-ES"/>
        </w:rPr>
        <w:t>"</w:t>
      </w:r>
      <w:r w:rsidR="00C668EB" w:rsidRPr="007F2641">
        <w:rPr>
          <w:lang w:val="es-ES"/>
        </w:rPr>
        <w:t xml:space="preserve"> (diciembre de 2025), organizado en Bruselas por la Comisión Europea.</w:t>
      </w:r>
    </w:p>
    <w:p w14:paraId="55A3051C" w14:textId="77777777" w:rsidR="00C668EB" w:rsidRPr="007F2641" w:rsidRDefault="00C668EB" w:rsidP="00C668EB">
      <w:pPr>
        <w:pStyle w:val="Heading2"/>
        <w:rPr>
          <w:lang w:val="es-ES"/>
        </w:rPr>
      </w:pPr>
      <w:r w:rsidRPr="007F2641">
        <w:rPr>
          <w:lang w:val="es-ES"/>
        </w:rPr>
        <w:t>3.8</w:t>
      </w:r>
      <w:r w:rsidRPr="007F2641">
        <w:rPr>
          <w:lang w:val="es-ES"/>
        </w:rPr>
        <w:tab/>
        <w:t>Coordinación interregional</w:t>
      </w:r>
    </w:p>
    <w:p w14:paraId="6A07F762" w14:textId="77777777" w:rsidR="00C668EB" w:rsidRPr="007F2641" w:rsidRDefault="00C668EB" w:rsidP="00C668EB">
      <w:pPr>
        <w:pStyle w:val="Headingb"/>
        <w:rPr>
          <w:lang w:val="es-ES"/>
        </w:rPr>
      </w:pPr>
      <w:r w:rsidRPr="007F2641">
        <w:rPr>
          <w:lang w:val="es-ES"/>
        </w:rPr>
        <w:t>Actividades relacionadas con la BR</w:t>
      </w:r>
    </w:p>
    <w:p w14:paraId="4EAA603D" w14:textId="74CAE9F0" w:rsidR="00C668EB" w:rsidRPr="007F2641" w:rsidRDefault="00201294" w:rsidP="000809DB">
      <w:pPr>
        <w:pStyle w:val="enumlev1"/>
        <w:rPr>
          <w:lang w:val="es-ES"/>
        </w:rPr>
      </w:pPr>
      <w:r w:rsidRPr="007F2641">
        <w:rPr>
          <w:lang w:val="es-ES"/>
        </w:rPr>
        <w:t>–</w:t>
      </w:r>
      <w:r w:rsidRPr="007F2641">
        <w:rPr>
          <w:lang w:val="es-ES"/>
        </w:rPr>
        <w:tab/>
      </w:r>
      <w:r w:rsidR="00C668EB" w:rsidRPr="007F2641">
        <w:rPr>
          <w:lang w:val="es-ES"/>
        </w:rPr>
        <w:t>La labor conjunta que se lleva a cabo desde hace tiempo para garantizar una utilización eficaz del espectro, en particular en los países en desarrollo, como se refleja en la Resolución 9 de la CMDT, incluye la implantación de la herramienta SMS4DC, en consonancia con lo establecido en el Reglamento de Radiocomunicaciones adoptado por la CMR.</w:t>
      </w:r>
    </w:p>
    <w:p w14:paraId="793AE4BD" w14:textId="19BA3082" w:rsidR="00C668EB" w:rsidRPr="007F2641" w:rsidRDefault="00201294" w:rsidP="000809DB">
      <w:pPr>
        <w:pStyle w:val="enumlev1"/>
        <w:rPr>
          <w:lang w:val="es-ES"/>
        </w:rPr>
      </w:pPr>
      <w:r w:rsidRPr="007F2641">
        <w:rPr>
          <w:lang w:val="es-ES"/>
        </w:rPr>
        <w:t>–</w:t>
      </w:r>
      <w:r w:rsidRPr="007F2641">
        <w:rPr>
          <w:lang w:val="es-ES"/>
        </w:rPr>
        <w:tab/>
      </w:r>
      <w:r w:rsidR="00C668EB" w:rsidRPr="007F2641">
        <w:rPr>
          <w:lang w:val="es-ES"/>
        </w:rPr>
        <w:t>Dicha labor conjunta también incluye diversas iniciativas encaminadas a reducir el consumo energético y hacer frente al cambio climático mediante las TIC y las tecnologías de radiocomunicación. La BDT sigue prestando apoyo a los Estados Miembros en esas esferas, y se intercambia información de forma eficaz entre las Comisiones de Estudio del UIT-D y del UIT-R.</w:t>
      </w:r>
    </w:p>
    <w:p w14:paraId="63662C08" w14:textId="6FE334EF" w:rsidR="00C668EB" w:rsidRPr="007F2641" w:rsidRDefault="00201294" w:rsidP="000809DB">
      <w:pPr>
        <w:pStyle w:val="enumlev1"/>
        <w:rPr>
          <w:lang w:val="es-ES"/>
        </w:rPr>
      </w:pPr>
      <w:r w:rsidRPr="007F2641">
        <w:rPr>
          <w:lang w:val="es-ES"/>
        </w:rPr>
        <w:t>–</w:t>
      </w:r>
      <w:r w:rsidRPr="007F2641">
        <w:rPr>
          <w:lang w:val="es-ES"/>
        </w:rPr>
        <w:tab/>
      </w:r>
      <w:r w:rsidR="00C668EB" w:rsidRPr="007F2641">
        <w:rPr>
          <w:lang w:val="es-ES"/>
        </w:rPr>
        <w:t xml:space="preserve">Las innovaciones incipientes en materia de comunicaciones por satélite y espaciales a raíz de los resultados de la CMR-23 guardan estrecha relación con los esfuerzos del UIT-D en materia de fomento de la concienciación y capacitación, incluida la organización de reuniones conjuntas en el marco del Simposio Mundial para Organismos Reguladores (GSR), la elaboración de artículos conjuntos en la </w:t>
      </w:r>
      <w:hyperlink r:id="rId52" w:history="1">
        <w:r w:rsidR="00C668EB" w:rsidRPr="007F2641">
          <w:rPr>
            <w:rStyle w:val="Hyperlink"/>
            <w:rFonts w:eastAsia="Times New Roman" w:cs="Times New Roman"/>
            <w:szCs w:val="20"/>
            <w:lang w:val="es-ES"/>
          </w:rPr>
          <w:t>Plataforma de Regulación Digital</w:t>
        </w:r>
      </w:hyperlink>
      <w:r w:rsidR="00C668EB" w:rsidRPr="007F2641">
        <w:rPr>
          <w:lang w:val="es-ES"/>
        </w:rPr>
        <w:t xml:space="preserve"> y la coordinación de participación en foros sobre conectividad espacial.</w:t>
      </w:r>
    </w:p>
    <w:p w14:paraId="61B41508" w14:textId="77777777" w:rsidR="00C668EB" w:rsidRPr="007F2641" w:rsidRDefault="00C668EB" w:rsidP="00C668EB">
      <w:pPr>
        <w:pStyle w:val="Headingb"/>
        <w:rPr>
          <w:lang w:val="es-ES"/>
        </w:rPr>
      </w:pPr>
      <w:r w:rsidRPr="007F2641">
        <w:rPr>
          <w:lang w:val="es-ES"/>
        </w:rPr>
        <w:t>Actividades relacionadas con la TSB</w:t>
      </w:r>
    </w:p>
    <w:p w14:paraId="5497C3D9" w14:textId="4FA75C07" w:rsidR="00C668EB" w:rsidRPr="007F2641" w:rsidRDefault="00201294" w:rsidP="000809DB">
      <w:pPr>
        <w:pStyle w:val="enumlev1"/>
        <w:rPr>
          <w:lang w:val="es-ES"/>
        </w:rPr>
      </w:pPr>
      <w:r w:rsidRPr="007F2641">
        <w:rPr>
          <w:lang w:val="es-ES"/>
        </w:rPr>
        <w:t>–</w:t>
      </w:r>
      <w:r w:rsidRPr="007F2641">
        <w:rPr>
          <w:lang w:val="es-ES"/>
        </w:rPr>
        <w:tab/>
      </w:r>
      <w:r w:rsidR="00C668EB" w:rsidRPr="007F2641">
        <w:rPr>
          <w:lang w:val="es-ES"/>
        </w:rPr>
        <w:t>La Comisión de Estudio 17 del UIT-T y la Cuestión 3 de la Comisión de Estudio 2 del UIT-D coordinan la adopción de normas relacionadas con la ciberseguridad y las medidas sobre el terreno, incluido el establecimiento de un EIII.</w:t>
      </w:r>
    </w:p>
    <w:p w14:paraId="5D4143E8" w14:textId="3E2079F2" w:rsidR="00C668EB" w:rsidRPr="007F2641" w:rsidRDefault="00201294" w:rsidP="000809DB">
      <w:pPr>
        <w:pStyle w:val="enumlev1"/>
        <w:rPr>
          <w:lang w:val="es-ES"/>
        </w:rPr>
      </w:pPr>
      <w:r w:rsidRPr="007F2641">
        <w:rPr>
          <w:lang w:val="es-ES"/>
        </w:rPr>
        <w:t>–</w:t>
      </w:r>
      <w:r w:rsidRPr="007F2641">
        <w:rPr>
          <w:lang w:val="es-ES"/>
        </w:rPr>
        <w:tab/>
      </w:r>
      <w:r w:rsidR="00C668EB" w:rsidRPr="007F2641">
        <w:rPr>
          <w:lang w:val="es-ES"/>
        </w:rPr>
        <w:t>La BDT prosigue sus esfuerzos para ayudar a los países en desarrollo en la migración de IPv4 a IPv6, lo que incluye el desarrollo de capacidades humanas e institucionales.</w:t>
      </w:r>
    </w:p>
    <w:p w14:paraId="2BD70096" w14:textId="4BCD62AF" w:rsidR="00C668EB" w:rsidRPr="007F2641" w:rsidRDefault="00201294" w:rsidP="000809DB">
      <w:pPr>
        <w:pStyle w:val="enumlev1"/>
        <w:rPr>
          <w:lang w:val="es-ES"/>
        </w:rPr>
      </w:pPr>
      <w:r w:rsidRPr="007F2641">
        <w:rPr>
          <w:lang w:val="es-ES"/>
        </w:rPr>
        <w:t>–</w:t>
      </w:r>
      <w:r w:rsidRPr="007F2641">
        <w:rPr>
          <w:lang w:val="es-ES"/>
        </w:rPr>
        <w:tab/>
      </w:r>
      <w:r w:rsidR="00C668EB" w:rsidRPr="007F2641">
        <w:rPr>
          <w:lang w:val="es-ES"/>
        </w:rPr>
        <w:t xml:space="preserve">La iniciativa </w:t>
      </w:r>
      <w:r w:rsidR="003A2660" w:rsidRPr="007F2641">
        <w:rPr>
          <w:lang w:val="es-ES"/>
        </w:rPr>
        <w:t>"</w:t>
      </w:r>
      <w:r w:rsidR="00C668EB" w:rsidRPr="007F2641">
        <w:rPr>
          <w:lang w:val="es-ES"/>
        </w:rPr>
        <w:t>Reducción de la brecha en materia de normalización</w:t>
      </w:r>
      <w:r w:rsidR="003A2660" w:rsidRPr="007F2641">
        <w:rPr>
          <w:lang w:val="es-ES"/>
        </w:rPr>
        <w:t>"</w:t>
      </w:r>
      <w:r w:rsidR="00C668EB" w:rsidRPr="007F2641">
        <w:rPr>
          <w:lang w:val="es-ES"/>
        </w:rPr>
        <w:t xml:space="preserve"> sigue constituyendo una actividad clave de la BDT y la TSB para fomentar la concienciación y facilitar la aplicación de las normas del UIT-T en los países en desarrollo, a tenor de las necesidades específicas de cada país.</w:t>
      </w:r>
    </w:p>
    <w:p w14:paraId="723E4425" w14:textId="0AAAF6F0" w:rsidR="00C668EB" w:rsidRPr="007F2641" w:rsidRDefault="00201294" w:rsidP="000809DB">
      <w:pPr>
        <w:pStyle w:val="enumlev1"/>
        <w:rPr>
          <w:lang w:val="es-ES"/>
        </w:rPr>
      </w:pPr>
      <w:r w:rsidRPr="007F2641">
        <w:rPr>
          <w:lang w:val="es-ES"/>
        </w:rPr>
        <w:t>–</w:t>
      </w:r>
      <w:r w:rsidRPr="007F2641">
        <w:rPr>
          <w:lang w:val="es-ES"/>
        </w:rPr>
        <w:tab/>
      </w:r>
      <w:r w:rsidR="00C668EB" w:rsidRPr="007F2641">
        <w:rPr>
          <w:lang w:val="es-ES"/>
        </w:rPr>
        <w:t xml:space="preserve">La TSB y la BDT coordinan cuestiones relacionadas con las telecomunicaciones de emergencia y el cambio climático, en consonancia con la iniciativa de las Naciones Unidas </w:t>
      </w:r>
      <w:r w:rsidR="003A2660" w:rsidRPr="007F2641">
        <w:rPr>
          <w:lang w:val="es-ES"/>
        </w:rPr>
        <w:t>"</w:t>
      </w:r>
      <w:r w:rsidR="00C668EB" w:rsidRPr="007F2641">
        <w:rPr>
          <w:lang w:val="es-ES"/>
        </w:rPr>
        <w:t>Alerta Temprana para TODOS</w:t>
      </w:r>
      <w:r w:rsidR="003A2660" w:rsidRPr="007F2641">
        <w:rPr>
          <w:lang w:val="es-ES"/>
        </w:rPr>
        <w:t>"</w:t>
      </w:r>
      <w:r w:rsidR="00C668EB" w:rsidRPr="007F2641">
        <w:rPr>
          <w:lang w:val="es-ES"/>
        </w:rPr>
        <w:t xml:space="preserve"> (EW4ALL), en la que la BDT coordina el pilar </w:t>
      </w:r>
      <w:r w:rsidR="003A2660" w:rsidRPr="007F2641">
        <w:rPr>
          <w:lang w:val="es-ES"/>
        </w:rPr>
        <w:t>"</w:t>
      </w:r>
      <w:r w:rsidR="00C668EB" w:rsidRPr="007F2641">
        <w:rPr>
          <w:lang w:val="es-ES"/>
        </w:rPr>
        <w:t>Difusión y comunicación de alertas</w:t>
      </w:r>
      <w:r w:rsidR="003A2660" w:rsidRPr="007F2641">
        <w:rPr>
          <w:lang w:val="es-ES"/>
        </w:rPr>
        <w:t>"</w:t>
      </w:r>
      <w:r w:rsidR="00C668EB" w:rsidRPr="007F2641">
        <w:rPr>
          <w:lang w:val="es-ES"/>
        </w:rPr>
        <w:t>.</w:t>
      </w:r>
    </w:p>
    <w:p w14:paraId="59C92E7C" w14:textId="59DA518C" w:rsidR="00C668EB" w:rsidRPr="007F2641" w:rsidRDefault="00201294" w:rsidP="000809DB">
      <w:pPr>
        <w:pStyle w:val="enumlev1"/>
        <w:rPr>
          <w:lang w:val="es-ES"/>
        </w:rPr>
      </w:pPr>
      <w:r w:rsidRPr="007F2641">
        <w:rPr>
          <w:lang w:val="es-ES"/>
        </w:rPr>
        <w:t>–</w:t>
      </w:r>
      <w:r w:rsidRPr="007F2641">
        <w:rPr>
          <w:lang w:val="es-ES"/>
        </w:rPr>
        <w:tab/>
      </w:r>
      <w:r w:rsidR="00C668EB" w:rsidRPr="007F2641">
        <w:rPr>
          <w:lang w:val="es-ES"/>
        </w:rPr>
        <w:t xml:space="preserve">Otros ejemplos destacados guardan relación con las ciudades y aldeas inteligentes, las infraestructuras públicas digitales, la transformación digital y las tecnologías incipientes, en particular la IA, incluida la organización de reuniones conjuntas en el marco del GSR y la Cumbre </w:t>
      </w:r>
      <w:r w:rsidR="003A2660" w:rsidRPr="007F2641">
        <w:rPr>
          <w:lang w:val="es-ES"/>
        </w:rPr>
        <w:t>"</w:t>
      </w:r>
      <w:r w:rsidR="00C668EB" w:rsidRPr="007F2641">
        <w:rPr>
          <w:lang w:val="es-ES"/>
        </w:rPr>
        <w:t>AI for Good</w:t>
      </w:r>
      <w:r w:rsidR="003A2660" w:rsidRPr="007F2641">
        <w:rPr>
          <w:lang w:val="es-ES"/>
        </w:rPr>
        <w:t>"</w:t>
      </w:r>
      <w:r w:rsidR="00C668EB" w:rsidRPr="007F2641">
        <w:rPr>
          <w:lang w:val="es-ES"/>
        </w:rPr>
        <w:t>.</w:t>
      </w:r>
    </w:p>
    <w:p w14:paraId="6B519CF6" w14:textId="77777777" w:rsidR="003A11AC" w:rsidRPr="007F2641" w:rsidRDefault="003A11AC" w:rsidP="00411C49">
      <w:pPr>
        <w:pStyle w:val="Reasons"/>
        <w:rPr>
          <w:lang w:val="es-ES"/>
        </w:rPr>
      </w:pPr>
    </w:p>
    <w:p w14:paraId="34FF6BF9" w14:textId="77777777" w:rsidR="003A11AC" w:rsidRPr="007F2641" w:rsidRDefault="003A11AC">
      <w:pPr>
        <w:jc w:val="center"/>
        <w:rPr>
          <w:lang w:val="es-ES"/>
        </w:rPr>
      </w:pPr>
      <w:r w:rsidRPr="007F2641">
        <w:rPr>
          <w:lang w:val="es-ES"/>
        </w:rPr>
        <w:t>______________</w:t>
      </w:r>
    </w:p>
    <w:sectPr w:rsidR="003A11AC" w:rsidRPr="007F2641" w:rsidSect="00C538FC">
      <w:footerReference w:type="default" r:id="rId53"/>
      <w:headerReference w:type="first" r:id="rId54"/>
      <w:footerReference w:type="first" r:id="rId5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0CC1C" w14:textId="77777777" w:rsidR="00E145CC" w:rsidRDefault="00E145CC">
      <w:r>
        <w:separator/>
      </w:r>
    </w:p>
  </w:endnote>
  <w:endnote w:type="continuationSeparator" w:id="0">
    <w:p w14:paraId="3C7673BB" w14:textId="77777777" w:rsidR="00E145CC" w:rsidRDefault="00E14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603D7585" w14:textId="77777777" w:rsidTr="00E31DCE">
      <w:trPr>
        <w:jc w:val="center"/>
      </w:trPr>
      <w:tc>
        <w:tcPr>
          <w:tcW w:w="1803" w:type="dxa"/>
          <w:vAlign w:val="center"/>
        </w:tcPr>
        <w:p w14:paraId="40CE8514" w14:textId="11EB3688" w:rsidR="003273A4" w:rsidRDefault="00C668EB" w:rsidP="003273A4">
          <w:pPr>
            <w:pStyle w:val="Header"/>
            <w:jc w:val="left"/>
            <w:rPr>
              <w:noProof/>
            </w:rPr>
          </w:pPr>
          <w:r>
            <w:rPr>
              <w:noProof/>
            </w:rPr>
            <w:t>2600752</w:t>
          </w:r>
        </w:p>
      </w:tc>
      <w:tc>
        <w:tcPr>
          <w:tcW w:w="8261" w:type="dxa"/>
        </w:tcPr>
        <w:p w14:paraId="4DD42FE0" w14:textId="14CE6F00"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C668EB">
            <w:rPr>
              <w:bCs/>
            </w:rPr>
            <w:t>25</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30D264A8"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2059E595" w14:textId="77777777" w:rsidTr="00E31DCE">
      <w:trPr>
        <w:jc w:val="center"/>
      </w:trPr>
      <w:tc>
        <w:tcPr>
          <w:tcW w:w="1803" w:type="dxa"/>
          <w:vAlign w:val="center"/>
        </w:tcPr>
        <w:p w14:paraId="1105E0C7" w14:textId="4A103222"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298CF9DA" w14:textId="0FF45792"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C668EB">
            <w:rPr>
              <w:bCs/>
            </w:rPr>
            <w:t>25</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33C94040"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6667F" w14:textId="77777777" w:rsidR="00E145CC" w:rsidRDefault="00E145CC">
      <w:r>
        <w:t>____________________</w:t>
      </w:r>
    </w:p>
  </w:footnote>
  <w:footnote w:type="continuationSeparator" w:id="0">
    <w:p w14:paraId="11528AA1" w14:textId="77777777" w:rsidR="00E145CC" w:rsidRDefault="00E145CC">
      <w:r>
        <w:continuationSeparator/>
      </w:r>
    </w:p>
  </w:footnote>
  <w:footnote w:id="1">
    <w:p w14:paraId="78F85D33" w14:textId="0EB46221" w:rsidR="00C668EB" w:rsidRPr="00C668EB" w:rsidRDefault="00C668EB" w:rsidP="00C668EB">
      <w:pPr>
        <w:pStyle w:val="FootnoteText"/>
        <w:rPr>
          <w:lang w:val="es-ES"/>
        </w:rPr>
      </w:pPr>
      <w:r>
        <w:rPr>
          <w:rStyle w:val="FootnoteReference"/>
        </w:rPr>
        <w:footnoteRef/>
      </w:r>
      <w:r w:rsidR="008F5D92">
        <w:rPr>
          <w:lang w:val="es-ES"/>
        </w:rPr>
        <w:tab/>
      </w:r>
      <w:r w:rsidRPr="00C668EB">
        <w:rPr>
          <w:lang w:val="es-ES"/>
        </w:rPr>
        <w:t xml:space="preserve">Documento </w:t>
      </w:r>
      <w:hyperlink r:id="rId1" w:history="1">
        <w:r w:rsidRPr="008F5D92">
          <w:rPr>
            <w:rStyle w:val="Hyperlink"/>
          </w:rPr>
          <w:t>C25/105</w:t>
        </w:r>
      </w:hyperlink>
      <w:r w:rsidRPr="00C668EB">
        <w:rPr>
          <w:lang w:val="es-ES"/>
        </w:rPr>
        <w:t xml:space="preserve"> del Consejo:</w:t>
      </w:r>
    </w:p>
    <w:p w14:paraId="6B1C772B" w14:textId="77117BC7" w:rsidR="00C668EB" w:rsidRPr="00C668EB" w:rsidRDefault="00C668EB" w:rsidP="008F5D92">
      <w:pPr>
        <w:pStyle w:val="FootnoteText"/>
        <w:tabs>
          <w:tab w:val="clear" w:pos="256"/>
          <w:tab w:val="clear" w:pos="567"/>
        </w:tabs>
        <w:ind w:left="851" w:hanging="567"/>
        <w:rPr>
          <w:lang w:val="es-ES"/>
        </w:rPr>
      </w:pPr>
      <w:r w:rsidRPr="00C668EB">
        <w:rPr>
          <w:lang w:val="es-ES"/>
        </w:rPr>
        <w:t>–</w:t>
      </w:r>
      <w:r w:rsidR="008F5D92">
        <w:rPr>
          <w:lang w:val="es-ES"/>
        </w:rPr>
        <w:tab/>
      </w:r>
      <w:r w:rsidRPr="00C668EB">
        <w:rPr>
          <w:lang w:val="es-ES"/>
        </w:rPr>
        <w:t xml:space="preserve">En el Anexo H figura la </w:t>
      </w:r>
      <w:r w:rsidR="003A2660">
        <w:rPr>
          <w:lang w:val="es-ES"/>
        </w:rPr>
        <w:t>"</w:t>
      </w:r>
      <w:r w:rsidRPr="00C668EB">
        <w:rPr>
          <w:lang w:val="es-ES"/>
        </w:rPr>
        <w:t>Recomendación sobre presencia regional</w:t>
      </w:r>
      <w:r w:rsidR="003A2660">
        <w:rPr>
          <w:lang w:val="es-ES"/>
        </w:rPr>
        <w:t>"</w:t>
      </w:r>
      <w:r w:rsidRPr="00C668EB">
        <w:rPr>
          <w:lang w:val="es-ES"/>
        </w:rPr>
        <w:t>,</w:t>
      </w:r>
    </w:p>
    <w:p w14:paraId="3E14A063" w14:textId="65C83AFB" w:rsidR="00C668EB" w:rsidRPr="00C668EB" w:rsidRDefault="00C668EB" w:rsidP="008F5D92">
      <w:pPr>
        <w:pStyle w:val="FootnoteText"/>
        <w:tabs>
          <w:tab w:val="clear" w:pos="256"/>
          <w:tab w:val="clear" w:pos="567"/>
        </w:tabs>
        <w:ind w:left="851" w:hanging="567"/>
        <w:rPr>
          <w:lang w:val="es-ES"/>
        </w:rPr>
      </w:pPr>
      <w:r w:rsidRPr="00C668EB">
        <w:rPr>
          <w:lang w:val="es-ES"/>
        </w:rPr>
        <w:t>–</w:t>
      </w:r>
      <w:r w:rsidR="008F5D92">
        <w:rPr>
          <w:lang w:val="es-ES"/>
        </w:rPr>
        <w:tab/>
      </w:r>
      <w:r w:rsidRPr="00C668EB">
        <w:rPr>
          <w:lang w:val="es-ES"/>
        </w:rPr>
        <w:t xml:space="preserve">El Anexo A contiene el </w:t>
      </w:r>
      <w:r w:rsidR="003A2660">
        <w:rPr>
          <w:lang w:val="es-ES"/>
        </w:rPr>
        <w:t>"</w:t>
      </w:r>
      <w:r w:rsidRPr="00C668EB">
        <w:rPr>
          <w:lang w:val="es-ES"/>
        </w:rPr>
        <w:t>Mandato y el alcance de los trabajos para el examen de la presencia regional de la UIT</w:t>
      </w:r>
      <w:r w:rsidR="003A2660">
        <w:rPr>
          <w:lang w:val="es-ES"/>
        </w:rPr>
        <w:t>"</w:t>
      </w:r>
      <w:r w:rsidRPr="00C668EB">
        <w:rPr>
          <w:lang w:val="es-ES"/>
        </w:rPr>
        <w:t xml:space="preserve"> </w:t>
      </w:r>
    </w:p>
    <w:p w14:paraId="3859C1DE" w14:textId="077CFCD2" w:rsidR="00C668EB" w:rsidRPr="00D17812" w:rsidRDefault="00C668EB" w:rsidP="008F5D92">
      <w:pPr>
        <w:pStyle w:val="FootnoteText"/>
        <w:tabs>
          <w:tab w:val="clear" w:pos="256"/>
          <w:tab w:val="clear" w:pos="567"/>
        </w:tabs>
        <w:ind w:left="851" w:hanging="567"/>
        <w:rPr>
          <w:lang w:val="de-DE"/>
        </w:rPr>
      </w:pPr>
      <w:r w:rsidRPr="00C668EB">
        <w:rPr>
          <w:lang w:val="es-ES"/>
        </w:rPr>
        <w:t>–</w:t>
      </w:r>
      <w:r w:rsidR="008F5D92">
        <w:rPr>
          <w:lang w:val="es-ES"/>
        </w:rPr>
        <w:tab/>
      </w:r>
      <w:r w:rsidRPr="00C668EB">
        <w:rPr>
          <w:lang w:val="es-ES"/>
        </w:rPr>
        <w:t xml:space="preserve">El Anexo 1 contiene los 27 </w:t>
      </w:r>
      <w:r w:rsidR="003A2660">
        <w:rPr>
          <w:lang w:val="es-ES"/>
        </w:rPr>
        <w:t>"</w:t>
      </w:r>
      <w:r w:rsidRPr="00C668EB">
        <w:rPr>
          <w:lang w:val="es-ES"/>
        </w:rPr>
        <w:t>Indicadores fundamentales de rendimiento y criterios de evaluación que deben tenerse en cuenta al llevar a cabo el examen de la presencia regional de la UIT</w:t>
      </w:r>
      <w:r w:rsidR="003A2660">
        <w:rPr>
          <w:lang w:val="es-ES"/>
        </w:rPr>
        <w:t>"</w:t>
      </w:r>
      <w:r w:rsidRPr="00C668EB">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C5327" w14:textId="77777777" w:rsidR="001559F5" w:rsidRPr="00B1560D" w:rsidRDefault="00B1560D" w:rsidP="00B1560D">
    <w:pPr>
      <w:pStyle w:val="Header"/>
    </w:pPr>
    <w:r>
      <w:rPr>
        <w:noProof/>
      </w:rPr>
      <w:drawing>
        <wp:inline distT="0" distB="0" distL="0" distR="0" wp14:anchorId="497D634F" wp14:editId="6A57B1E0">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211596"/>
    <w:multiLevelType w:val="hybridMultilevel"/>
    <w:tmpl w:val="894CB2D6"/>
    <w:lvl w:ilvl="0" w:tplc="1B60B15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1480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5CC"/>
    <w:rsid w:val="000007D1"/>
    <w:rsid w:val="0006007D"/>
    <w:rsid w:val="000809DB"/>
    <w:rsid w:val="00093EEB"/>
    <w:rsid w:val="000B0D00"/>
    <w:rsid w:val="000B7C15"/>
    <w:rsid w:val="000D1D0F"/>
    <w:rsid w:val="000E3F07"/>
    <w:rsid w:val="000F5290"/>
    <w:rsid w:val="000F5A95"/>
    <w:rsid w:val="0010165C"/>
    <w:rsid w:val="001310F9"/>
    <w:rsid w:val="00146BFB"/>
    <w:rsid w:val="001559F5"/>
    <w:rsid w:val="00157AC4"/>
    <w:rsid w:val="0016169C"/>
    <w:rsid w:val="001958F5"/>
    <w:rsid w:val="001B6E2B"/>
    <w:rsid w:val="001F14A2"/>
    <w:rsid w:val="00201294"/>
    <w:rsid w:val="00277DEA"/>
    <w:rsid w:val="002801AA"/>
    <w:rsid w:val="002946E2"/>
    <w:rsid w:val="002C3F32"/>
    <w:rsid w:val="002C4676"/>
    <w:rsid w:val="002C70B0"/>
    <w:rsid w:val="002F3CC4"/>
    <w:rsid w:val="002F65A9"/>
    <w:rsid w:val="003032E2"/>
    <w:rsid w:val="0031300A"/>
    <w:rsid w:val="003273A4"/>
    <w:rsid w:val="0034796E"/>
    <w:rsid w:val="00347E46"/>
    <w:rsid w:val="003A11AC"/>
    <w:rsid w:val="003A2660"/>
    <w:rsid w:val="004571B0"/>
    <w:rsid w:val="00465C35"/>
    <w:rsid w:val="00473962"/>
    <w:rsid w:val="004A7A11"/>
    <w:rsid w:val="004B5D49"/>
    <w:rsid w:val="004D3A3C"/>
    <w:rsid w:val="005067D1"/>
    <w:rsid w:val="00513630"/>
    <w:rsid w:val="00560125"/>
    <w:rsid w:val="00585553"/>
    <w:rsid w:val="005B34D9"/>
    <w:rsid w:val="005D0CCF"/>
    <w:rsid w:val="005F0915"/>
    <w:rsid w:val="005F3BCB"/>
    <w:rsid w:val="005F410F"/>
    <w:rsid w:val="0060149A"/>
    <w:rsid w:val="00601924"/>
    <w:rsid w:val="006447EA"/>
    <w:rsid w:val="0064481D"/>
    <w:rsid w:val="0064731F"/>
    <w:rsid w:val="00664572"/>
    <w:rsid w:val="00666D09"/>
    <w:rsid w:val="00670579"/>
    <w:rsid w:val="006710F6"/>
    <w:rsid w:val="00677A97"/>
    <w:rsid w:val="006C1B56"/>
    <w:rsid w:val="006D4761"/>
    <w:rsid w:val="006F1C52"/>
    <w:rsid w:val="00726872"/>
    <w:rsid w:val="00760F1C"/>
    <w:rsid w:val="007657F0"/>
    <w:rsid w:val="0077110E"/>
    <w:rsid w:val="0077252D"/>
    <w:rsid w:val="007955DA"/>
    <w:rsid w:val="007E5DD3"/>
    <w:rsid w:val="007F2641"/>
    <w:rsid w:val="007F350B"/>
    <w:rsid w:val="00820BE4"/>
    <w:rsid w:val="008451E8"/>
    <w:rsid w:val="0084546D"/>
    <w:rsid w:val="008F5D92"/>
    <w:rsid w:val="008F6ABC"/>
    <w:rsid w:val="00913B9C"/>
    <w:rsid w:val="00927F93"/>
    <w:rsid w:val="00956E77"/>
    <w:rsid w:val="009A338E"/>
    <w:rsid w:val="009A76A8"/>
    <w:rsid w:val="009F4811"/>
    <w:rsid w:val="00A01F4F"/>
    <w:rsid w:val="00A109AF"/>
    <w:rsid w:val="00A94438"/>
    <w:rsid w:val="00AA390C"/>
    <w:rsid w:val="00AD5A4D"/>
    <w:rsid w:val="00AF0EAC"/>
    <w:rsid w:val="00B0200A"/>
    <w:rsid w:val="00B060DF"/>
    <w:rsid w:val="00B1560D"/>
    <w:rsid w:val="00B574DB"/>
    <w:rsid w:val="00B826C2"/>
    <w:rsid w:val="00B8298E"/>
    <w:rsid w:val="00BB6FD8"/>
    <w:rsid w:val="00BD0723"/>
    <w:rsid w:val="00BD2518"/>
    <w:rsid w:val="00BE2432"/>
    <w:rsid w:val="00BF1D1C"/>
    <w:rsid w:val="00C20C59"/>
    <w:rsid w:val="00C2727F"/>
    <w:rsid w:val="00C4421B"/>
    <w:rsid w:val="00C538FC"/>
    <w:rsid w:val="00C55B1F"/>
    <w:rsid w:val="00C668EB"/>
    <w:rsid w:val="00CC1FAF"/>
    <w:rsid w:val="00CF1A67"/>
    <w:rsid w:val="00D2750E"/>
    <w:rsid w:val="00D375E0"/>
    <w:rsid w:val="00D50A36"/>
    <w:rsid w:val="00D62446"/>
    <w:rsid w:val="00D93B76"/>
    <w:rsid w:val="00DA4EA2"/>
    <w:rsid w:val="00DC3D3E"/>
    <w:rsid w:val="00DE2C90"/>
    <w:rsid w:val="00DE3B24"/>
    <w:rsid w:val="00DE7376"/>
    <w:rsid w:val="00E06947"/>
    <w:rsid w:val="00E11319"/>
    <w:rsid w:val="00E145CC"/>
    <w:rsid w:val="00E21444"/>
    <w:rsid w:val="00E33BC6"/>
    <w:rsid w:val="00E34072"/>
    <w:rsid w:val="00E3592D"/>
    <w:rsid w:val="00E50D76"/>
    <w:rsid w:val="00E8018B"/>
    <w:rsid w:val="00E92DE8"/>
    <w:rsid w:val="00EB1212"/>
    <w:rsid w:val="00ED65AB"/>
    <w:rsid w:val="00F12850"/>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430F23"/>
  <w15:docId w15:val="{76AF9B22-4112-422F-B91D-3588F067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qFormat/>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pub/D-TDC-WTDC-2025/es" TargetMode="External"/><Relationship Id="rId18" Type="http://schemas.openxmlformats.org/officeDocument/2006/relationships/hyperlink" Target="https://www.itu.int/md/D26-TDAG33-C-0016/es" TargetMode="External"/><Relationship Id="rId26" Type="http://schemas.openxmlformats.org/officeDocument/2006/relationships/hyperlink" Target="https://www.itu.int/itu-d/meetings/rdf/afr/" TargetMode="External"/><Relationship Id="rId39" Type="http://schemas.openxmlformats.org/officeDocument/2006/relationships/hyperlink" Target="https://www.itu.int/md/D22-TDAG32-C-0005/es" TargetMode="External"/><Relationship Id="rId21" Type="http://schemas.openxmlformats.org/officeDocument/2006/relationships/hyperlink" Target="https://www.itu.int/md/D22-WTDC25-C-0002/es" TargetMode="External"/><Relationship Id="rId34" Type="http://schemas.openxmlformats.org/officeDocument/2006/relationships/hyperlink" Target="https://www.itu.int/md/D26-TDAG33-C-0016/es" TargetMode="External"/><Relationship Id="rId42" Type="http://schemas.openxmlformats.org/officeDocument/2006/relationships/hyperlink" Target="https://www.itu.int/en/ITU-D/Regional-Presence/Africa/Pages/EVENTS/2025/GSMA-.aspx" TargetMode="External"/><Relationship Id="rId47" Type="http://schemas.openxmlformats.org/officeDocument/2006/relationships/hyperlink" Target="https://www.itu.int/en/ITU-D/Regional-Presence/AsiaPacific/Pages/Projects/EW4All/EW4ALL.aspx" TargetMode="External"/><Relationship Id="rId50" Type="http://schemas.openxmlformats.org/officeDocument/2006/relationships/hyperlink" Target="https://www.itu.int/en/ITU-R/seminars/rrs/RRS-26-Europe/Pages/default.aspx"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md/D22-WTDC25-C-0002/es" TargetMode="External"/><Relationship Id="rId29" Type="http://schemas.openxmlformats.org/officeDocument/2006/relationships/hyperlink" Target="https://www.itu.int/md/S25-CL-C-0105/en" TargetMode="External"/><Relationship Id="rId11" Type="http://schemas.openxmlformats.org/officeDocument/2006/relationships/hyperlink" Target="https://www.itu.int/es/publications/ITU-D/Pages/publications.aspx?parent=D-TDC-WTDC-2022&amp;media=electronic" TargetMode="External"/><Relationship Id="rId24" Type="http://schemas.openxmlformats.org/officeDocument/2006/relationships/hyperlink" Target="https://www.itu.int/itu-d/meetings/rdf/asp/" TargetMode="External"/><Relationship Id="rId32" Type="http://schemas.openxmlformats.org/officeDocument/2006/relationships/hyperlink" Target="https://www.itu.int/md/S26-CWGFHR22-C-0004/es" TargetMode="External"/><Relationship Id="rId37" Type="http://schemas.openxmlformats.org/officeDocument/2006/relationships/hyperlink" Target="https://www.itu.int/md/D26-TDAG33-C-0004/es" TargetMode="External"/><Relationship Id="rId40" Type="http://schemas.openxmlformats.org/officeDocument/2006/relationships/hyperlink" Target="https://www.itu.int/md/D26-TDAG33-C-0008/es" TargetMode="External"/><Relationship Id="rId45" Type="http://schemas.openxmlformats.org/officeDocument/2006/relationships/hyperlink" Target="https://www.itu.int/en/ITU-R/seminars/rrs/rrs-25-asia&amp;pacific/Pages/default.aspx" TargetMode="External"/><Relationship Id="rId53"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s://www.itu.int/md/D26-TDAG33-C-0008/es" TargetMode="External"/><Relationship Id="rId4" Type="http://schemas.openxmlformats.org/officeDocument/2006/relationships/settings" Target="settings.xml"/><Relationship Id="rId9" Type="http://schemas.openxmlformats.org/officeDocument/2006/relationships/hyperlink" Target="https://www.itu.int/en/council/Documents/basic-texts-2023/RES-135-S.pdf" TargetMode="External"/><Relationship Id="rId14" Type="http://schemas.openxmlformats.org/officeDocument/2006/relationships/hyperlink" Target="https://www.itu.int/md/S25-CL-C-0025/es" TargetMode="External"/><Relationship Id="rId22" Type="http://schemas.openxmlformats.org/officeDocument/2006/relationships/hyperlink" Target="https://www.itu.int/itu-d/meetings/rdf/arb/" TargetMode="External"/><Relationship Id="rId27" Type="http://schemas.openxmlformats.org/officeDocument/2006/relationships/hyperlink" Target="https://www.itu.int/itu-d/meetings/rdf/cis/home/" TargetMode="External"/><Relationship Id="rId30" Type="http://schemas.openxmlformats.org/officeDocument/2006/relationships/hyperlink" Target="https://www.itu.int/md/S26-CWGFHR22-C-0004/es" TargetMode="External"/><Relationship Id="rId35" Type="http://schemas.openxmlformats.org/officeDocument/2006/relationships/hyperlink" Target="https://www.itu.int/md/R23-RAG-C-0066/es" TargetMode="External"/><Relationship Id="rId43" Type="http://schemas.openxmlformats.org/officeDocument/2006/relationships/hyperlink" Target="https://www.itu.int/en/ITU-R/seminars/rrs/RRS-25-Americas/Pages/default.aspx" TargetMode="External"/><Relationship Id="rId48" Type="http://schemas.openxmlformats.org/officeDocument/2006/relationships/hyperlink" Target="https://u4ssc.itu.int/" TargetMode="External"/><Relationship Id="rId56" Type="http://schemas.openxmlformats.org/officeDocument/2006/relationships/fontTable" Target="fontTable.xml"/><Relationship Id="rId8" Type="http://schemas.openxmlformats.org/officeDocument/2006/relationships/hyperlink" Target="https://www.itu.int/en/council/Documents/basic-texts-2023/RES-025-S.pdf" TargetMode="External"/><Relationship Id="rId51" Type="http://schemas.openxmlformats.org/officeDocument/2006/relationships/hyperlink" Target="https://www.itu.int/en/ITU-D/Regional-Presence/Europe/Pages/Events/2025/09.23_EMF%20Harmony/National-Workshop.aspx" TargetMode="External"/><Relationship Id="rId3" Type="http://schemas.openxmlformats.org/officeDocument/2006/relationships/styles" Target="styles.xml"/><Relationship Id="rId12" Type="http://schemas.openxmlformats.org/officeDocument/2006/relationships/hyperlink" Target="https://www.itu.int/itu-d/meetings/wtdc25/wp-content/uploads/sites/29/2025/11/090-E.pdf" TargetMode="External"/><Relationship Id="rId17" Type="http://schemas.openxmlformats.org/officeDocument/2006/relationships/hyperlink" Target="https://www.itu.int/md/D26-TDAG33-C-0019/es" TargetMode="External"/><Relationship Id="rId25" Type="http://schemas.openxmlformats.org/officeDocument/2006/relationships/hyperlink" Target="https://www.itu.int/itu-d/meetings/rdf/ams/home/" TargetMode="External"/><Relationship Id="rId33" Type="http://schemas.openxmlformats.org/officeDocument/2006/relationships/hyperlink" Target="https://www.itu.int/md/T25-TSAG-260126-TD-GEN-0313/es" TargetMode="External"/><Relationship Id="rId38" Type="http://schemas.openxmlformats.org/officeDocument/2006/relationships/hyperlink" Target="https://www.itu.int/md/D26-TDAG33-C-0019/es" TargetMode="External"/><Relationship Id="rId46" Type="http://schemas.openxmlformats.org/officeDocument/2006/relationships/hyperlink" Target="https://www.itu.int/en/ITU-D/Regional-Presence/AsiaPacific/Pages/Events/2025/ITTLLDC%202025/main.aspx" TargetMode="External"/><Relationship Id="rId20" Type="http://schemas.openxmlformats.org/officeDocument/2006/relationships/hyperlink" Target="https://www.itu.int/md/D26-TDAG33-C-0004/es" TargetMode="External"/><Relationship Id="rId41" Type="http://schemas.openxmlformats.org/officeDocument/2006/relationships/hyperlink" Target="https://www.itu.int/en/ITU-R/seminars/rrs/rrs-25-africa/Pages/default.aspx"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D22-TDAG32-C-0024/es" TargetMode="External"/><Relationship Id="rId23" Type="http://schemas.openxmlformats.org/officeDocument/2006/relationships/hyperlink" Target="https://www.itu.int/itu-d/meetings/rdf/eur/" TargetMode="External"/><Relationship Id="rId28" Type="http://schemas.openxmlformats.org/officeDocument/2006/relationships/hyperlink" Target="https://www.itu.int/md/D22-TDAG32-C-0024/es" TargetMode="External"/><Relationship Id="rId36" Type="http://schemas.openxmlformats.org/officeDocument/2006/relationships/hyperlink" Target="https://www.itu.int/md/D22-TDAG32-INF-0004/es" TargetMode="External"/><Relationship Id="rId49" Type="http://schemas.openxmlformats.org/officeDocument/2006/relationships/hyperlink" Target="https://www.itu.int/en/ITU-D/Regional-Presence/CIS/Pages/EVENTS/2025/FoCForum.aspx" TargetMode="External"/><Relationship Id="rId57" Type="http://schemas.openxmlformats.org/officeDocument/2006/relationships/theme" Target="theme/theme1.xml"/><Relationship Id="rId10" Type="http://schemas.openxmlformats.org/officeDocument/2006/relationships/hyperlink" Target="https://www.itu.int/en/council/Documents/basic-texts-2023/RES-157-S.pdf" TargetMode="External"/><Relationship Id="rId31" Type="http://schemas.openxmlformats.org/officeDocument/2006/relationships/hyperlink" Target="https://www.itu.int/md/S26-CWGFHR22-INF-0001/es" TargetMode="External"/><Relationship Id="rId44" Type="http://schemas.openxmlformats.org/officeDocument/2006/relationships/hyperlink" Target="https://www.itu.int/en/ITU-R/seminars/rrs/rrs-25-asia&amp;pacific/Pages/default.aspx" TargetMode="External"/><Relationship Id="rId52" Type="http://schemas.openxmlformats.org/officeDocument/2006/relationships/hyperlink" Target="https://digitalregulation.org/category/spectrum-managemen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S25-CL-C-0105/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26961-4940-46F9-BFCF-E23943C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PS_Council26</Template>
  <TotalTime>1</TotalTime>
  <Pages>13</Pages>
  <Words>6532</Words>
  <Characters>33971</Characters>
  <Application>Microsoft Office Word</Application>
  <DocSecurity>0</DocSecurity>
  <Lines>606</Lines>
  <Paragraphs>242</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40261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Fortalecimiento de la presencia regional de la UIT</dc:title>
  <dc:subject>Consejo 2026 de la UIT</dc:subject>
  <dc:creator>Spanish</dc:creator>
  <cp:keywords>C26; C2026; Council 2026; PP26</cp:keywords>
  <dc:description/>
  <cp:lastModifiedBy>GBS</cp:lastModifiedBy>
  <cp:revision>2</cp:revision>
  <cp:lastPrinted>2006-03-24T09:51:00Z</cp:lastPrinted>
  <dcterms:created xsi:type="dcterms:W3CDTF">2026-04-17T10:53:00Z</dcterms:created>
  <dcterms:modified xsi:type="dcterms:W3CDTF">2026-04-17T10:53:00Z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