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113FE2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7073BC41" w:rsidR="00796BD3" w:rsidRPr="00113FE2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113FE2">
              <w:rPr>
                <w:b/>
                <w:lang w:val="ru-RU"/>
              </w:rPr>
              <w:t>Пункт повестки дня:</w:t>
            </w:r>
            <w:r w:rsidR="00113FE2" w:rsidRPr="00113FE2">
              <w:rPr>
                <w:lang w:val="ru-RU"/>
              </w:rPr>
              <w:t xml:space="preserve"> </w:t>
            </w:r>
            <w:r w:rsidR="00113FE2" w:rsidRPr="00113FE2">
              <w:rPr>
                <w:b/>
                <w:lang w:val="ru-RU"/>
              </w:rPr>
              <w:t>PL</w:t>
            </w:r>
            <w:r w:rsidR="009B2F31">
              <w:rPr>
                <w:b/>
                <w:lang w:val="ru-RU"/>
              </w:rPr>
              <w:t xml:space="preserve"> </w:t>
            </w:r>
            <w:r w:rsidR="00113FE2" w:rsidRPr="00113FE2">
              <w:rPr>
                <w:b/>
                <w:lang w:val="ru-RU"/>
              </w:rPr>
              <w:t>2</w:t>
            </w:r>
          </w:p>
        </w:tc>
        <w:tc>
          <w:tcPr>
            <w:tcW w:w="5245" w:type="dxa"/>
          </w:tcPr>
          <w:p w14:paraId="5BC5C034" w14:textId="50252EC4" w:rsidR="00796BD3" w:rsidRPr="00113FE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13FE2">
              <w:rPr>
                <w:b/>
                <w:lang w:val="ru-RU"/>
              </w:rPr>
              <w:t xml:space="preserve">Документ </w:t>
            </w:r>
            <w:r w:rsidR="00796BD3" w:rsidRPr="00113FE2">
              <w:rPr>
                <w:b/>
                <w:lang w:val="ru-RU"/>
              </w:rPr>
              <w:t>C2</w:t>
            </w:r>
            <w:r w:rsidR="00BE00DD" w:rsidRPr="00113FE2">
              <w:rPr>
                <w:b/>
                <w:lang w:val="ru-RU"/>
              </w:rPr>
              <w:t>6</w:t>
            </w:r>
            <w:r w:rsidR="00796BD3" w:rsidRPr="00113FE2">
              <w:rPr>
                <w:b/>
                <w:lang w:val="ru-RU"/>
              </w:rPr>
              <w:t>/</w:t>
            </w:r>
            <w:r w:rsidR="00113FE2" w:rsidRPr="00113FE2">
              <w:rPr>
                <w:b/>
                <w:lang w:val="ru-RU"/>
              </w:rPr>
              <w:t>25</w:t>
            </w:r>
            <w:r w:rsidR="00796BD3" w:rsidRPr="00113FE2">
              <w:rPr>
                <w:b/>
                <w:lang w:val="ru-RU"/>
              </w:rPr>
              <w:t>-R</w:t>
            </w:r>
          </w:p>
        </w:tc>
      </w:tr>
      <w:tr w:rsidR="00796BD3" w:rsidRPr="00113FE2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113FE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0DFB9B06" w:rsidR="00796BD3" w:rsidRPr="00113FE2" w:rsidRDefault="00113FE2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113FE2">
              <w:rPr>
                <w:b/>
                <w:lang w:val="ru-RU"/>
              </w:rPr>
              <w:t>30 марта 2026 года</w:t>
            </w:r>
          </w:p>
        </w:tc>
      </w:tr>
      <w:tr w:rsidR="00796BD3" w:rsidRPr="00113FE2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113FE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77777777" w:rsidR="00796BD3" w:rsidRPr="00113FE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13FE2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113FE2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113FE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113FE2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113FE2" w14:paraId="61A07E2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51C287" w14:textId="77777777" w:rsidR="00796BD3" w:rsidRPr="00113FE2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113FE2">
              <w:t>Отчет Генерального секретаря</w:t>
            </w:r>
          </w:p>
        </w:tc>
      </w:tr>
      <w:tr w:rsidR="00796BD3" w:rsidRPr="00113FE2" w14:paraId="7BA958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15429C" w14:textId="0D22C394" w:rsidR="00796BD3" w:rsidRPr="00113FE2" w:rsidRDefault="00113FE2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113FE2">
              <w:t>УКРЕПЛЕНИЕ РЕГИОНАЛЬНОГО ПРИСУТСТВИЯ МСЭ</w:t>
            </w:r>
          </w:p>
        </w:tc>
      </w:tr>
      <w:tr w:rsidR="00796BD3" w:rsidRPr="00431F25" w14:paraId="1E7598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ABCB8CD" w14:textId="77777777" w:rsidR="00796BD3" w:rsidRPr="00113FE2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113FE2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50A47FF" w14:textId="05892FA2" w:rsidR="00796BD3" w:rsidRPr="00113FE2" w:rsidRDefault="00113FE2" w:rsidP="00D94737">
            <w:pPr>
              <w:jc w:val="both"/>
              <w:rPr>
                <w:lang w:val="ru-RU"/>
              </w:rPr>
            </w:pPr>
            <w:r w:rsidRPr="00113FE2">
              <w:rPr>
                <w:lang w:val="ru-RU"/>
              </w:rPr>
              <w:t>В настоящем документе содержится отчет о вкладе регионального присутствия в выполнение мандата МСЭ. В нем приводится информация о региональной работе по выполнению Стратегического плана МСЭ, принятого на ВКРЭ-22 Кигалийского плана действий, недавно принятого на ВКРЭ-25 Бакинского плана действий и региональных инициатив.</w:t>
            </w:r>
          </w:p>
          <w:p w14:paraId="1678CBF8" w14:textId="77777777" w:rsidR="00796BD3" w:rsidRPr="00113FE2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113FE2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335A3C4" w14:textId="72F44CE4" w:rsidR="00796BD3" w:rsidRPr="00113FE2" w:rsidRDefault="00113FE2" w:rsidP="00D17718">
            <w:pPr>
              <w:rPr>
                <w:lang w:val="ru-RU"/>
              </w:rPr>
            </w:pPr>
            <w:r w:rsidRPr="00113FE2">
              <w:rPr>
                <w:lang w:val="ru-RU"/>
              </w:rPr>
              <w:t xml:space="preserve">Совету предлагается </w:t>
            </w:r>
            <w:r w:rsidRPr="001F105D">
              <w:rPr>
                <w:b/>
                <w:bCs/>
                <w:lang w:val="ru-RU"/>
              </w:rPr>
              <w:t>принять к сведению</w:t>
            </w:r>
            <w:r w:rsidRPr="00113FE2">
              <w:rPr>
                <w:lang w:val="ru-RU"/>
              </w:rPr>
              <w:t xml:space="preserve"> настоящий документ.</w:t>
            </w:r>
          </w:p>
          <w:p w14:paraId="2BD8524C" w14:textId="77777777" w:rsidR="00796BD3" w:rsidRPr="00113FE2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113FE2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4D9FB03" w14:textId="00530C6E" w:rsidR="00796BD3" w:rsidRPr="00113FE2" w:rsidRDefault="00113FE2" w:rsidP="00D17718">
            <w:pPr>
              <w:rPr>
                <w:lang w:val="ru-RU"/>
              </w:rPr>
            </w:pPr>
            <w:r w:rsidRPr="00113FE2">
              <w:rPr>
                <w:lang w:val="ru-RU"/>
              </w:rPr>
              <w:t>Региональное присутствие.</w:t>
            </w:r>
          </w:p>
          <w:p w14:paraId="597F6DEB" w14:textId="77777777" w:rsidR="00796BD3" w:rsidRPr="00113FE2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113FE2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08A8A352" w14:textId="6BCC867A" w:rsidR="00345D2A" w:rsidRPr="00113FE2" w:rsidRDefault="00113FE2" w:rsidP="009B2F31">
            <w:pPr>
              <w:rPr>
                <w:szCs w:val="22"/>
                <w:lang w:val="ru-RU"/>
              </w:rPr>
            </w:pPr>
            <w:r w:rsidRPr="00113FE2">
              <w:rPr>
                <w:szCs w:val="22"/>
                <w:lang w:val="ru-RU"/>
              </w:rPr>
              <w:t>В рамках выделенного бюджета на 2024−2025 годы. Финансирование региональных инициатив ВКРЭ</w:t>
            </w:r>
            <w:r>
              <w:rPr>
                <w:szCs w:val="22"/>
                <w:lang w:val="ru-RU"/>
              </w:rPr>
              <w:noBreakHyphen/>
            </w:r>
            <w:r w:rsidRPr="00113FE2">
              <w:rPr>
                <w:szCs w:val="22"/>
                <w:lang w:val="ru-RU"/>
              </w:rPr>
              <w:t>25 в период 2026−2029 годов.</w:t>
            </w:r>
          </w:p>
          <w:p w14:paraId="488E3730" w14:textId="77777777" w:rsidR="00796BD3" w:rsidRPr="00113FE2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113FE2">
              <w:rPr>
                <w:sz w:val="20"/>
                <w:szCs w:val="18"/>
                <w:lang w:val="ru-RU"/>
              </w:rPr>
              <w:t>__________________</w:t>
            </w:r>
          </w:p>
          <w:p w14:paraId="12E80156" w14:textId="77777777" w:rsidR="00796BD3" w:rsidRPr="00113FE2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113FE2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987EC00" w14:textId="4CD939FC" w:rsidR="00796BD3" w:rsidRPr="00113FE2" w:rsidRDefault="00113FE2" w:rsidP="00D94737">
            <w:pPr>
              <w:spacing w:after="160"/>
              <w:jc w:val="both"/>
              <w:rPr>
                <w:i/>
                <w:iCs/>
                <w:lang w:val="ru-RU"/>
              </w:rPr>
            </w:pPr>
            <w:r w:rsidRPr="00113FE2">
              <w:rPr>
                <w:i/>
                <w:iCs/>
                <w:lang w:val="ru-RU"/>
              </w:rPr>
              <w:t xml:space="preserve">Резолюции </w:t>
            </w:r>
            <w:hyperlink r:id="rId8" w:history="1">
              <w:r w:rsidRPr="00113FE2">
                <w:rPr>
                  <w:rStyle w:val="Hyperlink"/>
                  <w:i/>
                  <w:iCs/>
                  <w:lang w:val="ru-RU"/>
                </w:rPr>
                <w:t>25 (Пересм. Бухарест, 2022 г.)</w:t>
              </w:r>
            </w:hyperlink>
            <w:r w:rsidRPr="00113FE2">
              <w:rPr>
                <w:i/>
                <w:iCs/>
                <w:lang w:val="ru-RU"/>
              </w:rPr>
              <w:t xml:space="preserve">, </w:t>
            </w:r>
            <w:hyperlink r:id="rId9" w:history="1">
              <w:r w:rsidRPr="00113FE2">
                <w:rPr>
                  <w:rStyle w:val="Hyperlink"/>
                  <w:i/>
                  <w:iCs/>
                  <w:lang w:val="ru-RU"/>
                </w:rPr>
                <w:t>135 (Пересм. Бухарест, 2022 г.)</w:t>
              </w:r>
            </w:hyperlink>
            <w:r w:rsidRPr="00113FE2">
              <w:rPr>
                <w:i/>
                <w:iCs/>
                <w:lang w:val="ru-RU"/>
              </w:rPr>
              <w:t xml:space="preserve"> и </w:t>
            </w:r>
            <w:hyperlink r:id="rId10" w:history="1">
              <w:r w:rsidRPr="00113FE2">
                <w:rPr>
                  <w:rStyle w:val="Hyperlink"/>
                  <w:i/>
                  <w:iCs/>
                  <w:lang w:val="ru-RU"/>
                </w:rPr>
                <w:t>157 (Пересм. Бухарест, 2022 г.</w:t>
              </w:r>
            </w:hyperlink>
            <w:r w:rsidRPr="00113FE2">
              <w:rPr>
                <w:i/>
                <w:iCs/>
                <w:lang w:val="ru-RU"/>
              </w:rPr>
              <w:t xml:space="preserve">) Полномочной конференции; Заключительные отчеты </w:t>
            </w:r>
            <w:hyperlink r:id="rId11" w:history="1">
              <w:r w:rsidRPr="00113FE2">
                <w:rPr>
                  <w:rStyle w:val="Hyperlink"/>
                  <w:i/>
                  <w:iCs/>
                  <w:lang w:val="ru-RU"/>
                </w:rPr>
                <w:t>ВКРЭ-22 (Кигалийский план действий)</w:t>
              </w:r>
            </w:hyperlink>
            <w:r w:rsidRPr="00113FE2">
              <w:rPr>
                <w:i/>
                <w:iCs/>
                <w:lang w:val="ru-RU"/>
              </w:rPr>
              <w:t xml:space="preserve"> и </w:t>
            </w:r>
            <w:hyperlink r:id="rId12" w:history="1">
              <w:r w:rsidRPr="00113FE2">
                <w:rPr>
                  <w:rStyle w:val="Hyperlink"/>
                  <w:i/>
                  <w:iCs/>
                  <w:lang w:val="ru-RU"/>
                </w:rPr>
                <w:t>ВКРЭ-25 (Бакинский план действий</w:t>
              </w:r>
            </w:hyperlink>
            <w:r w:rsidRPr="00113FE2">
              <w:rPr>
                <w:i/>
                <w:iCs/>
                <w:lang w:val="ru-RU"/>
              </w:rPr>
              <w:t xml:space="preserve">); Резолюции </w:t>
            </w:r>
            <w:hyperlink r:id="rId13" w:history="1">
              <w:r w:rsidRPr="00113FE2">
                <w:rPr>
                  <w:rStyle w:val="Hyperlink"/>
                  <w:i/>
                  <w:iCs/>
                  <w:lang w:val="ru-RU"/>
                </w:rPr>
                <w:t>17 (Пересм. Баку, 2025 г.)</w:t>
              </w:r>
            </w:hyperlink>
            <w:r w:rsidRPr="00113FE2">
              <w:rPr>
                <w:i/>
                <w:iCs/>
                <w:lang w:val="ru-RU"/>
              </w:rPr>
              <w:t xml:space="preserve"> и </w:t>
            </w:r>
            <w:hyperlink r:id="rId14" w:history="1">
              <w:r w:rsidRPr="00113FE2">
                <w:rPr>
                  <w:rStyle w:val="Hyperlink"/>
                  <w:i/>
                  <w:iCs/>
                  <w:lang w:val="ru-RU"/>
                </w:rPr>
                <w:t>31 (Пересм. Баку, 2025 г.)</w:t>
              </w:r>
            </w:hyperlink>
            <w:r w:rsidRPr="00113FE2">
              <w:rPr>
                <w:i/>
                <w:iCs/>
                <w:lang w:val="ru-RU"/>
              </w:rPr>
              <w:t xml:space="preserve"> Всемирной конференции по развитию электросвязи; Документы </w:t>
            </w:r>
            <w:hyperlink r:id="rId15" w:history="1">
              <w:r w:rsidRPr="00113FE2">
                <w:rPr>
                  <w:rStyle w:val="Hyperlink"/>
                  <w:i/>
                  <w:iCs/>
                  <w:lang w:val="ru-RU"/>
                </w:rPr>
                <w:t>C25/25</w:t>
              </w:r>
            </w:hyperlink>
            <w:r w:rsidRPr="00113FE2">
              <w:rPr>
                <w:i/>
                <w:iCs/>
                <w:lang w:val="ru-RU"/>
              </w:rPr>
              <w:t xml:space="preserve">, </w:t>
            </w:r>
            <w:hyperlink r:id="rId16" w:history="1">
              <w:r w:rsidRPr="00113FE2">
                <w:rPr>
                  <w:rStyle w:val="Hyperlink"/>
                  <w:i/>
                  <w:iCs/>
                  <w:lang w:val="ru-RU"/>
                </w:rPr>
                <w:t>TDAG-25/24</w:t>
              </w:r>
            </w:hyperlink>
            <w:r w:rsidRPr="00113FE2">
              <w:rPr>
                <w:i/>
                <w:iCs/>
                <w:lang w:val="ru-RU"/>
              </w:rPr>
              <w:t xml:space="preserve">, </w:t>
            </w:r>
            <w:hyperlink r:id="rId17" w:history="1">
              <w:r w:rsidRPr="00113FE2">
                <w:rPr>
                  <w:rStyle w:val="Hyperlink"/>
                  <w:i/>
                  <w:iCs/>
                  <w:lang w:val="ru-RU"/>
                </w:rPr>
                <w:t>WTDC-25/2</w:t>
              </w:r>
            </w:hyperlink>
            <w:r w:rsidRPr="00113FE2">
              <w:rPr>
                <w:i/>
                <w:iCs/>
                <w:lang w:val="ru-RU"/>
              </w:rPr>
              <w:t xml:space="preserve">, </w:t>
            </w:r>
            <w:hyperlink r:id="rId18" w:history="1">
              <w:r w:rsidRPr="00113FE2">
                <w:rPr>
                  <w:rStyle w:val="Hyperlink"/>
                  <w:i/>
                  <w:iCs/>
                  <w:lang w:val="ru-RU"/>
                </w:rPr>
                <w:t>TDAG-26/19</w:t>
              </w:r>
            </w:hyperlink>
            <w:r w:rsidRPr="00113FE2">
              <w:rPr>
                <w:i/>
                <w:iCs/>
                <w:lang w:val="ru-RU"/>
              </w:rPr>
              <w:t xml:space="preserve">, </w:t>
            </w:r>
            <w:hyperlink r:id="rId19" w:history="1">
              <w:r w:rsidRPr="00113FE2">
                <w:rPr>
                  <w:rStyle w:val="Hyperlink"/>
                  <w:i/>
                  <w:iCs/>
                  <w:lang w:val="ru-RU"/>
                </w:rPr>
                <w:t>TDAG-26/16</w:t>
              </w:r>
            </w:hyperlink>
            <w:r w:rsidRPr="00113FE2">
              <w:rPr>
                <w:i/>
                <w:iCs/>
                <w:lang w:val="ru-RU"/>
              </w:rPr>
              <w:t xml:space="preserve">, </w:t>
            </w:r>
            <w:hyperlink r:id="rId20" w:history="1">
              <w:r w:rsidRPr="00113FE2">
                <w:rPr>
                  <w:rStyle w:val="Hyperlink"/>
                  <w:i/>
                  <w:iCs/>
                  <w:lang w:val="ru-RU"/>
                </w:rPr>
                <w:t>TDAG-26/8</w:t>
              </w:r>
            </w:hyperlink>
            <w:r w:rsidRPr="00113FE2">
              <w:rPr>
                <w:i/>
                <w:iCs/>
                <w:lang w:val="ru-RU"/>
              </w:rPr>
              <w:t xml:space="preserve"> и </w:t>
            </w:r>
            <w:hyperlink r:id="rId21" w:history="1">
              <w:r w:rsidRPr="00113FE2">
                <w:rPr>
                  <w:rStyle w:val="Hyperlink"/>
                  <w:i/>
                  <w:iCs/>
                  <w:lang w:val="ru-RU"/>
                </w:rPr>
                <w:t>TDAG-26/4</w:t>
              </w:r>
            </w:hyperlink>
          </w:p>
        </w:tc>
      </w:tr>
      <w:bookmarkEnd w:id="2"/>
      <w:bookmarkEnd w:id="6"/>
    </w:tbl>
    <w:p w14:paraId="2075259B" w14:textId="77777777" w:rsidR="00796BD3" w:rsidRPr="00113FE2" w:rsidRDefault="00796BD3" w:rsidP="00796BD3">
      <w:pPr>
        <w:rPr>
          <w:lang w:val="ru-RU"/>
        </w:rPr>
      </w:pPr>
    </w:p>
    <w:p w14:paraId="4930794F" w14:textId="77777777" w:rsidR="00D17718" w:rsidRPr="00113FE2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63AAA8E8" w14:textId="77777777" w:rsidR="00165D06" w:rsidRPr="00113FE2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113FE2">
        <w:rPr>
          <w:lang w:val="ru-RU"/>
        </w:rPr>
        <w:br w:type="page"/>
      </w:r>
    </w:p>
    <w:p w14:paraId="1D433BE9" w14:textId="77777777" w:rsidR="00113FE2" w:rsidRPr="00113FE2" w:rsidRDefault="00113FE2" w:rsidP="00FC7027">
      <w:pPr>
        <w:pStyle w:val="Heading1"/>
        <w:rPr>
          <w:lang w:val="ru-RU"/>
        </w:rPr>
      </w:pPr>
      <w:r w:rsidRPr="00113FE2">
        <w:rPr>
          <w:lang w:val="ru-RU"/>
        </w:rPr>
        <w:lastRenderedPageBreak/>
        <w:t>1</w:t>
      </w:r>
      <w:r w:rsidRPr="00113FE2">
        <w:rPr>
          <w:lang w:val="ru-RU"/>
        </w:rPr>
        <w:tab/>
        <w:t>Базовая информация</w:t>
      </w:r>
    </w:p>
    <w:p w14:paraId="375E16A3" w14:textId="55799210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1.1</w:t>
      </w:r>
      <w:r w:rsidRPr="00113FE2">
        <w:rPr>
          <w:lang w:val="ru-RU"/>
        </w:rPr>
        <w:tab/>
        <w:t>С учетом Статей 1 и 21 Устава МСЭ, а также Статей 5 и 14 Конвенции МСЭ в</w:t>
      </w:r>
      <w:r w:rsidR="00FC7027">
        <w:rPr>
          <w:lang w:val="en-US"/>
        </w:rPr>
        <w:t> </w:t>
      </w:r>
      <w:r w:rsidRPr="00113FE2">
        <w:rPr>
          <w:lang w:val="ru-RU"/>
        </w:rPr>
        <w:t>Резолюции</w:t>
      </w:r>
      <w:r w:rsidR="00FC7027">
        <w:rPr>
          <w:lang w:val="en-US"/>
        </w:rPr>
        <w:t> </w:t>
      </w:r>
      <w:r w:rsidRPr="00113FE2">
        <w:rPr>
          <w:lang w:val="ru-RU"/>
        </w:rPr>
        <w:t>25 (Пересм. Бухарест, 2022 г.) Полномочной конференции содержится призыв к</w:t>
      </w:r>
      <w:r w:rsidR="00FC7027">
        <w:rPr>
          <w:lang w:val="en-US"/>
        </w:rPr>
        <w:t> </w:t>
      </w:r>
      <w:r w:rsidRPr="00113FE2">
        <w:rPr>
          <w:lang w:val="ru-RU"/>
        </w:rPr>
        <w:t>МСЭ "продолжать укреплять функции региональных и зональных отделений, с тем чтобы они могли играть важную роль в осуществлении Стратегического плана, программ и проектов МСЭ, а также региональных инициатив, изложенных в Кигалийском плане действий в соответствии с</w:t>
      </w:r>
      <w:r w:rsidR="00FC7027">
        <w:rPr>
          <w:lang w:val="en-US"/>
        </w:rPr>
        <w:t> </w:t>
      </w:r>
      <w:r w:rsidRPr="00113FE2">
        <w:rPr>
          <w:lang w:val="ru-RU"/>
        </w:rPr>
        <w:t>Резолюцией</w:t>
      </w:r>
      <w:r w:rsidR="00FC7027">
        <w:rPr>
          <w:lang w:val="en-US"/>
        </w:rPr>
        <w:t> </w:t>
      </w:r>
      <w:r w:rsidRPr="00113FE2">
        <w:rPr>
          <w:lang w:val="ru-RU"/>
        </w:rPr>
        <w:t>17 (Пересм. Кигали, 2022 г.) Всемирной конференции по развитию электросвязи (ВКРЭ), в пределах имеющихся ресурсов, в том числе выделенных в финансовом плане, и</w:t>
      </w:r>
      <w:r w:rsidR="00FC7027">
        <w:rPr>
          <w:lang w:val="en-US"/>
        </w:rPr>
        <w:t> </w:t>
      </w:r>
      <w:r w:rsidRPr="00113FE2">
        <w:rPr>
          <w:lang w:val="ru-RU"/>
        </w:rPr>
        <w:t>поступающих из других соответствующих источников, таких как добровольные взносы и спонсорская помощь". На ВКРЭ-25, состоявшейся с 17 по 28 ноября</w:t>
      </w:r>
      <w:r w:rsidR="00FC7027">
        <w:rPr>
          <w:lang w:val="en-US"/>
        </w:rPr>
        <w:t> </w:t>
      </w:r>
      <w:r w:rsidRPr="00113FE2">
        <w:rPr>
          <w:lang w:val="ru-RU"/>
        </w:rPr>
        <w:t>2025 года в Баку, Азербайджан, и посвященной теме "Универсальная и реальная возможность установления приемлемых в ценовом отношении соединений в интересах инклюзивного и устойчивого цифрового будущего", Члены МСЭ приняли Бакинский план действий и одобрили Резолюцию</w:t>
      </w:r>
      <w:r w:rsidR="00FC7027">
        <w:rPr>
          <w:lang w:val="en-US"/>
        </w:rPr>
        <w:t> </w:t>
      </w:r>
      <w:r w:rsidRPr="00113FE2">
        <w:rPr>
          <w:lang w:val="ru-RU"/>
        </w:rPr>
        <w:t>17 (Пересм. Баку, 2025 г.) ВКРЭ, определяющую региональные инициативы для</w:t>
      </w:r>
      <w:r w:rsidR="00FC7027">
        <w:rPr>
          <w:lang w:val="en-US"/>
        </w:rPr>
        <w:t> </w:t>
      </w:r>
      <w:r w:rsidRPr="00113FE2">
        <w:rPr>
          <w:lang w:val="ru-RU"/>
        </w:rPr>
        <w:t>реализации в период 2026–2029 годов во всех шести регионах.</w:t>
      </w:r>
    </w:p>
    <w:p w14:paraId="2F973F83" w14:textId="7F7DCF5E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1.2</w:t>
      </w:r>
      <w:r w:rsidRPr="00113FE2">
        <w:rPr>
          <w:lang w:val="ru-RU"/>
        </w:rPr>
        <w:tab/>
        <w:t>В Резолюции 25 (Пересм. Бухарест, 2022 г.) подчеркивается важнейшая роль региональных и зональных отделений МСЭ в укреплении взаимодействия Союза со своими Членами. Эти отделения служат каналом осуществления программ, проектов и видов деятельности, распространения информации о работе Союза, развития более тесных связей с</w:t>
      </w:r>
      <w:r w:rsidR="00FC7027">
        <w:rPr>
          <w:lang w:val="en-US"/>
        </w:rPr>
        <w:t> </w:t>
      </w:r>
      <w:r w:rsidRPr="00113FE2">
        <w:rPr>
          <w:lang w:val="ru-RU"/>
        </w:rPr>
        <w:t>региональными и субрегиональными организациями электросвязи и организациями системы Организации Объединенных Наций и оказания технической помощи странам, в том числе наименее развитым странам (НРС), развивающимся странам, не имеющим выхода к морю (ЛЛДС), и малым островным развивающимся государствам (СИДС), имеющим особые потребности.</w:t>
      </w:r>
    </w:p>
    <w:p w14:paraId="586C4554" w14:textId="77777777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1.3</w:t>
      </w:r>
      <w:r w:rsidRPr="00113FE2">
        <w:rPr>
          <w:lang w:val="ru-RU"/>
        </w:rPr>
        <w:tab/>
        <w:t>В настоящем отчете представлена информация об осуществлении региональными и зональными отделениями МСЭ видов деятельности на местах, относящихся к трем Секторам Союза.</w:t>
      </w:r>
    </w:p>
    <w:p w14:paraId="4CAC7EF5" w14:textId="77777777" w:rsidR="00113FE2" w:rsidRPr="00113FE2" w:rsidRDefault="00113FE2" w:rsidP="00FC7027">
      <w:pPr>
        <w:pStyle w:val="Heading1"/>
        <w:rPr>
          <w:lang w:val="ru-RU"/>
        </w:rPr>
      </w:pPr>
      <w:r w:rsidRPr="00113FE2">
        <w:rPr>
          <w:lang w:val="ru-RU"/>
        </w:rPr>
        <w:t>2</w:t>
      </w:r>
      <w:r w:rsidRPr="00113FE2">
        <w:rPr>
          <w:lang w:val="ru-RU"/>
        </w:rPr>
        <w:tab/>
        <w:t>Деятельность, связанная с Сектором развития МСЭ и БРЭ</w:t>
      </w:r>
    </w:p>
    <w:p w14:paraId="108F55DF" w14:textId="5B050128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Бюро развития электросвязи (БРЭ) в тесном сотрудничестве с Бюро радиосвязи (БР), Бюро стандартизации (БСЭ) и Генеральным секретариатом продолжает активно укреплять региональное присутствие МСЭ. Региональные и зональные отделения по-прежнему играют важную роль, выступая в качестве первого контактного звена МСЭ при взаимодействии с</w:t>
      </w:r>
      <w:r w:rsidR="00FC7027">
        <w:rPr>
          <w:lang w:val="en-US"/>
        </w:rPr>
        <w:t> </w:t>
      </w:r>
      <w:r w:rsidRPr="00113FE2">
        <w:rPr>
          <w:lang w:val="ru-RU"/>
        </w:rPr>
        <w:t>местными заинтересованными сторонами и органами власти. Подробный отчет о</w:t>
      </w:r>
      <w:r w:rsidR="00FC7027">
        <w:rPr>
          <w:lang w:val="en-US"/>
        </w:rPr>
        <w:t> </w:t>
      </w:r>
      <w:r w:rsidRPr="00113FE2">
        <w:rPr>
          <w:lang w:val="ru-RU"/>
        </w:rPr>
        <w:t>выполнении Кигалийского плана действий (КПД), вкладе МСЭ-D в Стратегический план МСЭ и</w:t>
      </w:r>
      <w:r w:rsidR="00495AAA">
        <w:rPr>
          <w:lang w:val="ru-RU"/>
        </w:rPr>
        <w:t> </w:t>
      </w:r>
      <w:r w:rsidRPr="00113FE2">
        <w:rPr>
          <w:lang w:val="ru-RU"/>
        </w:rPr>
        <w:t xml:space="preserve">реализации региональных инициатив представлен в Документе </w:t>
      </w:r>
      <w:hyperlink r:id="rId22" w:history="1">
        <w:r w:rsidRPr="00113FE2">
          <w:rPr>
            <w:rStyle w:val="Hyperlink"/>
            <w:lang w:val="ru-RU"/>
          </w:rPr>
          <w:t>WTDC-25/2</w:t>
        </w:r>
      </w:hyperlink>
      <w:r w:rsidRPr="00113FE2">
        <w:rPr>
          <w:lang w:val="ru-RU"/>
        </w:rPr>
        <w:t>.</w:t>
      </w:r>
      <w:hyperlink r:id="rId23"/>
    </w:p>
    <w:p w14:paraId="65DE0FD2" w14:textId="77777777" w:rsidR="00113FE2" w:rsidRPr="00113FE2" w:rsidRDefault="00113FE2" w:rsidP="00FC7027">
      <w:pPr>
        <w:pStyle w:val="Heading2"/>
        <w:rPr>
          <w:lang w:val="ru-RU"/>
        </w:rPr>
      </w:pPr>
      <w:r w:rsidRPr="00113FE2">
        <w:rPr>
          <w:lang w:val="ru-RU"/>
        </w:rPr>
        <w:t>2.1</w:t>
      </w:r>
      <w:r w:rsidRPr="00113FE2">
        <w:rPr>
          <w:lang w:val="ru-RU"/>
        </w:rPr>
        <w:tab/>
        <w:t>Региональные форумы по вопросам развития (РФР)</w:t>
      </w:r>
    </w:p>
    <w:p w14:paraId="1311D3E4" w14:textId="5AA7FC81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2.1.1</w:t>
      </w:r>
      <w:r w:rsidRPr="00113FE2">
        <w:rPr>
          <w:lang w:val="ru-RU"/>
        </w:rPr>
        <w:tab/>
        <w:t>В период с февраля по апрель 2025 года БРЭ организовало серию из шести РФР, приуроченных к региональным подготовительным собраниям (РПС) МСЭ к ВКРЭ</w:t>
      </w:r>
      <w:r w:rsidR="00FC7027">
        <w:rPr>
          <w:lang w:val="ru-RU"/>
        </w:rPr>
        <w:noBreakHyphen/>
      </w:r>
      <w:r w:rsidRPr="00113FE2">
        <w:rPr>
          <w:lang w:val="ru-RU"/>
        </w:rPr>
        <w:t>25, как</w:t>
      </w:r>
      <w:r w:rsidR="00FC7027">
        <w:rPr>
          <w:lang w:val="en-US"/>
        </w:rPr>
        <w:t> </w:t>
      </w:r>
      <w:r w:rsidRPr="00113FE2">
        <w:rPr>
          <w:lang w:val="ru-RU"/>
        </w:rPr>
        <w:t>показано в Таблице 1, ниже:</w:t>
      </w:r>
    </w:p>
    <w:p w14:paraId="2DFA9B2F" w14:textId="77777777" w:rsidR="00113FE2" w:rsidRPr="00113FE2" w:rsidRDefault="00113FE2" w:rsidP="00FC7027">
      <w:pPr>
        <w:pStyle w:val="TableNo"/>
        <w:rPr>
          <w:lang w:val="ru-RU"/>
        </w:rPr>
      </w:pPr>
      <w:r w:rsidRPr="00113FE2">
        <w:rPr>
          <w:lang w:val="ru-RU"/>
        </w:rPr>
        <w:lastRenderedPageBreak/>
        <w:t>Таблица 1</w:t>
      </w:r>
    </w:p>
    <w:p w14:paraId="02202D40" w14:textId="77777777" w:rsidR="00113FE2" w:rsidRPr="00113FE2" w:rsidRDefault="00113FE2" w:rsidP="00FC7027">
      <w:pPr>
        <w:pStyle w:val="Tabletitle"/>
        <w:rPr>
          <w:lang w:val="ru-RU"/>
        </w:rPr>
      </w:pPr>
      <w:r w:rsidRPr="00113FE2">
        <w:rPr>
          <w:lang w:val="ru-RU"/>
        </w:rPr>
        <w:t>Даты и место проведения РФР, организованных в 2025 году</w:t>
      </w:r>
    </w:p>
    <w:tbl>
      <w:tblPr>
        <w:tblStyle w:val="TableGrid"/>
        <w:tblW w:w="807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220"/>
        <w:gridCol w:w="2221"/>
        <w:gridCol w:w="2221"/>
      </w:tblGrid>
      <w:tr w:rsidR="00113FE2" w:rsidRPr="00113FE2" w14:paraId="413B9666" w14:textId="77777777" w:rsidTr="00495AAA">
        <w:trPr>
          <w:cantSplit/>
          <w:tblHeader/>
          <w:jc w:val="center"/>
        </w:trPr>
        <w:tc>
          <w:tcPr>
            <w:tcW w:w="1413" w:type="dxa"/>
            <w:vAlign w:val="center"/>
          </w:tcPr>
          <w:p w14:paraId="27749531" w14:textId="77777777" w:rsidR="00113FE2" w:rsidRPr="00113FE2" w:rsidRDefault="00113FE2" w:rsidP="00FC7027">
            <w:pPr>
              <w:pStyle w:val="Tablehead"/>
              <w:rPr>
                <w:lang w:val="ru-RU"/>
              </w:rPr>
            </w:pPr>
            <w:r w:rsidRPr="00113FE2">
              <w:rPr>
                <w:lang w:val="ru-RU"/>
              </w:rPr>
              <w:t>Регион</w:t>
            </w:r>
          </w:p>
        </w:tc>
        <w:tc>
          <w:tcPr>
            <w:tcW w:w="2220" w:type="dxa"/>
            <w:vAlign w:val="center"/>
          </w:tcPr>
          <w:p w14:paraId="3E8C4156" w14:textId="77777777" w:rsidR="00113FE2" w:rsidRPr="00113FE2" w:rsidRDefault="00113FE2" w:rsidP="00FC7027">
            <w:pPr>
              <w:pStyle w:val="Tablehead"/>
              <w:rPr>
                <w:lang w:val="ru-RU"/>
              </w:rPr>
            </w:pPr>
            <w:r w:rsidRPr="00113FE2">
              <w:rPr>
                <w:lang w:val="ru-RU"/>
              </w:rPr>
              <w:t>Даты</w:t>
            </w:r>
          </w:p>
        </w:tc>
        <w:tc>
          <w:tcPr>
            <w:tcW w:w="2221" w:type="dxa"/>
            <w:vAlign w:val="center"/>
          </w:tcPr>
          <w:p w14:paraId="25B34421" w14:textId="77777777" w:rsidR="00113FE2" w:rsidRPr="00113FE2" w:rsidRDefault="00113FE2" w:rsidP="00FC7027">
            <w:pPr>
              <w:pStyle w:val="Tablehead"/>
              <w:rPr>
                <w:lang w:val="ru-RU"/>
              </w:rPr>
            </w:pPr>
            <w:r w:rsidRPr="00113FE2">
              <w:rPr>
                <w:lang w:val="ru-RU"/>
              </w:rPr>
              <w:t>Город и принимающая страна</w:t>
            </w:r>
          </w:p>
        </w:tc>
        <w:tc>
          <w:tcPr>
            <w:tcW w:w="2221" w:type="dxa"/>
            <w:vAlign w:val="center"/>
          </w:tcPr>
          <w:p w14:paraId="69496F31" w14:textId="77777777" w:rsidR="00113FE2" w:rsidRPr="00113FE2" w:rsidRDefault="00113FE2" w:rsidP="00FC7027">
            <w:pPr>
              <w:pStyle w:val="Tablehead"/>
              <w:rPr>
                <w:lang w:val="ru-RU"/>
              </w:rPr>
            </w:pPr>
            <w:r w:rsidRPr="00113FE2">
              <w:rPr>
                <w:lang w:val="ru-RU"/>
              </w:rPr>
              <w:t>Веб-сайт</w:t>
            </w:r>
          </w:p>
        </w:tc>
      </w:tr>
      <w:tr w:rsidR="00113FE2" w:rsidRPr="00113FE2" w14:paraId="490221A9" w14:textId="77777777" w:rsidTr="00495AAA">
        <w:trPr>
          <w:cantSplit/>
          <w:jc w:val="center"/>
        </w:trPr>
        <w:tc>
          <w:tcPr>
            <w:tcW w:w="1413" w:type="dxa"/>
          </w:tcPr>
          <w:p w14:paraId="26059A9A" w14:textId="77777777" w:rsidR="00113FE2" w:rsidRPr="00113FE2" w:rsidRDefault="00113FE2" w:rsidP="00505892">
            <w:pPr>
              <w:pStyle w:val="Tabletext"/>
              <w:ind w:firstLine="112"/>
              <w:jc w:val="center"/>
              <w:rPr>
                <w:lang w:val="ru-RU"/>
              </w:rPr>
            </w:pPr>
            <w:r w:rsidRPr="00113FE2">
              <w:rPr>
                <w:lang w:val="ru-RU"/>
              </w:rPr>
              <w:t>РФР-АРБ</w:t>
            </w:r>
          </w:p>
        </w:tc>
        <w:tc>
          <w:tcPr>
            <w:tcW w:w="2220" w:type="dxa"/>
          </w:tcPr>
          <w:p w14:paraId="4008CDBA" w14:textId="77777777" w:rsidR="00113FE2" w:rsidRPr="00C75936" w:rsidRDefault="00113FE2" w:rsidP="00C75936">
            <w:pPr>
              <w:pStyle w:val="Tabletext"/>
              <w:ind w:firstLine="110"/>
              <w:rPr>
                <w:lang w:val="ru-RU"/>
              </w:rPr>
            </w:pPr>
            <w:r w:rsidRPr="00113FE2">
              <w:rPr>
                <w:lang w:val="ru-RU"/>
              </w:rPr>
              <w:t>3 февраля 2025 года</w:t>
            </w:r>
          </w:p>
        </w:tc>
        <w:tc>
          <w:tcPr>
            <w:tcW w:w="2221" w:type="dxa"/>
          </w:tcPr>
          <w:p w14:paraId="2CC932DC" w14:textId="77777777" w:rsidR="00113FE2" w:rsidRPr="00113FE2" w:rsidRDefault="00113FE2" w:rsidP="00C75936">
            <w:pPr>
              <w:pStyle w:val="Tabletext"/>
              <w:ind w:firstLine="108"/>
              <w:rPr>
                <w:lang w:val="ru-RU"/>
              </w:rPr>
            </w:pPr>
            <w:r w:rsidRPr="00113FE2">
              <w:rPr>
                <w:lang w:val="ru-RU"/>
              </w:rPr>
              <w:t>Амман, Иордания</w:t>
            </w:r>
          </w:p>
        </w:tc>
        <w:tc>
          <w:tcPr>
            <w:tcW w:w="2221" w:type="dxa"/>
          </w:tcPr>
          <w:p w14:paraId="3DB0F70A" w14:textId="77777777" w:rsidR="00113FE2" w:rsidRPr="00113FE2" w:rsidRDefault="00113FE2" w:rsidP="008658CB">
            <w:pPr>
              <w:pStyle w:val="Tabletext"/>
              <w:jc w:val="center"/>
              <w:rPr>
                <w:u w:val="single"/>
                <w:lang w:val="ru-RU"/>
              </w:rPr>
            </w:pPr>
            <w:hyperlink r:id="rId24" w:history="1">
              <w:r w:rsidRPr="00113FE2">
                <w:rPr>
                  <w:rStyle w:val="Hyperlink"/>
                  <w:lang w:val="ru-RU"/>
                </w:rPr>
                <w:t>Страница мероприятия</w:t>
              </w:r>
            </w:hyperlink>
          </w:p>
        </w:tc>
      </w:tr>
      <w:tr w:rsidR="00113FE2" w:rsidRPr="00113FE2" w14:paraId="53242E73" w14:textId="77777777" w:rsidTr="00495AAA">
        <w:trPr>
          <w:cantSplit/>
          <w:jc w:val="center"/>
        </w:trPr>
        <w:tc>
          <w:tcPr>
            <w:tcW w:w="1413" w:type="dxa"/>
          </w:tcPr>
          <w:p w14:paraId="71D220DD" w14:textId="77777777" w:rsidR="00113FE2" w:rsidRPr="00113FE2" w:rsidRDefault="00113FE2" w:rsidP="00505892">
            <w:pPr>
              <w:pStyle w:val="Tabletext"/>
              <w:ind w:firstLine="112"/>
              <w:jc w:val="center"/>
              <w:rPr>
                <w:lang w:val="ru-RU"/>
              </w:rPr>
            </w:pPr>
            <w:r w:rsidRPr="00113FE2">
              <w:rPr>
                <w:lang w:val="ru-RU"/>
              </w:rPr>
              <w:t>РФР-ЕВР</w:t>
            </w:r>
          </w:p>
        </w:tc>
        <w:tc>
          <w:tcPr>
            <w:tcW w:w="2220" w:type="dxa"/>
          </w:tcPr>
          <w:p w14:paraId="2543C1A3" w14:textId="77777777" w:rsidR="00113FE2" w:rsidRPr="00113FE2" w:rsidRDefault="00113FE2" w:rsidP="00C75936">
            <w:pPr>
              <w:pStyle w:val="Tabletext"/>
              <w:ind w:firstLine="110"/>
              <w:rPr>
                <w:lang w:val="ru-RU"/>
              </w:rPr>
            </w:pPr>
            <w:r w:rsidRPr="00113FE2">
              <w:rPr>
                <w:lang w:val="ru-RU"/>
              </w:rPr>
              <w:t>24 февраля 2025 года</w:t>
            </w:r>
          </w:p>
        </w:tc>
        <w:tc>
          <w:tcPr>
            <w:tcW w:w="2221" w:type="dxa"/>
          </w:tcPr>
          <w:p w14:paraId="33684DBA" w14:textId="77777777" w:rsidR="00113FE2" w:rsidRPr="00113FE2" w:rsidRDefault="00113FE2" w:rsidP="00C75936">
            <w:pPr>
              <w:pStyle w:val="Tabletext"/>
              <w:ind w:firstLine="108"/>
              <w:rPr>
                <w:lang w:val="ru-RU"/>
              </w:rPr>
            </w:pPr>
            <w:r w:rsidRPr="00113FE2">
              <w:rPr>
                <w:lang w:val="ru-RU"/>
              </w:rPr>
              <w:t>Будапешт, Венгрия</w:t>
            </w:r>
          </w:p>
        </w:tc>
        <w:tc>
          <w:tcPr>
            <w:tcW w:w="2221" w:type="dxa"/>
          </w:tcPr>
          <w:p w14:paraId="437AA54C" w14:textId="77777777" w:rsidR="00113FE2" w:rsidRPr="00113FE2" w:rsidRDefault="00113FE2" w:rsidP="008658CB">
            <w:pPr>
              <w:pStyle w:val="Tabletext"/>
              <w:jc w:val="center"/>
              <w:rPr>
                <w:u w:val="single"/>
                <w:lang w:val="ru-RU"/>
              </w:rPr>
            </w:pPr>
            <w:hyperlink r:id="rId25" w:history="1">
              <w:r w:rsidRPr="00113FE2">
                <w:rPr>
                  <w:rStyle w:val="Hyperlink"/>
                  <w:lang w:val="ru-RU"/>
                </w:rPr>
                <w:t>Страница мероприятия</w:t>
              </w:r>
            </w:hyperlink>
          </w:p>
        </w:tc>
      </w:tr>
      <w:tr w:rsidR="00113FE2" w:rsidRPr="00113FE2" w14:paraId="2D216979" w14:textId="77777777" w:rsidTr="00495AAA">
        <w:trPr>
          <w:cantSplit/>
          <w:jc w:val="center"/>
        </w:trPr>
        <w:tc>
          <w:tcPr>
            <w:tcW w:w="1413" w:type="dxa"/>
          </w:tcPr>
          <w:p w14:paraId="2E16C373" w14:textId="77777777" w:rsidR="00113FE2" w:rsidRPr="00113FE2" w:rsidRDefault="00113FE2" w:rsidP="00505892">
            <w:pPr>
              <w:pStyle w:val="Tabletext"/>
              <w:ind w:firstLine="112"/>
              <w:jc w:val="center"/>
              <w:rPr>
                <w:lang w:val="ru-RU"/>
              </w:rPr>
            </w:pPr>
            <w:r w:rsidRPr="00113FE2">
              <w:rPr>
                <w:lang w:val="ru-RU"/>
              </w:rPr>
              <w:t>РФР-АТР</w:t>
            </w:r>
          </w:p>
        </w:tc>
        <w:tc>
          <w:tcPr>
            <w:tcW w:w="2220" w:type="dxa"/>
          </w:tcPr>
          <w:p w14:paraId="3A54EC2B" w14:textId="77777777" w:rsidR="00113FE2" w:rsidRPr="00113FE2" w:rsidRDefault="00113FE2" w:rsidP="00C75936">
            <w:pPr>
              <w:pStyle w:val="Tabletext"/>
              <w:ind w:firstLine="110"/>
              <w:rPr>
                <w:lang w:val="ru-RU"/>
              </w:rPr>
            </w:pPr>
            <w:r w:rsidRPr="00113FE2">
              <w:rPr>
                <w:lang w:val="ru-RU"/>
              </w:rPr>
              <w:t>19 марта 2025 года</w:t>
            </w:r>
          </w:p>
        </w:tc>
        <w:tc>
          <w:tcPr>
            <w:tcW w:w="2221" w:type="dxa"/>
          </w:tcPr>
          <w:p w14:paraId="66F4FBD8" w14:textId="77777777" w:rsidR="00113FE2" w:rsidRPr="00113FE2" w:rsidRDefault="00113FE2" w:rsidP="00C75936">
            <w:pPr>
              <w:pStyle w:val="Tabletext"/>
              <w:ind w:firstLine="108"/>
              <w:rPr>
                <w:lang w:val="ru-RU"/>
              </w:rPr>
            </w:pPr>
            <w:r w:rsidRPr="00113FE2">
              <w:rPr>
                <w:lang w:val="ru-RU"/>
              </w:rPr>
              <w:t>Бангкок, Таиланд</w:t>
            </w:r>
          </w:p>
        </w:tc>
        <w:tc>
          <w:tcPr>
            <w:tcW w:w="2221" w:type="dxa"/>
          </w:tcPr>
          <w:p w14:paraId="5F6E7F95" w14:textId="77777777" w:rsidR="00113FE2" w:rsidRPr="00113FE2" w:rsidRDefault="00113FE2" w:rsidP="008658CB">
            <w:pPr>
              <w:pStyle w:val="Tabletext"/>
              <w:jc w:val="center"/>
              <w:rPr>
                <w:u w:val="single"/>
                <w:lang w:val="ru-RU"/>
              </w:rPr>
            </w:pPr>
            <w:hyperlink r:id="rId26" w:history="1">
              <w:r w:rsidRPr="00113FE2">
                <w:rPr>
                  <w:rStyle w:val="Hyperlink"/>
                  <w:lang w:val="ru-RU"/>
                </w:rPr>
                <w:t>Страница мероприятия</w:t>
              </w:r>
            </w:hyperlink>
          </w:p>
        </w:tc>
      </w:tr>
      <w:tr w:rsidR="00113FE2" w:rsidRPr="00113FE2" w14:paraId="17DC60E1" w14:textId="77777777" w:rsidTr="00495AAA">
        <w:trPr>
          <w:cantSplit/>
          <w:jc w:val="center"/>
        </w:trPr>
        <w:tc>
          <w:tcPr>
            <w:tcW w:w="1413" w:type="dxa"/>
          </w:tcPr>
          <w:p w14:paraId="75D80179" w14:textId="77777777" w:rsidR="00113FE2" w:rsidRPr="00113FE2" w:rsidRDefault="00113FE2" w:rsidP="00505892">
            <w:pPr>
              <w:pStyle w:val="Tabletext"/>
              <w:ind w:firstLine="112"/>
              <w:jc w:val="center"/>
              <w:rPr>
                <w:lang w:val="ru-RU"/>
              </w:rPr>
            </w:pPr>
            <w:r w:rsidRPr="00113FE2">
              <w:rPr>
                <w:lang w:val="ru-RU"/>
              </w:rPr>
              <w:t>РФР-АМР</w:t>
            </w:r>
          </w:p>
        </w:tc>
        <w:tc>
          <w:tcPr>
            <w:tcW w:w="2220" w:type="dxa"/>
          </w:tcPr>
          <w:p w14:paraId="7ABD79D6" w14:textId="77777777" w:rsidR="00113FE2" w:rsidRPr="00113FE2" w:rsidRDefault="00113FE2" w:rsidP="00C75936">
            <w:pPr>
              <w:pStyle w:val="Tabletext"/>
              <w:ind w:firstLine="110"/>
              <w:rPr>
                <w:lang w:val="ru-RU"/>
              </w:rPr>
            </w:pPr>
            <w:r w:rsidRPr="00113FE2">
              <w:rPr>
                <w:lang w:val="ru-RU"/>
              </w:rPr>
              <w:t>31 марта 2025 года</w:t>
            </w:r>
          </w:p>
        </w:tc>
        <w:tc>
          <w:tcPr>
            <w:tcW w:w="2221" w:type="dxa"/>
          </w:tcPr>
          <w:p w14:paraId="51F802BF" w14:textId="77777777" w:rsidR="00113FE2" w:rsidRPr="00113FE2" w:rsidRDefault="00113FE2" w:rsidP="00C75936">
            <w:pPr>
              <w:pStyle w:val="Tabletext"/>
              <w:ind w:firstLine="108"/>
              <w:rPr>
                <w:lang w:val="ru-RU"/>
              </w:rPr>
            </w:pPr>
            <w:r w:rsidRPr="00113FE2">
              <w:rPr>
                <w:lang w:val="ru-RU"/>
              </w:rPr>
              <w:t>Асунсьон, Парагвай</w:t>
            </w:r>
          </w:p>
        </w:tc>
        <w:tc>
          <w:tcPr>
            <w:tcW w:w="2221" w:type="dxa"/>
          </w:tcPr>
          <w:p w14:paraId="328E4AE7" w14:textId="7AC9F867" w:rsidR="00113FE2" w:rsidRPr="00113FE2" w:rsidRDefault="00113FE2" w:rsidP="008658CB">
            <w:pPr>
              <w:pStyle w:val="Tabletext"/>
              <w:jc w:val="center"/>
              <w:rPr>
                <w:u w:val="single"/>
                <w:lang w:val="ru-RU"/>
              </w:rPr>
            </w:pPr>
            <w:hyperlink r:id="rId27" w:history="1">
              <w:r w:rsidRPr="00113FE2">
                <w:rPr>
                  <w:rStyle w:val="Hyperlink"/>
                  <w:lang w:val="ru-RU"/>
                </w:rPr>
                <w:t>Страница мероприятия</w:t>
              </w:r>
            </w:hyperlink>
          </w:p>
        </w:tc>
      </w:tr>
      <w:tr w:rsidR="00113FE2" w:rsidRPr="00113FE2" w14:paraId="68173996" w14:textId="77777777" w:rsidTr="00495AAA">
        <w:trPr>
          <w:cantSplit/>
          <w:jc w:val="center"/>
        </w:trPr>
        <w:tc>
          <w:tcPr>
            <w:tcW w:w="1413" w:type="dxa"/>
          </w:tcPr>
          <w:p w14:paraId="7C7D4CDC" w14:textId="77777777" w:rsidR="00113FE2" w:rsidRPr="00113FE2" w:rsidRDefault="00113FE2" w:rsidP="00505892">
            <w:pPr>
              <w:pStyle w:val="Tabletext"/>
              <w:ind w:firstLine="112"/>
              <w:jc w:val="center"/>
              <w:rPr>
                <w:lang w:val="ru-RU"/>
              </w:rPr>
            </w:pPr>
            <w:r w:rsidRPr="00113FE2">
              <w:rPr>
                <w:lang w:val="ru-RU"/>
              </w:rPr>
              <w:t>РФР-АФР</w:t>
            </w:r>
          </w:p>
        </w:tc>
        <w:tc>
          <w:tcPr>
            <w:tcW w:w="2220" w:type="dxa"/>
          </w:tcPr>
          <w:p w14:paraId="6DFA8BCE" w14:textId="77777777" w:rsidR="00113FE2" w:rsidRPr="00113FE2" w:rsidRDefault="00113FE2" w:rsidP="00C75936">
            <w:pPr>
              <w:pStyle w:val="Tabletext"/>
              <w:ind w:firstLine="110"/>
              <w:rPr>
                <w:lang w:val="ru-RU"/>
              </w:rPr>
            </w:pPr>
            <w:r w:rsidRPr="00113FE2">
              <w:rPr>
                <w:lang w:val="ru-RU"/>
              </w:rPr>
              <w:t>7 апреля 2025 года</w:t>
            </w:r>
          </w:p>
        </w:tc>
        <w:tc>
          <w:tcPr>
            <w:tcW w:w="2221" w:type="dxa"/>
          </w:tcPr>
          <w:p w14:paraId="3FD24FA7" w14:textId="77777777" w:rsidR="00113FE2" w:rsidRPr="00113FE2" w:rsidRDefault="00113FE2" w:rsidP="00C75936">
            <w:pPr>
              <w:pStyle w:val="Tabletext"/>
              <w:ind w:firstLine="108"/>
              <w:rPr>
                <w:lang w:val="ru-RU"/>
              </w:rPr>
            </w:pPr>
            <w:r w:rsidRPr="00113FE2">
              <w:rPr>
                <w:lang w:val="ru-RU"/>
              </w:rPr>
              <w:t>Найроби, Кения</w:t>
            </w:r>
          </w:p>
        </w:tc>
        <w:tc>
          <w:tcPr>
            <w:tcW w:w="2221" w:type="dxa"/>
          </w:tcPr>
          <w:p w14:paraId="02469037" w14:textId="77777777" w:rsidR="00113FE2" w:rsidRPr="00113FE2" w:rsidRDefault="00113FE2" w:rsidP="008658CB">
            <w:pPr>
              <w:pStyle w:val="Tabletext"/>
              <w:jc w:val="center"/>
              <w:rPr>
                <w:u w:val="single"/>
                <w:lang w:val="ru-RU"/>
              </w:rPr>
            </w:pPr>
            <w:hyperlink r:id="rId28" w:history="1">
              <w:r w:rsidRPr="00113FE2">
                <w:rPr>
                  <w:rStyle w:val="Hyperlink"/>
                  <w:lang w:val="ru-RU"/>
                </w:rPr>
                <w:t>Страница мероприятия</w:t>
              </w:r>
            </w:hyperlink>
          </w:p>
        </w:tc>
      </w:tr>
      <w:tr w:rsidR="00113FE2" w:rsidRPr="00113FE2" w14:paraId="440E3765" w14:textId="77777777" w:rsidTr="00495AAA">
        <w:trPr>
          <w:cantSplit/>
          <w:jc w:val="center"/>
        </w:trPr>
        <w:tc>
          <w:tcPr>
            <w:tcW w:w="1413" w:type="dxa"/>
          </w:tcPr>
          <w:p w14:paraId="5E0924C1" w14:textId="77777777" w:rsidR="00113FE2" w:rsidRPr="00113FE2" w:rsidRDefault="00113FE2" w:rsidP="00505892">
            <w:pPr>
              <w:pStyle w:val="Tabletext"/>
              <w:ind w:firstLine="112"/>
              <w:jc w:val="center"/>
              <w:rPr>
                <w:lang w:val="ru-RU"/>
              </w:rPr>
            </w:pPr>
            <w:r w:rsidRPr="00113FE2">
              <w:rPr>
                <w:lang w:val="ru-RU"/>
              </w:rPr>
              <w:t>РФР-СНГ</w:t>
            </w:r>
          </w:p>
        </w:tc>
        <w:tc>
          <w:tcPr>
            <w:tcW w:w="2220" w:type="dxa"/>
          </w:tcPr>
          <w:p w14:paraId="1FD3FB39" w14:textId="77777777" w:rsidR="00113FE2" w:rsidRPr="00113FE2" w:rsidRDefault="00113FE2" w:rsidP="00C75936">
            <w:pPr>
              <w:pStyle w:val="Tabletext"/>
              <w:ind w:firstLine="110"/>
              <w:rPr>
                <w:lang w:val="ru-RU"/>
              </w:rPr>
            </w:pPr>
            <w:r w:rsidRPr="00113FE2">
              <w:rPr>
                <w:lang w:val="ru-RU"/>
              </w:rPr>
              <w:t>23 апреля 2025 года</w:t>
            </w:r>
          </w:p>
        </w:tc>
        <w:tc>
          <w:tcPr>
            <w:tcW w:w="2221" w:type="dxa"/>
          </w:tcPr>
          <w:p w14:paraId="22597DE5" w14:textId="77777777" w:rsidR="00113FE2" w:rsidRPr="00113FE2" w:rsidRDefault="00113FE2" w:rsidP="00C75936">
            <w:pPr>
              <w:pStyle w:val="Tabletext"/>
              <w:ind w:firstLine="108"/>
              <w:rPr>
                <w:lang w:val="ru-RU"/>
              </w:rPr>
            </w:pPr>
            <w:r w:rsidRPr="00113FE2">
              <w:rPr>
                <w:lang w:val="ru-RU"/>
              </w:rPr>
              <w:t>Бишкек, Кыргызстан</w:t>
            </w:r>
          </w:p>
        </w:tc>
        <w:tc>
          <w:tcPr>
            <w:tcW w:w="2221" w:type="dxa"/>
          </w:tcPr>
          <w:p w14:paraId="5E3F78E8" w14:textId="77777777" w:rsidR="00113FE2" w:rsidRPr="00113FE2" w:rsidRDefault="00113FE2" w:rsidP="008658CB">
            <w:pPr>
              <w:pStyle w:val="Tabletext"/>
              <w:jc w:val="center"/>
              <w:rPr>
                <w:u w:val="single"/>
                <w:lang w:val="ru-RU"/>
              </w:rPr>
            </w:pPr>
            <w:hyperlink r:id="rId29" w:history="1">
              <w:r w:rsidRPr="00113FE2">
                <w:rPr>
                  <w:rStyle w:val="Hyperlink"/>
                  <w:lang w:val="ru-RU"/>
                </w:rPr>
                <w:t>Страница мероприятия</w:t>
              </w:r>
            </w:hyperlink>
          </w:p>
        </w:tc>
      </w:tr>
    </w:tbl>
    <w:p w14:paraId="7606C0A1" w14:textId="77777777" w:rsidR="00D94737" w:rsidRDefault="00D94737" w:rsidP="00D94737">
      <w:pPr>
        <w:pStyle w:val="Tablefin"/>
        <w:rPr>
          <w:lang w:val="es-ES"/>
        </w:rPr>
      </w:pPr>
    </w:p>
    <w:p w14:paraId="11BFF65C" w14:textId="7DB0785F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2.1.2</w:t>
      </w:r>
      <w:r w:rsidRPr="00113FE2">
        <w:rPr>
          <w:lang w:val="ru-RU"/>
        </w:rPr>
        <w:tab/>
        <w:t>РФР способствуют налаживанию многосторонних партнерских отношений между Государствами-Членами, компаниями отрасли, академическими организациями, гражданским обществом, учреждениями системы ООН, а также региональными и международными агентствами и организациями, занимающимися вопросами развития, по конкретным региональным вопросам в сфере электросвязи и ИКТ. Эти форумы позволили вести диалог на</w:t>
      </w:r>
      <w:r w:rsidR="00402E95">
        <w:rPr>
          <w:lang w:val="ru-RU"/>
        </w:rPr>
        <w:t> </w:t>
      </w:r>
      <w:r w:rsidRPr="00113FE2">
        <w:rPr>
          <w:lang w:val="ru-RU"/>
        </w:rPr>
        <w:t>высоком уровне между БРЭ, Государствами-Членами и Членами Сектора МСЭ-D, в первую очередь по вопросам реализации региональных инициатив и КПД.</w:t>
      </w:r>
    </w:p>
    <w:p w14:paraId="0C5AD5CE" w14:textId="3E188234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2.1.3</w:t>
      </w:r>
      <w:r w:rsidRPr="00113FE2">
        <w:rPr>
          <w:lang w:val="ru-RU"/>
        </w:rPr>
        <w:tab/>
        <w:t>Предстоящие РФР, запланированные на 2026 год, показаны в Таблице 2, ниже. РФР</w:t>
      </w:r>
      <w:r w:rsidR="00402E95">
        <w:rPr>
          <w:lang w:val="ru-RU"/>
        </w:rPr>
        <w:t> </w:t>
      </w:r>
      <w:r w:rsidRPr="00113FE2">
        <w:rPr>
          <w:lang w:val="ru-RU"/>
        </w:rPr>
        <w:t>играют положительную роль в реализации Бакинского плана действий (БПД) ВКРЭ</w:t>
      </w:r>
      <w:r w:rsidR="00402E95">
        <w:rPr>
          <w:lang w:val="ru-RU"/>
        </w:rPr>
        <w:noBreakHyphen/>
      </w:r>
      <w:r w:rsidRPr="00113FE2">
        <w:rPr>
          <w:lang w:val="ru-RU"/>
        </w:rPr>
        <w:t>25 и служат площадкой для налаживания стратегического диалога и сотрудничества. Кроме того, проведение круглых столов по установлению контактов важно для создания устойчивых проектов, поиска подходящих партнеров и ресурсов, что позволяет добиться прогресса в</w:t>
      </w:r>
      <w:r w:rsidR="00402E95">
        <w:rPr>
          <w:lang w:val="ru-RU"/>
        </w:rPr>
        <w:t> </w:t>
      </w:r>
      <w:r w:rsidRPr="00113FE2">
        <w:rPr>
          <w:lang w:val="ru-RU"/>
        </w:rPr>
        <w:t>осуществлении реальных мер в целях развития в регионе. Содействуя установлению таких партнерских отношений, РФР способствуют сопряжению инициатив с региональными приоритетами, а также долгосрочному росту и трансформации сектора ИКТ.</w:t>
      </w:r>
    </w:p>
    <w:p w14:paraId="13C90406" w14:textId="77777777" w:rsidR="00113FE2" w:rsidRPr="00113FE2" w:rsidRDefault="00113FE2" w:rsidP="00402E95">
      <w:pPr>
        <w:pStyle w:val="TableNo"/>
        <w:rPr>
          <w:lang w:val="ru-RU"/>
        </w:rPr>
      </w:pPr>
      <w:r w:rsidRPr="00113FE2">
        <w:rPr>
          <w:lang w:val="ru-RU"/>
        </w:rPr>
        <w:t>Таблица 2</w:t>
      </w:r>
    </w:p>
    <w:p w14:paraId="21AC18E6" w14:textId="77777777" w:rsidR="00113FE2" w:rsidRPr="00113FE2" w:rsidRDefault="00113FE2" w:rsidP="00402E95">
      <w:pPr>
        <w:pStyle w:val="Tabletitle"/>
        <w:rPr>
          <w:lang w:val="ru-RU"/>
        </w:rPr>
      </w:pPr>
      <w:r w:rsidRPr="00113FE2">
        <w:rPr>
          <w:lang w:val="ru-RU"/>
        </w:rPr>
        <w:t>Даты и места проведения РФР в 2026 году</w:t>
      </w:r>
    </w:p>
    <w:tbl>
      <w:tblPr>
        <w:tblStyle w:val="TableGrid"/>
        <w:tblW w:w="807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3118"/>
        <w:gridCol w:w="3119"/>
      </w:tblGrid>
      <w:tr w:rsidR="008658CB" w:rsidRPr="00113FE2" w14:paraId="02883E35" w14:textId="77777777" w:rsidTr="00495AAA">
        <w:trPr>
          <w:cantSplit/>
          <w:tblHeader/>
          <w:jc w:val="center"/>
        </w:trPr>
        <w:tc>
          <w:tcPr>
            <w:tcW w:w="1838" w:type="dxa"/>
            <w:vAlign w:val="center"/>
          </w:tcPr>
          <w:p w14:paraId="6243E44D" w14:textId="77777777" w:rsidR="00113FE2" w:rsidRPr="00113FE2" w:rsidRDefault="00113FE2" w:rsidP="00402E95">
            <w:pPr>
              <w:pStyle w:val="Tablehead"/>
              <w:tabs>
                <w:tab w:val="clear" w:pos="1134"/>
              </w:tabs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Регион</w:t>
            </w:r>
          </w:p>
        </w:tc>
        <w:tc>
          <w:tcPr>
            <w:tcW w:w="3118" w:type="dxa"/>
            <w:vAlign w:val="center"/>
          </w:tcPr>
          <w:p w14:paraId="619A5961" w14:textId="77777777" w:rsidR="00113FE2" w:rsidRPr="00113FE2" w:rsidRDefault="00113FE2" w:rsidP="00402E95">
            <w:pPr>
              <w:pStyle w:val="Tablehead"/>
              <w:tabs>
                <w:tab w:val="clear" w:pos="1134"/>
              </w:tabs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Даты</w:t>
            </w:r>
          </w:p>
        </w:tc>
        <w:tc>
          <w:tcPr>
            <w:tcW w:w="3119" w:type="dxa"/>
            <w:vAlign w:val="center"/>
          </w:tcPr>
          <w:p w14:paraId="7963BE4B" w14:textId="77777777" w:rsidR="00113FE2" w:rsidRPr="00113FE2" w:rsidRDefault="00113FE2" w:rsidP="00402E95">
            <w:pPr>
              <w:pStyle w:val="Tablehead"/>
              <w:tabs>
                <w:tab w:val="clear" w:pos="1134"/>
              </w:tabs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Город и принимающая страна</w:t>
            </w:r>
          </w:p>
        </w:tc>
      </w:tr>
      <w:tr w:rsidR="008658CB" w:rsidRPr="00113FE2" w14:paraId="2B5A8942" w14:textId="77777777" w:rsidTr="00495AAA">
        <w:trPr>
          <w:cantSplit/>
          <w:jc w:val="center"/>
        </w:trPr>
        <w:tc>
          <w:tcPr>
            <w:tcW w:w="1838" w:type="dxa"/>
          </w:tcPr>
          <w:p w14:paraId="3FC72D94" w14:textId="77777777" w:rsidR="00113FE2" w:rsidRPr="00113FE2" w:rsidRDefault="00113FE2" w:rsidP="00505892">
            <w:pPr>
              <w:pStyle w:val="Tabletext"/>
              <w:tabs>
                <w:tab w:val="clear" w:pos="1134"/>
              </w:tabs>
              <w:ind w:firstLine="112"/>
              <w:jc w:val="center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РФР-ЕВР</w:t>
            </w:r>
          </w:p>
        </w:tc>
        <w:tc>
          <w:tcPr>
            <w:tcW w:w="3118" w:type="dxa"/>
          </w:tcPr>
          <w:p w14:paraId="572C54B1" w14:textId="5A903DDA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545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24 марта 2026 г</w:t>
            </w:r>
            <w:r w:rsidR="00495AAA">
              <w:rPr>
                <w:lang w:val="ru-RU"/>
              </w:rPr>
              <w:t>.</w:t>
            </w:r>
          </w:p>
        </w:tc>
        <w:tc>
          <w:tcPr>
            <w:tcW w:w="3119" w:type="dxa"/>
          </w:tcPr>
          <w:p w14:paraId="5AB9F78C" w14:textId="77777777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120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Прага, Чешская Республика</w:t>
            </w:r>
          </w:p>
        </w:tc>
      </w:tr>
      <w:tr w:rsidR="008658CB" w:rsidRPr="00113FE2" w14:paraId="52EC4B1A" w14:textId="77777777" w:rsidTr="00495AAA">
        <w:trPr>
          <w:cantSplit/>
          <w:jc w:val="center"/>
        </w:trPr>
        <w:tc>
          <w:tcPr>
            <w:tcW w:w="1838" w:type="dxa"/>
          </w:tcPr>
          <w:p w14:paraId="4B5062D2" w14:textId="77777777" w:rsidR="00113FE2" w:rsidRPr="00113FE2" w:rsidRDefault="00113FE2" w:rsidP="00505892">
            <w:pPr>
              <w:pStyle w:val="Tabletext"/>
              <w:tabs>
                <w:tab w:val="clear" w:pos="1134"/>
              </w:tabs>
              <w:ind w:firstLine="112"/>
              <w:jc w:val="center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РФР-АФР</w:t>
            </w:r>
          </w:p>
        </w:tc>
        <w:tc>
          <w:tcPr>
            <w:tcW w:w="3118" w:type="dxa"/>
          </w:tcPr>
          <w:p w14:paraId="65EBF4D1" w14:textId="73F7A1D1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545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25</w:t>
            </w:r>
            <w:r w:rsidR="001F105D" w:rsidRPr="00113FE2">
              <w:rPr>
                <w:lang w:val="ru-RU"/>
              </w:rPr>
              <w:t>−</w:t>
            </w:r>
            <w:r w:rsidRPr="00113FE2">
              <w:rPr>
                <w:lang w:val="ru-RU"/>
              </w:rPr>
              <w:t>26 мая 2026 г</w:t>
            </w:r>
            <w:r w:rsidR="00495AAA">
              <w:rPr>
                <w:lang w:val="ru-RU"/>
              </w:rPr>
              <w:t>.</w:t>
            </w:r>
          </w:p>
        </w:tc>
        <w:tc>
          <w:tcPr>
            <w:tcW w:w="3119" w:type="dxa"/>
          </w:tcPr>
          <w:p w14:paraId="281BF0A9" w14:textId="77777777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120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Виктория-Фоллз, Зимбабве</w:t>
            </w:r>
          </w:p>
        </w:tc>
      </w:tr>
      <w:tr w:rsidR="008658CB" w:rsidRPr="00113FE2" w14:paraId="0E43F98A" w14:textId="77777777" w:rsidTr="00495AAA">
        <w:trPr>
          <w:cantSplit/>
          <w:jc w:val="center"/>
        </w:trPr>
        <w:tc>
          <w:tcPr>
            <w:tcW w:w="1838" w:type="dxa"/>
          </w:tcPr>
          <w:p w14:paraId="4E09F7C4" w14:textId="77777777" w:rsidR="00113FE2" w:rsidRPr="00113FE2" w:rsidRDefault="00113FE2" w:rsidP="00505892">
            <w:pPr>
              <w:pStyle w:val="Tabletext"/>
              <w:tabs>
                <w:tab w:val="clear" w:pos="1134"/>
              </w:tabs>
              <w:ind w:firstLine="112"/>
              <w:jc w:val="center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РФР-АМР</w:t>
            </w:r>
          </w:p>
        </w:tc>
        <w:tc>
          <w:tcPr>
            <w:tcW w:w="3118" w:type="dxa"/>
          </w:tcPr>
          <w:p w14:paraId="6F72F371" w14:textId="77777777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545"/>
              <w:rPr>
                <w:lang w:val="ru-RU"/>
              </w:rPr>
            </w:pPr>
            <w:r w:rsidRPr="00113FE2">
              <w:rPr>
                <w:lang w:val="ru-RU"/>
              </w:rPr>
              <w:t>16−17 июня 2026 г.</w:t>
            </w:r>
          </w:p>
        </w:tc>
        <w:tc>
          <w:tcPr>
            <w:tcW w:w="3119" w:type="dxa"/>
          </w:tcPr>
          <w:p w14:paraId="27F21CB4" w14:textId="77777777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120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Картахена-де-Индиас, Колумбия</w:t>
            </w:r>
          </w:p>
        </w:tc>
      </w:tr>
      <w:tr w:rsidR="008658CB" w:rsidRPr="00113FE2" w14:paraId="36A87AD3" w14:textId="77777777" w:rsidTr="00495AAA">
        <w:trPr>
          <w:cantSplit/>
          <w:jc w:val="center"/>
        </w:trPr>
        <w:tc>
          <w:tcPr>
            <w:tcW w:w="1838" w:type="dxa"/>
          </w:tcPr>
          <w:p w14:paraId="60C8D5EF" w14:textId="77777777" w:rsidR="00113FE2" w:rsidRPr="00113FE2" w:rsidRDefault="00113FE2" w:rsidP="00505892">
            <w:pPr>
              <w:pStyle w:val="Tabletext"/>
              <w:tabs>
                <w:tab w:val="clear" w:pos="1134"/>
              </w:tabs>
              <w:ind w:firstLine="112"/>
              <w:jc w:val="center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РФР-АРБ</w:t>
            </w:r>
          </w:p>
        </w:tc>
        <w:tc>
          <w:tcPr>
            <w:tcW w:w="3118" w:type="dxa"/>
          </w:tcPr>
          <w:p w14:paraId="13C41183" w14:textId="77777777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545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1−2 июля 2026 г.</w:t>
            </w:r>
          </w:p>
        </w:tc>
        <w:tc>
          <w:tcPr>
            <w:tcW w:w="3119" w:type="dxa"/>
          </w:tcPr>
          <w:p w14:paraId="63E08057" w14:textId="77777777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120"/>
              <w:rPr>
                <w:rFonts w:eastAsia="Times New Roman"/>
                <w:lang w:val="ru-RU"/>
              </w:rPr>
            </w:pPr>
            <w:r w:rsidRPr="00113FE2">
              <w:rPr>
                <w:i/>
                <w:iCs/>
                <w:lang w:val="ru-RU"/>
              </w:rPr>
              <w:t>Подлежит определению</w:t>
            </w:r>
          </w:p>
        </w:tc>
      </w:tr>
      <w:tr w:rsidR="008658CB" w:rsidRPr="00113FE2" w14:paraId="6B19B7C3" w14:textId="77777777" w:rsidTr="00495AAA">
        <w:trPr>
          <w:cantSplit/>
          <w:jc w:val="center"/>
        </w:trPr>
        <w:tc>
          <w:tcPr>
            <w:tcW w:w="1838" w:type="dxa"/>
          </w:tcPr>
          <w:p w14:paraId="787CB5BC" w14:textId="77777777" w:rsidR="00113FE2" w:rsidRPr="00113FE2" w:rsidRDefault="00113FE2" w:rsidP="00505892">
            <w:pPr>
              <w:pStyle w:val="Tabletext"/>
              <w:tabs>
                <w:tab w:val="clear" w:pos="1134"/>
              </w:tabs>
              <w:ind w:firstLine="112"/>
              <w:jc w:val="center"/>
              <w:rPr>
                <w:lang w:val="ru-RU"/>
              </w:rPr>
            </w:pPr>
            <w:r w:rsidRPr="00113FE2">
              <w:rPr>
                <w:lang w:val="ru-RU"/>
              </w:rPr>
              <w:t>РФР-АТР</w:t>
            </w:r>
          </w:p>
        </w:tc>
        <w:tc>
          <w:tcPr>
            <w:tcW w:w="3118" w:type="dxa"/>
          </w:tcPr>
          <w:p w14:paraId="6354D944" w14:textId="77777777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545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16−17 июля 2026 г.</w:t>
            </w:r>
          </w:p>
        </w:tc>
        <w:tc>
          <w:tcPr>
            <w:tcW w:w="3119" w:type="dxa"/>
          </w:tcPr>
          <w:p w14:paraId="491FFC2A" w14:textId="77777777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120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Бангкок, Таиланд</w:t>
            </w:r>
          </w:p>
        </w:tc>
      </w:tr>
      <w:tr w:rsidR="008658CB" w:rsidRPr="00113FE2" w14:paraId="2A603CD7" w14:textId="77777777" w:rsidTr="00495AAA">
        <w:trPr>
          <w:cantSplit/>
          <w:jc w:val="center"/>
        </w:trPr>
        <w:tc>
          <w:tcPr>
            <w:tcW w:w="1838" w:type="dxa"/>
          </w:tcPr>
          <w:p w14:paraId="54ABB23E" w14:textId="77777777" w:rsidR="00113FE2" w:rsidRPr="00113FE2" w:rsidRDefault="00113FE2" w:rsidP="00505892">
            <w:pPr>
              <w:pStyle w:val="Tabletext"/>
              <w:tabs>
                <w:tab w:val="clear" w:pos="1134"/>
              </w:tabs>
              <w:ind w:firstLine="112"/>
              <w:jc w:val="center"/>
              <w:rPr>
                <w:lang w:val="ru-RU"/>
              </w:rPr>
            </w:pPr>
            <w:r w:rsidRPr="00113FE2">
              <w:rPr>
                <w:lang w:val="ru-RU"/>
              </w:rPr>
              <w:t>РФР-СНГ</w:t>
            </w:r>
          </w:p>
        </w:tc>
        <w:tc>
          <w:tcPr>
            <w:tcW w:w="3118" w:type="dxa"/>
          </w:tcPr>
          <w:p w14:paraId="59E1DED8" w14:textId="77777777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545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29−30 сентября 2026 г.</w:t>
            </w:r>
          </w:p>
        </w:tc>
        <w:tc>
          <w:tcPr>
            <w:tcW w:w="3119" w:type="dxa"/>
          </w:tcPr>
          <w:p w14:paraId="492EFB01" w14:textId="77777777" w:rsidR="00113FE2" w:rsidRPr="00113FE2" w:rsidRDefault="00113FE2" w:rsidP="00CA1D59">
            <w:pPr>
              <w:pStyle w:val="Tabletext"/>
              <w:tabs>
                <w:tab w:val="clear" w:pos="1134"/>
              </w:tabs>
              <w:ind w:firstLine="120"/>
              <w:rPr>
                <w:rFonts w:eastAsia="Times New Roman"/>
                <w:lang w:val="ru-RU"/>
              </w:rPr>
            </w:pPr>
            <w:r w:rsidRPr="00113FE2">
              <w:rPr>
                <w:lang w:val="ru-RU"/>
              </w:rPr>
              <w:t>Душанбе, Таджикистан</w:t>
            </w:r>
          </w:p>
        </w:tc>
      </w:tr>
    </w:tbl>
    <w:p w14:paraId="6211B0CE" w14:textId="77777777" w:rsidR="00D94737" w:rsidRDefault="00D94737" w:rsidP="00D94737">
      <w:pPr>
        <w:pStyle w:val="Tablefin"/>
        <w:rPr>
          <w:lang w:val="es-ES"/>
        </w:rPr>
      </w:pPr>
    </w:p>
    <w:p w14:paraId="400E48CE" w14:textId="7C18E4E2" w:rsidR="00113FE2" w:rsidRPr="00113FE2" w:rsidRDefault="00113FE2" w:rsidP="00FC7027">
      <w:pPr>
        <w:pStyle w:val="Heading2"/>
        <w:rPr>
          <w:lang w:val="ru-RU"/>
        </w:rPr>
      </w:pPr>
      <w:r w:rsidRPr="00113FE2">
        <w:rPr>
          <w:lang w:val="ru-RU"/>
        </w:rPr>
        <w:t>2.2</w:t>
      </w:r>
      <w:r w:rsidRPr="00113FE2">
        <w:rPr>
          <w:lang w:val="ru-RU"/>
        </w:rPr>
        <w:tab/>
        <w:t>Осуществление Оперативного плана МСЭ-D</w:t>
      </w:r>
    </w:p>
    <w:p w14:paraId="7F0BCC84" w14:textId="77777777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2.2.1</w:t>
      </w:r>
      <w:r w:rsidRPr="00113FE2">
        <w:rPr>
          <w:lang w:val="ru-RU"/>
        </w:rPr>
        <w:tab/>
        <w:t xml:space="preserve">Эффективная деятельность МСЭ на региональном уровне в значительной степени способствует выполнению его глобальной миссии – соединить мир, содействовать устойчивой цифровой трансформации и оказывать ощутимое воздействие на развитие во всех Государствах-Членах благодаря работе, которую проводит БРЭ. Эти стратегически важные усилия направлены </w:t>
      </w:r>
      <w:r w:rsidRPr="00113FE2">
        <w:rPr>
          <w:lang w:val="ru-RU"/>
        </w:rPr>
        <w:lastRenderedPageBreak/>
        <w:t>на то, чтобы МСЭ сохранял способность реагировать на быстро меняющиеся потребности цифровой экономики и цифрового общества во всем мире.</w:t>
      </w:r>
    </w:p>
    <w:p w14:paraId="02B1E150" w14:textId="7DBF7EE2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2.2.2</w:t>
      </w:r>
      <w:r w:rsidRPr="00113FE2">
        <w:rPr>
          <w:lang w:val="ru-RU"/>
        </w:rPr>
        <w:tab/>
        <w:t>После ВКРЭ-25, на которой был принят БПД, был разработан Оперативный план (ОП) МСЭ-D на 2026 год, согласующийся по структуре со Стратегическим планом Союза на</w:t>
      </w:r>
      <w:r w:rsidR="000B4784">
        <w:rPr>
          <w:lang w:val="ru-RU"/>
        </w:rPr>
        <w:t> </w:t>
      </w:r>
      <w:r w:rsidRPr="00113FE2">
        <w:rPr>
          <w:lang w:val="ru-RU"/>
        </w:rPr>
        <w:t>2024−2027 годы. В его соответствующей БПД структуре определены приоритеты МСЭ</w:t>
      </w:r>
      <w:r w:rsidR="000B4784">
        <w:rPr>
          <w:lang w:val="ru-RU"/>
        </w:rPr>
        <w:noBreakHyphen/>
      </w:r>
      <w:r w:rsidRPr="00113FE2">
        <w:rPr>
          <w:lang w:val="ru-RU"/>
        </w:rPr>
        <w:t>D и средство достижения целей</w:t>
      </w:r>
      <w:r w:rsidR="00505892">
        <w:rPr>
          <w:lang w:val="ru-RU"/>
        </w:rPr>
        <w:t>,</w:t>
      </w:r>
      <w:r w:rsidRPr="00113FE2">
        <w:rPr>
          <w:lang w:val="ru-RU"/>
        </w:rPr>
        <w:t xml:space="preserve"> и соответствующие конечные результаты, продукты и услуги, а</w:t>
      </w:r>
      <w:r w:rsidR="005B09D0">
        <w:rPr>
          <w:lang w:val="ru-RU"/>
        </w:rPr>
        <w:t> </w:t>
      </w:r>
      <w:r w:rsidRPr="00113FE2">
        <w:rPr>
          <w:lang w:val="ru-RU"/>
        </w:rPr>
        <w:t>также показатели для оценки уровня достижений в рамках работы Сектора. В настоящее время осуществляется 130 мероприятий в разных регионах по всему миру. В целях повышения результативности усилий ведется работа по достижению синергии при осуществлении региональных мероприятий и между региональными и глобальными инициативами, в тесном сотрудничестве с Бюро МСЭ и Генеральным секретариатом.</w:t>
      </w:r>
    </w:p>
    <w:p w14:paraId="7D1D6930" w14:textId="10F107E8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2.2.3</w:t>
      </w:r>
      <w:r w:rsidRPr="00113FE2">
        <w:rPr>
          <w:lang w:val="ru-RU"/>
        </w:rPr>
        <w:tab/>
        <w:t>Региональные и зональные отделения являются неотъемлемой частью процесса оперативного планирования, что подтверждается данными информационных панелей БРЭ для</w:t>
      </w:r>
      <w:r w:rsidR="005B09D0">
        <w:rPr>
          <w:lang w:val="ru-RU"/>
        </w:rPr>
        <w:t> </w:t>
      </w:r>
      <w:r w:rsidRPr="00113FE2">
        <w:rPr>
          <w:lang w:val="ru-RU"/>
        </w:rPr>
        <w:t>ОП и проектов. Региональные и зональные отделения МСЭ тесно сотрудничают со</w:t>
      </w:r>
      <w:r w:rsidR="005B09D0">
        <w:rPr>
          <w:lang w:val="ru-RU"/>
        </w:rPr>
        <w:t> </w:t>
      </w:r>
      <w:r w:rsidRPr="00113FE2">
        <w:rPr>
          <w:lang w:val="ru-RU"/>
        </w:rPr>
        <w:t>штаб</w:t>
      </w:r>
      <w:r w:rsidR="005B09D0">
        <w:rPr>
          <w:lang w:val="ru-RU"/>
        </w:rPr>
        <w:noBreakHyphen/>
      </w:r>
      <w:r w:rsidRPr="00113FE2">
        <w:rPr>
          <w:lang w:val="ru-RU"/>
        </w:rPr>
        <w:t>квартирой в вопросах определения, реализации и мониторинга ОП. Совместно осуществляются распределение бюджетных средств и оценка эффективности работы. Это</w:t>
      </w:r>
      <w:r w:rsidR="005B09D0">
        <w:rPr>
          <w:lang w:val="ru-RU"/>
        </w:rPr>
        <w:t> </w:t>
      </w:r>
      <w:r w:rsidRPr="00113FE2">
        <w:rPr>
          <w:lang w:val="ru-RU"/>
        </w:rPr>
        <w:t>подразумевает достижение намеченных результатов деятельности (продукты и услуги МСЭ</w:t>
      </w:r>
      <w:r w:rsidR="000B4784">
        <w:rPr>
          <w:lang w:val="ru-RU"/>
        </w:rPr>
        <w:noBreakHyphen/>
      </w:r>
      <w:r w:rsidRPr="00113FE2">
        <w:rPr>
          <w:lang w:val="ru-RU"/>
        </w:rPr>
        <w:t>D) и конечных результатов (итогов) для Государств-Членов, а также удовлетворение потребностей конкретных стран в соответствии с приоритетами МСЭ-D и средством достижения целей, резолюциями и региональными инициативами, принятыми на ВКРЭ</w:t>
      </w:r>
      <w:r w:rsidR="005B09D0">
        <w:rPr>
          <w:lang w:val="ru-RU"/>
        </w:rPr>
        <w:noBreakHyphen/>
      </w:r>
      <w:r w:rsidRPr="00113FE2">
        <w:rPr>
          <w:lang w:val="ru-RU"/>
        </w:rPr>
        <w:t>25. Такой комплексный подход позволяет усилить воздействие и добиться максимальной синергии между регулярной и внебюджетной деятельностью.</w:t>
      </w:r>
    </w:p>
    <w:p w14:paraId="6C59604E" w14:textId="2EEF8906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2.2.4</w:t>
      </w:r>
      <w:r w:rsidRPr="00113FE2">
        <w:rPr>
          <w:lang w:val="ru-RU"/>
        </w:rPr>
        <w:tab/>
        <w:t>Региональные и зональные отделения совместно со штаб-квартирой осуществляют слаженную разработку ОП, опирающегося на показатели намеченных результатов деятельности и конечных результатов, а также обеспечивают его управление и представление соответствующих отчетов.</w:t>
      </w:r>
    </w:p>
    <w:p w14:paraId="3BD089A5" w14:textId="3CC91316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2.2.5</w:t>
      </w:r>
      <w:r w:rsidRPr="00113FE2">
        <w:rPr>
          <w:lang w:val="ru-RU"/>
        </w:rPr>
        <w:tab/>
        <w:t>Что касается действий в рамках ОП, региональные и зональные отделения отвечают за</w:t>
      </w:r>
      <w:r w:rsidR="005B09D0">
        <w:rPr>
          <w:lang w:val="ru-RU"/>
        </w:rPr>
        <w:t> </w:t>
      </w:r>
      <w:r w:rsidRPr="00113FE2">
        <w:rPr>
          <w:lang w:val="ru-RU"/>
        </w:rPr>
        <w:t>предоставление услуг Государствам-Членам, а службы БРЭ в штаб-квартире обеспечивают разработку новых продуктов и управление межрегиональными видами деятельности. В</w:t>
      </w:r>
      <w:r w:rsidR="005B09D0">
        <w:rPr>
          <w:lang w:val="ru-RU"/>
        </w:rPr>
        <w:t> </w:t>
      </w:r>
      <w:r w:rsidRPr="00113FE2">
        <w:rPr>
          <w:lang w:val="ru-RU"/>
        </w:rPr>
        <w:t>региональных и зональных отделениях работают руководители проектов, относящихся к</w:t>
      </w:r>
      <w:r w:rsidR="005B09D0">
        <w:rPr>
          <w:lang w:val="ru-RU"/>
        </w:rPr>
        <w:t> </w:t>
      </w:r>
      <w:r w:rsidRPr="00113FE2">
        <w:rPr>
          <w:lang w:val="ru-RU"/>
        </w:rPr>
        <w:t>конкретным регионам или странам. Осуществление мероприятий ОП и проектов МСЭ</w:t>
      </w:r>
      <w:r w:rsidR="005B09D0">
        <w:rPr>
          <w:lang w:val="ru-RU"/>
        </w:rPr>
        <w:noBreakHyphen/>
      </w:r>
      <w:r w:rsidRPr="00113FE2">
        <w:rPr>
          <w:lang w:val="ru-RU"/>
        </w:rPr>
        <w:t>D измеряется с помощью показателей, принятых на ВКРЭ-25.</w:t>
      </w:r>
    </w:p>
    <w:p w14:paraId="4A3D5BC7" w14:textId="35224767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2.2.6</w:t>
      </w:r>
      <w:r w:rsidRPr="00113FE2">
        <w:rPr>
          <w:lang w:val="ru-RU"/>
        </w:rPr>
        <w:tab/>
        <w:t>КГРЭ на своем 32-м собрании 12</w:t>
      </w:r>
      <w:r w:rsidR="001F105D" w:rsidRPr="00113FE2">
        <w:rPr>
          <w:lang w:val="ru-RU"/>
        </w:rPr>
        <w:t>−</w:t>
      </w:r>
      <w:r w:rsidRPr="00113FE2">
        <w:rPr>
          <w:lang w:val="ru-RU"/>
        </w:rPr>
        <w:t xml:space="preserve">16 мая 2025 года рассмотрела Отчет о региональном присутствии, представленный в Документе </w:t>
      </w:r>
      <w:hyperlink r:id="rId30" w:history="1">
        <w:r w:rsidRPr="00113FE2">
          <w:rPr>
            <w:rStyle w:val="Hyperlink"/>
            <w:lang w:val="ru-RU"/>
          </w:rPr>
          <w:t>TDAG-25/24</w:t>
        </w:r>
      </w:hyperlink>
      <w:r w:rsidRPr="00113FE2">
        <w:rPr>
          <w:lang w:val="ru-RU"/>
        </w:rPr>
        <w:t>. КГРЭ приняла отчет к сведению и признала исключительно важную роль региональных и зональных отделений в реализации региональных инициатив и КПД; она также подтвердила вспомогательную роль отделений в</w:t>
      </w:r>
      <w:r w:rsidR="005B09D0">
        <w:rPr>
          <w:lang w:val="ru-RU"/>
        </w:rPr>
        <w:t> </w:t>
      </w:r>
      <w:r w:rsidRPr="00113FE2">
        <w:rPr>
          <w:lang w:val="ru-RU"/>
        </w:rPr>
        <w:t>деятельности, связанной с развитием, и мероприятиях по линии МСЭ-T и МСЭ-R. КГРЭ</w:t>
      </w:r>
      <w:r w:rsidR="000B4784">
        <w:rPr>
          <w:lang w:val="ru-RU"/>
        </w:rPr>
        <w:t> </w:t>
      </w:r>
      <w:r w:rsidRPr="00113FE2">
        <w:rPr>
          <w:lang w:val="ru-RU"/>
        </w:rPr>
        <w:t>отметила и высоко оценила тесное сотрудничество между региональными отделениями и БРЭ, проявленное во время сессии, отметив работу директоров региональных отделений и эффективные действия в регионах. КГРЭ высоко оценила синергию между региональными отделениями и БРЭ в процессе планирования, реализации, мониторинга и оценки мероприятий и проектов, о чем свидетельствуют положительные отзывы, прозвучавшие в</w:t>
      </w:r>
      <w:r w:rsidR="005B09D0">
        <w:rPr>
          <w:lang w:val="ru-RU"/>
        </w:rPr>
        <w:t> </w:t>
      </w:r>
      <w:r w:rsidRPr="00113FE2">
        <w:rPr>
          <w:lang w:val="ru-RU"/>
        </w:rPr>
        <w:t>выступлениях многих членов. При проведении обзора действий, направленных на</w:t>
      </w:r>
      <w:r w:rsidR="005B09D0">
        <w:rPr>
          <w:lang w:val="ru-RU"/>
        </w:rPr>
        <w:t> </w:t>
      </w:r>
      <w:r w:rsidRPr="00113FE2">
        <w:rPr>
          <w:lang w:val="ru-RU"/>
        </w:rPr>
        <w:t>укрепление регионального присутствия, следует в полной мере учитывать Резолюцию</w:t>
      </w:r>
      <w:r w:rsidR="005B09D0">
        <w:rPr>
          <w:lang w:val="ru-RU"/>
        </w:rPr>
        <w:t> </w:t>
      </w:r>
      <w:r w:rsidRPr="00113FE2">
        <w:rPr>
          <w:lang w:val="ru-RU"/>
        </w:rPr>
        <w:t>25 (Пересм. Бухарест, 2022 г.).</w:t>
      </w:r>
      <w:hyperlink r:id="rId31"/>
    </w:p>
    <w:p w14:paraId="2EF6BD28" w14:textId="5D9F2942" w:rsidR="00113FE2" w:rsidRPr="00113FE2" w:rsidRDefault="00113FE2" w:rsidP="00FC7027">
      <w:pPr>
        <w:pStyle w:val="Heading2"/>
        <w:rPr>
          <w:lang w:val="ru-RU"/>
        </w:rPr>
      </w:pPr>
      <w:r w:rsidRPr="00113FE2">
        <w:rPr>
          <w:lang w:val="ru-RU"/>
        </w:rPr>
        <w:lastRenderedPageBreak/>
        <w:t>2.3</w:t>
      </w:r>
      <w:r w:rsidRPr="00113FE2">
        <w:rPr>
          <w:lang w:val="ru-RU"/>
        </w:rPr>
        <w:tab/>
        <w:t>Обзор регионального присутствия МСЭ</w:t>
      </w:r>
    </w:p>
    <w:p w14:paraId="4AC37588" w14:textId="7AC72B23" w:rsidR="00113FE2" w:rsidRPr="00113FE2" w:rsidRDefault="00113FE2" w:rsidP="00D94737">
      <w:pPr>
        <w:jc w:val="both"/>
        <w:rPr>
          <w:b/>
          <w:bCs/>
          <w:lang w:val="ru-RU"/>
        </w:rPr>
      </w:pPr>
      <w:r w:rsidRPr="00113FE2">
        <w:rPr>
          <w:lang w:val="ru-RU"/>
        </w:rPr>
        <w:t>2.3.1</w:t>
      </w:r>
      <w:r w:rsidRPr="00113FE2">
        <w:rPr>
          <w:lang w:val="ru-RU"/>
        </w:rPr>
        <w:tab/>
        <w:t xml:space="preserve">В соответствии с рекомендациями сессии Совета-25 (отчет Председателя Постоянного комитета по администрированию и управлению, Документ </w:t>
      </w:r>
      <w:hyperlink r:id="rId32" w:history="1">
        <w:r w:rsidRPr="00113FE2">
          <w:rPr>
            <w:rStyle w:val="Hyperlink"/>
            <w:lang w:val="ru-RU"/>
          </w:rPr>
          <w:t>C25/105</w:t>
        </w:r>
      </w:hyperlink>
      <w:r w:rsidRPr="00113FE2">
        <w:rPr>
          <w:lang w:val="ru-RU"/>
        </w:rPr>
        <w:t>, п. 26, Приложение</w:t>
      </w:r>
      <w:r w:rsidR="000B4784">
        <w:rPr>
          <w:lang w:val="ru-RU"/>
        </w:rPr>
        <w:t> </w:t>
      </w:r>
      <w:r w:rsidRPr="00113FE2">
        <w:rPr>
          <w:lang w:val="ru-RU"/>
        </w:rPr>
        <w:t>H, Приложение</w:t>
      </w:r>
      <w:r w:rsidR="000B4784">
        <w:rPr>
          <w:lang w:val="ru-RU"/>
        </w:rPr>
        <w:t> </w:t>
      </w:r>
      <w:r w:rsidRPr="00113FE2">
        <w:rPr>
          <w:lang w:val="ru-RU"/>
        </w:rPr>
        <w:t>A и Приложение</w:t>
      </w:r>
      <w:r w:rsidR="000B4784">
        <w:rPr>
          <w:lang w:val="ru-RU"/>
        </w:rPr>
        <w:t> </w:t>
      </w:r>
      <w:r w:rsidRPr="00113FE2">
        <w:rPr>
          <w:lang w:val="ru-RU"/>
        </w:rPr>
        <w:t>1</w:t>
      </w:r>
      <w:r w:rsidRPr="00113FE2">
        <w:rPr>
          <w:rStyle w:val="FootnoteReference"/>
          <w:rFonts w:eastAsia="Aptos"/>
          <w:lang w:val="ru-RU"/>
        </w:rPr>
        <w:footnoteReference w:id="1"/>
      </w:r>
      <w:r w:rsidRPr="00113FE2">
        <w:rPr>
          <w:lang w:val="ru-RU"/>
        </w:rPr>
        <w:t xml:space="preserve">) </w:t>
      </w:r>
      <w:r w:rsidRPr="00113FE2">
        <w:rPr>
          <w:b/>
          <w:bCs/>
          <w:lang w:val="ru-RU"/>
        </w:rPr>
        <w:t>был проведен обзор регионального присутствия МСЭ</w:t>
      </w:r>
      <w:r w:rsidRPr="00113FE2">
        <w:rPr>
          <w:lang w:val="ru-RU"/>
        </w:rPr>
        <w:t>.</w:t>
      </w:r>
      <w:hyperlink r:id="rId33"/>
    </w:p>
    <w:p w14:paraId="4780BF9E" w14:textId="45C3AF00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2.3.2</w:t>
      </w:r>
      <w:r w:rsidRPr="00113FE2">
        <w:rPr>
          <w:lang w:val="ru-RU"/>
        </w:rPr>
        <w:tab/>
        <w:t>С июля 2025 года БРЭ осуществляет следующие виды деятельности:</w:t>
      </w:r>
    </w:p>
    <w:p w14:paraId="3143E8BD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i/>
          <w:iCs/>
          <w:lang w:val="ru-RU"/>
        </w:rPr>
        <w:t>a)</w:t>
      </w:r>
      <w:r w:rsidRPr="00113FE2">
        <w:rPr>
          <w:lang w:val="ru-RU"/>
        </w:rPr>
        <w:tab/>
        <w:t>разработка и проведение обследования членов МСЭ;</w:t>
      </w:r>
    </w:p>
    <w:p w14:paraId="15447A6C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i/>
          <w:iCs/>
          <w:lang w:val="ru-RU"/>
        </w:rPr>
        <w:t>b)</w:t>
      </w:r>
      <w:r w:rsidRPr="00113FE2">
        <w:rPr>
          <w:lang w:val="ru-RU"/>
        </w:rPr>
        <w:tab/>
        <w:t>аналитический обзор;</w:t>
      </w:r>
    </w:p>
    <w:p w14:paraId="7F1939F4" w14:textId="48AA7531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i/>
          <w:iCs/>
          <w:lang w:val="ru-RU"/>
        </w:rPr>
        <w:t>c)</w:t>
      </w:r>
      <w:r w:rsidRPr="00113FE2">
        <w:rPr>
          <w:lang w:val="ru-RU"/>
        </w:rPr>
        <w:tab/>
        <w:t>консультации с заинтересованными сторонами, включая разработку и проведение обследования по внутренней оценке, а также собеседований с представителями региональных организаций электросвязи;</w:t>
      </w:r>
    </w:p>
    <w:p w14:paraId="05D132BD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i/>
          <w:iCs/>
          <w:lang w:val="ru-RU"/>
        </w:rPr>
        <w:t>d)</w:t>
      </w:r>
      <w:r w:rsidRPr="00113FE2">
        <w:rPr>
          <w:lang w:val="ru-RU"/>
        </w:rPr>
        <w:tab/>
        <w:t>периодическое представление отчетов в соответствии с поручениями Рабочей группы Совета по финансовым и людским ресурсам (РГС-ФЛР) и Совета.</w:t>
      </w:r>
    </w:p>
    <w:p w14:paraId="4594421E" w14:textId="22755910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2.3.3</w:t>
      </w:r>
      <w:r w:rsidRPr="00113FE2">
        <w:rPr>
          <w:lang w:val="ru-RU"/>
        </w:rPr>
        <w:tab/>
        <w:t xml:space="preserve">Промежуточный отчет о проведении обзора регионального присутствия МСЭ (Документ </w:t>
      </w:r>
      <w:hyperlink r:id="rId34" w:history="1">
        <w:r w:rsidRPr="00113FE2">
          <w:rPr>
            <w:rStyle w:val="Hyperlink"/>
            <w:lang w:val="ru-RU"/>
          </w:rPr>
          <w:t>CWG-FHR-22/4</w:t>
        </w:r>
      </w:hyperlink>
      <w:r w:rsidRPr="00113FE2">
        <w:rPr>
          <w:lang w:val="ru-RU"/>
        </w:rPr>
        <w:t>) был представлен на 22-м собрании РГС-ФЛР 16</w:t>
      </w:r>
      <w:r w:rsidR="000B4784">
        <w:rPr>
          <w:lang w:val="ru-RU"/>
        </w:rPr>
        <w:t> </w:t>
      </w:r>
      <w:r w:rsidRPr="00113FE2">
        <w:rPr>
          <w:lang w:val="ru-RU"/>
        </w:rPr>
        <w:t>января 2026</w:t>
      </w:r>
      <w:r w:rsidR="000B4784">
        <w:rPr>
          <w:lang w:val="ru-RU"/>
        </w:rPr>
        <w:t> </w:t>
      </w:r>
      <w:r w:rsidRPr="00113FE2">
        <w:rPr>
          <w:lang w:val="ru-RU"/>
        </w:rPr>
        <w:t xml:space="preserve">года вместе с Информационным документом </w:t>
      </w:r>
      <w:hyperlink r:id="rId35" w:history="1">
        <w:r w:rsidRPr="00113FE2">
          <w:rPr>
            <w:rStyle w:val="Hyperlink"/>
            <w:lang w:val="ru-RU"/>
          </w:rPr>
          <w:t>CWG-FHR-22/INF/1</w:t>
        </w:r>
      </w:hyperlink>
      <w:r w:rsidRPr="00113FE2">
        <w:rPr>
          <w:lang w:val="ru-RU"/>
        </w:rPr>
        <w:t xml:space="preserve">, в котором подробно изложены конкретные инициативы БРЭ, направленные на дальнейшую поддержку регионального присутствия. В ходе ВКРЭ-25 24 ноября 2025 года была проведена специальная сессия, посвященная предварительным результатам обследования членов (Документ </w:t>
      </w:r>
      <w:hyperlink r:id="rId36" w:history="1">
        <w:r w:rsidRPr="00113FE2">
          <w:rPr>
            <w:rStyle w:val="Hyperlink"/>
            <w:lang w:val="ru-RU"/>
          </w:rPr>
          <w:t>CWG-FHR-22/4</w:t>
        </w:r>
      </w:hyperlink>
      <w:r w:rsidRPr="00113FE2">
        <w:rPr>
          <w:lang w:val="ru-RU"/>
        </w:rPr>
        <w:t>, Приложение 2). БРЭ представило промежуточный отчет на собраниях КГСЭ 2026</w:t>
      </w:r>
      <w:r w:rsidR="000B4784">
        <w:rPr>
          <w:lang w:val="ru-RU"/>
        </w:rPr>
        <w:t> </w:t>
      </w:r>
      <w:r w:rsidRPr="00113FE2">
        <w:rPr>
          <w:lang w:val="ru-RU"/>
        </w:rPr>
        <w:t xml:space="preserve">года (Документ </w:t>
      </w:r>
      <w:hyperlink r:id="rId37" w:history="1">
        <w:r w:rsidRPr="00113FE2">
          <w:rPr>
            <w:rStyle w:val="Hyperlink"/>
            <w:lang w:val="ru-RU"/>
          </w:rPr>
          <w:t>TSAG-TD313</w:t>
        </w:r>
      </w:hyperlink>
      <w:r w:rsidRPr="00113FE2">
        <w:rPr>
          <w:lang w:val="ru-RU"/>
        </w:rPr>
        <w:t xml:space="preserve">), КГРЭ (Документ </w:t>
      </w:r>
      <w:hyperlink r:id="rId38" w:history="1">
        <w:r w:rsidRPr="00113FE2">
          <w:rPr>
            <w:rStyle w:val="Hyperlink"/>
            <w:lang w:val="ru-RU"/>
          </w:rPr>
          <w:t>TDAG-26/16</w:t>
        </w:r>
      </w:hyperlink>
      <w:r w:rsidRPr="00113FE2">
        <w:rPr>
          <w:lang w:val="ru-RU"/>
        </w:rPr>
        <w:t xml:space="preserve">) и КГР (Документ </w:t>
      </w:r>
      <w:hyperlink r:id="rId39" w:history="1">
        <w:r w:rsidRPr="00113FE2">
          <w:rPr>
            <w:rStyle w:val="Hyperlink"/>
            <w:lang w:val="ru-RU"/>
          </w:rPr>
          <w:t>RAG/66</w:t>
        </w:r>
      </w:hyperlink>
      <w:r w:rsidRPr="00113FE2">
        <w:rPr>
          <w:lang w:val="ru-RU"/>
        </w:rPr>
        <w:t>) в целях получения более полного представления и стратегических руководящих указаний в отношении формирования будущего направления усилий регионального присутствия МСЭ в ходе консультаций с консультативными группами МСЭ. В соответствии с просьбой, выраженной на</w:t>
      </w:r>
      <w:r w:rsidR="000B4784">
        <w:rPr>
          <w:lang w:val="ru-RU"/>
        </w:rPr>
        <w:t> </w:t>
      </w:r>
      <w:r w:rsidRPr="00113FE2">
        <w:rPr>
          <w:lang w:val="ru-RU"/>
        </w:rPr>
        <w:t>22-м</w:t>
      </w:r>
      <w:r w:rsidR="000B4784">
        <w:rPr>
          <w:lang w:val="ru-RU"/>
        </w:rPr>
        <w:t> </w:t>
      </w:r>
      <w:r w:rsidRPr="00113FE2">
        <w:rPr>
          <w:lang w:val="ru-RU"/>
        </w:rPr>
        <w:t>собрании РГС-ФЛР, 5 марта 2026 года была проведена Информационная сессия по</w:t>
      </w:r>
      <w:r w:rsidR="000B4784">
        <w:rPr>
          <w:lang w:val="ru-RU"/>
        </w:rPr>
        <w:t> </w:t>
      </w:r>
      <w:r w:rsidRPr="00113FE2">
        <w:rPr>
          <w:lang w:val="ru-RU"/>
        </w:rPr>
        <w:t>региональному присутствию в преддверии Совета-26. Вся проделанная работа нашла отражение в заключительном отчете о проведении обзора регионального присутствия МСЭ, который будет представлен на Совете-26.</w:t>
      </w:r>
      <w:hyperlink r:id="rId40"/>
      <w:hyperlink r:id="rId41"/>
      <w:hyperlink r:id="rId42" w:history="1"/>
      <w:hyperlink r:id="rId43"/>
      <w:hyperlink r:id="rId44"/>
      <w:hyperlink r:id="rId45"/>
    </w:p>
    <w:p w14:paraId="63B96159" w14:textId="77777777" w:rsidR="00113FE2" w:rsidRPr="00113FE2" w:rsidRDefault="00113FE2" w:rsidP="00FC7027">
      <w:pPr>
        <w:pStyle w:val="Heading2"/>
        <w:rPr>
          <w:lang w:val="ru-RU"/>
        </w:rPr>
      </w:pPr>
      <w:r w:rsidRPr="00113FE2">
        <w:rPr>
          <w:lang w:val="ru-RU"/>
        </w:rPr>
        <w:t>2.4</w:t>
      </w:r>
      <w:r w:rsidRPr="00113FE2">
        <w:rPr>
          <w:lang w:val="ru-RU"/>
        </w:rPr>
        <w:tab/>
        <w:t>Участие региональных и зональных отделений в реализации проектов МСЭ-D</w:t>
      </w:r>
    </w:p>
    <w:p w14:paraId="59D8751D" w14:textId="433626B7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2.4.1</w:t>
      </w:r>
      <w:r w:rsidRPr="00113FE2">
        <w:rPr>
          <w:lang w:val="ru-RU"/>
        </w:rPr>
        <w:tab/>
        <w:t>Проекты МСЭ-D, призванные облегчить и ускорить развитие электросвязи/ИКТ посредством технического сотрудничества и помощи, реализуются во всех шести регионах. БРЭ</w:t>
      </w:r>
      <w:r w:rsidR="003D312B">
        <w:rPr>
          <w:lang w:val="ru-RU"/>
        </w:rPr>
        <w:t> </w:t>
      </w:r>
      <w:r w:rsidRPr="00113FE2">
        <w:rPr>
          <w:lang w:val="ru-RU"/>
        </w:rPr>
        <w:t>отвечает за формирование концепций, разработку, реализацию и оценку проектов.</w:t>
      </w:r>
    </w:p>
    <w:p w14:paraId="6011B4F2" w14:textId="7F1A153A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2.4.2</w:t>
      </w:r>
      <w:r w:rsidRPr="00113FE2">
        <w:rPr>
          <w:lang w:val="ru-RU"/>
        </w:rPr>
        <w:tab/>
        <w:t>Региональные и зональные отделения играют ключевую роль в обеспечении взаимодействия МСЭ с местными заинтересованными сторонами и правительствами, работая в тесной координации со штаб-квартирой над определением, реализацией и мониторингом проектов по предоставлению технической помощи, продуктов и услуг МСЭ-D, а также над удовлетворением потребностей конкретных стран в соответствии с Планом действий и региональными инициативами. Такой комплексный подход, позволяющий использовать взаимосвязь между регулярными и внебюджетными видами деятельности, позволяет БРЭ предоставлять более качественные услуги Государствам-Членам.</w:t>
      </w:r>
    </w:p>
    <w:p w14:paraId="225798D5" w14:textId="77777777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lastRenderedPageBreak/>
        <w:t>2.4.3</w:t>
      </w:r>
      <w:r w:rsidRPr="00113FE2">
        <w:rPr>
          <w:lang w:val="ru-RU"/>
        </w:rPr>
        <w:tab/>
        <w:t>БРЭ улучшило управление проектами, организовав подготовку руководителей проектов, установив четкое руководство через Комитет по проектам БРЭ, оптимизировав процесс предоставления отчетов партнерам по финансированию и усовершенствовав системы мониторинга. Ведется постоянный мониторинг проектов с предоставлением соответствующих отчетов через информационные панели, а также отчетов об оценке в помощь процессу принятия решений на основе данных. Комитет по проектам обеспечивает увязку с Планом действий и надлежащее управление портфелем проектов. Для обеспечения объективной оценки прогресса ежеквартальные отчеты рассматриваются и оцениваются независимыми группами (поддержка проектов), не участвующими в реализации проекта.</w:t>
      </w:r>
    </w:p>
    <w:p w14:paraId="158EF2F5" w14:textId="3BCAC1BB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2.4.4</w:t>
      </w:r>
      <w:r w:rsidRPr="00113FE2">
        <w:rPr>
          <w:lang w:val="ru-RU"/>
        </w:rPr>
        <w:tab/>
        <w:t>После ВКРЭ-22 БРЭ мобилизовало внебюджетные ресурсы и разработало и реализовало за трехлетний период КПД 91 проект на сумму 51 миллионов швейцарских франков, что способствовало выполнению приоритетных задач и региональных инициатив по</w:t>
      </w:r>
      <w:r w:rsidR="003D312B">
        <w:rPr>
          <w:lang w:val="ru-RU"/>
        </w:rPr>
        <w:t> </w:t>
      </w:r>
      <w:r w:rsidRPr="00113FE2">
        <w:rPr>
          <w:lang w:val="ru-RU"/>
        </w:rPr>
        <w:t>удовлетворению конкретных потребностей регионов. Реализация проектов БРЭ для каждого региона способствует разработке различных продуктов и услуг в соответствии с приоритетами и средствами достижения целей МСЭ-D, определенными в КПД, а также в соответствии со</w:t>
      </w:r>
      <w:r w:rsidR="003D312B">
        <w:rPr>
          <w:lang w:val="ru-RU"/>
        </w:rPr>
        <w:t> </w:t>
      </w:r>
      <w:r w:rsidRPr="00113FE2">
        <w:rPr>
          <w:lang w:val="ru-RU"/>
        </w:rPr>
        <w:t>Стратегическим планом МСЭ. Завершенные проекты БРЭ или проекты, реализация которых продолжается в рамках каждой из региональных инициатив на период 2023</w:t>
      </w:r>
      <w:r w:rsidR="003D312B">
        <w:rPr>
          <w:rFonts w:cs="Calibri"/>
          <w:lang w:val="ru-RU"/>
        </w:rPr>
        <w:t>−</w:t>
      </w:r>
      <w:r w:rsidRPr="00113FE2">
        <w:rPr>
          <w:lang w:val="ru-RU"/>
        </w:rPr>
        <w:t xml:space="preserve">2025 годов, приводятся в Информационном документе </w:t>
      </w:r>
      <w:hyperlink r:id="rId46" w:history="1">
        <w:r w:rsidRPr="00113FE2">
          <w:rPr>
            <w:rStyle w:val="Hyperlink"/>
            <w:lang w:val="ru-RU"/>
          </w:rPr>
          <w:t>TDAG-25/INF/4</w:t>
        </w:r>
      </w:hyperlink>
      <w:r w:rsidRPr="00113FE2">
        <w:rPr>
          <w:lang w:val="ru-RU"/>
        </w:rPr>
        <w:t>.</w:t>
      </w:r>
      <w:hyperlink r:id="rId47" w:history="1"/>
    </w:p>
    <w:p w14:paraId="280B50BC" w14:textId="1E3A7ED0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2.4.5</w:t>
      </w:r>
      <w:r w:rsidRPr="00113FE2">
        <w:rPr>
          <w:lang w:val="ru-RU"/>
        </w:rPr>
        <w:tab/>
        <w:t xml:space="preserve">После принятия БПД были приняты новые и измененные Резолюции и региональные инициативы, осуществление которых планируется в 2026−2029 годах. В Документе </w:t>
      </w:r>
      <w:hyperlink r:id="rId48" w:history="1">
        <w:r w:rsidRPr="00113FE2">
          <w:rPr>
            <w:rStyle w:val="Hyperlink"/>
            <w:lang w:val="ru-RU"/>
          </w:rPr>
          <w:t>TDAG-26/4</w:t>
        </w:r>
      </w:hyperlink>
      <w:r w:rsidRPr="00113FE2">
        <w:rPr>
          <w:lang w:val="ru-RU"/>
        </w:rPr>
        <w:t xml:space="preserve"> освещаются финансовые последствия Резолюций, принятых на ВКРЭ-25, а в Документе </w:t>
      </w:r>
      <w:hyperlink r:id="rId49" w:history="1">
        <w:r w:rsidRPr="00113FE2">
          <w:rPr>
            <w:rStyle w:val="Hyperlink"/>
            <w:lang w:val="ru-RU"/>
          </w:rPr>
          <w:t>TDAG</w:t>
        </w:r>
        <w:r w:rsidR="003D312B">
          <w:rPr>
            <w:rStyle w:val="Hyperlink"/>
            <w:lang w:val="ru-RU"/>
          </w:rPr>
          <w:noBreakHyphen/>
        </w:r>
        <w:r w:rsidRPr="00113FE2">
          <w:rPr>
            <w:rStyle w:val="Hyperlink"/>
            <w:lang w:val="ru-RU"/>
          </w:rPr>
          <w:t>26/19</w:t>
        </w:r>
      </w:hyperlink>
      <w:r w:rsidRPr="00113FE2">
        <w:rPr>
          <w:lang w:val="ru-RU"/>
        </w:rPr>
        <w:t xml:space="preserve"> – финансовые последствия вновь принятых региональных инициатив. Более подробная информация о проектах МСЭ-D содержится в Документах </w:t>
      </w:r>
      <w:hyperlink r:id="rId50" w:history="1">
        <w:r w:rsidRPr="00113FE2">
          <w:rPr>
            <w:rStyle w:val="Hyperlink"/>
            <w:lang w:val="ru-RU"/>
          </w:rPr>
          <w:t>TDAG-25/5</w:t>
        </w:r>
      </w:hyperlink>
      <w:r w:rsidRPr="00113FE2">
        <w:rPr>
          <w:lang w:val="ru-RU"/>
        </w:rPr>
        <w:t xml:space="preserve"> и </w:t>
      </w:r>
      <w:hyperlink r:id="rId51" w:history="1">
        <w:r w:rsidRPr="00113FE2">
          <w:rPr>
            <w:rStyle w:val="Hyperlink"/>
            <w:lang w:val="ru-RU"/>
          </w:rPr>
          <w:t>TDAG</w:t>
        </w:r>
        <w:r w:rsidRPr="00113FE2">
          <w:rPr>
            <w:rStyle w:val="Hyperlink"/>
            <w:lang w:val="ru-RU"/>
          </w:rPr>
          <w:noBreakHyphen/>
          <w:t>26/8</w:t>
        </w:r>
      </w:hyperlink>
      <w:r w:rsidRPr="00113FE2">
        <w:rPr>
          <w:lang w:val="ru-RU"/>
        </w:rPr>
        <w:t>.</w:t>
      </w:r>
      <w:hyperlink r:id="rId52" w:history="1"/>
      <w:hyperlink r:id="rId53" w:history="1"/>
      <w:hyperlink r:id="rId54" w:history="1"/>
      <w:hyperlink r:id="rId55" w:history="1"/>
    </w:p>
    <w:p w14:paraId="55250AD2" w14:textId="77777777" w:rsidR="00113FE2" w:rsidRPr="00113FE2" w:rsidRDefault="00113FE2" w:rsidP="00FC7027">
      <w:pPr>
        <w:pStyle w:val="Heading1"/>
        <w:rPr>
          <w:lang w:val="ru-RU"/>
        </w:rPr>
      </w:pPr>
      <w:r w:rsidRPr="00113FE2">
        <w:rPr>
          <w:lang w:val="ru-RU"/>
        </w:rPr>
        <w:t>3</w:t>
      </w:r>
      <w:r w:rsidRPr="00113FE2">
        <w:rPr>
          <w:lang w:val="ru-RU"/>
        </w:rPr>
        <w:tab/>
        <w:t>Деятельность, связанная с другими Секторами и Бюро МСЭ</w:t>
      </w:r>
    </w:p>
    <w:p w14:paraId="091D01EB" w14:textId="77777777" w:rsidR="00113FE2" w:rsidRPr="00113FE2" w:rsidRDefault="00113FE2" w:rsidP="00FC7027">
      <w:pPr>
        <w:pStyle w:val="Heading2"/>
        <w:rPr>
          <w:lang w:val="ru-RU"/>
        </w:rPr>
      </w:pPr>
      <w:r w:rsidRPr="00113FE2">
        <w:rPr>
          <w:lang w:val="ru-RU"/>
        </w:rPr>
        <w:t>3.1</w:t>
      </w:r>
      <w:r w:rsidRPr="00113FE2">
        <w:rPr>
          <w:lang w:val="ru-RU"/>
        </w:rPr>
        <w:tab/>
        <w:t>Общее сотрудничество</w:t>
      </w:r>
    </w:p>
    <w:p w14:paraId="38DF4FDD" w14:textId="6434F784" w:rsidR="00113FE2" w:rsidRPr="00431F25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БРЭ в сотрудничестве и тесной координации с БР, БСЭ и Генеральным секретариатом неустанно работает над укреплением регионального присутствия МСЭ и повышением качества предоставления услуг Государствам-Членам.</w:t>
      </w:r>
    </w:p>
    <w:p w14:paraId="6A07B3AA" w14:textId="77777777" w:rsidR="00113FE2" w:rsidRPr="00113FE2" w:rsidRDefault="00113FE2" w:rsidP="00FC7027">
      <w:pPr>
        <w:pStyle w:val="Heading2"/>
        <w:rPr>
          <w:lang w:val="ru-RU"/>
        </w:rPr>
      </w:pPr>
      <w:r w:rsidRPr="00113FE2">
        <w:rPr>
          <w:lang w:val="ru-RU"/>
        </w:rPr>
        <w:t>3.2</w:t>
      </w:r>
      <w:r w:rsidRPr="00113FE2">
        <w:rPr>
          <w:lang w:val="ru-RU"/>
        </w:rPr>
        <w:tab/>
        <w:t>Региональное отделение для Африки (РО-АФР)/деятельность в Африке</w:t>
      </w:r>
    </w:p>
    <w:p w14:paraId="44846D8E" w14:textId="049506DD" w:rsidR="00113FE2" w:rsidRPr="00851B6B" w:rsidRDefault="00113FE2" w:rsidP="003D312B">
      <w:pPr>
        <w:pStyle w:val="Headingb"/>
        <w:rPr>
          <w:lang w:val="en-US"/>
        </w:rPr>
      </w:pPr>
      <w:r w:rsidRPr="00113FE2">
        <w:rPr>
          <w:lang w:val="ru-RU"/>
        </w:rPr>
        <w:t>Вопросы, связанные с деятельностью БР</w:t>
      </w:r>
    </w:p>
    <w:p w14:paraId="276BB089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 xml:space="preserve">РО-АФР оказало содействие в организации </w:t>
      </w:r>
      <w:hyperlink r:id="rId56" w:history="1">
        <w:r w:rsidRPr="00113FE2">
          <w:rPr>
            <w:rStyle w:val="Hyperlink"/>
            <w:lang w:val="ru-RU"/>
          </w:rPr>
          <w:t>Регионального семинара МСЭ по радиосвязи для Африки</w:t>
        </w:r>
      </w:hyperlink>
      <w:r w:rsidRPr="00113FE2">
        <w:rPr>
          <w:lang w:val="ru-RU"/>
        </w:rPr>
        <w:t>, который состоялся 5−8 мая 2025 года в Джибути.</w:t>
      </w:r>
      <w:hyperlink r:id="rId57" w:history="1"/>
    </w:p>
    <w:p w14:paraId="69604A57" w14:textId="5B0FC07E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 xml:space="preserve">20 октября 2025 года в Кигали, Руанда, РО-АФР в сотрудничестве с Ассоциацией GSM, Восточноафриканским сообществом (ВАС) и Межправительственным органом по вопросам развития (МОВР) при поддержке Всемирного банка провело в рамках Регионального проекта цифровой интеграции стран Восточной Африки (EARDIP) </w:t>
      </w:r>
      <w:hyperlink r:id="rId58" w:history="1">
        <w:r w:rsidRPr="00113FE2">
          <w:rPr>
            <w:rStyle w:val="Hyperlink"/>
            <w:lang w:val="ru-RU"/>
          </w:rPr>
          <w:t>Семинар-практикум по управлению использованием спектра на тему "Региональное согласование для расширения возможности установления трансграничных соединений в Восточной Африке"</w:t>
        </w:r>
      </w:hyperlink>
      <w:r w:rsidRPr="00113FE2">
        <w:rPr>
          <w:lang w:val="ru-RU"/>
        </w:rPr>
        <w:t xml:space="preserve">. В ходе учебного мероприятия по управлению использованием спектра, в котором приняли участие 42 специалиста из Бурунди, Демократической Республики Конго, Джибути, Эфиопии, Кении, Руанды, Сомали, Судана, Южного Судана, Танзании и Уганды, особое внимание было уделено региональной интеграции и трансграничной координации в Восточной Африке; мероприятие дало регуляторным и директивным органам возможность внедрять функционально совместимые, устойчивые и ориентированные на будущее модели управления использованием </w:t>
      </w:r>
      <w:r w:rsidRPr="00113FE2">
        <w:rPr>
          <w:lang w:val="ru-RU"/>
        </w:rPr>
        <w:lastRenderedPageBreak/>
        <w:t>спектра, не</w:t>
      </w:r>
      <w:r w:rsidR="003D312B">
        <w:rPr>
          <w:lang w:val="ru-RU"/>
        </w:rPr>
        <w:t> </w:t>
      </w:r>
      <w:r w:rsidRPr="00113FE2">
        <w:rPr>
          <w:lang w:val="ru-RU"/>
        </w:rPr>
        <w:t>ограничивающиеся рамками национальных границ. Совместно с БР было проведено учебное мероприятие для МСЭ по регламентарным аспектам координации и заявления IMT; а</w:t>
      </w:r>
      <w:r w:rsidR="003D312B">
        <w:rPr>
          <w:lang w:val="ru-RU"/>
        </w:rPr>
        <w:t> </w:t>
      </w:r>
      <w:r w:rsidRPr="00113FE2">
        <w:rPr>
          <w:lang w:val="ru-RU"/>
        </w:rPr>
        <w:t>также по обеспечению согласования полос частот и технических условий на региональном уровне; и опыту МСЭ в области трансграничной координации использования спектра в</w:t>
      </w:r>
      <w:r w:rsidR="003D312B">
        <w:rPr>
          <w:lang w:val="ru-RU"/>
        </w:rPr>
        <w:t> </w:t>
      </w:r>
      <w:r w:rsidRPr="00113FE2">
        <w:rPr>
          <w:lang w:val="ru-RU"/>
        </w:rPr>
        <w:t>стандартизации технологий наземной широкополосной связи.</w:t>
      </w:r>
      <w:hyperlink r:id="rId59" w:history="1"/>
    </w:p>
    <w:p w14:paraId="2E10CBE4" w14:textId="77777777" w:rsidR="00113FE2" w:rsidRPr="00113FE2" w:rsidRDefault="00113FE2" w:rsidP="003D312B">
      <w:pPr>
        <w:pStyle w:val="Headingb"/>
        <w:rPr>
          <w:lang w:val="ru-RU"/>
        </w:rPr>
      </w:pPr>
      <w:r w:rsidRPr="00113FE2">
        <w:rPr>
          <w:lang w:val="ru-RU"/>
        </w:rPr>
        <w:t>Вопросы, связанные с деятельностью БСЭ</w:t>
      </w:r>
    </w:p>
    <w:p w14:paraId="556AACF7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В сотрудничестве с БСЭ была проведена серия практикумов по безопасности цифровых финансовых услуг (ЦФУ) для Гамбии, Южного Судана, Ганы, Зимбабве, Малави, Лесото, Эфиопии, Эсватини, Сьерра-Леоне, Буркина-Фасо и Габона.</w:t>
      </w:r>
    </w:p>
    <w:p w14:paraId="787A4FFA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РО-АФР в сотрудничестве с Ассоциацией GSM координировало организацию семинара-практикума в Бенине 5 сентября 2025 года, в ходе которого БСЭ провело учебное занятие по вопросам качества обслуживания и соответствующим рекомендациям, принятым МСЭ.</w:t>
      </w:r>
    </w:p>
    <w:p w14:paraId="075B1845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Три сотрудника БСЭ назначены в РО-АФР для оказания помощи членам в работе, связанной со стандартизацией.</w:t>
      </w:r>
    </w:p>
    <w:p w14:paraId="4CBEB8A7" w14:textId="2BFDD3E4" w:rsidR="00113FE2" w:rsidRPr="00113FE2" w:rsidRDefault="00113FE2" w:rsidP="00D94737">
      <w:pPr>
        <w:pStyle w:val="Heading2"/>
        <w:jc w:val="both"/>
        <w:rPr>
          <w:lang w:val="ru-RU"/>
        </w:rPr>
      </w:pPr>
      <w:r w:rsidRPr="00113FE2">
        <w:rPr>
          <w:lang w:val="ru-RU"/>
        </w:rPr>
        <w:t>3.3</w:t>
      </w:r>
      <w:r w:rsidRPr="00113FE2">
        <w:rPr>
          <w:lang w:val="ru-RU"/>
        </w:rPr>
        <w:tab/>
        <w:t>Региональное отделение для Северной и Южной Америки (РО-АМР)/деятельность в</w:t>
      </w:r>
      <w:r w:rsidR="003D312B">
        <w:rPr>
          <w:lang w:val="ru-RU"/>
        </w:rPr>
        <w:t> </w:t>
      </w:r>
      <w:r w:rsidRPr="00113FE2">
        <w:rPr>
          <w:lang w:val="ru-RU"/>
        </w:rPr>
        <w:t>Северной и Южной Америке</w:t>
      </w:r>
    </w:p>
    <w:p w14:paraId="4BBEB13D" w14:textId="77777777" w:rsidR="00113FE2" w:rsidRPr="00113FE2" w:rsidRDefault="00113FE2" w:rsidP="00D94737">
      <w:pPr>
        <w:pStyle w:val="Headingb"/>
        <w:jc w:val="both"/>
        <w:rPr>
          <w:lang w:val="ru-RU"/>
        </w:rPr>
      </w:pPr>
      <w:r w:rsidRPr="00113FE2">
        <w:rPr>
          <w:lang w:val="ru-RU"/>
        </w:rPr>
        <w:t>Вопросы, связанные с деятельностью БР</w:t>
      </w:r>
    </w:p>
    <w:p w14:paraId="6DA25171" w14:textId="2BEF079D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Для поддержки мероприятий по реагированию на ураганы на Ямайке (2025 г</w:t>
      </w:r>
      <w:r w:rsidR="00505892">
        <w:rPr>
          <w:lang w:val="ru-RU"/>
        </w:rPr>
        <w:t>.</w:t>
      </w:r>
      <w:r w:rsidRPr="00113FE2">
        <w:rPr>
          <w:lang w:val="ru-RU"/>
        </w:rPr>
        <w:t>) было развернуто спутниковое оборудование. Предварительно размещенное спутниковое оборудование уже было развернуто на Барбадосе накануне сезона ураганов 2024 года.</w:t>
      </w:r>
    </w:p>
    <w:p w14:paraId="071B458E" w14:textId="177FA3F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 xml:space="preserve">РО-АМР участвовало в совместной организации </w:t>
      </w:r>
      <w:hyperlink r:id="rId60" w:history="1">
        <w:r w:rsidRPr="00113FE2">
          <w:rPr>
            <w:rStyle w:val="Hyperlink"/>
            <w:lang w:val="ru-RU"/>
          </w:rPr>
          <w:t>Регионального семинара по радиосвязи для Северной и Южной Америки</w:t>
        </w:r>
      </w:hyperlink>
      <w:r w:rsidRPr="00113FE2">
        <w:rPr>
          <w:lang w:val="ru-RU"/>
        </w:rPr>
        <w:t xml:space="preserve"> 12–16 июня 2025 года в Тегусигальпе, Гондурас, оказывая содействие Государствам-Членам в деле интеграции спутниковых технологий в</w:t>
      </w:r>
      <w:r w:rsidR="003D312B">
        <w:rPr>
          <w:lang w:val="ru-RU"/>
        </w:rPr>
        <w:t> </w:t>
      </w:r>
      <w:r w:rsidRPr="00113FE2">
        <w:rPr>
          <w:lang w:val="ru-RU"/>
        </w:rPr>
        <w:t>национальные стратегии в области широкополосной связи.</w:t>
      </w:r>
      <w:hyperlink r:id="rId61" w:history="1"/>
    </w:p>
    <w:p w14:paraId="3C480279" w14:textId="03CBE6DE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БРЭ сотрудничало с центрами профессиональной подготовки Академии МСЭ в Перу и Бразилии по различным программам создания потенциала в области управления использованием радиочастотного спектра, в том числе по восьми связанным с</w:t>
      </w:r>
      <w:r w:rsidR="00106400">
        <w:rPr>
          <w:lang w:val="ru-RU"/>
        </w:rPr>
        <w:t> </w:t>
      </w:r>
      <w:r w:rsidRPr="00113FE2">
        <w:rPr>
          <w:lang w:val="ru-RU"/>
        </w:rPr>
        <w:t>технологией 5G учебным курсам, которые проводились в Коста-Рике с сентября по</w:t>
      </w:r>
      <w:r w:rsidR="00106400">
        <w:rPr>
          <w:lang w:val="ru-RU"/>
        </w:rPr>
        <w:t> </w:t>
      </w:r>
      <w:r w:rsidRPr="00113FE2">
        <w:rPr>
          <w:lang w:val="ru-RU"/>
        </w:rPr>
        <w:t>октябрь 2025 года.</w:t>
      </w:r>
    </w:p>
    <w:p w14:paraId="3193A40A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В декабре 2025 года БРЭ подготовило для Колумбии Генеральный план прекращения аналогового телевизионного вещания (PGCEA).</w:t>
      </w:r>
    </w:p>
    <w:p w14:paraId="0808E36F" w14:textId="48FA07DC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Доминиканской Республике (2025 г</w:t>
      </w:r>
      <w:r w:rsidR="00851B6B" w:rsidRPr="00851B6B">
        <w:rPr>
          <w:lang w:val="ru-RU"/>
        </w:rPr>
        <w:t>.</w:t>
      </w:r>
      <w:r w:rsidRPr="00113FE2">
        <w:rPr>
          <w:lang w:val="ru-RU"/>
        </w:rPr>
        <w:t>) была оказана техническая помощь в разработке плана внедрения системы картирования.</w:t>
      </w:r>
    </w:p>
    <w:p w14:paraId="5809DDF5" w14:textId="1783FD9D" w:rsidR="00113FE2" w:rsidRPr="00431F25" w:rsidRDefault="00113FE2" w:rsidP="00D94737">
      <w:pPr>
        <w:pStyle w:val="Headingb"/>
        <w:jc w:val="both"/>
        <w:rPr>
          <w:lang w:val="ru-RU"/>
        </w:rPr>
      </w:pPr>
      <w:r w:rsidRPr="00113FE2">
        <w:rPr>
          <w:lang w:val="ru-RU"/>
        </w:rPr>
        <w:t>Вопросы, связанные с деятельностью БСЭ</w:t>
      </w:r>
    </w:p>
    <w:p w14:paraId="0D94E888" w14:textId="60C62772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Через РО-АМР БРЭ содействует активному привлечению Государств-Членов из региона Северной и Южной Америки и Членов МСЭ, представляющих компании отрасли, к</w:t>
      </w:r>
      <w:r w:rsidR="00106400">
        <w:rPr>
          <w:lang w:val="ru-RU"/>
        </w:rPr>
        <w:t> </w:t>
      </w:r>
      <w:r w:rsidRPr="00113FE2">
        <w:rPr>
          <w:lang w:val="ru-RU"/>
        </w:rPr>
        <w:t>работе исследовательских комиссий БСЭ на различных собраниях.</w:t>
      </w:r>
    </w:p>
    <w:p w14:paraId="24A96BCB" w14:textId="16EA12DC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Проводятся периодические координационные совещания с Директором БСЭ и руководящим составом БСЭ, которые по мере необходимости дополняются консультациями на</w:t>
      </w:r>
      <w:r w:rsidR="003D312B">
        <w:rPr>
          <w:lang w:val="ru-RU"/>
        </w:rPr>
        <w:t> </w:t>
      </w:r>
      <w:r w:rsidRPr="00113FE2">
        <w:rPr>
          <w:lang w:val="ru-RU"/>
        </w:rPr>
        <w:t>оперативном уровне.</w:t>
      </w:r>
    </w:p>
    <w:p w14:paraId="1299220A" w14:textId="0C0BA2B0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РО-АМР содействовало координации между БСЭ и региональными организациями (СИТЕЛ, главным образом в ПКК 1) и оказывало помощь в обеспечении регионального участия. Что касается программы по преодолению разрыва в стандартизации (ПРС), то</w:t>
      </w:r>
      <w:r w:rsidR="00106400">
        <w:rPr>
          <w:lang w:val="ru-RU"/>
        </w:rPr>
        <w:t> </w:t>
      </w:r>
      <w:r w:rsidRPr="00113FE2">
        <w:rPr>
          <w:lang w:val="ru-RU"/>
        </w:rPr>
        <w:t>РО</w:t>
      </w:r>
      <w:r w:rsidR="003D312B">
        <w:rPr>
          <w:lang w:val="ru-RU"/>
        </w:rPr>
        <w:noBreakHyphen/>
      </w:r>
      <w:r w:rsidRPr="00113FE2">
        <w:rPr>
          <w:lang w:val="ru-RU"/>
        </w:rPr>
        <w:t xml:space="preserve">АМР оказывает поддержку БСЭ на самом высоком уровне соответствующих </w:t>
      </w:r>
      <w:r w:rsidRPr="00113FE2">
        <w:rPr>
          <w:lang w:val="ru-RU"/>
        </w:rPr>
        <w:lastRenderedPageBreak/>
        <w:t>мероприятий или площадок, используя обновленные продукты и услуги в области ПРС в стандартизации (с</w:t>
      </w:r>
      <w:r w:rsidR="003D312B">
        <w:rPr>
          <w:lang w:val="ru-RU"/>
        </w:rPr>
        <w:t> </w:t>
      </w:r>
      <w:r w:rsidRPr="00113FE2">
        <w:rPr>
          <w:lang w:val="ru-RU"/>
        </w:rPr>
        <w:t>учетом Резолюции 123 ПК-22 и Резолюции 44 ВАСЭ-24).</w:t>
      </w:r>
    </w:p>
    <w:p w14:paraId="17BBA490" w14:textId="0D88061F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БСЭ приняло активное участие в Региональном экономическом диалоге (РЭД</w:t>
      </w:r>
      <w:r w:rsidR="003D312B">
        <w:rPr>
          <w:lang w:val="ru-RU"/>
        </w:rPr>
        <w:noBreakHyphen/>
      </w:r>
      <w:r w:rsidRPr="00113FE2">
        <w:rPr>
          <w:lang w:val="ru-RU"/>
        </w:rPr>
        <w:t>АМР) в</w:t>
      </w:r>
      <w:r w:rsidR="003D312B">
        <w:rPr>
          <w:lang w:val="ru-RU"/>
        </w:rPr>
        <w:t> </w:t>
      </w:r>
      <w:r w:rsidRPr="00113FE2">
        <w:rPr>
          <w:lang w:val="ru-RU"/>
        </w:rPr>
        <w:t>октябре 2025 года в Монтевидео, Уругвай, поделившись знаниями и опытом в</w:t>
      </w:r>
      <w:r w:rsidR="00106400">
        <w:rPr>
          <w:lang w:val="ru-RU"/>
        </w:rPr>
        <w:t> </w:t>
      </w:r>
      <w:r w:rsidRPr="00113FE2">
        <w:rPr>
          <w:lang w:val="ru-RU"/>
        </w:rPr>
        <w:t>области текущей деятельности 3-й Исследовательской комиссии МСЭ-T и Оперативной группы МСЭ</w:t>
      </w:r>
      <w:r w:rsidR="003D312B">
        <w:rPr>
          <w:lang w:val="ru-RU"/>
        </w:rPr>
        <w:noBreakHyphen/>
      </w:r>
      <w:r w:rsidRPr="00113FE2">
        <w:rPr>
          <w:lang w:val="ru-RU"/>
        </w:rPr>
        <w:t>Т по моделям определения затрат для приемлемых в</w:t>
      </w:r>
      <w:r w:rsidR="00106400">
        <w:rPr>
          <w:lang w:val="ru-RU"/>
        </w:rPr>
        <w:t> </w:t>
      </w:r>
      <w:r w:rsidRPr="00113FE2">
        <w:rPr>
          <w:lang w:val="ru-RU"/>
        </w:rPr>
        <w:t>ценовом отношении услуг передачи данных (ОГ-CD), а также нормативных положений, применимых к сетям электросвязи.</w:t>
      </w:r>
    </w:p>
    <w:p w14:paraId="14A4F45E" w14:textId="28AF655E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РО-АМР содействовало проведению собрания Региональной группы 3</w:t>
      </w:r>
      <w:r w:rsidR="003D312B">
        <w:rPr>
          <w:lang w:val="ru-RU"/>
        </w:rPr>
        <w:noBreakHyphen/>
      </w:r>
      <w:r w:rsidRPr="00113FE2">
        <w:rPr>
          <w:lang w:val="ru-RU"/>
        </w:rPr>
        <w:t>й</w:t>
      </w:r>
      <w:r w:rsidR="003D312B">
        <w:rPr>
          <w:lang w:val="ru-RU"/>
        </w:rPr>
        <w:t> </w:t>
      </w:r>
      <w:r w:rsidRPr="00113FE2">
        <w:rPr>
          <w:lang w:val="ru-RU"/>
        </w:rPr>
        <w:t>Исследовательской комиссии МСЭ-Т для Латинской Америки и Карибского бассейна (РегГр</w:t>
      </w:r>
      <w:r w:rsidR="003D312B">
        <w:rPr>
          <w:lang w:val="ru-RU"/>
        </w:rPr>
        <w:noBreakHyphen/>
      </w:r>
      <w:r w:rsidRPr="00113FE2">
        <w:rPr>
          <w:lang w:val="ru-RU"/>
        </w:rPr>
        <w:t>ЛАК ИК3) и собрания Региональной группы 2-й</w:t>
      </w:r>
      <w:r w:rsidR="003D312B">
        <w:rPr>
          <w:lang w:val="ru-RU"/>
        </w:rPr>
        <w:t> </w:t>
      </w:r>
      <w:r w:rsidRPr="00113FE2">
        <w:rPr>
          <w:lang w:val="ru-RU"/>
        </w:rPr>
        <w:t>Исследовательской комиссии МСЭ</w:t>
      </w:r>
      <w:r w:rsidR="003D312B">
        <w:rPr>
          <w:lang w:val="ru-RU"/>
        </w:rPr>
        <w:noBreakHyphen/>
      </w:r>
      <w:r w:rsidRPr="00113FE2">
        <w:rPr>
          <w:lang w:val="ru-RU"/>
        </w:rPr>
        <w:t>Т для</w:t>
      </w:r>
      <w:r w:rsidR="003D312B">
        <w:rPr>
          <w:lang w:val="ru-RU"/>
        </w:rPr>
        <w:t> </w:t>
      </w:r>
      <w:r w:rsidRPr="00113FE2">
        <w:rPr>
          <w:lang w:val="ru-RU"/>
        </w:rPr>
        <w:t>Северной и Южной Америки (РегГр</w:t>
      </w:r>
      <w:r w:rsidR="003D312B">
        <w:rPr>
          <w:lang w:val="ru-RU"/>
        </w:rPr>
        <w:noBreakHyphen/>
      </w:r>
      <w:r w:rsidRPr="00113FE2">
        <w:rPr>
          <w:lang w:val="ru-RU"/>
        </w:rPr>
        <w:t>АМР ИК2), которые состоялись в Монтевидео, Уругвай, в октябре 2025 года.</w:t>
      </w:r>
    </w:p>
    <w:p w14:paraId="173F7BA3" w14:textId="77777777" w:rsidR="00113FE2" w:rsidRPr="00113FE2" w:rsidRDefault="00113FE2" w:rsidP="00D94737">
      <w:pPr>
        <w:pStyle w:val="Heading2"/>
        <w:jc w:val="both"/>
        <w:rPr>
          <w:lang w:val="ru-RU"/>
        </w:rPr>
      </w:pPr>
      <w:r w:rsidRPr="00113FE2">
        <w:rPr>
          <w:lang w:val="ru-RU"/>
        </w:rPr>
        <w:t>3.4</w:t>
      </w:r>
      <w:r w:rsidRPr="00113FE2">
        <w:rPr>
          <w:lang w:val="ru-RU"/>
        </w:rPr>
        <w:tab/>
        <w:t>Региональное отделение для арабских государств (РО-АРБ)/деятельность в арабских государствах</w:t>
      </w:r>
    </w:p>
    <w:p w14:paraId="7976EC9C" w14:textId="77777777" w:rsidR="00113FE2" w:rsidRPr="00113FE2" w:rsidRDefault="00113FE2" w:rsidP="00D94737">
      <w:pPr>
        <w:pStyle w:val="Headingb"/>
        <w:jc w:val="both"/>
        <w:rPr>
          <w:lang w:val="ru-RU"/>
        </w:rPr>
      </w:pPr>
      <w:r w:rsidRPr="00113FE2">
        <w:rPr>
          <w:lang w:val="ru-RU"/>
        </w:rPr>
        <w:t>Вопросы, связанные с деятельностью БР</w:t>
      </w:r>
    </w:p>
    <w:p w14:paraId="6260190D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В Алжире был организован региональный семинар-практикум МСЭ для региона арабских государств на тему "Универсальная и реальная возможность установления соединений", на котором рассматривались проблемы, связанные с развитием инфраструктуры и возможностью установления соединений.</w:t>
      </w:r>
    </w:p>
    <w:p w14:paraId="1BADF5A5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РО-АРБ продолжило координацию с БР региональной работы в рамках Арабской группы по управлению использованием спектра (ASMG).</w:t>
      </w:r>
    </w:p>
    <w:p w14:paraId="7BB58052" w14:textId="77777777" w:rsidR="00113FE2" w:rsidRPr="00113FE2" w:rsidRDefault="00113FE2" w:rsidP="00D94737">
      <w:pPr>
        <w:pStyle w:val="Headingb"/>
        <w:jc w:val="both"/>
        <w:rPr>
          <w:lang w:val="ru-RU"/>
        </w:rPr>
      </w:pPr>
      <w:r w:rsidRPr="00113FE2">
        <w:rPr>
          <w:lang w:val="ru-RU"/>
        </w:rPr>
        <w:t xml:space="preserve">Вопросы, связанные с деятельностью БСЭ </w:t>
      </w:r>
    </w:p>
    <w:p w14:paraId="7D08D1A1" w14:textId="4723FC86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БРЭ оказало содействие в организации собрания Региональной группы 3</w:t>
      </w:r>
      <w:r w:rsidR="00106400">
        <w:rPr>
          <w:lang w:val="ru-RU"/>
        </w:rPr>
        <w:noBreakHyphen/>
      </w:r>
      <w:r w:rsidRPr="00113FE2">
        <w:rPr>
          <w:lang w:val="ru-RU"/>
        </w:rPr>
        <w:t>й</w:t>
      </w:r>
      <w:r w:rsidR="00106400">
        <w:rPr>
          <w:lang w:val="ru-RU"/>
        </w:rPr>
        <w:t> </w:t>
      </w:r>
      <w:r w:rsidRPr="00113FE2">
        <w:rPr>
          <w:lang w:val="ru-RU"/>
        </w:rPr>
        <w:t>Исследовательской комиссии БСЭ в Аммане, Иордания, в феврале 2025 года.</w:t>
      </w:r>
    </w:p>
    <w:p w14:paraId="565F19D4" w14:textId="0D53A4B3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БРЭ и Национальный регуляторный орган электросвязи Египта (NTRA) реализуют проект "Умные" устойчивые города и сообщества (SSC&amp;C)". В рамках этого проекта РО</w:t>
      </w:r>
      <w:r w:rsidR="00106400">
        <w:rPr>
          <w:lang w:val="ru-RU"/>
        </w:rPr>
        <w:noBreakHyphen/>
      </w:r>
      <w:r w:rsidRPr="00113FE2">
        <w:rPr>
          <w:lang w:val="ru-RU"/>
        </w:rPr>
        <w:t>АРБ координировало разработку и продвижение проекта SSC&amp;C с</w:t>
      </w:r>
      <w:r w:rsidR="00106400">
        <w:rPr>
          <w:lang w:val="ru-RU"/>
        </w:rPr>
        <w:t> </w:t>
      </w:r>
      <w:r w:rsidRPr="00113FE2">
        <w:rPr>
          <w:lang w:val="ru-RU"/>
        </w:rPr>
        <w:t>20</w:t>
      </w:r>
      <w:r w:rsidR="00106400">
        <w:rPr>
          <w:lang w:val="ru-RU"/>
        </w:rPr>
        <w:noBreakHyphen/>
      </w:r>
      <w:r w:rsidRPr="00113FE2">
        <w:rPr>
          <w:lang w:val="ru-RU"/>
        </w:rPr>
        <w:t>й</w:t>
      </w:r>
      <w:r w:rsidR="00106400">
        <w:rPr>
          <w:lang w:val="ru-RU"/>
        </w:rPr>
        <w:t> </w:t>
      </w:r>
      <w:r w:rsidRPr="00113FE2">
        <w:rPr>
          <w:lang w:val="ru-RU"/>
        </w:rPr>
        <w:t>Исследовательской комиссией МСЭ-Т. Кроме того, вклады, замечания и технические руководящие указания руководства 20-й Исследовательской комиссии МСЭ-Т были учтены в работе, развернутой БРЭ над проектом рамочной основы оценки SSC&amp;C для Египта.</w:t>
      </w:r>
    </w:p>
    <w:p w14:paraId="196EBC19" w14:textId="4B9DFA9E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29</w:t>
      </w:r>
      <w:r w:rsidR="00FF1B61">
        <w:rPr>
          <w:rFonts w:cs="Calibri"/>
          <w:lang w:val="ru-RU"/>
        </w:rPr>
        <w:t>−</w:t>
      </w:r>
      <w:r w:rsidRPr="00113FE2">
        <w:rPr>
          <w:lang w:val="ru-RU"/>
        </w:rPr>
        <w:t>30 марта 2026 года планируется провести собрание Региональной группы 3</w:t>
      </w:r>
      <w:r w:rsidR="00106400">
        <w:rPr>
          <w:lang w:val="ru-RU"/>
        </w:rPr>
        <w:noBreakHyphen/>
      </w:r>
      <w:r w:rsidRPr="00113FE2">
        <w:rPr>
          <w:lang w:val="ru-RU"/>
        </w:rPr>
        <w:t>й</w:t>
      </w:r>
      <w:r w:rsidR="00106400">
        <w:rPr>
          <w:lang w:val="ru-RU"/>
        </w:rPr>
        <w:t> </w:t>
      </w:r>
      <w:r w:rsidRPr="00113FE2">
        <w:rPr>
          <w:lang w:val="ru-RU"/>
        </w:rPr>
        <w:t>Исследовательской комиссии МСЭ-Т для Арабского региона (РегГр</w:t>
      </w:r>
      <w:r w:rsidR="00106400">
        <w:rPr>
          <w:lang w:val="ru-RU"/>
        </w:rPr>
        <w:noBreakHyphen/>
      </w:r>
      <w:r w:rsidRPr="00113FE2">
        <w:rPr>
          <w:lang w:val="ru-RU"/>
        </w:rPr>
        <w:t>АРБ ИК3), а</w:t>
      </w:r>
      <w:r w:rsidR="00106400">
        <w:rPr>
          <w:lang w:val="ru-RU"/>
        </w:rPr>
        <w:t> </w:t>
      </w:r>
      <w:r w:rsidRPr="00113FE2">
        <w:rPr>
          <w:lang w:val="ru-RU"/>
        </w:rPr>
        <w:t>затем, 30</w:t>
      </w:r>
      <w:r w:rsidR="00FF1B61">
        <w:rPr>
          <w:rFonts w:cs="Calibri"/>
          <w:lang w:val="ru-RU"/>
        </w:rPr>
        <w:t>−</w:t>
      </w:r>
      <w:r w:rsidRPr="00113FE2">
        <w:rPr>
          <w:lang w:val="ru-RU"/>
        </w:rPr>
        <w:t>31 марта 2026 года, состоится собрание Региональной группы 20</w:t>
      </w:r>
      <w:r w:rsidR="00106400">
        <w:rPr>
          <w:lang w:val="ru-RU"/>
        </w:rPr>
        <w:noBreakHyphen/>
      </w:r>
      <w:r w:rsidRPr="00113FE2">
        <w:rPr>
          <w:lang w:val="ru-RU"/>
        </w:rPr>
        <w:t>й</w:t>
      </w:r>
      <w:r w:rsidR="00106400">
        <w:rPr>
          <w:lang w:val="ru-RU"/>
        </w:rPr>
        <w:t> </w:t>
      </w:r>
      <w:r w:rsidRPr="00113FE2">
        <w:rPr>
          <w:lang w:val="ru-RU"/>
        </w:rPr>
        <w:t>Исследовательской комиссии МСЭ-Т для Африки (РегГр</w:t>
      </w:r>
      <w:r w:rsidR="00106400">
        <w:rPr>
          <w:lang w:val="ru-RU"/>
        </w:rPr>
        <w:noBreakHyphen/>
      </w:r>
      <w:r w:rsidRPr="00113FE2">
        <w:rPr>
          <w:lang w:val="ru-RU"/>
        </w:rPr>
        <w:t>АФР ИК20) в Каире, Египет.</w:t>
      </w:r>
    </w:p>
    <w:p w14:paraId="4832DC01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В РО-АРБ был назначен сотрудник категории общего обслуживания в целях повышения координации и содействия в работе с БСЭ, связанной с исследовательскими комиссиями.</w:t>
      </w:r>
    </w:p>
    <w:p w14:paraId="622EF2CB" w14:textId="417A3B20" w:rsidR="00113FE2" w:rsidRPr="00113FE2" w:rsidRDefault="00113FE2" w:rsidP="00FC7027">
      <w:pPr>
        <w:pStyle w:val="Heading2"/>
        <w:rPr>
          <w:lang w:val="ru-RU"/>
        </w:rPr>
      </w:pPr>
      <w:r w:rsidRPr="00113FE2">
        <w:rPr>
          <w:lang w:val="ru-RU"/>
        </w:rPr>
        <w:lastRenderedPageBreak/>
        <w:t>3.5</w:t>
      </w:r>
      <w:r w:rsidRPr="00113FE2">
        <w:rPr>
          <w:lang w:val="ru-RU"/>
        </w:rPr>
        <w:tab/>
        <w:t>Региональное отделение для Азиатско-Тихоокеанского региона (РО</w:t>
      </w:r>
      <w:r w:rsidR="008F3C2A">
        <w:rPr>
          <w:lang w:val="ru-RU"/>
        </w:rPr>
        <w:noBreakHyphen/>
      </w:r>
      <w:r w:rsidRPr="00113FE2">
        <w:rPr>
          <w:lang w:val="ru-RU"/>
        </w:rPr>
        <w:t>АТР)/деятельность в Азиатско-Тихоокеанском регионе</w:t>
      </w:r>
    </w:p>
    <w:p w14:paraId="3E254D2F" w14:textId="06A45977" w:rsidR="00113FE2" w:rsidRPr="00FF1B61" w:rsidRDefault="00113FE2" w:rsidP="003D312B">
      <w:pPr>
        <w:pStyle w:val="Headingb"/>
        <w:rPr>
          <w:lang w:val="en-US"/>
        </w:rPr>
      </w:pPr>
      <w:r w:rsidRPr="00113FE2">
        <w:rPr>
          <w:lang w:val="ru-RU"/>
        </w:rPr>
        <w:t>Вопросы, связанные с деятельностью БР</w:t>
      </w:r>
    </w:p>
    <w:p w14:paraId="380ECC15" w14:textId="772F8429" w:rsidR="00113FE2" w:rsidRPr="00113FE2" w:rsidRDefault="00113FE2" w:rsidP="00D94737">
      <w:pPr>
        <w:pStyle w:val="enumlev1"/>
        <w:keepLines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 xml:space="preserve">РО-АТР оказало содействие БР в организации </w:t>
      </w:r>
      <w:hyperlink r:id="rId62" w:history="1">
        <w:r w:rsidRPr="00113FE2">
          <w:rPr>
            <w:rStyle w:val="Hyperlink"/>
            <w:lang w:val="ru-RU"/>
          </w:rPr>
          <w:t>Регионального семинара МСЭ по</w:t>
        </w:r>
        <w:r w:rsidR="008F3C2A">
          <w:rPr>
            <w:rStyle w:val="Hyperlink"/>
            <w:lang w:val="ru-RU"/>
          </w:rPr>
          <w:t> </w:t>
        </w:r>
        <w:r w:rsidRPr="00113FE2">
          <w:rPr>
            <w:rStyle w:val="Hyperlink"/>
            <w:lang w:val="ru-RU"/>
          </w:rPr>
          <w:t>радиосвязи для Азиатско-Тихоокеанского региона</w:t>
        </w:r>
      </w:hyperlink>
      <w:r w:rsidRPr="00113FE2">
        <w:rPr>
          <w:lang w:val="ru-RU"/>
        </w:rPr>
        <w:t>, который состоялся 20−24</w:t>
      </w:r>
      <w:r w:rsidR="008F3C2A">
        <w:rPr>
          <w:lang w:val="ru-RU"/>
        </w:rPr>
        <w:t> </w:t>
      </w:r>
      <w:r w:rsidRPr="00113FE2">
        <w:rPr>
          <w:lang w:val="ru-RU"/>
        </w:rPr>
        <w:t>октября 2025 года в Чэнду, Китайская Народная Республика. Деятельность РО</w:t>
      </w:r>
      <w:r w:rsidR="008F3C2A">
        <w:rPr>
          <w:lang w:val="ru-RU"/>
        </w:rPr>
        <w:noBreakHyphen/>
      </w:r>
      <w:r w:rsidRPr="00113FE2">
        <w:rPr>
          <w:lang w:val="ru-RU"/>
        </w:rPr>
        <w:t>АТР осуществлялась во исполнение Резолюции 9 ВКРЭ-22 и в соответствии с</w:t>
      </w:r>
      <w:r w:rsidR="008F3C2A">
        <w:rPr>
          <w:lang w:val="ru-RU"/>
        </w:rPr>
        <w:t> </w:t>
      </w:r>
      <w:r w:rsidRPr="00113FE2">
        <w:rPr>
          <w:lang w:val="ru-RU"/>
        </w:rPr>
        <w:t>Региональной инициативой 3 АТР: ожидаемый результат</w:t>
      </w:r>
      <w:r w:rsidR="008F3C2A">
        <w:rPr>
          <w:lang w:val="ru-RU"/>
        </w:rPr>
        <w:t> </w:t>
      </w:r>
      <w:r w:rsidRPr="00113FE2">
        <w:rPr>
          <w:lang w:val="ru-RU"/>
        </w:rPr>
        <w:t>6.</w:t>
      </w:r>
      <w:hyperlink r:id="rId63"/>
    </w:p>
    <w:p w14:paraId="2AB80A76" w14:textId="2DAF4652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 xml:space="preserve">РО-АТР содействовало БР в организации </w:t>
      </w:r>
      <w:hyperlink r:id="rId64" w:history="1">
        <w:r w:rsidR="00374504">
          <w:rPr>
            <w:rStyle w:val="Hyperlink"/>
            <w:lang w:val="ru-RU"/>
          </w:rPr>
          <w:t>Семинара-практикума МСЭ по современным методам управления использованием спектра 2025 года для Района 3 (WS-MSS-25-R3)</w:t>
        </w:r>
      </w:hyperlink>
      <w:hyperlink r:id="rId65" w:history="1"/>
      <w:r w:rsidRPr="00113FE2">
        <w:rPr>
          <w:lang w:val="ru-RU"/>
        </w:rPr>
        <w:t xml:space="preserve"> РО-АТР обратило внимание на потребности в радиочастотном спектре для критически важных служб, включая воздушные, морские, службы раннего предупреждения и смягчения последствий бедствий, и осветило возможности системы SMS4DC в области автоматизации управления использованием спектра. Семинар-практикум прошел 27</w:t>
      </w:r>
      <w:r w:rsidR="008F3C2A">
        <w:rPr>
          <w:rFonts w:cs="Calibri"/>
          <w:lang w:val="ru-RU"/>
        </w:rPr>
        <w:t>−</w:t>
      </w:r>
      <w:r w:rsidRPr="00113FE2">
        <w:rPr>
          <w:lang w:val="ru-RU"/>
        </w:rPr>
        <w:t>29 октября 2025 года при поддержке MIIT Китая.</w:t>
      </w:r>
      <w:hyperlink r:id="rId66" w:history="1"/>
    </w:p>
    <w:p w14:paraId="7176199F" w14:textId="7316E470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РО-АТР оказало поддержку в проведении семинара по научным службам в рамках подготовки к ВКР-27, состоявшемся 9</w:t>
      </w:r>
      <w:r w:rsidR="00FF1B61">
        <w:rPr>
          <w:rFonts w:cs="Calibri"/>
          <w:lang w:val="ru-RU"/>
        </w:rPr>
        <w:t>−</w:t>
      </w:r>
      <w:r w:rsidRPr="00113FE2">
        <w:rPr>
          <w:lang w:val="ru-RU"/>
        </w:rPr>
        <w:t>10 декабря 2025 года в Сайберджае, Малайзия.</w:t>
      </w:r>
    </w:p>
    <w:p w14:paraId="5AC1D0E9" w14:textId="0AC18D32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В ходе оказания прямого содействия Палау, Науру и Вануату в рамках Региональной инициативы 3 АТР (ожидаемый результат 6) удалось расширить базу знаний технического персонала благодаря проведению специальных сессий, посвященных управлению использованием спектра на национальном уровне, радиочастотному контролю, международной координации и роли ВКР. На 2026 год запланированы аналогичные меры содействия для Тимора-Лешти, Республики Маршалловы Острова и</w:t>
      </w:r>
      <w:r w:rsidR="008F3C2A">
        <w:rPr>
          <w:lang w:val="ru-RU"/>
        </w:rPr>
        <w:t> </w:t>
      </w:r>
      <w:r w:rsidRPr="00113FE2">
        <w:rPr>
          <w:lang w:val="ru-RU"/>
        </w:rPr>
        <w:t>Брунея.</w:t>
      </w:r>
    </w:p>
    <w:p w14:paraId="58786711" w14:textId="3E6B3AAE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28</w:t>
      </w:r>
      <w:r w:rsidR="00FF1B61">
        <w:rPr>
          <w:rFonts w:cs="Calibri"/>
          <w:lang w:val="ru-RU"/>
        </w:rPr>
        <w:t>−</w:t>
      </w:r>
      <w:r w:rsidRPr="00113FE2">
        <w:rPr>
          <w:lang w:val="ru-RU"/>
        </w:rPr>
        <w:t xml:space="preserve">29 августа 2025 года в Улан-Баторе, Монголия, состоялся </w:t>
      </w:r>
      <w:hyperlink r:id="rId67" w:history="1">
        <w:r w:rsidR="008F3C2A">
          <w:rPr>
            <w:rStyle w:val="Hyperlink"/>
            <w:lang w:val="ru-RU"/>
          </w:rPr>
          <w:t>семинар МСЭ – ITTLLDC (Международный аналитический центр для ЛЛДС) 2025 года</w:t>
        </w:r>
      </w:hyperlink>
      <w:r w:rsidRPr="00113FE2">
        <w:rPr>
          <w:lang w:val="ru-RU"/>
        </w:rPr>
        <w:t>, посвященный теме "Сотрудничество в сфере устойчивой космической связи, использования спектра и систем раннего предупреждения". В мероприятии приняли участие представители ЛЛДС из АТР и СНГ, а также других стран региона АТР.</w:t>
      </w:r>
      <w:hyperlink r:id="rId68" w:history="1"/>
    </w:p>
    <w:p w14:paraId="1E16CAA6" w14:textId="6C8FE551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 xml:space="preserve">Помимо этого, в рамках </w:t>
      </w:r>
      <w:hyperlink r:id="rId69" w:history="1">
        <w:r w:rsidRPr="00374504">
          <w:rPr>
            <w:rStyle w:val="Hyperlink"/>
            <w:lang w:val="ru-RU"/>
          </w:rPr>
          <w:t>Программы "Раннее предупреждение для всех" (EW4ALL)</w:t>
        </w:r>
      </w:hyperlink>
      <w:r w:rsidRPr="00113FE2">
        <w:rPr>
          <w:lang w:val="ru-RU"/>
        </w:rPr>
        <w:t xml:space="preserve"> в</w:t>
      </w:r>
      <w:r w:rsidR="008F3C2A">
        <w:rPr>
          <w:lang w:val="ru-RU"/>
        </w:rPr>
        <w:t> </w:t>
      </w:r>
      <w:r w:rsidRPr="00113FE2">
        <w:rPr>
          <w:lang w:val="ru-RU"/>
        </w:rPr>
        <w:t>АТР был проведен ряд мероприятий, связанных с деятельностью БР.</w:t>
      </w:r>
      <w:hyperlink r:id="rId70"/>
    </w:p>
    <w:p w14:paraId="6B69031E" w14:textId="3296F98F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РО-АТР приняло участие в 12-й Азиатско-Тихоокеанской конференции по управлению использованием спектра, организованной Forum Global в Пномпене 11</w:t>
      </w:r>
      <w:r w:rsidR="00FF1B61">
        <w:rPr>
          <w:rFonts w:cs="Calibri"/>
          <w:lang w:val="ru-RU"/>
        </w:rPr>
        <w:t>−</w:t>
      </w:r>
      <w:r w:rsidRPr="00113FE2">
        <w:rPr>
          <w:lang w:val="ru-RU"/>
        </w:rPr>
        <w:t>12 марта 2026</w:t>
      </w:r>
      <w:r w:rsidR="008F3C2A">
        <w:rPr>
          <w:lang w:val="ru-RU"/>
        </w:rPr>
        <w:t> </w:t>
      </w:r>
      <w:r w:rsidRPr="00113FE2">
        <w:rPr>
          <w:lang w:val="ru-RU"/>
        </w:rPr>
        <w:t>года.</w:t>
      </w:r>
    </w:p>
    <w:p w14:paraId="36A9744F" w14:textId="77777777" w:rsidR="00113FE2" w:rsidRPr="00113FE2" w:rsidRDefault="00113FE2" w:rsidP="003D312B">
      <w:pPr>
        <w:pStyle w:val="Headingb"/>
        <w:rPr>
          <w:lang w:val="ru-RU"/>
        </w:rPr>
      </w:pPr>
      <w:r w:rsidRPr="00113FE2">
        <w:rPr>
          <w:lang w:val="ru-RU"/>
        </w:rPr>
        <w:t xml:space="preserve">Вопросы, связанные с деятельностью БСЭ </w:t>
      </w:r>
    </w:p>
    <w:p w14:paraId="1DDFCF72" w14:textId="5AEA9D4B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После консультаций с БСЭ и Министерством внутренних дел и связи Японии (MIC) БРЭ и MIC 6 февраля 2025 года обменялись письмами, в результате чего было выделено финансирование для проекта "Создание потенциала в области технологий и стандартов искусственного интеллекта в Азиатско-Тихоокеанском регионе", призванного укрепить потенциал правительств и заинтересованных сторон в области технологий и стандартов ИИ для</w:t>
      </w:r>
      <w:r w:rsidR="008E2998">
        <w:rPr>
          <w:lang w:val="ru-RU"/>
        </w:rPr>
        <w:t> </w:t>
      </w:r>
      <w:r w:rsidRPr="00113FE2">
        <w:rPr>
          <w:lang w:val="ru-RU"/>
        </w:rPr>
        <w:t>поддержки цифровой трансформации и сокращения разрыва в стандартизации. После</w:t>
      </w:r>
      <w:r w:rsidR="008E2998">
        <w:rPr>
          <w:lang w:val="ru-RU"/>
        </w:rPr>
        <w:t> </w:t>
      </w:r>
      <w:r w:rsidRPr="00113FE2">
        <w:rPr>
          <w:lang w:val="ru-RU"/>
        </w:rPr>
        <w:t>первого семинара-практикума, прошедшего в мае 2025 года в Дели, Индия, в том же году были организованы следующие дополнительные семинары-практикумы:</w:t>
      </w:r>
    </w:p>
    <w:p w14:paraId="2E260C9A" w14:textId="7F9EE48C" w:rsidR="00113FE2" w:rsidRPr="00113FE2" w:rsidRDefault="00113FE2" w:rsidP="00D94737">
      <w:pPr>
        <w:pStyle w:val="enumlev2"/>
        <w:jc w:val="both"/>
        <w:rPr>
          <w:lang w:val="ru-RU"/>
        </w:rPr>
      </w:pPr>
      <w:r w:rsidRPr="00113FE2">
        <w:rPr>
          <w:lang w:val="ru-RU"/>
        </w:rPr>
        <w:t>•</w:t>
      </w:r>
      <w:r w:rsidRPr="00113FE2">
        <w:rPr>
          <w:lang w:val="ru-RU"/>
        </w:rPr>
        <w:tab/>
        <w:t>в Куала-Лумпуре, Малайзия, 9</w:t>
      </w:r>
      <w:r w:rsidR="00FF1B61">
        <w:rPr>
          <w:rFonts w:cs="Calibri"/>
          <w:lang w:val="ru-RU"/>
        </w:rPr>
        <w:t>−</w:t>
      </w:r>
      <w:r w:rsidRPr="00113FE2">
        <w:rPr>
          <w:lang w:val="ru-RU"/>
        </w:rPr>
        <w:t>12 сентября, в ходе которого обучение прошли в</w:t>
      </w:r>
      <w:r w:rsidR="008E2998">
        <w:rPr>
          <w:lang w:val="ru-RU"/>
        </w:rPr>
        <w:t> </w:t>
      </w:r>
      <w:r w:rsidRPr="00113FE2">
        <w:rPr>
          <w:lang w:val="ru-RU"/>
        </w:rPr>
        <w:t xml:space="preserve">общей сложности 73 участника из 9 Государств-Членов, включая Малайзию, Индонезию, Бруней, Тимор-Лешти, Таиланд, Камбоджу, Монголию, Лаосскую НДР и Пакистан. Перед семинаром-практикумом 19 и 16 августа были организованы две </w:t>
      </w:r>
      <w:r w:rsidRPr="00113FE2">
        <w:rPr>
          <w:lang w:val="ru-RU"/>
        </w:rPr>
        <w:lastRenderedPageBreak/>
        <w:t>онлайновые сессии, на которых обсуждались учебные материалы по</w:t>
      </w:r>
      <w:r w:rsidR="008E2998">
        <w:rPr>
          <w:lang w:val="ru-RU"/>
        </w:rPr>
        <w:t> </w:t>
      </w:r>
      <w:r w:rsidRPr="00113FE2">
        <w:rPr>
          <w:lang w:val="ru-RU"/>
        </w:rPr>
        <w:t>a)</w:t>
      </w:r>
      <w:r w:rsidR="008E2998">
        <w:rPr>
          <w:lang w:val="ru-RU"/>
        </w:rPr>
        <w:t> </w:t>
      </w:r>
      <w:r w:rsidRPr="00113FE2">
        <w:rPr>
          <w:lang w:val="ru-RU"/>
        </w:rPr>
        <w:t>стандартам ИИ и b) технологиям ИИ.</w:t>
      </w:r>
    </w:p>
    <w:p w14:paraId="04BE2EAA" w14:textId="77777777" w:rsidR="00113FE2" w:rsidRPr="00113FE2" w:rsidRDefault="00113FE2" w:rsidP="00D94737">
      <w:pPr>
        <w:pStyle w:val="enumlev2"/>
        <w:jc w:val="both"/>
        <w:rPr>
          <w:lang w:val="ru-RU"/>
        </w:rPr>
      </w:pPr>
      <w:r w:rsidRPr="00113FE2">
        <w:rPr>
          <w:lang w:val="ru-RU"/>
        </w:rPr>
        <w:t>•</w:t>
      </w:r>
      <w:r w:rsidRPr="00113FE2">
        <w:rPr>
          <w:lang w:val="ru-RU"/>
        </w:rPr>
        <w:tab/>
        <w:t>в Тхимпху, Бутан, 22−26 сентября, в ходе которого обучение основам ИИ в двух группах прошли 69 государственных служащих из Бутана.</w:t>
      </w:r>
    </w:p>
    <w:p w14:paraId="0F10E483" w14:textId="1EA7972E" w:rsidR="00113FE2" w:rsidRPr="00113FE2" w:rsidRDefault="00113FE2" w:rsidP="00D94737">
      <w:pPr>
        <w:pStyle w:val="enumlev2"/>
        <w:jc w:val="both"/>
        <w:rPr>
          <w:lang w:val="ru-RU"/>
        </w:rPr>
      </w:pPr>
      <w:r w:rsidRPr="00113FE2">
        <w:rPr>
          <w:lang w:val="ru-RU"/>
        </w:rPr>
        <w:t>•</w:t>
      </w:r>
      <w:r w:rsidRPr="00113FE2">
        <w:rPr>
          <w:lang w:val="ru-RU"/>
        </w:rPr>
        <w:tab/>
        <w:t>в Пномпене, Камбоджа, 8</w:t>
      </w:r>
      <w:r w:rsidR="00FF1B61">
        <w:rPr>
          <w:rFonts w:cs="Calibri"/>
          <w:lang w:val="ru-RU"/>
        </w:rPr>
        <w:t>−</w:t>
      </w:r>
      <w:r w:rsidRPr="00113FE2">
        <w:rPr>
          <w:lang w:val="ru-RU"/>
        </w:rPr>
        <w:t>10 октября, в ходе которого подготовку на национальном уровне прошли в общей сложности 55 участников. В дополнение к</w:t>
      </w:r>
      <w:r w:rsidR="008E2998">
        <w:rPr>
          <w:lang w:val="ru-RU"/>
        </w:rPr>
        <w:t> </w:t>
      </w:r>
      <w:r w:rsidRPr="00113FE2">
        <w:rPr>
          <w:lang w:val="ru-RU"/>
        </w:rPr>
        <w:t>очному обучению 3 октября была организована вспомогательная онлайновая сессия, на которой рассматривались материалы по стандартам ИИ.</w:t>
      </w:r>
    </w:p>
    <w:p w14:paraId="161B2446" w14:textId="2762B9A0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В ходе параллельного мероприятия, посвященного цифровому правительству и состоявшегося в рамках Вьетнамской недели цифровых технологий 28</w:t>
      </w:r>
      <w:r w:rsidR="0046300E">
        <w:rPr>
          <w:lang w:val="ru-RU"/>
        </w:rPr>
        <w:t> </w:t>
      </w:r>
      <w:r w:rsidRPr="00113FE2">
        <w:rPr>
          <w:lang w:val="ru-RU"/>
        </w:rPr>
        <w:t>октября 2025</w:t>
      </w:r>
      <w:r w:rsidR="0046300E">
        <w:rPr>
          <w:lang w:val="ru-RU"/>
        </w:rPr>
        <w:t> </w:t>
      </w:r>
      <w:r w:rsidRPr="00113FE2">
        <w:rPr>
          <w:lang w:val="ru-RU"/>
        </w:rPr>
        <w:t>года, участникам были представлены такие инициативы МСЭ</w:t>
      </w:r>
      <w:r w:rsidR="0046300E">
        <w:rPr>
          <w:lang w:val="ru-RU"/>
        </w:rPr>
        <w:noBreakHyphen/>
      </w:r>
      <w:r w:rsidRPr="00113FE2">
        <w:rPr>
          <w:lang w:val="ru-RU"/>
        </w:rPr>
        <w:t>Т как AI4GOOD, Коалиция по навыкам ИИ и Обмен данными по стандартам в области ИИ.</w:t>
      </w:r>
    </w:p>
    <w:p w14:paraId="2A4B4B20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Совместно с Ассоциацией технологий электросвязи (TTA) Республики Корея и Альянс "Без пароля" 11–13 февраля 2026 года в Бангкоке, Таиланд, был организован межрегиональный учебный курс по двум Рекомендациям МСЭ-Т – по защите информации, хранящейся в памяти (X.1220/X.nspam), и беспарольной аутентификации (X.1280), в рамках которого освещались вопросы влияния этих стандартов кибербезопасности для участников из регионов АТР и СНГ.</w:t>
      </w:r>
    </w:p>
    <w:p w14:paraId="258DDF39" w14:textId="5F155846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По просьбе БСЭ Директор регионального отделения для Азиатско-Тихоокеанского региона выступил в качестве докладчика на Индийском саммите по влиянию ИИ 2026</w:t>
      </w:r>
      <w:r w:rsidR="0046300E">
        <w:rPr>
          <w:lang w:val="ru-RU"/>
        </w:rPr>
        <w:t> </w:t>
      </w:r>
      <w:r w:rsidRPr="00113FE2">
        <w:rPr>
          <w:lang w:val="ru-RU"/>
        </w:rPr>
        <w:t>года в рамках сессии 16 февраля 2026 года, посвященной стандартам и направлениям политики для масштабирования агропродовольственных систем с</w:t>
      </w:r>
      <w:r w:rsidR="0046300E">
        <w:rPr>
          <w:lang w:val="ru-RU"/>
        </w:rPr>
        <w:t> </w:t>
      </w:r>
      <w:r w:rsidRPr="00113FE2">
        <w:rPr>
          <w:lang w:val="ru-RU"/>
        </w:rPr>
        <w:t>поддержкой ИИ, ориентированных на потребности фермеров.</w:t>
      </w:r>
    </w:p>
    <w:p w14:paraId="4EB943F4" w14:textId="4FED63F8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В 2026 году РО-АТР присоединилось к работе БСЭ по расширению сотрудничества с</w:t>
      </w:r>
      <w:r w:rsidR="0046300E">
        <w:rPr>
          <w:lang w:val="ru-RU"/>
        </w:rPr>
        <w:t> </w:t>
      </w:r>
      <w:r w:rsidRPr="00113FE2">
        <w:rPr>
          <w:lang w:val="ru-RU"/>
        </w:rPr>
        <w:t xml:space="preserve">ООН-ХАБИТАТ в Азиатско-Тихоокеанском регионе, чтобы поддержать инициативу </w:t>
      </w:r>
      <w:hyperlink r:id="rId71" w:history="1">
        <w:r w:rsidRPr="00113FE2">
          <w:rPr>
            <w:rStyle w:val="Hyperlink"/>
            <w:lang w:val="ru-RU"/>
          </w:rPr>
          <w:t>"Объединение усилий в целях построения "умных" устойчивых городов"</w:t>
        </w:r>
      </w:hyperlink>
      <w:r w:rsidRPr="00113FE2">
        <w:rPr>
          <w:lang w:val="ru-RU"/>
        </w:rPr>
        <w:t xml:space="preserve"> (U4SSC); в</w:t>
      </w:r>
      <w:r w:rsidR="0046300E">
        <w:rPr>
          <w:lang w:val="ru-RU"/>
        </w:rPr>
        <w:t> </w:t>
      </w:r>
      <w:r w:rsidRPr="00113FE2">
        <w:rPr>
          <w:lang w:val="ru-RU"/>
        </w:rPr>
        <w:t>настоящее время обсуждения продолжаются.</w:t>
      </w:r>
      <w:hyperlink r:id="rId72" w:history="1"/>
    </w:p>
    <w:p w14:paraId="3470D4F6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Один сотрудник БСЭ был принят на работу в зональное отделение в Индии.</w:t>
      </w:r>
    </w:p>
    <w:p w14:paraId="67A6BBBB" w14:textId="77777777" w:rsidR="00113FE2" w:rsidRPr="00113FE2" w:rsidRDefault="00113FE2" w:rsidP="00FC7027">
      <w:pPr>
        <w:pStyle w:val="Heading2"/>
        <w:rPr>
          <w:lang w:val="ru-RU"/>
        </w:rPr>
      </w:pPr>
      <w:r w:rsidRPr="00113FE2">
        <w:rPr>
          <w:lang w:val="ru-RU"/>
        </w:rPr>
        <w:t>3.6</w:t>
      </w:r>
      <w:r w:rsidRPr="00113FE2">
        <w:rPr>
          <w:lang w:val="ru-RU"/>
        </w:rPr>
        <w:tab/>
        <w:t>Региональное отделение для СНГ (РО-СНГ)/деятельность в СНГ</w:t>
      </w:r>
    </w:p>
    <w:p w14:paraId="027CD106" w14:textId="6120F3AA" w:rsidR="00113FE2" w:rsidRPr="00113FE2" w:rsidRDefault="00113FE2" w:rsidP="003D312B">
      <w:pPr>
        <w:pStyle w:val="Headingb"/>
        <w:rPr>
          <w:lang w:val="ru-RU"/>
        </w:rPr>
      </w:pPr>
      <w:r w:rsidRPr="00113FE2">
        <w:rPr>
          <w:lang w:val="ru-RU"/>
        </w:rPr>
        <w:t>Вопросы, связанные с деятельностью БР</w:t>
      </w:r>
    </w:p>
    <w:p w14:paraId="096B8FBA" w14:textId="046F31A4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В феврале 2025 года БРЭ совместно с МОКС "Интерспутник" и при участии экспертов БР</w:t>
      </w:r>
      <w:r w:rsidR="0046300E">
        <w:rPr>
          <w:lang w:val="ru-RU"/>
        </w:rPr>
        <w:t> </w:t>
      </w:r>
      <w:r w:rsidRPr="00113FE2">
        <w:rPr>
          <w:lang w:val="ru-RU"/>
        </w:rPr>
        <w:t>организовало семинар-практикум "Космическая деятельность в современных реалиях" в</w:t>
      </w:r>
      <w:r w:rsidR="0046300E">
        <w:rPr>
          <w:lang w:val="ru-RU"/>
        </w:rPr>
        <w:t xml:space="preserve"> </w:t>
      </w:r>
      <w:r w:rsidRPr="00113FE2">
        <w:rPr>
          <w:lang w:val="ru-RU"/>
        </w:rPr>
        <w:t>Алматы, Казахстан. Это мероприятие, в котором приняли участие представители сообщества спутниковой связи, давшие ему высокую оценку, предоставило уникальную возможность обменяться примерами передового опыта в</w:t>
      </w:r>
      <w:r w:rsidR="0046300E">
        <w:rPr>
          <w:lang w:val="ru-RU"/>
        </w:rPr>
        <w:t> </w:t>
      </w:r>
      <w:r w:rsidRPr="00113FE2">
        <w:rPr>
          <w:lang w:val="ru-RU"/>
        </w:rPr>
        <w:t>разработке либо совершенствовании национального законодательства в области космической деятельности и уделить внимание вопросам, связанным с национальной политикой доступа к рынку спутниковых систем. В</w:t>
      </w:r>
      <w:r w:rsidR="0046300E">
        <w:rPr>
          <w:lang w:val="ru-RU"/>
        </w:rPr>
        <w:t> </w:t>
      </w:r>
      <w:r w:rsidRPr="00113FE2">
        <w:rPr>
          <w:lang w:val="ru-RU"/>
        </w:rPr>
        <w:t>сентябре 2025 года по приглашению Космического агентства "АзерКосмос" Азербайджанской Республики было организовано второе учебное занятие по глобальным перспективам в сфере космической связи.</w:t>
      </w:r>
    </w:p>
    <w:p w14:paraId="7E757D0E" w14:textId="4757BBA1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Техническая помощь оказывается Армении, Азербайджану и Грузии по вопросам планирования частот цифрового звукового радиовещания (DAB) в полосе 174</w:t>
      </w:r>
      <w:r w:rsidR="00FF1B61">
        <w:rPr>
          <w:rFonts w:cs="Calibri"/>
          <w:lang w:val="ru-RU"/>
        </w:rPr>
        <w:t>−</w:t>
      </w:r>
      <w:r w:rsidRPr="00113FE2">
        <w:rPr>
          <w:lang w:val="ru-RU"/>
        </w:rPr>
        <w:t>230</w:t>
      </w:r>
      <w:r w:rsidR="00FF1B61">
        <w:rPr>
          <w:lang w:val="en-US"/>
        </w:rPr>
        <w:t> </w:t>
      </w:r>
      <w:r w:rsidRPr="00113FE2">
        <w:rPr>
          <w:lang w:val="ru-RU"/>
        </w:rPr>
        <w:t>МГц.</w:t>
      </w:r>
    </w:p>
    <w:p w14:paraId="7C4B728A" w14:textId="21088E13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 xml:space="preserve">БР и БРЭ оказали всестороннюю регуляторную и техническую помощь Узбекистану, организовав специальный семинар-практикум, посвященный процедурам координации, заявления и регистрации наземных и спутниковых частотных присвоений в соответствии с Регламентом радиосвязи. Помощь предполагала практическое </w:t>
      </w:r>
      <w:r w:rsidRPr="00113FE2">
        <w:rPr>
          <w:lang w:val="ru-RU"/>
        </w:rPr>
        <w:lastRenderedPageBreak/>
        <w:t>обучение методам использования инструментов и программного обеспечения МСЭ (таких как ИФИК БР, SpaceCom и GIMS), руководящие указания по</w:t>
      </w:r>
      <w:r w:rsidR="0046300E">
        <w:rPr>
          <w:lang w:val="ru-RU"/>
        </w:rPr>
        <w:t> </w:t>
      </w:r>
      <w:r w:rsidRPr="00113FE2">
        <w:rPr>
          <w:lang w:val="ru-RU"/>
        </w:rPr>
        <w:t>внедрению и защите национальных частотных присвоений и выделений, а также адресную поддержку для решения поднятых администрацией Узбекистана конкретных вопросов координации и соблюдения требований.</w:t>
      </w:r>
    </w:p>
    <w:p w14:paraId="757621C6" w14:textId="77777777" w:rsidR="00113FE2" w:rsidRPr="00113FE2" w:rsidRDefault="00113FE2" w:rsidP="003D312B">
      <w:pPr>
        <w:pStyle w:val="Headingb"/>
        <w:rPr>
          <w:lang w:val="ru-RU"/>
        </w:rPr>
      </w:pPr>
      <w:r w:rsidRPr="00113FE2">
        <w:rPr>
          <w:lang w:val="ru-RU"/>
        </w:rPr>
        <w:t xml:space="preserve">Вопросы, связанные с деятельностью БСЭ </w:t>
      </w:r>
    </w:p>
    <w:p w14:paraId="4FFA9CB1" w14:textId="7168A801" w:rsidR="00113FE2" w:rsidRPr="00113FE2" w:rsidRDefault="00113FE2" w:rsidP="00D94737">
      <w:pPr>
        <w:jc w:val="both"/>
        <w:rPr>
          <w:lang w:val="ru-RU"/>
        </w:rPr>
      </w:pPr>
      <w:r w:rsidRPr="00113FE2">
        <w:rPr>
          <w:lang w:val="ru-RU"/>
        </w:rPr>
        <w:t>Что касается конкретных тематических областей работы, РО-СНГ тесно сотрудничало с</w:t>
      </w:r>
      <w:r w:rsidR="0046300E">
        <w:rPr>
          <w:lang w:val="ru-RU"/>
        </w:rPr>
        <w:t> </w:t>
      </w:r>
      <w:r w:rsidRPr="00113FE2">
        <w:rPr>
          <w:lang w:val="ru-RU"/>
        </w:rPr>
        <w:t>группами БРЭ и БСЭ по следующим направлениям деятельности:</w:t>
      </w:r>
    </w:p>
    <w:p w14:paraId="5C5A2491" w14:textId="5ACE7ECD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реализация регионального проекта по обеспечению соответствия и функциональной совместимости "Международный центр исследования, разработки и тестирования (IRDTC) для Государств – Членов МСЭ и Членов Секторов МСЭ в регионе СНГ – Фаза 2", совместно финансируемого МСЭ и ПАО "Ростелеком" (Членом Сектора МСЭ</w:t>
      </w:r>
      <w:r w:rsidR="0046300E">
        <w:rPr>
          <w:lang w:val="ru-RU"/>
        </w:rPr>
        <w:noBreakHyphen/>
      </w:r>
      <w:r w:rsidRPr="00113FE2">
        <w:rPr>
          <w:lang w:val="ru-RU"/>
        </w:rPr>
        <w:t>Т). За</w:t>
      </w:r>
      <w:r w:rsidR="0046300E">
        <w:rPr>
          <w:lang w:val="ru-RU"/>
        </w:rPr>
        <w:t> </w:t>
      </w:r>
      <w:r w:rsidRPr="00113FE2">
        <w:rPr>
          <w:lang w:val="ru-RU"/>
        </w:rPr>
        <w:t>отчетный период группа по проекту провела серию испытаний оборудования электросвязи на соответствие Рекомендациям МСЭ-Т.</w:t>
      </w:r>
    </w:p>
    <w:p w14:paraId="0939A898" w14:textId="346C13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 xml:space="preserve">Региональный форум МСЭ </w:t>
      </w:r>
      <w:hyperlink r:id="rId73" w:history="1">
        <w:r w:rsidRPr="00113FE2">
          <w:rPr>
            <w:rStyle w:val="Hyperlink"/>
            <w:lang w:val="ru-RU"/>
          </w:rPr>
          <w:t>"Технологии будущего: ИИ, метавселенная, голография и другие ИКТ, приложения и услуги. Перспектива 2030"</w:t>
        </w:r>
      </w:hyperlink>
      <w:r w:rsidRPr="00113FE2">
        <w:rPr>
          <w:lang w:val="ru-RU"/>
        </w:rPr>
        <w:t xml:space="preserve"> состоялся в Санкт</w:t>
      </w:r>
      <w:r w:rsidR="0046300E">
        <w:rPr>
          <w:lang w:val="ru-RU"/>
        </w:rPr>
        <w:noBreakHyphen/>
      </w:r>
      <w:r w:rsidRPr="00113FE2">
        <w:rPr>
          <w:lang w:val="ru-RU"/>
        </w:rPr>
        <w:t>Петербурге, Российская Федерация, 9−11 июня 2025 года. Форум был организован МСЭ совместно с Региональным содружеством в области связи (РСС) при поддержке Министерства цифрового развития, связи и массовых коммуникаций Российской Федерации. Форум был приурочен к собраниям Региональной группы 11-й Исследовательской комиссии МСЭ-Т, Региональной группы 13-й Исследовательской комиссии МСЭ-Т и Региональной группы 20-й Исследовательской комиссии МСЭ-Т для Восточной Европы, Центральной Азии и Закавказья (РегГр-ВЕЦАЗ ИК11, РегГр-ВЕЦАЗ ИК13 и РегГр-ВЕЦАЗ ИК20).</w:t>
      </w:r>
      <w:hyperlink r:id="rId74" w:history="1"/>
    </w:p>
    <w:p w14:paraId="04058180" w14:textId="77777777" w:rsidR="00113FE2" w:rsidRPr="00113FE2" w:rsidRDefault="00113FE2" w:rsidP="00FC7027">
      <w:pPr>
        <w:pStyle w:val="Heading2"/>
        <w:rPr>
          <w:lang w:val="ru-RU"/>
        </w:rPr>
      </w:pPr>
      <w:r w:rsidRPr="00113FE2">
        <w:rPr>
          <w:lang w:val="ru-RU"/>
        </w:rPr>
        <w:t>3.7</w:t>
      </w:r>
      <w:r w:rsidRPr="00113FE2">
        <w:rPr>
          <w:lang w:val="ru-RU"/>
        </w:rPr>
        <w:tab/>
        <w:t>Региональное отделение МСЭ для Европы (РО-ЕВР)/деятельность в Европе</w:t>
      </w:r>
    </w:p>
    <w:p w14:paraId="6245BA67" w14:textId="77777777" w:rsidR="00113FE2" w:rsidRPr="00113FE2" w:rsidRDefault="00113FE2" w:rsidP="003D312B">
      <w:pPr>
        <w:pStyle w:val="Headingb"/>
        <w:rPr>
          <w:lang w:val="ru-RU"/>
        </w:rPr>
      </w:pPr>
      <w:r w:rsidRPr="00113FE2">
        <w:rPr>
          <w:lang w:val="ru-RU"/>
        </w:rPr>
        <w:t xml:space="preserve">Вопросы, связанные с деятельностью БР </w:t>
      </w:r>
    </w:p>
    <w:p w14:paraId="280CF662" w14:textId="0BC5F7A4" w:rsidR="00113FE2" w:rsidRPr="00431F25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27 марта 2025 года в Брюсселе для Рабочей группы Совета ЕС по электросвязи и информационному обществу был проведен брифинг по вопросам, связанным с деятельностью БР.</w:t>
      </w:r>
    </w:p>
    <w:p w14:paraId="1454D5D6" w14:textId="04946821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Эксперты БР вносят свой вклад в оказание технической помощи Украине в</w:t>
      </w:r>
      <w:r w:rsidR="0046300E">
        <w:rPr>
          <w:lang w:val="ru-RU"/>
        </w:rPr>
        <w:t> </w:t>
      </w:r>
      <w:r w:rsidRPr="00113FE2">
        <w:rPr>
          <w:lang w:val="ru-RU"/>
        </w:rPr>
        <w:t>соответствии с Резолюцией</w:t>
      </w:r>
      <w:r w:rsidR="0046300E">
        <w:rPr>
          <w:lang w:val="ru-RU"/>
        </w:rPr>
        <w:t> </w:t>
      </w:r>
      <w:r w:rsidRPr="00113FE2">
        <w:rPr>
          <w:lang w:val="ru-RU"/>
        </w:rPr>
        <w:t>1408 Совета МСЭ. Это предполагает проведение онлайновых консультаций по вопросам спектра для украинских должностных лиц и разработку повестки дня следующего семинара-практикума МСЭ и TAIEX Европейской комиссии, который пройдет во втором квартале 2026 года.</w:t>
      </w:r>
    </w:p>
    <w:p w14:paraId="159C2A1E" w14:textId="6BBA18EE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Эксперты БР внесли свой вклад в семинары-практикумы EaPeReg, что способствовало дальнейшему укреплению сотрудничества между МСЭ и членами EaPeReg. 14</w:t>
      </w:r>
      <w:r w:rsidR="0046300E">
        <w:rPr>
          <w:rFonts w:cs="Calibri"/>
          <w:lang w:val="ru-RU"/>
        </w:rPr>
        <w:t>−</w:t>
      </w:r>
      <w:r w:rsidRPr="00113FE2">
        <w:rPr>
          <w:lang w:val="ru-RU"/>
        </w:rPr>
        <w:t>15</w:t>
      </w:r>
      <w:r w:rsidR="0046300E">
        <w:rPr>
          <w:lang w:val="ru-RU"/>
        </w:rPr>
        <w:t> </w:t>
      </w:r>
      <w:r w:rsidRPr="00113FE2">
        <w:rPr>
          <w:lang w:val="ru-RU"/>
        </w:rPr>
        <w:t>октября 2025 года на Кипре прошел организованный МСЭ, EaPeReg и EMERG семинар-практикум по созданию потенциала для представителей регуляторных органов, посвященный качеству обслуживания и способности инфраструктуры подвижной связи к восстановлению, который был призвать способствовать укреплению человеческого потенциала более 60 заинтересованных сторон из 14 стран.</w:t>
      </w:r>
    </w:p>
    <w:p w14:paraId="23087D4B" w14:textId="31B0C4F2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</w:r>
      <w:hyperlink r:id="rId75" w:history="1">
        <w:r w:rsidRPr="00113FE2">
          <w:rPr>
            <w:rStyle w:val="Hyperlink"/>
            <w:lang w:val="ru-RU"/>
          </w:rPr>
          <w:t>Региональный семинар МСЭ по радиосвязи для Европы</w:t>
        </w:r>
      </w:hyperlink>
      <w:r w:rsidRPr="00113FE2">
        <w:rPr>
          <w:lang w:val="ru-RU"/>
        </w:rPr>
        <w:t xml:space="preserve"> состоялся 16</w:t>
      </w:r>
      <w:r w:rsidR="00FF1B61">
        <w:rPr>
          <w:rFonts w:cs="Calibri"/>
          <w:lang w:val="ru-RU"/>
        </w:rPr>
        <w:t>−</w:t>
      </w:r>
      <w:r w:rsidRPr="00113FE2">
        <w:rPr>
          <w:lang w:val="ru-RU"/>
        </w:rPr>
        <w:t>20 февраля 2026</w:t>
      </w:r>
      <w:r w:rsidR="0046300E">
        <w:rPr>
          <w:lang w:val="ru-RU"/>
        </w:rPr>
        <w:t> </w:t>
      </w:r>
      <w:r w:rsidRPr="00113FE2">
        <w:rPr>
          <w:lang w:val="ru-RU"/>
        </w:rPr>
        <w:t>года в Афинах, Греция, что способствовало дальнейшему развитию человеческого потенциала более чем 120 экспертов из более чем 30 европейских стран.</w:t>
      </w:r>
      <w:hyperlink r:id="rId76" w:history="1"/>
    </w:p>
    <w:p w14:paraId="17BB6929" w14:textId="77777777" w:rsidR="00113FE2" w:rsidRPr="00113FE2" w:rsidRDefault="00113FE2" w:rsidP="003D312B">
      <w:pPr>
        <w:pStyle w:val="Headingb"/>
        <w:rPr>
          <w:lang w:val="ru-RU"/>
        </w:rPr>
      </w:pPr>
      <w:r w:rsidRPr="00113FE2">
        <w:rPr>
          <w:lang w:val="ru-RU"/>
        </w:rPr>
        <w:lastRenderedPageBreak/>
        <w:t>Вопросы, связанные с деятельностью БСЭ</w:t>
      </w:r>
    </w:p>
    <w:p w14:paraId="0BBE053E" w14:textId="478E1731" w:rsidR="00113FE2" w:rsidRPr="00113FE2" w:rsidRDefault="00113FE2" w:rsidP="00D94737">
      <w:pPr>
        <w:pStyle w:val="enumlev1"/>
        <w:keepLines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РО-ЕВР содействовало улучшению координации между БСЭ и региональными организациями (СЕПТ и ЕС), продолжало отслеживать работу Ком-МСЭ СЕПТ по</w:t>
      </w:r>
      <w:r w:rsidR="0046300E">
        <w:rPr>
          <w:lang w:val="ru-RU"/>
        </w:rPr>
        <w:t> </w:t>
      </w:r>
      <w:r w:rsidRPr="00113FE2">
        <w:rPr>
          <w:lang w:val="ru-RU"/>
        </w:rPr>
        <w:t>вопросам МСЭ-T и обеспечило поддержку участия Директора БСЭ в собрании Ком</w:t>
      </w:r>
      <w:r w:rsidR="0046300E">
        <w:rPr>
          <w:lang w:val="ru-RU"/>
        </w:rPr>
        <w:noBreakHyphen/>
      </w:r>
      <w:r w:rsidRPr="00113FE2">
        <w:rPr>
          <w:lang w:val="ru-RU"/>
        </w:rPr>
        <w:t>МСЭ СЕПТ в Афинах (сентябрь 2025 г</w:t>
      </w:r>
      <w:r w:rsidR="00FB197C" w:rsidRPr="00FB197C">
        <w:rPr>
          <w:lang w:val="ru-RU"/>
        </w:rPr>
        <w:t>.</w:t>
      </w:r>
      <w:r w:rsidRPr="00113FE2">
        <w:rPr>
          <w:lang w:val="ru-RU"/>
        </w:rPr>
        <w:t>).</w:t>
      </w:r>
    </w:p>
    <w:p w14:paraId="13DBC99B" w14:textId="7C4A4752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В целях определения областей расширения сотрудничества 19 февраля 2025</w:t>
      </w:r>
      <w:r w:rsidR="0046300E">
        <w:rPr>
          <w:lang w:val="ru-RU"/>
        </w:rPr>
        <w:t> </w:t>
      </w:r>
      <w:r w:rsidRPr="00113FE2">
        <w:rPr>
          <w:lang w:val="ru-RU"/>
        </w:rPr>
        <w:t>года был организован семинар-практикум по синхронизации между БСЭ и Европейской комиссией в Брюсселе.</w:t>
      </w:r>
    </w:p>
    <w:p w14:paraId="71D20DFB" w14:textId="081B95B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20 февраля 2025 года в Брюсселе для Рабочей группы Совета ЕС по электросвязи и информационному обществу был проведен брифинг по вопросам, связанным с</w:t>
      </w:r>
      <w:r w:rsidR="0046300E">
        <w:rPr>
          <w:lang w:val="ru-RU"/>
        </w:rPr>
        <w:t> </w:t>
      </w:r>
      <w:r w:rsidRPr="00113FE2">
        <w:rPr>
          <w:lang w:val="ru-RU"/>
        </w:rPr>
        <w:t>деятельностью БСЭ.</w:t>
      </w:r>
    </w:p>
    <w:p w14:paraId="226F4BC0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В сентябре 2025 года в Молдове совместно с БСЭ был организован семинар-практикум "</w:t>
      </w:r>
      <w:hyperlink r:id="rId77" w:history="1">
        <w:r w:rsidRPr="00113FE2">
          <w:rPr>
            <w:rStyle w:val="Hyperlink"/>
            <w:lang w:val="ru-RU"/>
          </w:rPr>
          <w:t>Согласованность в сфере ЭМП: международные, региональные и национальные меры политики, стратегии и стандарты, касающиеся воздействия электромагнитных полей на человека</w:t>
        </w:r>
      </w:hyperlink>
      <w:r w:rsidRPr="00113FE2">
        <w:rPr>
          <w:lang w:val="ru-RU"/>
        </w:rPr>
        <w:t>"; Молдове была оказана техническая помощь.</w:t>
      </w:r>
      <w:hyperlink r:id="rId78" w:history="1"/>
    </w:p>
    <w:p w14:paraId="22B9B814" w14:textId="2D4C9845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2</w:t>
      </w:r>
      <w:r w:rsidR="00FB197C">
        <w:rPr>
          <w:rFonts w:cs="Calibri"/>
          <w:lang w:val="ru-RU"/>
        </w:rPr>
        <w:t>−</w:t>
      </w:r>
      <w:r w:rsidRPr="00113FE2">
        <w:rPr>
          <w:lang w:val="ru-RU"/>
        </w:rPr>
        <w:t>3 декабря 2025 года в Брюсселе состоялся Форум МСЭ-ЕК "Доступная Европа: ICT4ALL", программа которого была разработана совместно со всеми Секторами и в</w:t>
      </w:r>
      <w:r w:rsidR="0046300E">
        <w:rPr>
          <w:lang w:val="ru-RU"/>
        </w:rPr>
        <w:t> </w:t>
      </w:r>
      <w:r w:rsidRPr="00113FE2">
        <w:rPr>
          <w:lang w:val="ru-RU"/>
        </w:rPr>
        <w:t>ходе основных сессий БСЭ по ИИ и "умным" городам.</w:t>
      </w:r>
    </w:p>
    <w:p w14:paraId="49D79B00" w14:textId="1BC49F55" w:rsidR="00113FE2" w:rsidRPr="00113FE2" w:rsidRDefault="0046300E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</w:r>
      <w:r w:rsidR="00113FE2" w:rsidRPr="00113FE2">
        <w:rPr>
          <w:lang w:val="ru-RU"/>
        </w:rPr>
        <w:t>РО-ЕВР оказало поддержку в проведении семинара-практикума МСЭ-Т "Глобальная инициатива по обеспечению устойчивости к стихийным бедствиям с помощью решений на основе ИИ" (декабрь 2025 г.), организованного Европейской комиссией в</w:t>
      </w:r>
      <w:r>
        <w:rPr>
          <w:lang w:val="ru-RU"/>
        </w:rPr>
        <w:t> </w:t>
      </w:r>
      <w:r w:rsidR="00113FE2" w:rsidRPr="00113FE2">
        <w:rPr>
          <w:lang w:val="ru-RU"/>
        </w:rPr>
        <w:t>Брюсселе.</w:t>
      </w:r>
    </w:p>
    <w:p w14:paraId="6F6230A1" w14:textId="77777777" w:rsidR="00113FE2" w:rsidRPr="00113FE2" w:rsidRDefault="00113FE2" w:rsidP="00FC7027">
      <w:pPr>
        <w:pStyle w:val="Heading2"/>
        <w:rPr>
          <w:lang w:val="ru-RU"/>
        </w:rPr>
      </w:pPr>
      <w:r w:rsidRPr="00113FE2">
        <w:rPr>
          <w:lang w:val="ru-RU"/>
        </w:rPr>
        <w:t>3.8</w:t>
      </w:r>
      <w:r w:rsidRPr="00113FE2">
        <w:rPr>
          <w:lang w:val="ru-RU"/>
        </w:rPr>
        <w:tab/>
        <w:t>Межрегиональная координация</w:t>
      </w:r>
    </w:p>
    <w:p w14:paraId="24F08454" w14:textId="77777777" w:rsidR="00113FE2" w:rsidRPr="00113FE2" w:rsidRDefault="00113FE2" w:rsidP="003D312B">
      <w:pPr>
        <w:pStyle w:val="Headingb"/>
        <w:rPr>
          <w:lang w:val="ru-RU"/>
        </w:rPr>
      </w:pPr>
      <w:r w:rsidRPr="00113FE2">
        <w:rPr>
          <w:lang w:val="ru-RU"/>
        </w:rPr>
        <w:t>Вопросы, связанные с деятельностью БР</w:t>
      </w:r>
    </w:p>
    <w:p w14:paraId="3A115D76" w14:textId="7FA5F1C1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Долгосрочная совместная работа по обеспечению эффективного использования спектра, в особенности для развивающихся стран, как отражено в Резолюции</w:t>
      </w:r>
      <w:r w:rsidR="00D73942">
        <w:rPr>
          <w:lang w:val="ru-RU"/>
        </w:rPr>
        <w:t> </w:t>
      </w:r>
      <w:r w:rsidRPr="00113FE2">
        <w:rPr>
          <w:lang w:val="ru-RU"/>
        </w:rPr>
        <w:t>9 ВКРЭ, предполагает развертывание инструмента SMS4DC, соответствующего положениям Регламента радиосвязи, принятого на Всемирной конференции радиосвязи (ВКР).</w:t>
      </w:r>
    </w:p>
    <w:p w14:paraId="473B54A1" w14:textId="3AE3E902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Совместные усилия также предполагают содействие снижению потребления энергии и решению проблемы изменения климата с помощью технологий ИКТ и радиосвязи. БРЭ продолжает оказывать поддержку Государствам-Членам в этих областях; эффективный обмен информацией налажен между исследовательскими комиссиями МСЭ-D и МСЭ</w:t>
      </w:r>
      <w:r w:rsidR="00D73942">
        <w:rPr>
          <w:lang w:val="ru-RU"/>
        </w:rPr>
        <w:noBreakHyphen/>
      </w:r>
      <w:r w:rsidRPr="00113FE2">
        <w:rPr>
          <w:lang w:val="ru-RU"/>
        </w:rPr>
        <w:t>R.</w:t>
      </w:r>
    </w:p>
    <w:p w14:paraId="4A2A7962" w14:textId="7A9E4C3D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Последние инновации в области спутниковой и космической связи, вытекающие из</w:t>
      </w:r>
      <w:r w:rsidR="00D73942">
        <w:rPr>
          <w:lang w:val="ru-RU"/>
        </w:rPr>
        <w:t> </w:t>
      </w:r>
      <w:r w:rsidRPr="00113FE2">
        <w:rPr>
          <w:lang w:val="ru-RU"/>
        </w:rPr>
        <w:t>решений ВКР-23, тесно увязаны с усилиями МСЭ-D по повышению осведомленности и развитию потенциала, включая совместные сессии на Глобальном симпозиуме для</w:t>
      </w:r>
      <w:r w:rsidR="00D73942">
        <w:rPr>
          <w:lang w:val="ru-RU"/>
        </w:rPr>
        <w:t> </w:t>
      </w:r>
      <w:r w:rsidRPr="00113FE2">
        <w:rPr>
          <w:lang w:val="ru-RU"/>
        </w:rPr>
        <w:t xml:space="preserve">регуляторных органов (ГСР), совместные статьи на </w:t>
      </w:r>
      <w:hyperlink r:id="rId79" w:history="1">
        <w:r w:rsidRPr="00113FE2">
          <w:rPr>
            <w:rStyle w:val="Hyperlink"/>
            <w:lang w:val="ru-RU"/>
          </w:rPr>
          <w:t>платформе цифрового регулирования</w:t>
        </w:r>
      </w:hyperlink>
      <w:r w:rsidRPr="00113FE2">
        <w:rPr>
          <w:lang w:val="ru-RU"/>
        </w:rPr>
        <w:t xml:space="preserve"> и скоординированное участие в форумах по обеспечению возможности установления космических соединений.</w:t>
      </w:r>
      <w:hyperlink r:id="rId80" w:history="1"/>
    </w:p>
    <w:p w14:paraId="5A7F76B9" w14:textId="77777777" w:rsidR="00113FE2" w:rsidRPr="00113FE2" w:rsidRDefault="00113FE2" w:rsidP="003D312B">
      <w:pPr>
        <w:pStyle w:val="Headingb"/>
        <w:rPr>
          <w:lang w:val="ru-RU"/>
        </w:rPr>
      </w:pPr>
      <w:r w:rsidRPr="00113FE2">
        <w:rPr>
          <w:lang w:val="ru-RU"/>
        </w:rPr>
        <w:t>Вопросы, связанные с деятельностью БСЭ</w:t>
      </w:r>
    </w:p>
    <w:p w14:paraId="66FA740B" w14:textId="575E0153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17-я Исследовательская комиссия МСЭ-Т и 2-я Исследовательская комиссия МСЭ</w:t>
      </w:r>
      <w:r w:rsidR="00D73942">
        <w:rPr>
          <w:lang w:val="ru-RU"/>
        </w:rPr>
        <w:noBreakHyphen/>
      </w:r>
      <w:r w:rsidRPr="00113FE2">
        <w:rPr>
          <w:lang w:val="ru-RU"/>
        </w:rPr>
        <w:t>D в</w:t>
      </w:r>
      <w:r w:rsidR="00D73942">
        <w:rPr>
          <w:lang w:val="ru-RU"/>
        </w:rPr>
        <w:t> </w:t>
      </w:r>
      <w:r w:rsidRPr="00113FE2">
        <w:rPr>
          <w:lang w:val="ru-RU"/>
        </w:rPr>
        <w:t>рамках Вопроса 3 координируют деятельность по принятию связанных с</w:t>
      </w:r>
      <w:r w:rsidR="00D73942">
        <w:rPr>
          <w:lang w:val="ru-RU"/>
        </w:rPr>
        <w:t> </w:t>
      </w:r>
      <w:r w:rsidRPr="00113FE2">
        <w:rPr>
          <w:lang w:val="ru-RU"/>
        </w:rPr>
        <w:t>кибербезопасностью стандартов и мер на местах, таких как создание CIRT.</w:t>
      </w:r>
    </w:p>
    <w:p w14:paraId="3142A5DC" w14:textId="76730586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БРЭ продолжает работу по оказанию помощи развивающимся странам в переходе от</w:t>
      </w:r>
      <w:r w:rsidR="00D73942">
        <w:rPr>
          <w:lang w:val="ru-RU"/>
        </w:rPr>
        <w:t> </w:t>
      </w:r>
      <w:r w:rsidRPr="00113FE2">
        <w:rPr>
          <w:lang w:val="ru-RU"/>
        </w:rPr>
        <w:t>IPv4 к IPv6, включая создание человеческого и институционального потенциала.</w:t>
      </w:r>
    </w:p>
    <w:p w14:paraId="64E1B6EC" w14:textId="77777777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 xml:space="preserve">Преодоление разрыва в стандартизации остается одним из ключевых направлений деятельности БРЭ и БСЭ, способствующих повышению осведомленности и оказанию </w:t>
      </w:r>
      <w:r w:rsidRPr="00113FE2">
        <w:rPr>
          <w:lang w:val="ru-RU"/>
        </w:rPr>
        <w:lastRenderedPageBreak/>
        <w:t>помощи во внедрении стандартов МСЭ-Т в развивающихся странах с учетом особых национальных потребностей.</w:t>
      </w:r>
    </w:p>
    <w:p w14:paraId="423358F2" w14:textId="6E0A395B" w:rsidR="00113FE2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БСЭ и БРЭ координируют работу по вопросам, связанным с электросвязью в</w:t>
      </w:r>
      <w:r w:rsidR="00D73942">
        <w:rPr>
          <w:lang w:val="ru-RU"/>
        </w:rPr>
        <w:t> </w:t>
      </w:r>
      <w:r w:rsidRPr="00113FE2">
        <w:rPr>
          <w:lang w:val="ru-RU"/>
        </w:rPr>
        <w:t>чрезвычайных ситуациях и изменением климата, для того чтобы обеспечить согласованность с инициативой "Раннее предупреждение для всех" (EW4ALL) ООН, в</w:t>
      </w:r>
      <w:r w:rsidR="00D73942">
        <w:rPr>
          <w:lang w:val="ru-RU"/>
        </w:rPr>
        <w:t> </w:t>
      </w:r>
      <w:r w:rsidRPr="00113FE2">
        <w:rPr>
          <w:lang w:val="ru-RU"/>
        </w:rPr>
        <w:t>рамках которой БРЭ отвечает за направление "Предупреждение о бедствиях и связь в случае бедствий".</w:t>
      </w:r>
    </w:p>
    <w:p w14:paraId="251ECAFD" w14:textId="03E6E63B" w:rsidR="00C462C5" w:rsidRPr="00113FE2" w:rsidRDefault="00113FE2" w:rsidP="00D94737">
      <w:pPr>
        <w:pStyle w:val="enumlev1"/>
        <w:jc w:val="both"/>
        <w:rPr>
          <w:lang w:val="ru-RU"/>
        </w:rPr>
      </w:pPr>
      <w:r w:rsidRPr="00113FE2">
        <w:rPr>
          <w:lang w:val="ru-RU"/>
        </w:rPr>
        <w:t>–</w:t>
      </w:r>
      <w:r w:rsidRPr="00113FE2">
        <w:rPr>
          <w:lang w:val="ru-RU"/>
        </w:rPr>
        <w:tab/>
        <w:t>В качестве других примеров заслуживают упоминания "умные" города и "умные" деревни, цифровая общественная инфраструктура, цифровая трансформация и появляющиеся технологии, такие как ИИ, по которым проводятся совместные сессии в</w:t>
      </w:r>
      <w:r w:rsidR="00192D3D">
        <w:rPr>
          <w:lang w:val="ru-RU"/>
        </w:rPr>
        <w:t> </w:t>
      </w:r>
      <w:r w:rsidRPr="00113FE2">
        <w:rPr>
          <w:lang w:val="ru-RU"/>
        </w:rPr>
        <w:t>рамках ГСР и Саммита "ИИ во благо", и другие.</w:t>
      </w:r>
    </w:p>
    <w:p w14:paraId="16FE606C" w14:textId="77777777" w:rsidR="00796BD3" w:rsidRPr="00113FE2" w:rsidRDefault="00C462C5" w:rsidP="008658CB">
      <w:pPr>
        <w:spacing w:before="720"/>
        <w:jc w:val="center"/>
        <w:rPr>
          <w:lang w:val="ru-RU"/>
        </w:rPr>
      </w:pPr>
      <w:r w:rsidRPr="00113FE2">
        <w:rPr>
          <w:lang w:val="ru-RU"/>
        </w:rPr>
        <w:t>______________</w:t>
      </w:r>
    </w:p>
    <w:sectPr w:rsidR="00796BD3" w:rsidRPr="00113FE2" w:rsidSect="00796BD3">
      <w:footerReference w:type="default" r:id="rId81"/>
      <w:headerReference w:type="first" r:id="rId82"/>
      <w:footerReference w:type="first" r:id="rId8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023C" w14:textId="77777777" w:rsidR="00934A2D" w:rsidRDefault="00934A2D">
      <w:r>
        <w:separator/>
      </w:r>
    </w:p>
  </w:endnote>
  <w:endnote w:type="continuationSeparator" w:id="0">
    <w:p w14:paraId="3EF2EBC6" w14:textId="77777777" w:rsidR="00934A2D" w:rsidRDefault="0093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74928277" w:rsidR="00672F8A" w:rsidRPr="009B2F31" w:rsidRDefault="009B2F31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2600752</w:t>
          </w:r>
        </w:p>
      </w:tc>
      <w:tc>
        <w:tcPr>
          <w:tcW w:w="8261" w:type="dxa"/>
        </w:tcPr>
        <w:p w14:paraId="29D1FE92" w14:textId="6127B16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113FE2">
            <w:rPr>
              <w:bCs/>
            </w:rPr>
            <w:t>25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48775CA4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113FE2">
            <w:rPr>
              <w:bCs/>
            </w:rPr>
            <w:t>25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35B8" w14:textId="77777777" w:rsidR="00934A2D" w:rsidRDefault="00934A2D">
      <w:r>
        <w:t>____________________</w:t>
      </w:r>
    </w:p>
  </w:footnote>
  <w:footnote w:type="continuationSeparator" w:id="0">
    <w:p w14:paraId="3D33F4EA" w14:textId="77777777" w:rsidR="00934A2D" w:rsidRDefault="00934A2D">
      <w:r>
        <w:continuationSeparator/>
      </w:r>
    </w:p>
  </w:footnote>
  <w:footnote w:id="1">
    <w:p w14:paraId="505DE15F" w14:textId="77777777" w:rsidR="00113FE2" w:rsidRPr="003D312B" w:rsidRDefault="00113FE2" w:rsidP="003D312B">
      <w:pPr>
        <w:pStyle w:val="FootnoteText"/>
        <w:rPr>
          <w:lang w:val="ru-RU"/>
        </w:rPr>
      </w:pPr>
      <w:r w:rsidRPr="003D312B">
        <w:rPr>
          <w:rStyle w:val="FootnoteReference"/>
          <w:lang w:val="ru-RU"/>
        </w:rPr>
        <w:footnoteRef/>
      </w:r>
      <w:r w:rsidRPr="003D312B">
        <w:rPr>
          <w:lang w:val="ru-RU"/>
        </w:rPr>
        <w:tab/>
        <w:t xml:space="preserve">Документ </w:t>
      </w:r>
      <w:hyperlink r:id="rId1" w:history="1">
        <w:r w:rsidRPr="003D312B">
          <w:rPr>
            <w:rStyle w:val="Hyperlink"/>
            <w:color w:val="auto"/>
            <w:u w:val="none"/>
            <w:lang w:val="ru-RU"/>
          </w:rPr>
          <w:t>C25/105</w:t>
        </w:r>
      </w:hyperlink>
      <w:r w:rsidRPr="003D312B">
        <w:rPr>
          <w:lang w:val="ru-RU"/>
        </w:rPr>
        <w:t xml:space="preserve"> Совета:</w:t>
      </w:r>
      <w:hyperlink r:id="rId2" w:history="1"/>
    </w:p>
    <w:p w14:paraId="3C9BD899" w14:textId="4C1B062D" w:rsidR="00113FE2" w:rsidRPr="003D312B" w:rsidRDefault="00113FE2" w:rsidP="003D312B">
      <w:pPr>
        <w:pStyle w:val="FootnoteText"/>
        <w:ind w:left="539"/>
        <w:rPr>
          <w:lang w:val="ru-RU"/>
        </w:rPr>
      </w:pPr>
      <w:r w:rsidRPr="003D312B">
        <w:rPr>
          <w:lang w:val="ru-RU"/>
        </w:rPr>
        <w:t>–</w:t>
      </w:r>
      <w:r w:rsidRPr="003D312B">
        <w:rPr>
          <w:lang w:val="ru-RU"/>
        </w:rPr>
        <w:tab/>
        <w:t>в Приложении H содержится "Рекомендация по региональному присутствию";</w:t>
      </w:r>
    </w:p>
    <w:p w14:paraId="41D12C51" w14:textId="43C8D4A6" w:rsidR="00113FE2" w:rsidRPr="003D312B" w:rsidRDefault="00113FE2" w:rsidP="003D312B">
      <w:pPr>
        <w:pStyle w:val="FootnoteText"/>
        <w:ind w:left="539"/>
        <w:rPr>
          <w:lang w:val="ru-RU"/>
        </w:rPr>
      </w:pPr>
      <w:r w:rsidRPr="003D312B">
        <w:rPr>
          <w:lang w:val="ru-RU"/>
        </w:rPr>
        <w:t>–</w:t>
      </w:r>
      <w:r w:rsidRPr="003D312B">
        <w:rPr>
          <w:lang w:val="ru-RU"/>
        </w:rPr>
        <w:tab/>
        <w:t>в Приложении A содержатся "Круг ведения и сфера деятельности по обзору регионального присутствия МСЭ";</w:t>
      </w:r>
    </w:p>
    <w:p w14:paraId="109DE4E3" w14:textId="77777777" w:rsidR="00113FE2" w:rsidRPr="003D312B" w:rsidRDefault="00113FE2" w:rsidP="003D312B">
      <w:pPr>
        <w:pStyle w:val="FootnoteText"/>
        <w:ind w:left="539"/>
        <w:rPr>
          <w:lang w:val="ru-RU"/>
        </w:rPr>
      </w:pPr>
      <w:r w:rsidRPr="003D312B">
        <w:rPr>
          <w:lang w:val="ru-RU"/>
        </w:rPr>
        <w:t>–</w:t>
      </w:r>
      <w:r w:rsidRPr="003D312B">
        <w:rPr>
          <w:lang w:val="ru-RU"/>
        </w:rPr>
        <w:tab/>
        <w:t>в Приложении 1 содержатся 27 "Ключевых показателей деятельности и критериев оценки, которыми следует руководствоваться при проведении обзора регионального присутствия МСЭ".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2EF5E8"/>
    <w:multiLevelType w:val="hybridMultilevel"/>
    <w:tmpl w:val="CEE609AC"/>
    <w:lvl w:ilvl="0" w:tplc="8A64A1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46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05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41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20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4F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4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03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6C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5A3DE"/>
    <w:multiLevelType w:val="hybridMultilevel"/>
    <w:tmpl w:val="F3CC8224"/>
    <w:lvl w:ilvl="0" w:tplc="33FCC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2960C2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78F7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1ECD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D0CD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E872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B623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FED7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30D7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532538">
    <w:abstractNumId w:val="0"/>
  </w:num>
  <w:num w:numId="2" w16cid:durableId="690423184">
    <w:abstractNumId w:val="2"/>
  </w:num>
  <w:num w:numId="3" w16cid:durableId="128943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2183E"/>
    <w:rsid w:val="000569B4"/>
    <w:rsid w:val="0006007D"/>
    <w:rsid w:val="00080E82"/>
    <w:rsid w:val="000934DD"/>
    <w:rsid w:val="000A10CA"/>
    <w:rsid w:val="000B2DE7"/>
    <w:rsid w:val="000B4784"/>
    <w:rsid w:val="000B4E93"/>
    <w:rsid w:val="000E568E"/>
    <w:rsid w:val="00106400"/>
    <w:rsid w:val="00113FE2"/>
    <w:rsid w:val="0014229E"/>
    <w:rsid w:val="0014734F"/>
    <w:rsid w:val="00156890"/>
    <w:rsid w:val="0015710D"/>
    <w:rsid w:val="00163A32"/>
    <w:rsid w:val="00165D06"/>
    <w:rsid w:val="00192B41"/>
    <w:rsid w:val="00192D3D"/>
    <w:rsid w:val="001B7B09"/>
    <w:rsid w:val="001E6719"/>
    <w:rsid w:val="001E7F50"/>
    <w:rsid w:val="001F105D"/>
    <w:rsid w:val="00225368"/>
    <w:rsid w:val="00227FF0"/>
    <w:rsid w:val="00244C39"/>
    <w:rsid w:val="00276F05"/>
    <w:rsid w:val="00277DEA"/>
    <w:rsid w:val="00291EB6"/>
    <w:rsid w:val="002C1147"/>
    <w:rsid w:val="002C3F32"/>
    <w:rsid w:val="002D2F57"/>
    <w:rsid w:val="002D48C5"/>
    <w:rsid w:val="0033025A"/>
    <w:rsid w:val="00345D2A"/>
    <w:rsid w:val="00374504"/>
    <w:rsid w:val="00381936"/>
    <w:rsid w:val="003935CB"/>
    <w:rsid w:val="003D312B"/>
    <w:rsid w:val="003F099E"/>
    <w:rsid w:val="003F235E"/>
    <w:rsid w:val="00401FD7"/>
    <w:rsid w:val="004023E0"/>
    <w:rsid w:val="00402829"/>
    <w:rsid w:val="00402E95"/>
    <w:rsid w:val="00403DD8"/>
    <w:rsid w:val="004070A0"/>
    <w:rsid w:val="00425CA7"/>
    <w:rsid w:val="00431F25"/>
    <w:rsid w:val="00442515"/>
    <w:rsid w:val="00446FF1"/>
    <w:rsid w:val="0045686C"/>
    <w:rsid w:val="0046300E"/>
    <w:rsid w:val="00465C35"/>
    <w:rsid w:val="00486412"/>
    <w:rsid w:val="004918C4"/>
    <w:rsid w:val="00495AAA"/>
    <w:rsid w:val="00497703"/>
    <w:rsid w:val="004A0374"/>
    <w:rsid w:val="004A45B5"/>
    <w:rsid w:val="004D0129"/>
    <w:rsid w:val="00505892"/>
    <w:rsid w:val="00515795"/>
    <w:rsid w:val="005A64D5"/>
    <w:rsid w:val="005B09D0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50354"/>
    <w:rsid w:val="00851B6B"/>
    <w:rsid w:val="008658CB"/>
    <w:rsid w:val="008B62B4"/>
    <w:rsid w:val="008D2D7B"/>
    <w:rsid w:val="008E0737"/>
    <w:rsid w:val="008E2998"/>
    <w:rsid w:val="008F3C2A"/>
    <w:rsid w:val="008F7958"/>
    <w:rsid w:val="008F7C2C"/>
    <w:rsid w:val="00934A2D"/>
    <w:rsid w:val="00940E96"/>
    <w:rsid w:val="00950A82"/>
    <w:rsid w:val="009A76A8"/>
    <w:rsid w:val="009B0BAE"/>
    <w:rsid w:val="009B2F31"/>
    <w:rsid w:val="009C1C89"/>
    <w:rsid w:val="009F3448"/>
    <w:rsid w:val="009F3915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5318"/>
    <w:rsid w:val="00BA7D89"/>
    <w:rsid w:val="00BC0D39"/>
    <w:rsid w:val="00BC7BC0"/>
    <w:rsid w:val="00BD57B7"/>
    <w:rsid w:val="00BE00DD"/>
    <w:rsid w:val="00BE55F7"/>
    <w:rsid w:val="00BE63E2"/>
    <w:rsid w:val="00C462C5"/>
    <w:rsid w:val="00C75936"/>
    <w:rsid w:val="00CA1D59"/>
    <w:rsid w:val="00CD2009"/>
    <w:rsid w:val="00CF629C"/>
    <w:rsid w:val="00D17718"/>
    <w:rsid w:val="00D631AA"/>
    <w:rsid w:val="00D73942"/>
    <w:rsid w:val="00D92EEA"/>
    <w:rsid w:val="00D94737"/>
    <w:rsid w:val="00DA5D4E"/>
    <w:rsid w:val="00DA770A"/>
    <w:rsid w:val="00E05752"/>
    <w:rsid w:val="00E176BA"/>
    <w:rsid w:val="00E423EC"/>
    <w:rsid w:val="00E55121"/>
    <w:rsid w:val="00E9332E"/>
    <w:rsid w:val="00EB4FCB"/>
    <w:rsid w:val="00EC6BC5"/>
    <w:rsid w:val="00F348D0"/>
    <w:rsid w:val="00F35898"/>
    <w:rsid w:val="00F5225B"/>
    <w:rsid w:val="00FB197C"/>
    <w:rsid w:val="00FC7027"/>
    <w:rsid w:val="00FE5701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qFormat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qFormat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qFormat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qFormat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qFormat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qFormat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qFormat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qFormat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qFormat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qFormat/>
    <w:rsid w:val="001E6719"/>
    <w:rPr>
      <w:b/>
    </w:rPr>
  </w:style>
  <w:style w:type="paragraph" w:customStyle="1" w:styleId="Chaptitle">
    <w:name w:val="Chap_title"/>
    <w:basedOn w:val="Arttitle"/>
    <w:next w:val="Normalaftertitle"/>
    <w:qFormat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3FE2"/>
    <w:rPr>
      <w:rFonts w:ascii="Calibri" w:hAnsi="Calibri"/>
      <w:lang w:val="en-GB" w:eastAsia="en-US"/>
    </w:rPr>
  </w:style>
  <w:style w:type="paragraph" w:customStyle="1" w:styleId="Tablefin">
    <w:name w:val="Table_fin"/>
    <w:basedOn w:val="Tabletext"/>
    <w:rsid w:val="00113FE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0" w:after="0"/>
    </w:pPr>
    <w:rPr>
      <w:rFonts w:eastAsia="SimSun" w:cstheme="minorBidi"/>
      <w:sz w:val="22"/>
      <w:szCs w:val="22"/>
    </w:rPr>
  </w:style>
  <w:style w:type="paragraph" w:styleId="Revision">
    <w:name w:val="Revision"/>
    <w:hidden/>
    <w:uiPriority w:val="99"/>
    <w:semiHidden/>
    <w:rsid w:val="00113FE2"/>
    <w:rPr>
      <w:rFonts w:ascii="Calibri" w:hAnsi="Calibri"/>
      <w:sz w:val="24"/>
      <w:lang w:val="en-GB" w:eastAsia="en-US"/>
    </w:rPr>
  </w:style>
  <w:style w:type="paragraph" w:styleId="CommentText">
    <w:name w:val="annotation text"/>
    <w:basedOn w:val="Normal"/>
    <w:link w:val="CommentTextChar"/>
    <w:unhideWhenUsed/>
    <w:rsid w:val="00113F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FE2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13F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FE2"/>
    <w:rPr>
      <w:rFonts w:ascii="Calibri" w:hAnsi="Calibri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113FE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itu-d/meetings/rdf/asp/" TargetMode="External"/><Relationship Id="rId21" Type="http://schemas.openxmlformats.org/officeDocument/2006/relationships/hyperlink" Target="https://www.itu.int/md/D26-TDAG33-C-0004/en" TargetMode="External"/><Relationship Id="rId42" Type="http://schemas.openxmlformats.org/officeDocument/2006/relationships/hyperlink" Target="https://www.itu.int/md/S26-CWGFHR22-C-0004/en" TargetMode="External"/><Relationship Id="rId47" Type="http://schemas.openxmlformats.org/officeDocument/2006/relationships/hyperlink" Target="https://www.itu.int/md/D22-TDAG32-INF-0004/en" TargetMode="External"/><Relationship Id="rId63" Type="http://schemas.openxmlformats.org/officeDocument/2006/relationships/hyperlink" Target="https://www.itu.int/en/ITU-R/seminars/rrs/rrs-25-asia&amp;pacific/Pages/default.aspx" TargetMode="External"/><Relationship Id="rId68" Type="http://schemas.openxmlformats.org/officeDocument/2006/relationships/hyperlink" Target="https://www.itu.int/en/ITU-D/Regional-Presence/AsiaPacific/Pages/Events/2025/ITTLLDC%202025/main.aspx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itu.int/md/D22-TDAG32-C-0024/en" TargetMode="External"/><Relationship Id="rId11" Type="http://schemas.openxmlformats.org/officeDocument/2006/relationships/hyperlink" Target="https://www.itu.int/en/publications/ITU-D/pages/publications.aspx?parent=D-TDC-WTDC-2022&amp;media=electronic" TargetMode="External"/><Relationship Id="rId32" Type="http://schemas.openxmlformats.org/officeDocument/2006/relationships/hyperlink" Target="https://www.itu.int/md/S25-CL-C-0105/en" TargetMode="External"/><Relationship Id="rId37" Type="http://schemas.openxmlformats.org/officeDocument/2006/relationships/hyperlink" Target="https://www.itu.int/md/T25-TSAG-260126-TD-GEN-0313/en" TargetMode="External"/><Relationship Id="rId53" Type="http://schemas.openxmlformats.org/officeDocument/2006/relationships/hyperlink" Target="https://www.itu.int/md/D26-TDAG33-C-0019/en" TargetMode="External"/><Relationship Id="rId58" Type="http://schemas.openxmlformats.org/officeDocument/2006/relationships/hyperlink" Target="https://www.itu.int/en/ITU-D/Regional-Presence/Africa/Pages/EVENTS/2025/GSMA-.aspx" TargetMode="External"/><Relationship Id="rId74" Type="http://schemas.openxmlformats.org/officeDocument/2006/relationships/hyperlink" Target="https://www.itu.int/en/ITU-D/Regional-Presence/CIS/Pages/EVENTS/2025/FoCForum.aspx" TargetMode="External"/><Relationship Id="rId79" Type="http://schemas.openxmlformats.org/officeDocument/2006/relationships/hyperlink" Target="https://digitalregulation.org/category/spectrum-management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itu.int/md/D26-TDAG33-C-0016/en" TargetMode="External"/><Relationship Id="rId14" Type="http://schemas.openxmlformats.org/officeDocument/2006/relationships/hyperlink" Target="http://itu.int/go/wtdc25-final-report" TargetMode="External"/><Relationship Id="rId22" Type="http://schemas.openxmlformats.org/officeDocument/2006/relationships/hyperlink" Target="https://www.itu.int/md/D22-WTDC25-C-0002/en" TargetMode="External"/><Relationship Id="rId27" Type="http://schemas.openxmlformats.org/officeDocument/2006/relationships/hyperlink" Target="https://www.itu.int/itu-d/meetings/rdf/ams/home/" TargetMode="External"/><Relationship Id="rId30" Type="http://schemas.openxmlformats.org/officeDocument/2006/relationships/hyperlink" Target="https://www.itu.int/md/D22-TDAG32-C-0024/en" TargetMode="External"/><Relationship Id="rId35" Type="http://schemas.openxmlformats.org/officeDocument/2006/relationships/hyperlink" Target="https://www.itu.int/md/S26-CWGFHR22-INF-0001/en" TargetMode="External"/><Relationship Id="rId43" Type="http://schemas.openxmlformats.org/officeDocument/2006/relationships/hyperlink" Target="https://www.itu.int/md/T25-TSAG-260126-TD-GEN-0313/en" TargetMode="External"/><Relationship Id="rId48" Type="http://schemas.openxmlformats.org/officeDocument/2006/relationships/hyperlink" Target="https://www.itu.int/md/D26-TDAG33-C-0004/en" TargetMode="External"/><Relationship Id="rId56" Type="http://schemas.openxmlformats.org/officeDocument/2006/relationships/hyperlink" Target="https://www.itu.int/en/ITU-R/seminars/rrs/rrs-25-africa/Pages/default.aspx" TargetMode="External"/><Relationship Id="rId64" Type="http://schemas.openxmlformats.org/officeDocument/2006/relationships/hyperlink" Target="https://www.itu.int/en/ITU-R/seminars/rrs/rrs-25-asia&amp;pacific/Pages/default.aspx" TargetMode="External"/><Relationship Id="rId69" Type="http://schemas.openxmlformats.org/officeDocument/2006/relationships/hyperlink" Target="https://www.itu.int/en/ITU-D/Regional-Presence/AsiaPacific/Pages/Projects/EW4All/EW4ALL.aspx" TargetMode="External"/><Relationship Id="rId77" Type="http://schemas.openxmlformats.org/officeDocument/2006/relationships/hyperlink" Target="https://www.itu.int/en/ITU-D/Regional-Presence/Europe/Pages/Events/2025/09.23_EMF%20Harmony/National-Workshop.aspx" TargetMode="External"/><Relationship Id="rId8" Type="http://schemas.openxmlformats.org/officeDocument/2006/relationships/hyperlink" Target="https://www.itu.int/en/council/Documents/basic-texts-2023/RES-025-R.pdf" TargetMode="External"/><Relationship Id="rId51" Type="http://schemas.openxmlformats.org/officeDocument/2006/relationships/hyperlink" Target="https://www.itu.int/md/D26-TDAG33-C-0008/en" TargetMode="External"/><Relationship Id="rId72" Type="http://schemas.openxmlformats.org/officeDocument/2006/relationships/hyperlink" Target="https://u4ssc.itu.int/" TargetMode="External"/><Relationship Id="rId80" Type="http://schemas.openxmlformats.org/officeDocument/2006/relationships/hyperlink" Target="https://digitalregulation.org/category/spectrum-management/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itu.int/en/ITU-D/Documents/BAP/D22-WTDC25-C-0090%21%21PDF-r.pdf" TargetMode="External"/><Relationship Id="rId17" Type="http://schemas.openxmlformats.org/officeDocument/2006/relationships/hyperlink" Target="https://www.itu.int/md/D22-WTDC25-C-0002/en" TargetMode="External"/><Relationship Id="rId25" Type="http://schemas.openxmlformats.org/officeDocument/2006/relationships/hyperlink" Target="https://www.itu.int/itu-d/meetings/rdf/eur/" TargetMode="External"/><Relationship Id="rId33" Type="http://schemas.openxmlformats.org/officeDocument/2006/relationships/hyperlink" Target="https://www.itu.int/md/S25-CL-C-0105/en" TargetMode="External"/><Relationship Id="rId38" Type="http://schemas.openxmlformats.org/officeDocument/2006/relationships/hyperlink" Target="https://www.itu.int/md/D26-TDAG33-C-0016/en" TargetMode="External"/><Relationship Id="rId46" Type="http://schemas.openxmlformats.org/officeDocument/2006/relationships/hyperlink" Target="https://www.itu.int/md/D22-TDAG32-INF-0004/en" TargetMode="External"/><Relationship Id="rId59" Type="http://schemas.openxmlformats.org/officeDocument/2006/relationships/hyperlink" Target="https://www.itu.int/en/ITU-D/Regional-Presence/Africa/Pages/EVENTS/2025/GSMA-.aspx" TargetMode="External"/><Relationship Id="rId67" Type="http://schemas.openxmlformats.org/officeDocument/2006/relationships/hyperlink" Target="https://www.itu.int/en/ITU-D/Regional-Presence/AsiaPacific/Pages/Events/2025/ITTLLDC%202025/main.aspx" TargetMode="External"/><Relationship Id="rId20" Type="http://schemas.openxmlformats.org/officeDocument/2006/relationships/hyperlink" Target="https://www.itu.int/md/D26-TDAG33-C-0008/en" TargetMode="External"/><Relationship Id="rId41" Type="http://schemas.openxmlformats.org/officeDocument/2006/relationships/hyperlink" Target="https://www.itu.int/md/S26-CWGFHR22-INF-0001/en" TargetMode="External"/><Relationship Id="rId54" Type="http://schemas.openxmlformats.org/officeDocument/2006/relationships/hyperlink" Target="https://www.itu.int/md/D22-TDAG32-C-0005/en" TargetMode="External"/><Relationship Id="rId62" Type="http://schemas.openxmlformats.org/officeDocument/2006/relationships/hyperlink" Target="https://www.itu.int/en/ITU-R/seminars/rrs/rrs-25-asia&amp;pacific/Pages/default.aspx" TargetMode="External"/><Relationship Id="rId70" Type="http://schemas.openxmlformats.org/officeDocument/2006/relationships/hyperlink" Target="https://www.itu.int/en/ITU-D/Regional-Presence/AsiaPacific/Pages/Projects/EW4All/EW4ALL.aspx" TargetMode="External"/><Relationship Id="rId75" Type="http://schemas.openxmlformats.org/officeDocument/2006/relationships/hyperlink" Target="https://www.itu.int/en/ITU-R/seminars/rrs/RRS-26-Europe/Pages/default.aspx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md/S25-CL-C-0025/en" TargetMode="External"/><Relationship Id="rId23" Type="http://schemas.openxmlformats.org/officeDocument/2006/relationships/hyperlink" Target="https://www.itu.int/md/D22-WTDC25-C-0002/en" TargetMode="External"/><Relationship Id="rId28" Type="http://schemas.openxmlformats.org/officeDocument/2006/relationships/hyperlink" Target="https://www.itu.int/itu-d/meetings/rdf/afr/" TargetMode="External"/><Relationship Id="rId36" Type="http://schemas.openxmlformats.org/officeDocument/2006/relationships/hyperlink" Target="https://www.itu.int/md/S26-CWGFHR22-C-0004/en" TargetMode="External"/><Relationship Id="rId49" Type="http://schemas.openxmlformats.org/officeDocument/2006/relationships/hyperlink" Target="https://www.itu.int/md/D26-TDAG33-C-0019/en" TargetMode="External"/><Relationship Id="rId57" Type="http://schemas.openxmlformats.org/officeDocument/2006/relationships/hyperlink" Target="https://www.itu.int/en/ITU-R/seminars/rrs/rrs-25-africa/Pages/default.aspx" TargetMode="External"/><Relationship Id="rId10" Type="http://schemas.openxmlformats.org/officeDocument/2006/relationships/hyperlink" Target="https://www.itu.int/en/council/Documents/basic-texts-2023/RES-157-R.pdf" TargetMode="External"/><Relationship Id="rId31" Type="http://schemas.openxmlformats.org/officeDocument/2006/relationships/hyperlink" Target="https://www.itu.int/md/D22-TDAG32-C-0024/en" TargetMode="External"/><Relationship Id="rId44" Type="http://schemas.openxmlformats.org/officeDocument/2006/relationships/hyperlink" Target="https://www.itu.int/md/D26-TDAG33-C-0016/en" TargetMode="External"/><Relationship Id="rId52" Type="http://schemas.openxmlformats.org/officeDocument/2006/relationships/hyperlink" Target="https://www.itu.int/md/D26-TDAG33-C-0004/en" TargetMode="External"/><Relationship Id="rId60" Type="http://schemas.openxmlformats.org/officeDocument/2006/relationships/hyperlink" Target="https://www.itu.int/en/ITU-R/seminars/rrs/RRS-25-Americas/Pages/default.aspx" TargetMode="External"/><Relationship Id="rId65" Type="http://schemas.openxmlformats.org/officeDocument/2006/relationships/hyperlink" Target="https://www.itu.int/en/ITU-R/seminars/rrs/rrs-25-asia&amp;pacific/Pages/default.aspx" TargetMode="External"/><Relationship Id="rId73" Type="http://schemas.openxmlformats.org/officeDocument/2006/relationships/hyperlink" Target="https://www.itu.int/en/ITU-D/Regional-Presence/CIS/Pages/EVENTS/2025/FoCForum.aspx" TargetMode="External"/><Relationship Id="rId78" Type="http://schemas.openxmlformats.org/officeDocument/2006/relationships/hyperlink" Target="https://www.itu.int/en/ITU-D/Regional-Presence/Europe/Pages/Events/2025/09.23_EMF%20Harmony/National-Workshop.aspx" TargetMode="External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135-R.pdf" TargetMode="External"/><Relationship Id="rId13" Type="http://schemas.openxmlformats.org/officeDocument/2006/relationships/hyperlink" Target="http://itu.int/go/wtdc25-final-report" TargetMode="External"/><Relationship Id="rId18" Type="http://schemas.openxmlformats.org/officeDocument/2006/relationships/hyperlink" Target="https://www.itu.int/md/D26-TDAG33-C-0019/en" TargetMode="External"/><Relationship Id="rId39" Type="http://schemas.openxmlformats.org/officeDocument/2006/relationships/hyperlink" Target="https://www.itu.int/md/R23-RAG-C-0066/en" TargetMode="External"/><Relationship Id="rId34" Type="http://schemas.openxmlformats.org/officeDocument/2006/relationships/hyperlink" Target="https://www.itu.int/md/S26-CWGFHR22-C-0004/en" TargetMode="External"/><Relationship Id="rId50" Type="http://schemas.openxmlformats.org/officeDocument/2006/relationships/hyperlink" Target="https://www.itu.int/md/D22-TDAG32-C-0005/en" TargetMode="External"/><Relationship Id="rId55" Type="http://schemas.openxmlformats.org/officeDocument/2006/relationships/hyperlink" Target="https://www.itu.int/md/D26-TDAG33-C-0008/en" TargetMode="External"/><Relationship Id="rId76" Type="http://schemas.openxmlformats.org/officeDocument/2006/relationships/hyperlink" Target="https://www.itu.int/en/ITU-R/seminars/rrs/RRS-26-Europe/Pages/default.aspx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4ssc.itu.in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itu-d/meetings/rdf/cis/home/" TargetMode="External"/><Relationship Id="rId24" Type="http://schemas.openxmlformats.org/officeDocument/2006/relationships/hyperlink" Target="https://www.itu.int/itu-d/meetings/rdf/arb/" TargetMode="External"/><Relationship Id="rId40" Type="http://schemas.openxmlformats.org/officeDocument/2006/relationships/hyperlink" Target="https://www.itu.int/md/S26-CWGFHR22-C-0004/en" TargetMode="External"/><Relationship Id="rId45" Type="http://schemas.openxmlformats.org/officeDocument/2006/relationships/hyperlink" Target="https://www.itu.int/md/R23-RAG-C-0066/en" TargetMode="External"/><Relationship Id="rId66" Type="http://schemas.openxmlformats.org/officeDocument/2006/relationships/hyperlink" Target="https://www.itu.int/en/ITU-R/seminars/rrs/rrs-25-asia&amp;pacific/Pages/default.aspx" TargetMode="External"/><Relationship Id="rId61" Type="http://schemas.openxmlformats.org/officeDocument/2006/relationships/hyperlink" Target="https://www.itu.int/en/ITU-R/seminars/rrs/RRS-25-Americas/Pages/default.aspx" TargetMode="External"/><Relationship Id="rId8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md/S25-CL-C-0105/en" TargetMode="External"/><Relationship Id="rId1" Type="http://schemas.openxmlformats.org/officeDocument/2006/relationships/hyperlink" Target="https://www.itu.int/md/S25-CL-C-0105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0D4C-661B-4CDD-821B-C2F8D810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13</Pages>
  <Words>4451</Words>
  <Characters>36319</Characters>
  <Application>Microsoft Office Word</Application>
  <DocSecurity>0</DocSecurity>
  <Lines>1068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40171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ITU's regional presence</dc:title>
  <dc:subject>ITU Council 2026</dc:subject>
  <cp:keywords>C26; C2026; Council 2026; PP26</cp:keywords>
  <dc:description/>
  <cp:lastPrinted>2006-03-28T16:12:00Z</cp:lastPrinted>
  <dcterms:created xsi:type="dcterms:W3CDTF">2026-04-22T11:54:00Z</dcterms:created>
  <dcterms:modified xsi:type="dcterms:W3CDTF">2026-04-22T11:55:00Z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