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744BC2C4" w14:textId="77777777" w:rsidTr="00796BDB">
        <w:trPr>
          <w:cantSplit/>
          <w:trHeight w:val="23"/>
        </w:trPr>
        <w:tc>
          <w:tcPr>
            <w:tcW w:w="3969" w:type="dxa"/>
            <w:vMerge w:val="restart"/>
            <w:tcMar>
              <w:left w:w="0" w:type="dxa"/>
            </w:tcMar>
          </w:tcPr>
          <w:p w14:paraId="73AE1E95" w14:textId="666EF03A" w:rsidR="00D72F49" w:rsidRPr="00E85629" w:rsidRDefault="00D72F49" w:rsidP="00796BDB">
            <w:pPr>
              <w:tabs>
                <w:tab w:val="left" w:pos="851"/>
              </w:tabs>
              <w:spacing w:before="0" w:line="240" w:lineRule="atLeast"/>
              <w:rPr>
                <w:b/>
              </w:rPr>
            </w:pPr>
            <w:r w:rsidRPr="00122CE1">
              <w:rPr>
                <w:b/>
              </w:rPr>
              <w:t>Point de l'ordre du jour</w:t>
            </w:r>
            <w:r>
              <w:rPr>
                <w:b/>
              </w:rPr>
              <w:t>:</w:t>
            </w:r>
            <w:r w:rsidR="00455256">
              <w:rPr>
                <w:b/>
              </w:rPr>
              <w:t xml:space="preserve"> PL 2</w:t>
            </w:r>
          </w:p>
        </w:tc>
        <w:tc>
          <w:tcPr>
            <w:tcW w:w="5245" w:type="dxa"/>
          </w:tcPr>
          <w:p w14:paraId="79D8268C" w14:textId="491FB738" w:rsidR="00D72F49" w:rsidRPr="00E85629" w:rsidRDefault="00D72F49" w:rsidP="00796BDB">
            <w:pPr>
              <w:tabs>
                <w:tab w:val="left" w:pos="851"/>
              </w:tabs>
              <w:spacing w:before="0" w:line="240" w:lineRule="atLeast"/>
              <w:jc w:val="right"/>
              <w:rPr>
                <w:b/>
              </w:rPr>
            </w:pPr>
            <w:r>
              <w:rPr>
                <w:b/>
              </w:rPr>
              <w:t xml:space="preserve">Document </w:t>
            </w:r>
            <w:proofErr w:type="spellStart"/>
            <w:r>
              <w:rPr>
                <w:b/>
              </w:rPr>
              <w:t>C2</w:t>
            </w:r>
            <w:r w:rsidR="00E4448E">
              <w:rPr>
                <w:b/>
              </w:rPr>
              <w:t>6</w:t>
            </w:r>
            <w:proofErr w:type="spellEnd"/>
            <w:r>
              <w:rPr>
                <w:b/>
              </w:rPr>
              <w:t>/</w:t>
            </w:r>
            <w:r w:rsidR="00455256">
              <w:rPr>
                <w:b/>
              </w:rPr>
              <w:t>25</w:t>
            </w:r>
            <w:r>
              <w:rPr>
                <w:b/>
              </w:rPr>
              <w:t>-F</w:t>
            </w:r>
          </w:p>
        </w:tc>
      </w:tr>
      <w:tr w:rsidR="00D72F49" w:rsidRPr="00C049D7" w14:paraId="222BA1A5" w14:textId="77777777" w:rsidTr="00796BDB">
        <w:trPr>
          <w:cantSplit/>
        </w:trPr>
        <w:tc>
          <w:tcPr>
            <w:tcW w:w="3969" w:type="dxa"/>
            <w:vMerge/>
          </w:tcPr>
          <w:p w14:paraId="197BC76D" w14:textId="77777777" w:rsidR="00D72F49" w:rsidRPr="00813E5E" w:rsidRDefault="00D72F49" w:rsidP="00796BDB">
            <w:pPr>
              <w:tabs>
                <w:tab w:val="left" w:pos="851"/>
              </w:tabs>
              <w:spacing w:line="240" w:lineRule="atLeast"/>
              <w:rPr>
                <w:b/>
              </w:rPr>
            </w:pPr>
          </w:p>
        </w:tc>
        <w:tc>
          <w:tcPr>
            <w:tcW w:w="5245" w:type="dxa"/>
          </w:tcPr>
          <w:p w14:paraId="3C9E5B91" w14:textId="36E05853" w:rsidR="00D72F49" w:rsidRPr="00FC6D7D" w:rsidRDefault="00455256" w:rsidP="00796BDB">
            <w:pPr>
              <w:tabs>
                <w:tab w:val="left" w:pos="851"/>
              </w:tabs>
              <w:spacing w:before="0"/>
              <w:jc w:val="right"/>
              <w:rPr>
                <w:b/>
                <w:lang w:val="en-GB"/>
              </w:rPr>
            </w:pPr>
            <w:r>
              <w:rPr>
                <w:b/>
              </w:rPr>
              <w:t>30 mars 2026</w:t>
            </w:r>
          </w:p>
        </w:tc>
      </w:tr>
      <w:tr w:rsidR="00D72F49" w:rsidRPr="00813E5E" w14:paraId="3C1EB81C" w14:textId="77777777" w:rsidTr="00796BDB">
        <w:trPr>
          <w:cantSplit/>
          <w:trHeight w:val="23"/>
        </w:trPr>
        <w:tc>
          <w:tcPr>
            <w:tcW w:w="3969" w:type="dxa"/>
            <w:vMerge/>
          </w:tcPr>
          <w:p w14:paraId="7EE4F3DB" w14:textId="77777777" w:rsidR="00D72F49" w:rsidRPr="00FC6D7D" w:rsidRDefault="00D72F49" w:rsidP="00796BDB">
            <w:pPr>
              <w:tabs>
                <w:tab w:val="left" w:pos="851"/>
              </w:tabs>
              <w:spacing w:line="240" w:lineRule="atLeast"/>
              <w:rPr>
                <w:b/>
                <w:lang w:val="en-GB"/>
              </w:rPr>
            </w:pPr>
          </w:p>
        </w:tc>
        <w:tc>
          <w:tcPr>
            <w:tcW w:w="5245" w:type="dxa"/>
          </w:tcPr>
          <w:p w14:paraId="306C0C40"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157E7C47" w14:textId="77777777" w:rsidTr="00796BDB">
        <w:trPr>
          <w:cantSplit/>
          <w:trHeight w:val="23"/>
        </w:trPr>
        <w:tc>
          <w:tcPr>
            <w:tcW w:w="3969" w:type="dxa"/>
          </w:tcPr>
          <w:p w14:paraId="0189E13E" w14:textId="77777777" w:rsidR="00D72F49" w:rsidRPr="00813E5E" w:rsidRDefault="00D72F49" w:rsidP="00796BDB">
            <w:pPr>
              <w:tabs>
                <w:tab w:val="left" w:pos="851"/>
              </w:tabs>
              <w:spacing w:line="240" w:lineRule="atLeast"/>
              <w:rPr>
                <w:b/>
              </w:rPr>
            </w:pPr>
          </w:p>
        </w:tc>
        <w:tc>
          <w:tcPr>
            <w:tcW w:w="5245" w:type="dxa"/>
          </w:tcPr>
          <w:p w14:paraId="2192BD8D" w14:textId="77777777" w:rsidR="00D72F49" w:rsidRDefault="00D72F49" w:rsidP="00796BDB">
            <w:pPr>
              <w:tabs>
                <w:tab w:val="left" w:pos="851"/>
              </w:tabs>
              <w:spacing w:before="0" w:line="240" w:lineRule="atLeast"/>
              <w:jc w:val="right"/>
              <w:rPr>
                <w:b/>
              </w:rPr>
            </w:pPr>
          </w:p>
        </w:tc>
      </w:tr>
      <w:tr w:rsidR="00D72F49" w:rsidRPr="00122CE1" w14:paraId="32FEC5A5" w14:textId="77777777" w:rsidTr="00796BDB">
        <w:trPr>
          <w:cantSplit/>
        </w:trPr>
        <w:tc>
          <w:tcPr>
            <w:tcW w:w="9214" w:type="dxa"/>
            <w:gridSpan w:val="2"/>
            <w:tcMar>
              <w:left w:w="0" w:type="dxa"/>
            </w:tcMar>
          </w:tcPr>
          <w:p w14:paraId="30727BA9" w14:textId="77777777" w:rsidR="00D72F49" w:rsidRPr="009301BB" w:rsidRDefault="00D72F49" w:rsidP="009301BB">
            <w:pPr>
              <w:pStyle w:val="Source"/>
              <w:framePr w:hSpace="0" w:wrap="auto" w:vAnchor="margin" w:hAnchor="text" w:xAlign="left" w:yAlign="inline"/>
            </w:pPr>
            <w:r w:rsidRPr="009301BB">
              <w:t xml:space="preserve">Rapport </w:t>
            </w:r>
            <w:r w:rsidR="00E95647" w:rsidRPr="009301BB">
              <w:t xml:space="preserve">de la </w:t>
            </w:r>
            <w:r w:rsidRPr="009301BB">
              <w:t>Secrétaire général</w:t>
            </w:r>
            <w:r w:rsidR="00E95647" w:rsidRPr="009301BB">
              <w:t>e</w:t>
            </w:r>
          </w:p>
        </w:tc>
      </w:tr>
      <w:tr w:rsidR="00D72F49" w:rsidRPr="00813E5E" w14:paraId="255E0DF3" w14:textId="77777777" w:rsidTr="00796BDB">
        <w:trPr>
          <w:cantSplit/>
        </w:trPr>
        <w:tc>
          <w:tcPr>
            <w:tcW w:w="9214" w:type="dxa"/>
            <w:gridSpan w:val="2"/>
            <w:tcMar>
              <w:left w:w="0" w:type="dxa"/>
            </w:tcMar>
          </w:tcPr>
          <w:p w14:paraId="72F11275" w14:textId="0954F1D6" w:rsidR="00D72F49" w:rsidRPr="00455256" w:rsidRDefault="002F29A9" w:rsidP="00796BDB">
            <w:pPr>
              <w:pStyle w:val="Subtitle"/>
              <w:framePr w:hSpace="0" w:wrap="auto" w:hAnchor="text" w:xAlign="left" w:yAlign="inline"/>
              <w:rPr>
                <w:sz w:val="32"/>
                <w:szCs w:val="32"/>
                <w:lang w:val="fr-FR"/>
              </w:rPr>
            </w:pPr>
            <w:r w:rsidRPr="00455256">
              <w:rPr>
                <w:rFonts w:cstheme="minorHAnsi"/>
                <w:sz w:val="32"/>
                <w:szCs w:val="32"/>
                <w:lang w:val="fr-FR"/>
              </w:rPr>
              <w:t>RENFORCER LA PRÉSENCE RÉGIONALE DE L'UIT</w:t>
            </w:r>
          </w:p>
        </w:tc>
      </w:tr>
      <w:tr w:rsidR="00D72F49" w:rsidRPr="00813E5E" w14:paraId="59F23CB6" w14:textId="77777777" w:rsidTr="00796BDB">
        <w:trPr>
          <w:cantSplit/>
        </w:trPr>
        <w:tc>
          <w:tcPr>
            <w:tcW w:w="9214" w:type="dxa"/>
            <w:gridSpan w:val="2"/>
            <w:tcBorders>
              <w:top w:val="single" w:sz="4" w:space="0" w:color="auto"/>
              <w:bottom w:val="single" w:sz="4" w:space="0" w:color="auto"/>
            </w:tcBorders>
            <w:tcMar>
              <w:left w:w="0" w:type="dxa"/>
            </w:tcMar>
          </w:tcPr>
          <w:p w14:paraId="2449F3AD" w14:textId="77777777" w:rsidR="00D72F49" w:rsidRPr="0099485B" w:rsidRDefault="00F37FE5" w:rsidP="00796BDB">
            <w:pPr>
              <w:spacing w:before="160"/>
              <w:rPr>
                <w:b/>
                <w:bCs/>
                <w:sz w:val="26"/>
                <w:szCs w:val="26"/>
                <w:lang w:val="fr-CH"/>
              </w:rPr>
            </w:pPr>
            <w:r>
              <w:rPr>
                <w:b/>
                <w:bCs/>
                <w:sz w:val="26"/>
                <w:szCs w:val="26"/>
                <w:lang w:val="fr-CH"/>
              </w:rPr>
              <w:t>Objet</w:t>
            </w:r>
          </w:p>
          <w:p w14:paraId="441609DE" w14:textId="536256DB" w:rsidR="00D72F49" w:rsidRPr="0099485B" w:rsidRDefault="00455256" w:rsidP="002F29A9">
            <w:pPr>
              <w:jc w:val="both"/>
              <w:rPr>
                <w:lang w:val="fr-CH"/>
              </w:rPr>
            </w:pPr>
            <w:r w:rsidRPr="00455256">
              <w:rPr>
                <w:lang w:val="fr-CH"/>
              </w:rPr>
              <w:t xml:space="preserve">Le présent document rend compte de la contribution de la présence régionale de l'UIT à l'accomplissement du mandat de l'Union. Il donne des renseignements sur les activités menées au niveau régional pour mettre en application le </w:t>
            </w:r>
            <w:r w:rsidR="00055ECC">
              <w:rPr>
                <w:lang w:val="fr-CH"/>
              </w:rPr>
              <w:t>P</w:t>
            </w:r>
            <w:r w:rsidRPr="00455256">
              <w:rPr>
                <w:lang w:val="fr-CH"/>
              </w:rPr>
              <w:t>lan stratégique de l'UIT, le Plan</w:t>
            </w:r>
            <w:r>
              <w:rPr>
                <w:lang w:val="fr-CH"/>
              </w:rPr>
              <w:t> </w:t>
            </w:r>
            <w:r w:rsidRPr="00455256">
              <w:rPr>
                <w:lang w:val="fr-CH"/>
              </w:rPr>
              <w:t>d'action de Kigali, adopté à la Conférence mondiale de développement des télécommunications (</w:t>
            </w:r>
            <w:proofErr w:type="spellStart"/>
            <w:r w:rsidRPr="00455256">
              <w:rPr>
                <w:lang w:val="fr-CH"/>
              </w:rPr>
              <w:t>CMDT</w:t>
            </w:r>
            <w:proofErr w:type="spellEnd"/>
            <w:r w:rsidRPr="00455256">
              <w:rPr>
                <w:lang w:val="fr-CH"/>
              </w:rPr>
              <w:t>) de 2022, le Plan d</w:t>
            </w:r>
            <w:r w:rsidR="00BC7CFD">
              <w:rPr>
                <w:lang w:val="fr-CH"/>
              </w:rPr>
              <w:t>'</w:t>
            </w:r>
            <w:r w:rsidRPr="00455256">
              <w:rPr>
                <w:lang w:val="fr-CH"/>
              </w:rPr>
              <w:t>action de Bakou, récemment adopté par la</w:t>
            </w:r>
            <w:r w:rsidR="00715C5F">
              <w:rPr>
                <w:lang w:val="fr-CH"/>
              </w:rPr>
              <w:t> </w:t>
            </w:r>
            <w:proofErr w:type="spellStart"/>
            <w:r w:rsidRPr="00455256">
              <w:rPr>
                <w:lang w:val="fr-CH"/>
              </w:rPr>
              <w:t>CMDT</w:t>
            </w:r>
            <w:proofErr w:type="spellEnd"/>
            <w:r w:rsidRPr="00455256">
              <w:rPr>
                <w:lang w:val="fr-CH"/>
              </w:rPr>
              <w:t>-25, et les initiatives régionales.</w:t>
            </w:r>
          </w:p>
          <w:p w14:paraId="1C855135"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418923A3" w14:textId="716B655A" w:rsidR="00D72F49" w:rsidRPr="00122CE1" w:rsidRDefault="00455256" w:rsidP="00796BDB">
            <w:pPr>
              <w:rPr>
                <w:lang w:val="fr-CH"/>
              </w:rPr>
            </w:pPr>
            <w:r w:rsidRPr="00455256">
              <w:rPr>
                <w:lang w:val="fr-CH"/>
              </w:rPr>
              <w:t xml:space="preserve">Le Conseil est invité à </w:t>
            </w:r>
            <w:r w:rsidRPr="00221C87">
              <w:rPr>
                <w:b/>
                <w:bCs/>
                <w:lang w:val="fr-CH"/>
              </w:rPr>
              <w:t>prendre note</w:t>
            </w:r>
            <w:r w:rsidRPr="00455256">
              <w:rPr>
                <w:lang w:val="fr-CH"/>
              </w:rPr>
              <w:t xml:space="preserve"> du présent document.</w:t>
            </w:r>
          </w:p>
          <w:p w14:paraId="452905B2" w14:textId="21F5BB36" w:rsidR="00D72F49" w:rsidRPr="00122CE1" w:rsidRDefault="00D72F49" w:rsidP="00796BDB">
            <w:pPr>
              <w:spacing w:before="160"/>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51CC6391" w14:textId="50E9069A" w:rsidR="00D72F49" w:rsidRPr="00122CE1" w:rsidRDefault="00455256" w:rsidP="00796BDB">
            <w:pPr>
              <w:rPr>
                <w:lang w:val="fr-CH"/>
              </w:rPr>
            </w:pPr>
            <w:r w:rsidRPr="00455256">
              <w:rPr>
                <w:lang w:val="fr-CH"/>
              </w:rPr>
              <w:t>Présence régionale.</w:t>
            </w:r>
          </w:p>
          <w:p w14:paraId="29148CB7"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1467168F" w14:textId="2CC9594A" w:rsidR="00D72F49" w:rsidRPr="00882919" w:rsidRDefault="00455256" w:rsidP="002F29A9">
            <w:pPr>
              <w:jc w:val="both"/>
              <w:rPr>
                <w:szCs w:val="24"/>
              </w:rPr>
            </w:pPr>
            <w:r w:rsidRPr="00455256">
              <w:rPr>
                <w:szCs w:val="24"/>
              </w:rPr>
              <w:t xml:space="preserve">Dans les limites du budget alloué pour 2024-2025. Fonds alloués aux initiatives régionales de la </w:t>
            </w:r>
            <w:proofErr w:type="spellStart"/>
            <w:r w:rsidRPr="00455256">
              <w:rPr>
                <w:szCs w:val="24"/>
              </w:rPr>
              <w:t>CMDT</w:t>
            </w:r>
            <w:proofErr w:type="spellEnd"/>
            <w:r w:rsidRPr="00455256">
              <w:rPr>
                <w:szCs w:val="24"/>
              </w:rPr>
              <w:t>-25 pour la période 2026-2029.</w:t>
            </w:r>
          </w:p>
          <w:p w14:paraId="51D929C4" w14:textId="77777777" w:rsidR="00D72F49" w:rsidRPr="00813E5E" w:rsidRDefault="00D72F49" w:rsidP="002F29A9">
            <w:pPr>
              <w:spacing w:before="160"/>
              <w:jc w:val="both"/>
              <w:rPr>
                <w:caps/>
                <w:sz w:val="22"/>
              </w:rPr>
            </w:pPr>
            <w:r w:rsidRPr="00813E5E">
              <w:rPr>
                <w:sz w:val="22"/>
              </w:rPr>
              <w:t>____________</w:t>
            </w:r>
            <w:r>
              <w:rPr>
                <w:sz w:val="22"/>
              </w:rPr>
              <w:t>______</w:t>
            </w:r>
          </w:p>
          <w:p w14:paraId="1324186D" w14:textId="77777777" w:rsidR="00D72F49" w:rsidRDefault="00D72F49" w:rsidP="00796BDB">
            <w:pPr>
              <w:spacing w:before="160"/>
              <w:rPr>
                <w:b/>
                <w:bCs/>
                <w:sz w:val="26"/>
                <w:szCs w:val="26"/>
              </w:rPr>
            </w:pPr>
            <w:r w:rsidRPr="00F16BAB">
              <w:rPr>
                <w:b/>
                <w:bCs/>
                <w:sz w:val="26"/>
                <w:szCs w:val="26"/>
              </w:rPr>
              <w:t>Références</w:t>
            </w:r>
          </w:p>
          <w:p w14:paraId="6AC9C75D" w14:textId="57F60A98" w:rsidR="00D72F49" w:rsidRPr="002F29A9" w:rsidRDefault="00455256" w:rsidP="002F29A9">
            <w:pPr>
              <w:pStyle w:val="Referencetext"/>
              <w:framePr w:hSpace="0" w:wrap="auto" w:vAnchor="margin" w:hAnchor="text" w:xAlign="left" w:yAlign="inline"/>
              <w:rPr>
                <w:sz w:val="24"/>
                <w:szCs w:val="24"/>
              </w:rPr>
            </w:pPr>
            <w:r w:rsidRPr="002F29A9">
              <w:rPr>
                <w:sz w:val="24"/>
                <w:szCs w:val="24"/>
              </w:rPr>
              <w:t>Résolution</w:t>
            </w:r>
            <w:r w:rsidR="002F29A9">
              <w:rPr>
                <w:sz w:val="24"/>
                <w:szCs w:val="24"/>
              </w:rPr>
              <w:t>s</w:t>
            </w:r>
            <w:r w:rsidRPr="002F29A9">
              <w:rPr>
                <w:sz w:val="24"/>
                <w:szCs w:val="24"/>
              </w:rPr>
              <w:t xml:space="preserve"> </w:t>
            </w:r>
            <w:hyperlink r:id="rId7" w:history="1">
              <w:r w:rsidRPr="002F29A9">
                <w:rPr>
                  <w:rStyle w:val="Hyperlink"/>
                  <w:rFonts w:eastAsia="Times New Roman" w:cs="Times New Roman"/>
                  <w:sz w:val="24"/>
                  <w:szCs w:val="24"/>
                </w:rPr>
                <w:t>25</w:t>
              </w:r>
            </w:hyperlink>
            <w:r w:rsidRPr="002F29A9">
              <w:rPr>
                <w:sz w:val="24"/>
                <w:szCs w:val="24"/>
              </w:rPr>
              <w:t xml:space="preserve"> (Rév. Bucarest, 2022), </w:t>
            </w:r>
            <w:hyperlink r:id="rId8" w:history="1">
              <w:r w:rsidRPr="002F29A9">
                <w:rPr>
                  <w:rStyle w:val="Hyperlink"/>
                  <w:rFonts w:eastAsia="Times New Roman" w:cs="Times New Roman"/>
                  <w:sz w:val="24"/>
                  <w:szCs w:val="24"/>
                </w:rPr>
                <w:t>135</w:t>
              </w:r>
            </w:hyperlink>
            <w:r w:rsidRPr="002F29A9">
              <w:rPr>
                <w:sz w:val="24"/>
                <w:szCs w:val="24"/>
              </w:rPr>
              <w:t xml:space="preserve"> (Rév. Bucarest, 2022) et </w:t>
            </w:r>
            <w:hyperlink r:id="rId9" w:history="1">
              <w:r w:rsidRPr="002F29A9">
                <w:rPr>
                  <w:rStyle w:val="Hyperlink"/>
                  <w:rFonts w:eastAsia="Times New Roman" w:cs="Times New Roman"/>
                  <w:sz w:val="24"/>
                  <w:szCs w:val="24"/>
                </w:rPr>
                <w:t>157</w:t>
              </w:r>
            </w:hyperlink>
            <w:r w:rsidR="00715C5F" w:rsidRPr="002F29A9">
              <w:rPr>
                <w:sz w:val="24"/>
                <w:szCs w:val="24"/>
              </w:rPr>
              <w:t> </w:t>
            </w:r>
            <w:r w:rsidRPr="002F29A9">
              <w:rPr>
                <w:sz w:val="24"/>
                <w:szCs w:val="24"/>
              </w:rPr>
              <w:t xml:space="preserve">(Rév. Bucarest, 2022) de la Conférence de plénipotentiaires; </w:t>
            </w:r>
            <w:hyperlink r:id="rId10" w:history="1">
              <w:r w:rsidRPr="002F29A9">
                <w:rPr>
                  <w:rStyle w:val="Hyperlink"/>
                  <w:rFonts w:eastAsia="Times New Roman" w:cs="Times New Roman"/>
                  <w:sz w:val="24"/>
                  <w:szCs w:val="24"/>
                </w:rPr>
                <w:t xml:space="preserve">Rapport final de la </w:t>
              </w:r>
              <w:proofErr w:type="spellStart"/>
              <w:r w:rsidRPr="002F29A9">
                <w:rPr>
                  <w:rStyle w:val="Hyperlink"/>
                  <w:rFonts w:eastAsia="Times New Roman" w:cs="Times New Roman"/>
                  <w:sz w:val="24"/>
                  <w:szCs w:val="24"/>
                </w:rPr>
                <w:t>CMDT</w:t>
              </w:r>
              <w:proofErr w:type="spellEnd"/>
              <w:r w:rsidRPr="002F29A9">
                <w:rPr>
                  <w:rStyle w:val="Hyperlink"/>
                  <w:rFonts w:eastAsia="Times New Roman" w:cs="Times New Roman"/>
                  <w:sz w:val="24"/>
                  <w:szCs w:val="24"/>
                </w:rPr>
                <w:t>-22</w:t>
              </w:r>
            </w:hyperlink>
            <w:r w:rsidRPr="002F29A9">
              <w:rPr>
                <w:sz w:val="24"/>
                <w:szCs w:val="24"/>
              </w:rPr>
              <w:t xml:space="preserve"> (Plan d'action de Kigali) et </w:t>
            </w:r>
            <w:hyperlink r:id="rId11" w:history="1">
              <w:r w:rsidRPr="002F29A9">
                <w:rPr>
                  <w:rStyle w:val="Hyperlink"/>
                  <w:rFonts w:eastAsia="Times New Roman" w:cs="Times New Roman"/>
                  <w:sz w:val="24"/>
                  <w:szCs w:val="24"/>
                </w:rPr>
                <w:t xml:space="preserve">Rapport final de la </w:t>
              </w:r>
              <w:proofErr w:type="spellStart"/>
              <w:r w:rsidRPr="002F29A9">
                <w:rPr>
                  <w:rStyle w:val="Hyperlink"/>
                  <w:rFonts w:eastAsia="Times New Roman" w:cs="Times New Roman"/>
                  <w:sz w:val="24"/>
                  <w:szCs w:val="24"/>
                </w:rPr>
                <w:t>CMDT</w:t>
              </w:r>
              <w:proofErr w:type="spellEnd"/>
              <w:r w:rsidRPr="002F29A9">
                <w:rPr>
                  <w:rStyle w:val="Hyperlink"/>
                  <w:rFonts w:eastAsia="Times New Roman" w:cs="Times New Roman"/>
                  <w:sz w:val="24"/>
                  <w:szCs w:val="24"/>
                </w:rPr>
                <w:t>-25</w:t>
              </w:r>
            </w:hyperlink>
            <w:r w:rsidRPr="002F29A9">
              <w:rPr>
                <w:sz w:val="24"/>
                <w:szCs w:val="24"/>
              </w:rPr>
              <w:t xml:space="preserve"> (Plan d</w:t>
            </w:r>
            <w:r w:rsidR="00BC7CFD" w:rsidRPr="002F29A9">
              <w:rPr>
                <w:sz w:val="24"/>
                <w:szCs w:val="24"/>
              </w:rPr>
              <w:t>'</w:t>
            </w:r>
            <w:r w:rsidRPr="002F29A9">
              <w:rPr>
                <w:sz w:val="24"/>
                <w:szCs w:val="24"/>
              </w:rPr>
              <w:t>action de Bakou); Résolution</w:t>
            </w:r>
            <w:r w:rsidR="002F29A9">
              <w:rPr>
                <w:sz w:val="24"/>
                <w:szCs w:val="24"/>
              </w:rPr>
              <w:t>s</w:t>
            </w:r>
            <w:r w:rsidR="00221C87" w:rsidRPr="002F29A9">
              <w:rPr>
                <w:sz w:val="24"/>
                <w:szCs w:val="24"/>
              </w:rPr>
              <w:t> </w:t>
            </w:r>
            <w:hyperlink r:id="rId12" w:history="1">
              <w:r w:rsidRPr="002F29A9">
                <w:rPr>
                  <w:rStyle w:val="Hyperlink"/>
                  <w:rFonts w:eastAsia="Times New Roman" w:cs="Times New Roman"/>
                  <w:sz w:val="24"/>
                  <w:szCs w:val="24"/>
                </w:rPr>
                <w:t>17</w:t>
              </w:r>
            </w:hyperlink>
            <w:r w:rsidRPr="002F29A9">
              <w:rPr>
                <w:sz w:val="24"/>
                <w:szCs w:val="24"/>
              </w:rPr>
              <w:t xml:space="preserve"> (Rév. Bakou, 2025) et </w:t>
            </w:r>
            <w:hyperlink r:id="rId13" w:history="1">
              <w:r w:rsidRPr="002F29A9">
                <w:rPr>
                  <w:rStyle w:val="Hyperlink"/>
                  <w:rFonts w:eastAsia="Times New Roman" w:cs="Times New Roman"/>
                  <w:sz w:val="24"/>
                  <w:szCs w:val="24"/>
                </w:rPr>
                <w:t>31</w:t>
              </w:r>
            </w:hyperlink>
            <w:r w:rsidRPr="002F29A9">
              <w:rPr>
                <w:sz w:val="24"/>
                <w:szCs w:val="24"/>
              </w:rPr>
              <w:t xml:space="preserve"> (Rév. Bakou, 2025) de la Conférence mondiale de développement des télécommunications; Documents </w:t>
            </w:r>
            <w:hyperlink r:id="rId14" w:history="1">
              <w:proofErr w:type="spellStart"/>
              <w:r w:rsidRPr="002F29A9">
                <w:rPr>
                  <w:rStyle w:val="Hyperlink"/>
                  <w:rFonts w:eastAsia="Times New Roman" w:cs="Times New Roman"/>
                  <w:sz w:val="24"/>
                  <w:szCs w:val="24"/>
                </w:rPr>
                <w:t>C25</w:t>
              </w:r>
              <w:proofErr w:type="spellEnd"/>
              <w:r w:rsidRPr="002F29A9">
                <w:rPr>
                  <w:rStyle w:val="Hyperlink"/>
                  <w:rFonts w:eastAsia="Times New Roman" w:cs="Times New Roman"/>
                  <w:sz w:val="24"/>
                  <w:szCs w:val="24"/>
                </w:rPr>
                <w:t>/25</w:t>
              </w:r>
            </w:hyperlink>
            <w:r w:rsidRPr="002F29A9">
              <w:rPr>
                <w:sz w:val="24"/>
                <w:szCs w:val="24"/>
              </w:rPr>
              <w:t xml:space="preserve">, </w:t>
            </w:r>
            <w:hyperlink r:id="rId15" w:history="1">
              <w:proofErr w:type="spellStart"/>
              <w:r w:rsidRPr="002F29A9">
                <w:rPr>
                  <w:rStyle w:val="Hyperlink"/>
                  <w:rFonts w:eastAsia="Times New Roman" w:cs="Times New Roman"/>
                  <w:sz w:val="24"/>
                  <w:szCs w:val="24"/>
                </w:rPr>
                <w:t>TDAG</w:t>
              </w:r>
              <w:proofErr w:type="spellEnd"/>
              <w:r w:rsidRPr="002F29A9">
                <w:rPr>
                  <w:rStyle w:val="Hyperlink"/>
                  <w:rFonts w:eastAsia="Times New Roman" w:cs="Times New Roman"/>
                  <w:sz w:val="24"/>
                  <w:szCs w:val="24"/>
                </w:rPr>
                <w:t>-25/24</w:t>
              </w:r>
            </w:hyperlink>
            <w:r w:rsidRPr="002F29A9">
              <w:rPr>
                <w:sz w:val="24"/>
                <w:szCs w:val="24"/>
              </w:rPr>
              <w:t xml:space="preserve">, </w:t>
            </w:r>
            <w:hyperlink r:id="rId16" w:history="1">
              <w:proofErr w:type="spellStart"/>
              <w:r w:rsidRPr="002F29A9">
                <w:rPr>
                  <w:rStyle w:val="Hyperlink"/>
                  <w:rFonts w:eastAsia="Times New Roman" w:cs="Times New Roman"/>
                  <w:sz w:val="24"/>
                  <w:szCs w:val="24"/>
                </w:rPr>
                <w:t>WTDC-25</w:t>
              </w:r>
              <w:proofErr w:type="spellEnd"/>
              <w:r w:rsidRPr="002F29A9">
                <w:rPr>
                  <w:rStyle w:val="Hyperlink"/>
                  <w:rFonts w:eastAsia="Times New Roman" w:cs="Times New Roman"/>
                  <w:sz w:val="24"/>
                  <w:szCs w:val="24"/>
                </w:rPr>
                <w:t>/2</w:t>
              </w:r>
            </w:hyperlink>
            <w:r w:rsidRPr="002F29A9">
              <w:rPr>
                <w:sz w:val="24"/>
                <w:szCs w:val="24"/>
              </w:rPr>
              <w:t xml:space="preserve">, </w:t>
            </w:r>
            <w:hyperlink r:id="rId17" w:history="1">
              <w:proofErr w:type="spellStart"/>
              <w:r w:rsidRPr="002F29A9">
                <w:rPr>
                  <w:rStyle w:val="Hyperlink"/>
                  <w:rFonts w:eastAsia="Times New Roman" w:cs="Times New Roman"/>
                  <w:sz w:val="24"/>
                  <w:szCs w:val="24"/>
                </w:rPr>
                <w:t>TDAG</w:t>
              </w:r>
              <w:proofErr w:type="spellEnd"/>
              <w:r w:rsidRPr="002F29A9">
                <w:rPr>
                  <w:rStyle w:val="Hyperlink"/>
                  <w:rFonts w:eastAsia="Times New Roman" w:cs="Times New Roman"/>
                  <w:sz w:val="24"/>
                  <w:szCs w:val="24"/>
                </w:rPr>
                <w:t>-26/19</w:t>
              </w:r>
            </w:hyperlink>
            <w:r w:rsidRPr="002F29A9">
              <w:rPr>
                <w:sz w:val="24"/>
                <w:szCs w:val="24"/>
              </w:rPr>
              <w:t xml:space="preserve">, </w:t>
            </w:r>
            <w:hyperlink r:id="rId18" w:history="1">
              <w:proofErr w:type="spellStart"/>
              <w:r w:rsidRPr="002F29A9">
                <w:rPr>
                  <w:rStyle w:val="Hyperlink"/>
                  <w:rFonts w:eastAsia="Times New Roman" w:cs="Times New Roman"/>
                  <w:sz w:val="24"/>
                  <w:szCs w:val="24"/>
                </w:rPr>
                <w:t>TDAG</w:t>
              </w:r>
              <w:proofErr w:type="spellEnd"/>
              <w:r w:rsidRPr="002F29A9">
                <w:rPr>
                  <w:rStyle w:val="Hyperlink"/>
                  <w:rFonts w:eastAsia="Times New Roman" w:cs="Times New Roman"/>
                  <w:sz w:val="24"/>
                  <w:szCs w:val="24"/>
                </w:rPr>
                <w:t>-26/16</w:t>
              </w:r>
            </w:hyperlink>
            <w:r w:rsidRPr="002F29A9">
              <w:rPr>
                <w:sz w:val="24"/>
                <w:szCs w:val="24"/>
              </w:rPr>
              <w:t xml:space="preserve">, </w:t>
            </w:r>
            <w:hyperlink r:id="rId19" w:history="1">
              <w:proofErr w:type="spellStart"/>
              <w:r w:rsidRPr="002F29A9">
                <w:rPr>
                  <w:rStyle w:val="Hyperlink"/>
                  <w:rFonts w:eastAsia="Times New Roman" w:cs="Times New Roman"/>
                  <w:sz w:val="24"/>
                  <w:szCs w:val="24"/>
                </w:rPr>
                <w:t>TDAG</w:t>
              </w:r>
              <w:proofErr w:type="spellEnd"/>
              <w:r w:rsidRPr="002F29A9">
                <w:rPr>
                  <w:rStyle w:val="Hyperlink"/>
                  <w:rFonts w:eastAsia="Times New Roman" w:cs="Times New Roman"/>
                  <w:sz w:val="24"/>
                  <w:szCs w:val="24"/>
                </w:rPr>
                <w:t>-26/8</w:t>
              </w:r>
            </w:hyperlink>
            <w:r w:rsidRPr="002F29A9">
              <w:rPr>
                <w:sz w:val="24"/>
                <w:szCs w:val="24"/>
              </w:rPr>
              <w:t xml:space="preserve"> et </w:t>
            </w:r>
            <w:hyperlink r:id="rId20" w:history="1">
              <w:proofErr w:type="spellStart"/>
              <w:r w:rsidRPr="002F29A9">
                <w:rPr>
                  <w:rStyle w:val="Hyperlink"/>
                  <w:rFonts w:eastAsia="Times New Roman" w:cs="Times New Roman"/>
                  <w:sz w:val="24"/>
                  <w:szCs w:val="24"/>
                </w:rPr>
                <w:t>TDAG</w:t>
              </w:r>
              <w:proofErr w:type="spellEnd"/>
              <w:r w:rsidRPr="002F29A9">
                <w:rPr>
                  <w:rStyle w:val="Hyperlink"/>
                  <w:rFonts w:eastAsia="Times New Roman" w:cs="Times New Roman"/>
                  <w:sz w:val="24"/>
                  <w:szCs w:val="24"/>
                </w:rPr>
                <w:t>-26/4</w:t>
              </w:r>
            </w:hyperlink>
            <w:r w:rsidRPr="002F29A9">
              <w:rPr>
                <w:sz w:val="24"/>
                <w:szCs w:val="24"/>
              </w:rPr>
              <w:t>.</w:t>
            </w:r>
          </w:p>
        </w:tc>
      </w:tr>
    </w:tbl>
    <w:p w14:paraId="26ADE9BF"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2EB690C0" w14:textId="77777777" w:rsidR="00455256" w:rsidRPr="009E5AB1" w:rsidRDefault="00455256" w:rsidP="009835A2">
      <w:pPr>
        <w:pStyle w:val="Heading1"/>
      </w:pPr>
      <w:r w:rsidRPr="009E5AB1">
        <w:lastRenderedPageBreak/>
        <w:t>1</w:t>
      </w:r>
      <w:r w:rsidRPr="009E5AB1">
        <w:tab/>
        <w:t>Considérations générales</w:t>
      </w:r>
    </w:p>
    <w:p w14:paraId="2CDBF06A" w14:textId="32FCFAF8" w:rsidR="00455256" w:rsidRPr="009E5AB1" w:rsidRDefault="00455256" w:rsidP="002F29A9">
      <w:pPr>
        <w:jc w:val="both"/>
      </w:pPr>
      <w:r w:rsidRPr="009E5AB1">
        <w:t>1.1</w:t>
      </w:r>
      <w:r w:rsidRPr="009E5AB1">
        <w:tab/>
        <w:t xml:space="preserve">En application des articles 1 et 21 de la Constitution de l'UIT et des articles 5 et 14 de la Convention de l'UIT, la Conférence de plénipotentiaires </w:t>
      </w:r>
      <w:r>
        <w:t xml:space="preserve">a </w:t>
      </w:r>
      <w:r w:rsidRPr="009E5AB1">
        <w:t>invit</w:t>
      </w:r>
      <w:r>
        <w:t>é</w:t>
      </w:r>
      <w:r w:rsidRPr="009E5AB1">
        <w:t xml:space="preserve"> l'UIT, dans sa Résolution</w:t>
      </w:r>
      <w:r w:rsidR="00715C5F">
        <w:t> </w:t>
      </w:r>
      <w:r w:rsidRPr="009E5AB1">
        <w:t>25</w:t>
      </w:r>
      <w:r w:rsidR="00715C5F">
        <w:t> </w:t>
      </w:r>
      <w:r w:rsidRPr="009E5AB1">
        <w:t xml:space="preserve">(Rév. Bucarest, 2022), à "continuer de renforcer les fonctions des bureaux régionaux et des bureaux de zone, afin qu'ils puissent jouer un rôle important dans la mise en œuvre du </w:t>
      </w:r>
      <w:r w:rsidR="00D86C79">
        <w:t>P</w:t>
      </w:r>
      <w:r w:rsidRPr="009E5AB1">
        <w:t>lan stratégique, des programmes et des projets de l'UIT, ainsi que des initiatives régionales établies dans le Plan d'action de Kigali conformément à la Résolution</w:t>
      </w:r>
      <w:r w:rsidR="00715C5F">
        <w:t> </w:t>
      </w:r>
      <w:r w:rsidRPr="009E5AB1">
        <w:t>17</w:t>
      </w:r>
      <w:r w:rsidR="00715C5F">
        <w:t> </w:t>
      </w:r>
      <w:r w:rsidRPr="009E5AB1">
        <w:t>(Rév. Kigali, 2022) de la Conférence mondiale de développement des télécommunications (</w:t>
      </w:r>
      <w:proofErr w:type="spellStart"/>
      <w:r w:rsidRPr="009E5AB1">
        <w:t>CMDT</w:t>
      </w:r>
      <w:proofErr w:type="spellEnd"/>
      <w:r w:rsidRPr="009E5AB1">
        <w:t xml:space="preserve">), dans les limites des ressources disponibles, notamment celles allouées par le </w:t>
      </w:r>
      <w:r w:rsidR="00D86C79">
        <w:t>P</w:t>
      </w:r>
      <w:r w:rsidRPr="009E5AB1">
        <w:t>lan financier et celles provenant d'autres sources pertinentes, telles que les contributions volontaires et les parrainages".</w:t>
      </w:r>
      <w:r>
        <w:t xml:space="preserve"> À la </w:t>
      </w:r>
      <w:proofErr w:type="spellStart"/>
      <w:r>
        <w:t>CMDT</w:t>
      </w:r>
      <w:proofErr w:type="spellEnd"/>
      <w:r>
        <w:t>-25, qui a eu lieu du 17 au 28</w:t>
      </w:r>
      <w:r w:rsidR="00715C5F">
        <w:t> </w:t>
      </w:r>
      <w:r>
        <w:t xml:space="preserve">novembre 2025 à Bakou (Azerbaïdjan), sur le thème </w:t>
      </w:r>
      <w:r w:rsidRPr="00DB0A57">
        <w:t>"Une connectivité universelle, efficace et financièrement abordable pour un avenir numérique inclusif et durable"</w:t>
      </w:r>
      <w:r>
        <w:t>, les membres de l</w:t>
      </w:r>
      <w:r w:rsidR="00BC7CFD">
        <w:t>'</w:t>
      </w:r>
      <w:r>
        <w:t>UIT ont adopté le Plan d</w:t>
      </w:r>
      <w:r w:rsidR="00BC7CFD">
        <w:t>'</w:t>
      </w:r>
      <w:r>
        <w:t>action de Bakou et approuvé la Résolution</w:t>
      </w:r>
      <w:r w:rsidR="00715C5F">
        <w:t> </w:t>
      </w:r>
      <w:r>
        <w:t>17</w:t>
      </w:r>
      <w:r w:rsidR="00715C5F">
        <w:t> </w:t>
      </w:r>
      <w:r>
        <w:t>(Rév.</w:t>
      </w:r>
      <w:r w:rsidR="00715C5F">
        <w:t> </w:t>
      </w:r>
      <w:r>
        <w:t>Bakou, 2025), qui définit les initiatives régionales à</w:t>
      </w:r>
      <w:r w:rsidR="00D86C79">
        <w:t> </w:t>
      </w:r>
      <w:r>
        <w:t>mettre en œuvre de</w:t>
      </w:r>
      <w:r w:rsidR="00715C5F">
        <w:t> </w:t>
      </w:r>
      <w:r>
        <w:t>2026 à 2029 dans les six régions.</w:t>
      </w:r>
    </w:p>
    <w:p w14:paraId="0CA2E41C" w14:textId="7EA9DCE4" w:rsidR="00455256" w:rsidRPr="009E5AB1" w:rsidRDefault="00455256" w:rsidP="002F29A9">
      <w:pPr>
        <w:jc w:val="both"/>
      </w:pPr>
      <w:r w:rsidRPr="009E5AB1">
        <w:t>1.2</w:t>
      </w:r>
      <w:r w:rsidRPr="009E5AB1">
        <w:tab/>
        <w:t>La Résolution 25</w:t>
      </w:r>
      <w:r>
        <w:t xml:space="preserve"> (Rév. Bucarest 2022)</w:t>
      </w:r>
      <w:r w:rsidRPr="009E5AB1">
        <w:t xml:space="preserve"> met l'accent sur le rôle </w:t>
      </w:r>
      <w:r>
        <w:t xml:space="preserve">essentiel </w:t>
      </w:r>
      <w:r w:rsidRPr="009E5AB1">
        <w:t>que jouent les bureaux régionaux et les bureaux de zone</w:t>
      </w:r>
      <w:r>
        <w:t xml:space="preserve"> de l</w:t>
      </w:r>
      <w:r w:rsidR="00BC7CFD">
        <w:t>'</w:t>
      </w:r>
      <w:r>
        <w:t>UIT</w:t>
      </w:r>
      <w:r w:rsidRPr="009E5AB1">
        <w:t xml:space="preserve"> </w:t>
      </w:r>
      <w:r>
        <w:t xml:space="preserve">dans le renforcement de la </w:t>
      </w:r>
      <w:r w:rsidRPr="009E5AB1">
        <w:t xml:space="preserve">collaboration </w:t>
      </w:r>
      <w:r>
        <w:t>de l</w:t>
      </w:r>
      <w:r w:rsidR="00BC7CFD">
        <w:t>'</w:t>
      </w:r>
      <w:r>
        <w:t xml:space="preserve">Union avec </w:t>
      </w:r>
      <w:r w:rsidRPr="009E5AB1">
        <w:t>ses membres</w:t>
      </w:r>
      <w:r>
        <w:t>.</w:t>
      </w:r>
      <w:r w:rsidRPr="009E5AB1">
        <w:t xml:space="preserve"> </w:t>
      </w:r>
      <w:r>
        <w:t xml:space="preserve">Ces bureaux </w:t>
      </w:r>
      <w:r w:rsidRPr="009E5AB1">
        <w:t>constituent un moyen d'exécuter des programmes, des projets et des activités, de diffuser des informations sur les activités de l'Union, d'instaurer des liens plus étroits avec des organisations régionales ou sous</w:t>
      </w:r>
      <w:r w:rsidR="00D86C79">
        <w:noBreakHyphen/>
      </w:r>
      <w:r w:rsidRPr="009E5AB1">
        <w:t>régionales et des institutions des Nations Unies, et de fournir une assistance technique aux pays ayant des besoins particuliers, y compris les pays les moins avancés (PMA)</w:t>
      </w:r>
      <w:r>
        <w:t>, les pays en développement sans littoral (</w:t>
      </w:r>
      <w:proofErr w:type="spellStart"/>
      <w:r>
        <w:t>PDSL</w:t>
      </w:r>
      <w:proofErr w:type="spellEnd"/>
      <w:r>
        <w:t>) et les petits États insulaires en développement (</w:t>
      </w:r>
      <w:proofErr w:type="spellStart"/>
      <w:r>
        <w:t>PEID</w:t>
      </w:r>
      <w:proofErr w:type="spellEnd"/>
      <w:r>
        <w:t>)</w:t>
      </w:r>
      <w:r w:rsidRPr="009E5AB1">
        <w:t>.</w:t>
      </w:r>
    </w:p>
    <w:p w14:paraId="6015B23A" w14:textId="77777777" w:rsidR="00455256" w:rsidRPr="009E5AB1" w:rsidRDefault="00455256" w:rsidP="002F29A9">
      <w:pPr>
        <w:jc w:val="both"/>
      </w:pPr>
      <w:r w:rsidRPr="009E5AB1">
        <w:t>1.</w:t>
      </w:r>
      <w:r>
        <w:t>3</w:t>
      </w:r>
      <w:r w:rsidRPr="009E5AB1">
        <w:tab/>
        <w:t>Le présent rapport fournit des informations sur la mise en œuvre pratique des activités des bureaux</w:t>
      </w:r>
      <w:r>
        <w:t xml:space="preserve"> régionaux et les bureaux de zone</w:t>
      </w:r>
      <w:r w:rsidRPr="009E5AB1">
        <w:t xml:space="preserve"> de l'UIT concernant les trois Secteurs de l'Union.</w:t>
      </w:r>
    </w:p>
    <w:p w14:paraId="3B6353C8" w14:textId="77777777" w:rsidR="00455256" w:rsidRDefault="00455256" w:rsidP="009835A2">
      <w:pPr>
        <w:pStyle w:val="Heading1"/>
      </w:pPr>
      <w:r w:rsidRPr="009E5AB1">
        <w:t>2</w:t>
      </w:r>
      <w:r w:rsidRPr="009E5AB1">
        <w:tab/>
        <w:t>Activités liées au Secteur du développement de l'UIT et au BDT</w:t>
      </w:r>
    </w:p>
    <w:p w14:paraId="6C91EB08" w14:textId="0BE92B9C" w:rsidR="00455256" w:rsidRPr="00876EA8" w:rsidRDefault="00455256" w:rsidP="002F29A9">
      <w:pPr>
        <w:jc w:val="both"/>
        <w:rPr>
          <w:rFonts w:eastAsiaTheme="minorEastAsia"/>
        </w:rPr>
      </w:pPr>
      <w:r w:rsidRPr="00DB0A57">
        <w:rPr>
          <w:rFonts w:eastAsiaTheme="minorEastAsia"/>
        </w:rPr>
        <w:t>Le</w:t>
      </w:r>
      <w:r w:rsidRPr="00BB2849">
        <w:rPr>
          <w:rFonts w:eastAsiaTheme="minorEastAsia"/>
        </w:rPr>
        <w:t xml:space="preserve"> Bureau </w:t>
      </w:r>
      <w:r w:rsidRPr="00DB0A57">
        <w:rPr>
          <w:rFonts w:eastAsiaTheme="minorEastAsia"/>
        </w:rPr>
        <w:t>de développement des télécommunicatio</w:t>
      </w:r>
      <w:r w:rsidRPr="00BB2849">
        <w:rPr>
          <w:rFonts w:eastAsiaTheme="minorEastAsia"/>
        </w:rPr>
        <w:t xml:space="preserve">ns (BDT), </w:t>
      </w:r>
      <w:r>
        <w:rPr>
          <w:rFonts w:eastAsiaTheme="minorEastAsia"/>
        </w:rPr>
        <w:t xml:space="preserve">en étroite </w:t>
      </w:r>
      <w:r w:rsidRPr="00BB2849">
        <w:rPr>
          <w:rFonts w:eastAsiaTheme="minorEastAsia"/>
        </w:rPr>
        <w:t xml:space="preserve">collaboration </w:t>
      </w:r>
      <w:r>
        <w:rPr>
          <w:rFonts w:eastAsiaTheme="minorEastAsia"/>
        </w:rPr>
        <w:t xml:space="preserve">avec le </w:t>
      </w:r>
      <w:r w:rsidRPr="00BB2849">
        <w:rPr>
          <w:rFonts w:eastAsiaTheme="minorEastAsia"/>
        </w:rPr>
        <w:t xml:space="preserve">Bureau </w:t>
      </w:r>
      <w:r>
        <w:rPr>
          <w:rFonts w:eastAsiaTheme="minorEastAsia"/>
        </w:rPr>
        <w:t>des r</w:t>
      </w:r>
      <w:r w:rsidRPr="00BB2849">
        <w:rPr>
          <w:rFonts w:eastAsiaTheme="minorEastAsia"/>
        </w:rPr>
        <w:t>adiocommunication</w:t>
      </w:r>
      <w:r>
        <w:rPr>
          <w:rFonts w:eastAsiaTheme="minorEastAsia"/>
        </w:rPr>
        <w:t>s</w:t>
      </w:r>
      <w:r w:rsidRPr="00BB2849">
        <w:rPr>
          <w:rFonts w:eastAsiaTheme="minorEastAsia"/>
        </w:rPr>
        <w:t xml:space="preserve"> (BR), </w:t>
      </w:r>
      <w:r>
        <w:rPr>
          <w:rFonts w:eastAsiaTheme="minorEastAsia"/>
        </w:rPr>
        <w:t xml:space="preserve">le Bureau de la normalisation des télécommunications </w:t>
      </w:r>
      <w:r w:rsidRPr="00BB2849">
        <w:rPr>
          <w:rFonts w:eastAsiaTheme="minorEastAsia"/>
        </w:rPr>
        <w:t xml:space="preserve">(TSB) </w:t>
      </w:r>
      <w:r>
        <w:rPr>
          <w:rFonts w:eastAsiaTheme="minorEastAsia"/>
        </w:rPr>
        <w:t>et le Secrétariat gé</w:t>
      </w:r>
      <w:r w:rsidRPr="00BB2849">
        <w:rPr>
          <w:rFonts w:eastAsiaTheme="minorEastAsia"/>
        </w:rPr>
        <w:t>n</w:t>
      </w:r>
      <w:r>
        <w:rPr>
          <w:rFonts w:eastAsiaTheme="minorEastAsia"/>
        </w:rPr>
        <w:t>é</w:t>
      </w:r>
      <w:r w:rsidRPr="00BB2849">
        <w:rPr>
          <w:rFonts w:eastAsiaTheme="minorEastAsia"/>
        </w:rPr>
        <w:t xml:space="preserve">ral, continue </w:t>
      </w:r>
      <w:r>
        <w:rPr>
          <w:rFonts w:eastAsiaTheme="minorEastAsia"/>
        </w:rPr>
        <w:t>de renforcer activement la présence régionale de l</w:t>
      </w:r>
      <w:r w:rsidR="00BC7CFD">
        <w:rPr>
          <w:rFonts w:eastAsiaTheme="minorEastAsia"/>
        </w:rPr>
        <w:t>'</w:t>
      </w:r>
      <w:r>
        <w:rPr>
          <w:rFonts w:eastAsiaTheme="minorEastAsia"/>
        </w:rPr>
        <w:t>UIT</w:t>
      </w:r>
      <w:r w:rsidRPr="00BB2849">
        <w:rPr>
          <w:rFonts w:eastAsiaTheme="minorEastAsia"/>
        </w:rPr>
        <w:t xml:space="preserve">. </w:t>
      </w:r>
      <w:r w:rsidRPr="00876EA8">
        <w:rPr>
          <w:rFonts w:eastAsiaTheme="minorEastAsia"/>
        </w:rPr>
        <w:t xml:space="preserve">Les bureaux </w:t>
      </w:r>
      <w:r w:rsidRPr="00DB0A57">
        <w:rPr>
          <w:rFonts w:eastAsiaTheme="minorEastAsia"/>
        </w:rPr>
        <w:t xml:space="preserve">régionaux et les bureaux de zone </w:t>
      </w:r>
      <w:r>
        <w:rPr>
          <w:rFonts w:eastAsiaTheme="minorEastAsia"/>
        </w:rPr>
        <w:t>conservent</w:t>
      </w:r>
      <w:r w:rsidRPr="00DB0A57">
        <w:rPr>
          <w:rFonts w:eastAsiaTheme="minorEastAsia"/>
        </w:rPr>
        <w:t xml:space="preserve"> u</w:t>
      </w:r>
      <w:r>
        <w:rPr>
          <w:rFonts w:eastAsiaTheme="minorEastAsia"/>
        </w:rPr>
        <w:t>n rôle essentiel</w:t>
      </w:r>
      <w:r w:rsidRPr="00876EA8">
        <w:rPr>
          <w:rFonts w:eastAsiaTheme="minorEastAsia"/>
        </w:rPr>
        <w:t xml:space="preserve">, </w:t>
      </w:r>
      <w:r>
        <w:rPr>
          <w:rFonts w:eastAsiaTheme="minorEastAsia"/>
        </w:rPr>
        <w:t>en contribuant de manière décisive à la collaboration de l</w:t>
      </w:r>
      <w:r w:rsidR="00BC7CFD">
        <w:rPr>
          <w:rFonts w:eastAsiaTheme="minorEastAsia"/>
        </w:rPr>
        <w:t>'</w:t>
      </w:r>
      <w:r>
        <w:rPr>
          <w:rFonts w:eastAsiaTheme="minorEastAsia"/>
        </w:rPr>
        <w:t>UIT avec les parties</w:t>
      </w:r>
      <w:r w:rsidR="00D86C79">
        <w:rPr>
          <w:rFonts w:eastAsiaTheme="minorEastAsia"/>
        </w:rPr>
        <w:t> </w:t>
      </w:r>
      <w:r>
        <w:rPr>
          <w:rFonts w:eastAsiaTheme="minorEastAsia"/>
        </w:rPr>
        <w:t xml:space="preserve">prenantes </w:t>
      </w:r>
      <w:r w:rsidRPr="00876EA8">
        <w:rPr>
          <w:rFonts w:eastAsiaTheme="minorEastAsia"/>
        </w:rPr>
        <w:t>local</w:t>
      </w:r>
      <w:r>
        <w:rPr>
          <w:rFonts w:eastAsiaTheme="minorEastAsia"/>
        </w:rPr>
        <w:t>es</w:t>
      </w:r>
      <w:r w:rsidRPr="00876EA8">
        <w:rPr>
          <w:rFonts w:eastAsiaTheme="minorEastAsia"/>
        </w:rPr>
        <w:t xml:space="preserve"> </w:t>
      </w:r>
      <w:r>
        <w:rPr>
          <w:rFonts w:eastAsiaTheme="minorEastAsia"/>
        </w:rPr>
        <w:t xml:space="preserve">et les </w:t>
      </w:r>
      <w:r w:rsidRPr="00876EA8">
        <w:rPr>
          <w:rFonts w:eastAsiaTheme="minorEastAsia"/>
        </w:rPr>
        <w:t>go</w:t>
      </w:r>
      <w:r>
        <w:rPr>
          <w:rFonts w:eastAsiaTheme="minorEastAsia"/>
        </w:rPr>
        <w:t>u</w:t>
      </w:r>
      <w:r w:rsidRPr="00876EA8">
        <w:rPr>
          <w:rFonts w:eastAsiaTheme="minorEastAsia"/>
        </w:rPr>
        <w:t>vern</w:t>
      </w:r>
      <w:r>
        <w:rPr>
          <w:rFonts w:eastAsiaTheme="minorEastAsia"/>
        </w:rPr>
        <w:t>e</w:t>
      </w:r>
      <w:r w:rsidRPr="00876EA8">
        <w:rPr>
          <w:rFonts w:eastAsiaTheme="minorEastAsia"/>
        </w:rPr>
        <w:t xml:space="preserve">ments. </w:t>
      </w:r>
      <w:r w:rsidRPr="00DB0A57">
        <w:rPr>
          <w:rFonts w:eastAsiaTheme="minorEastAsia"/>
        </w:rPr>
        <w:t xml:space="preserve">Un rapport détaillé sur la mise </w:t>
      </w:r>
      <w:r>
        <w:rPr>
          <w:rFonts w:eastAsiaTheme="minorEastAsia"/>
        </w:rPr>
        <w:t xml:space="preserve">en œuvre du </w:t>
      </w:r>
      <w:r w:rsidRPr="00876EA8">
        <w:rPr>
          <w:rFonts w:eastAsiaTheme="minorEastAsia"/>
        </w:rPr>
        <w:t>Plan</w:t>
      </w:r>
      <w:r w:rsidR="00D86C79">
        <w:rPr>
          <w:rFonts w:eastAsiaTheme="minorEastAsia"/>
        </w:rPr>
        <w:t> </w:t>
      </w:r>
      <w:r>
        <w:rPr>
          <w:rFonts w:eastAsiaTheme="minorEastAsia"/>
        </w:rPr>
        <w:t>d</w:t>
      </w:r>
      <w:r w:rsidR="00BC7CFD">
        <w:rPr>
          <w:rFonts w:eastAsiaTheme="minorEastAsia"/>
        </w:rPr>
        <w:t>'</w:t>
      </w:r>
      <w:r>
        <w:rPr>
          <w:rFonts w:eastAsiaTheme="minorEastAsia"/>
        </w:rPr>
        <w:t>action de Kigali</w:t>
      </w:r>
      <w:r w:rsidRPr="00876EA8">
        <w:rPr>
          <w:rFonts w:eastAsiaTheme="minorEastAsia"/>
        </w:rPr>
        <w:t>,</w:t>
      </w:r>
      <w:r>
        <w:rPr>
          <w:rFonts w:eastAsiaTheme="minorEastAsia"/>
        </w:rPr>
        <w:t xml:space="preserve"> sur</w:t>
      </w:r>
      <w:r w:rsidRPr="00876EA8">
        <w:rPr>
          <w:rFonts w:eastAsiaTheme="minorEastAsia"/>
        </w:rPr>
        <w:t xml:space="preserve"> </w:t>
      </w:r>
      <w:r>
        <w:rPr>
          <w:rFonts w:eastAsiaTheme="minorEastAsia"/>
        </w:rPr>
        <w:t>la contribution du Secteur du développement des télécommunications de l</w:t>
      </w:r>
      <w:r w:rsidR="00BC7CFD">
        <w:rPr>
          <w:rFonts w:eastAsiaTheme="minorEastAsia"/>
        </w:rPr>
        <w:t>'</w:t>
      </w:r>
      <w:r>
        <w:rPr>
          <w:rFonts w:eastAsiaTheme="minorEastAsia"/>
        </w:rPr>
        <w:t xml:space="preserve">UIT (UIT-D) au </w:t>
      </w:r>
      <w:r w:rsidR="00715C5F">
        <w:rPr>
          <w:rFonts w:eastAsiaTheme="minorEastAsia"/>
        </w:rPr>
        <w:t>P</w:t>
      </w:r>
      <w:r>
        <w:rPr>
          <w:rFonts w:eastAsiaTheme="minorEastAsia"/>
        </w:rPr>
        <w:t>lan stratégique de l</w:t>
      </w:r>
      <w:r w:rsidR="00BC7CFD">
        <w:rPr>
          <w:rFonts w:eastAsiaTheme="minorEastAsia"/>
        </w:rPr>
        <w:t>'</w:t>
      </w:r>
      <w:r>
        <w:rPr>
          <w:rFonts w:eastAsiaTheme="minorEastAsia"/>
        </w:rPr>
        <w:t>Union et sur la mise en œuvre des i</w:t>
      </w:r>
      <w:r w:rsidRPr="00876EA8">
        <w:rPr>
          <w:rFonts w:eastAsiaTheme="minorEastAsia"/>
        </w:rPr>
        <w:t xml:space="preserve">nitiatives </w:t>
      </w:r>
      <w:r>
        <w:rPr>
          <w:rFonts w:eastAsiaTheme="minorEastAsia"/>
        </w:rPr>
        <w:t xml:space="preserve">régionales a été publié sous la cote </w:t>
      </w:r>
      <w:hyperlink r:id="rId21">
        <w:proofErr w:type="spellStart"/>
        <w:r w:rsidRPr="00876EA8">
          <w:rPr>
            <w:rStyle w:val="Hyperlink"/>
            <w:rFonts w:eastAsiaTheme="minorEastAsia"/>
          </w:rPr>
          <w:t>WTDC-25</w:t>
        </w:r>
        <w:proofErr w:type="spellEnd"/>
        <w:r w:rsidRPr="00876EA8">
          <w:rPr>
            <w:rStyle w:val="Hyperlink"/>
            <w:rFonts w:eastAsiaTheme="minorEastAsia"/>
          </w:rPr>
          <w:t>/2</w:t>
        </w:r>
      </w:hyperlink>
      <w:r w:rsidRPr="00876EA8">
        <w:rPr>
          <w:rFonts w:eastAsiaTheme="minorEastAsia"/>
        </w:rPr>
        <w:t>.</w:t>
      </w:r>
    </w:p>
    <w:p w14:paraId="574F5FC4" w14:textId="4168E7B3" w:rsidR="00455256" w:rsidRPr="009E5AB1" w:rsidRDefault="00455256" w:rsidP="009835A2">
      <w:pPr>
        <w:pStyle w:val="Heading2"/>
      </w:pPr>
      <w:r w:rsidRPr="009E5AB1">
        <w:t>2.1</w:t>
      </w:r>
      <w:r w:rsidRPr="009E5AB1">
        <w:tab/>
        <w:t>Forums régionaux sur le développement (RDF)</w:t>
      </w:r>
    </w:p>
    <w:p w14:paraId="1B19BBD2" w14:textId="6D0061E9" w:rsidR="00455256" w:rsidRPr="009E5AB1" w:rsidRDefault="00455256" w:rsidP="002F29A9">
      <w:pPr>
        <w:jc w:val="both"/>
      </w:pPr>
      <w:r>
        <w:t>2.1.1</w:t>
      </w:r>
      <w:r w:rsidR="009835A2">
        <w:tab/>
      </w:r>
      <w:r>
        <w:t xml:space="preserve">Entre février et avril </w:t>
      </w:r>
      <w:r w:rsidRPr="009E5AB1">
        <w:t xml:space="preserve">2025, </w:t>
      </w:r>
      <w:r>
        <w:t xml:space="preserve">le BDT a organisé six </w:t>
      </w:r>
      <w:r w:rsidRPr="009E5AB1">
        <w:t>forums régionaux sur le développement</w:t>
      </w:r>
      <w:r>
        <w:t>, qui ont eu lieu</w:t>
      </w:r>
      <w:r w:rsidRPr="009E5AB1">
        <w:t xml:space="preserve"> juste avant les réunions préparatoires régionales </w:t>
      </w:r>
      <w:r>
        <w:t>de l</w:t>
      </w:r>
      <w:r w:rsidR="00BC7CFD">
        <w:t>'</w:t>
      </w:r>
      <w:r>
        <w:t xml:space="preserve">UIT </w:t>
      </w:r>
      <w:r w:rsidRPr="009E5AB1">
        <w:t>en</w:t>
      </w:r>
      <w:r w:rsidR="00D86C79">
        <w:t> </w:t>
      </w:r>
      <w:r w:rsidRPr="009E5AB1">
        <w:t xml:space="preserve">vue de la </w:t>
      </w:r>
      <w:proofErr w:type="spellStart"/>
      <w:r w:rsidRPr="009E5AB1">
        <w:t>CMDT</w:t>
      </w:r>
      <w:proofErr w:type="spellEnd"/>
      <w:r w:rsidR="002F29A9">
        <w:noBreakHyphen/>
      </w:r>
      <w:r w:rsidRPr="009E5AB1">
        <w:t xml:space="preserve">25, comme indiqué dans le </w:t>
      </w:r>
      <w:r>
        <w:t>Ta</w:t>
      </w:r>
      <w:r w:rsidRPr="009E5AB1">
        <w:t xml:space="preserve">bleau </w:t>
      </w:r>
      <w:r>
        <w:t xml:space="preserve">1 </w:t>
      </w:r>
      <w:r w:rsidRPr="009E5AB1">
        <w:t>ci-</w:t>
      </w:r>
      <w:proofErr w:type="gramStart"/>
      <w:r w:rsidRPr="009E5AB1">
        <w:t>dessous:</w:t>
      </w:r>
      <w:proofErr w:type="gramEnd"/>
    </w:p>
    <w:p w14:paraId="553F12D6" w14:textId="77777777" w:rsidR="00455256" w:rsidRPr="009E5AB1" w:rsidRDefault="00455256" w:rsidP="00455256">
      <w:pPr>
        <w:pStyle w:val="TableNo"/>
      </w:pPr>
      <w:r w:rsidRPr="009E5AB1">
        <w:lastRenderedPageBreak/>
        <w:t>Tableau 1</w:t>
      </w:r>
    </w:p>
    <w:p w14:paraId="6FC28F34" w14:textId="77777777" w:rsidR="00455256" w:rsidRDefault="00455256" w:rsidP="00455256">
      <w:pPr>
        <w:pStyle w:val="Tabletitle"/>
        <w:rPr>
          <w:bCs/>
        </w:rPr>
      </w:pPr>
      <w:r w:rsidRPr="009E5AB1">
        <w:rPr>
          <w:bCs/>
        </w:rPr>
        <w:t>Dates et lieux des RDF organisés en 2025</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849"/>
        <w:gridCol w:w="1849"/>
        <w:gridCol w:w="1967"/>
        <w:gridCol w:w="1731"/>
      </w:tblGrid>
      <w:tr w:rsidR="00D86C79" w:rsidRPr="00814F4D" w14:paraId="7ADA90E9" w14:textId="77777777" w:rsidTr="00D86C79">
        <w:trPr>
          <w:cantSplit/>
          <w:tblHeader/>
          <w:jc w:val="center"/>
        </w:trPr>
        <w:tc>
          <w:tcPr>
            <w:tcW w:w="1849" w:type="dxa"/>
          </w:tcPr>
          <w:p w14:paraId="3CF00C9A" w14:textId="1744E407" w:rsidR="00D86C79" w:rsidRPr="004F798A" w:rsidRDefault="00D86C79" w:rsidP="00D86C79">
            <w:pPr>
              <w:pStyle w:val="Tablehead"/>
            </w:pPr>
            <w:r w:rsidRPr="009E5AB1">
              <w:t>Région</w:t>
            </w:r>
          </w:p>
        </w:tc>
        <w:tc>
          <w:tcPr>
            <w:tcW w:w="1849" w:type="dxa"/>
          </w:tcPr>
          <w:p w14:paraId="60205446" w14:textId="3B63E289" w:rsidR="00D86C79" w:rsidRPr="004F798A" w:rsidRDefault="00D86C79" w:rsidP="00D86C79">
            <w:pPr>
              <w:pStyle w:val="Tablehead"/>
            </w:pPr>
            <w:r w:rsidRPr="009E5AB1">
              <w:t>Dates</w:t>
            </w:r>
          </w:p>
        </w:tc>
        <w:tc>
          <w:tcPr>
            <w:tcW w:w="1967" w:type="dxa"/>
          </w:tcPr>
          <w:p w14:paraId="534DE396" w14:textId="66027796" w:rsidR="00D86C79" w:rsidRPr="004F798A" w:rsidRDefault="00D86C79" w:rsidP="00D86C79">
            <w:pPr>
              <w:pStyle w:val="Tablehead"/>
            </w:pPr>
            <w:r w:rsidRPr="009E5AB1">
              <w:t>Ville d'accueil et pays hôte</w:t>
            </w:r>
          </w:p>
        </w:tc>
        <w:tc>
          <w:tcPr>
            <w:tcW w:w="1731" w:type="dxa"/>
          </w:tcPr>
          <w:p w14:paraId="6E20C961" w14:textId="6ADDB9C6" w:rsidR="00D86C79" w:rsidRPr="004F798A" w:rsidRDefault="00D86C79" w:rsidP="00D86C79">
            <w:pPr>
              <w:pStyle w:val="Tablehead"/>
            </w:pPr>
            <w:r>
              <w:t>Site web</w:t>
            </w:r>
          </w:p>
        </w:tc>
      </w:tr>
      <w:tr w:rsidR="00D86C79" w:rsidRPr="002A2054" w14:paraId="7495BFBB" w14:textId="77777777" w:rsidTr="00D86C79">
        <w:trPr>
          <w:cantSplit/>
          <w:jc w:val="center"/>
        </w:trPr>
        <w:tc>
          <w:tcPr>
            <w:tcW w:w="1849" w:type="dxa"/>
          </w:tcPr>
          <w:p w14:paraId="2DF63275" w14:textId="0424B794" w:rsidR="00D86C79" w:rsidRPr="002A2054" w:rsidRDefault="00D86C79" w:rsidP="00D86C79">
            <w:pPr>
              <w:pStyle w:val="Tabletext"/>
              <w:jc w:val="center"/>
            </w:pPr>
            <w:hyperlink r:id="rId22" w:anchor="/fr" w:history="1">
              <w:r w:rsidRPr="009835A2">
                <w:rPr>
                  <w:rStyle w:val="Hyperlink"/>
                  <w:color w:val="auto"/>
                </w:rPr>
                <w:t>RDF</w:t>
              </w:r>
            </w:hyperlink>
            <w:r w:rsidRPr="009835A2">
              <w:t>-ARB</w:t>
            </w:r>
          </w:p>
        </w:tc>
        <w:tc>
          <w:tcPr>
            <w:tcW w:w="1849" w:type="dxa"/>
          </w:tcPr>
          <w:p w14:paraId="58FA7710" w14:textId="0BAA3A85" w:rsidR="00D86C79" w:rsidRPr="002A2054" w:rsidRDefault="00D86C79" w:rsidP="00D86C79">
            <w:pPr>
              <w:pStyle w:val="Tabletext"/>
              <w:jc w:val="center"/>
            </w:pPr>
            <w:r w:rsidRPr="009835A2">
              <w:t>3 février 2025</w:t>
            </w:r>
          </w:p>
        </w:tc>
        <w:tc>
          <w:tcPr>
            <w:tcW w:w="1967" w:type="dxa"/>
          </w:tcPr>
          <w:p w14:paraId="1BB6825F" w14:textId="68725F58" w:rsidR="00D86C79" w:rsidRPr="002A2054" w:rsidRDefault="00D86C79" w:rsidP="00BC7CFD">
            <w:pPr>
              <w:pStyle w:val="Tabletext"/>
            </w:pPr>
            <w:r w:rsidRPr="009835A2">
              <w:t>Amman (Jordanie)</w:t>
            </w:r>
          </w:p>
        </w:tc>
        <w:tc>
          <w:tcPr>
            <w:tcW w:w="1731" w:type="dxa"/>
          </w:tcPr>
          <w:p w14:paraId="43B43D05" w14:textId="2FC00698" w:rsidR="00D86C79" w:rsidRPr="00D86C79" w:rsidRDefault="00D86C79" w:rsidP="00BC7CFD">
            <w:pPr>
              <w:pStyle w:val="Tabletext"/>
              <w:rPr>
                <w:rStyle w:val="Hyperlink"/>
                <w:color w:val="auto"/>
              </w:rPr>
            </w:pPr>
            <w:hyperlink r:id="rId23" w:anchor="/fr" w:history="1">
              <w:r w:rsidRPr="00D86C79">
                <w:rPr>
                  <w:rStyle w:val="Hyperlink"/>
                </w:rPr>
                <w:t>Page de la manifestation</w:t>
              </w:r>
            </w:hyperlink>
          </w:p>
        </w:tc>
      </w:tr>
      <w:tr w:rsidR="00D86C79" w:rsidRPr="002A2054" w14:paraId="38DCA977" w14:textId="77777777" w:rsidTr="00D86C79">
        <w:trPr>
          <w:cantSplit/>
          <w:jc w:val="center"/>
        </w:trPr>
        <w:tc>
          <w:tcPr>
            <w:tcW w:w="1849" w:type="dxa"/>
          </w:tcPr>
          <w:p w14:paraId="2FE95DC0" w14:textId="2726DD78" w:rsidR="00D86C79" w:rsidRPr="002A2054" w:rsidRDefault="00D86C79" w:rsidP="00D86C79">
            <w:pPr>
              <w:pStyle w:val="Tabletext"/>
              <w:jc w:val="center"/>
            </w:pPr>
            <w:hyperlink r:id="rId24" w:anchor="/fr" w:history="1">
              <w:r w:rsidRPr="009835A2">
                <w:rPr>
                  <w:rStyle w:val="Hyperlink"/>
                  <w:color w:val="auto"/>
                </w:rPr>
                <w:t>RDF</w:t>
              </w:r>
            </w:hyperlink>
            <w:r w:rsidRPr="009835A2">
              <w:t>-EUR</w:t>
            </w:r>
          </w:p>
        </w:tc>
        <w:tc>
          <w:tcPr>
            <w:tcW w:w="1849" w:type="dxa"/>
          </w:tcPr>
          <w:p w14:paraId="26BE491F" w14:textId="5A7E9B4A" w:rsidR="00D86C79" w:rsidRPr="002A2054" w:rsidRDefault="00D86C79" w:rsidP="00D86C79">
            <w:pPr>
              <w:pStyle w:val="Tabletext"/>
              <w:jc w:val="center"/>
            </w:pPr>
            <w:r w:rsidRPr="009835A2">
              <w:t>24 février 2025</w:t>
            </w:r>
          </w:p>
        </w:tc>
        <w:tc>
          <w:tcPr>
            <w:tcW w:w="1967" w:type="dxa"/>
          </w:tcPr>
          <w:p w14:paraId="6D07F0D7" w14:textId="2BAD69BE" w:rsidR="00D86C79" w:rsidRPr="002A2054" w:rsidRDefault="00D86C79" w:rsidP="00BC7CFD">
            <w:pPr>
              <w:pStyle w:val="Tabletext"/>
            </w:pPr>
            <w:r w:rsidRPr="009835A2">
              <w:t>Budapest (Hongrie)</w:t>
            </w:r>
          </w:p>
        </w:tc>
        <w:tc>
          <w:tcPr>
            <w:tcW w:w="1731" w:type="dxa"/>
          </w:tcPr>
          <w:p w14:paraId="64AF6C5A" w14:textId="076ECF10" w:rsidR="00D86C79" w:rsidRPr="00D86C79" w:rsidRDefault="00D86C79" w:rsidP="00BC7CFD">
            <w:pPr>
              <w:pStyle w:val="Tabletext"/>
              <w:rPr>
                <w:rStyle w:val="Hyperlink"/>
                <w:color w:val="auto"/>
              </w:rPr>
            </w:pPr>
            <w:hyperlink r:id="rId25" w:anchor="/fr" w:history="1">
              <w:r w:rsidRPr="00D86C79">
                <w:rPr>
                  <w:rStyle w:val="Hyperlink"/>
                </w:rPr>
                <w:t>Page de la manifestation</w:t>
              </w:r>
            </w:hyperlink>
          </w:p>
        </w:tc>
      </w:tr>
      <w:tr w:rsidR="00D86C79" w:rsidRPr="002A2054" w14:paraId="69863335" w14:textId="77777777" w:rsidTr="00D86C79">
        <w:trPr>
          <w:cantSplit/>
          <w:jc w:val="center"/>
        </w:trPr>
        <w:tc>
          <w:tcPr>
            <w:tcW w:w="1849" w:type="dxa"/>
          </w:tcPr>
          <w:p w14:paraId="045DFBDF" w14:textId="417408B4" w:rsidR="00D86C79" w:rsidRPr="002A2054" w:rsidRDefault="00D86C79" w:rsidP="00D86C79">
            <w:pPr>
              <w:pStyle w:val="Tabletext"/>
              <w:jc w:val="center"/>
            </w:pPr>
            <w:hyperlink r:id="rId26" w:anchor="/fr" w:history="1">
              <w:r w:rsidRPr="009835A2">
                <w:rPr>
                  <w:rStyle w:val="Hyperlink"/>
                  <w:color w:val="auto"/>
                </w:rPr>
                <w:t>RDF</w:t>
              </w:r>
            </w:hyperlink>
            <w:r w:rsidRPr="009835A2">
              <w:t>-ASP</w:t>
            </w:r>
          </w:p>
        </w:tc>
        <w:tc>
          <w:tcPr>
            <w:tcW w:w="1849" w:type="dxa"/>
          </w:tcPr>
          <w:p w14:paraId="249451FC" w14:textId="66212C47" w:rsidR="00D86C79" w:rsidRPr="002A2054" w:rsidRDefault="00D86C79" w:rsidP="00D86C79">
            <w:pPr>
              <w:pStyle w:val="Tabletext"/>
              <w:jc w:val="center"/>
            </w:pPr>
            <w:r w:rsidRPr="009835A2">
              <w:t>19 mars 2025</w:t>
            </w:r>
          </w:p>
        </w:tc>
        <w:tc>
          <w:tcPr>
            <w:tcW w:w="1967" w:type="dxa"/>
          </w:tcPr>
          <w:p w14:paraId="6919FE52" w14:textId="750D1C1E" w:rsidR="00D86C79" w:rsidRPr="002A2054" w:rsidRDefault="00D86C79" w:rsidP="00BC7CFD">
            <w:pPr>
              <w:pStyle w:val="Tabletext"/>
            </w:pPr>
            <w:r w:rsidRPr="009835A2">
              <w:t>Bangkok (Thaïlande)</w:t>
            </w:r>
          </w:p>
        </w:tc>
        <w:tc>
          <w:tcPr>
            <w:tcW w:w="1731" w:type="dxa"/>
          </w:tcPr>
          <w:p w14:paraId="253E7E76" w14:textId="13C15AEF" w:rsidR="00D86C79" w:rsidRPr="00D86C79" w:rsidRDefault="00D86C79" w:rsidP="00BC7CFD">
            <w:pPr>
              <w:pStyle w:val="Tabletext"/>
              <w:rPr>
                <w:rStyle w:val="Hyperlink"/>
                <w:color w:val="auto"/>
              </w:rPr>
            </w:pPr>
            <w:hyperlink r:id="rId27" w:anchor="/fr" w:history="1">
              <w:r w:rsidRPr="00D86C79">
                <w:rPr>
                  <w:rStyle w:val="Hyperlink"/>
                </w:rPr>
                <w:t>Page de la manifestation</w:t>
              </w:r>
            </w:hyperlink>
          </w:p>
        </w:tc>
      </w:tr>
      <w:tr w:rsidR="00D86C79" w:rsidRPr="002A2054" w14:paraId="59EBD3E8" w14:textId="77777777" w:rsidTr="00D86C79">
        <w:trPr>
          <w:cantSplit/>
          <w:jc w:val="center"/>
        </w:trPr>
        <w:tc>
          <w:tcPr>
            <w:tcW w:w="1849" w:type="dxa"/>
          </w:tcPr>
          <w:p w14:paraId="5C6756E3" w14:textId="01F7D94D" w:rsidR="00D86C79" w:rsidRPr="002A2054" w:rsidRDefault="00D86C79" w:rsidP="00D86C79">
            <w:pPr>
              <w:pStyle w:val="Tabletext"/>
              <w:jc w:val="center"/>
            </w:pPr>
            <w:hyperlink r:id="rId28" w:anchor="/fr" w:history="1">
              <w:r w:rsidRPr="009835A2">
                <w:rPr>
                  <w:rStyle w:val="Hyperlink"/>
                  <w:color w:val="auto"/>
                </w:rPr>
                <w:t>RDF</w:t>
              </w:r>
            </w:hyperlink>
            <w:r w:rsidRPr="009835A2">
              <w:t>-AMS</w:t>
            </w:r>
          </w:p>
        </w:tc>
        <w:tc>
          <w:tcPr>
            <w:tcW w:w="1849" w:type="dxa"/>
          </w:tcPr>
          <w:p w14:paraId="037D2C1E" w14:textId="7855C822" w:rsidR="00D86C79" w:rsidRPr="002A2054" w:rsidRDefault="00D86C79" w:rsidP="00D86C79">
            <w:pPr>
              <w:pStyle w:val="Tabletext"/>
              <w:jc w:val="center"/>
            </w:pPr>
            <w:r w:rsidRPr="009835A2">
              <w:t>31 mars 2025</w:t>
            </w:r>
          </w:p>
        </w:tc>
        <w:tc>
          <w:tcPr>
            <w:tcW w:w="1967" w:type="dxa"/>
          </w:tcPr>
          <w:p w14:paraId="741232B8" w14:textId="25167E10" w:rsidR="00D86C79" w:rsidRPr="002A2054" w:rsidRDefault="00D86C79" w:rsidP="00BC7CFD">
            <w:pPr>
              <w:pStyle w:val="Tabletext"/>
            </w:pPr>
            <w:r w:rsidRPr="009835A2">
              <w:t>Asunción (Paraguay)</w:t>
            </w:r>
          </w:p>
        </w:tc>
        <w:tc>
          <w:tcPr>
            <w:tcW w:w="1731" w:type="dxa"/>
          </w:tcPr>
          <w:p w14:paraId="7930A30B" w14:textId="5E018A87" w:rsidR="00D86C79" w:rsidRPr="00D86C79" w:rsidRDefault="00D86C79" w:rsidP="00BC7CFD">
            <w:pPr>
              <w:pStyle w:val="Tabletext"/>
              <w:rPr>
                <w:rStyle w:val="Hyperlink"/>
                <w:color w:val="auto"/>
              </w:rPr>
            </w:pPr>
            <w:hyperlink r:id="rId29" w:anchor="/fr" w:history="1">
              <w:r w:rsidRPr="00D86C79">
                <w:rPr>
                  <w:rStyle w:val="Hyperlink"/>
                </w:rPr>
                <w:t>Page de la manifestation</w:t>
              </w:r>
            </w:hyperlink>
          </w:p>
        </w:tc>
      </w:tr>
      <w:tr w:rsidR="00D86C79" w:rsidRPr="002A2054" w14:paraId="13EBA031" w14:textId="77777777" w:rsidTr="00D86C79">
        <w:trPr>
          <w:cantSplit/>
          <w:jc w:val="center"/>
        </w:trPr>
        <w:tc>
          <w:tcPr>
            <w:tcW w:w="1849" w:type="dxa"/>
          </w:tcPr>
          <w:p w14:paraId="472D4F4F" w14:textId="6CDE5EAD" w:rsidR="00D86C79" w:rsidRPr="002A2054" w:rsidRDefault="00D86C79" w:rsidP="00D86C79">
            <w:pPr>
              <w:pStyle w:val="Tabletext"/>
              <w:jc w:val="center"/>
            </w:pPr>
            <w:hyperlink r:id="rId30" w:anchor="/fr" w:history="1">
              <w:r w:rsidRPr="009835A2">
                <w:rPr>
                  <w:rStyle w:val="Hyperlink"/>
                  <w:color w:val="auto"/>
                </w:rPr>
                <w:t>RDF</w:t>
              </w:r>
            </w:hyperlink>
            <w:r w:rsidRPr="009835A2">
              <w:t>-</w:t>
            </w:r>
            <w:proofErr w:type="spellStart"/>
            <w:r w:rsidRPr="009835A2">
              <w:t>AFR</w:t>
            </w:r>
            <w:proofErr w:type="spellEnd"/>
          </w:p>
        </w:tc>
        <w:tc>
          <w:tcPr>
            <w:tcW w:w="1849" w:type="dxa"/>
          </w:tcPr>
          <w:p w14:paraId="30487659" w14:textId="05BAFE5B" w:rsidR="00D86C79" w:rsidRPr="002A2054" w:rsidRDefault="00D86C79" w:rsidP="00D86C79">
            <w:pPr>
              <w:pStyle w:val="Tabletext"/>
              <w:jc w:val="center"/>
            </w:pPr>
            <w:r w:rsidRPr="009835A2">
              <w:t>7 avril 2025</w:t>
            </w:r>
          </w:p>
        </w:tc>
        <w:tc>
          <w:tcPr>
            <w:tcW w:w="1967" w:type="dxa"/>
          </w:tcPr>
          <w:p w14:paraId="66F0F658" w14:textId="6AF66F23" w:rsidR="00D86C79" w:rsidRPr="002A2054" w:rsidRDefault="00D86C79" w:rsidP="00BC7CFD">
            <w:pPr>
              <w:pStyle w:val="Tabletext"/>
            </w:pPr>
            <w:r w:rsidRPr="009835A2">
              <w:t>Nairobi (Kenya)</w:t>
            </w:r>
          </w:p>
        </w:tc>
        <w:tc>
          <w:tcPr>
            <w:tcW w:w="1731" w:type="dxa"/>
          </w:tcPr>
          <w:p w14:paraId="452768C8" w14:textId="21AB575C" w:rsidR="00D86C79" w:rsidRPr="00D86C79" w:rsidRDefault="00D86C79" w:rsidP="00BC7CFD">
            <w:pPr>
              <w:pStyle w:val="Tabletext"/>
              <w:rPr>
                <w:rStyle w:val="Hyperlink"/>
                <w:color w:val="auto"/>
              </w:rPr>
            </w:pPr>
            <w:hyperlink r:id="rId31" w:anchor="/fr" w:history="1">
              <w:r w:rsidRPr="00D86C79">
                <w:rPr>
                  <w:rStyle w:val="Hyperlink"/>
                </w:rPr>
                <w:t>Page de la manifestation</w:t>
              </w:r>
            </w:hyperlink>
          </w:p>
        </w:tc>
      </w:tr>
      <w:tr w:rsidR="00D86C79" w:rsidRPr="002A2054" w14:paraId="139D1D79" w14:textId="77777777" w:rsidTr="00D86C79">
        <w:trPr>
          <w:cantSplit/>
          <w:jc w:val="center"/>
        </w:trPr>
        <w:tc>
          <w:tcPr>
            <w:tcW w:w="1849" w:type="dxa"/>
          </w:tcPr>
          <w:p w14:paraId="516D41FB" w14:textId="62B9B303" w:rsidR="00D86C79" w:rsidRPr="002A2054" w:rsidRDefault="00D86C79" w:rsidP="00D86C79">
            <w:pPr>
              <w:pStyle w:val="Tabletext"/>
              <w:jc w:val="center"/>
            </w:pPr>
            <w:hyperlink r:id="rId32" w:anchor="/fr" w:history="1">
              <w:r w:rsidRPr="009835A2">
                <w:rPr>
                  <w:rStyle w:val="Hyperlink"/>
                  <w:color w:val="auto"/>
                </w:rPr>
                <w:t>RDF</w:t>
              </w:r>
            </w:hyperlink>
            <w:r w:rsidRPr="009835A2">
              <w:t>-CEI</w:t>
            </w:r>
          </w:p>
        </w:tc>
        <w:tc>
          <w:tcPr>
            <w:tcW w:w="1849" w:type="dxa"/>
          </w:tcPr>
          <w:p w14:paraId="67890D47" w14:textId="15A89BF3" w:rsidR="00D86C79" w:rsidRPr="002A2054" w:rsidRDefault="00D86C79" w:rsidP="00D86C79">
            <w:pPr>
              <w:pStyle w:val="Tabletext"/>
              <w:jc w:val="center"/>
            </w:pPr>
            <w:r w:rsidRPr="009835A2">
              <w:t>23 avril 2025</w:t>
            </w:r>
          </w:p>
        </w:tc>
        <w:tc>
          <w:tcPr>
            <w:tcW w:w="1967" w:type="dxa"/>
          </w:tcPr>
          <w:p w14:paraId="0FCF477E" w14:textId="69A6BCAF" w:rsidR="00D86C79" w:rsidRPr="002A2054" w:rsidRDefault="00D86C79" w:rsidP="00BC7CFD">
            <w:pPr>
              <w:pStyle w:val="Tabletext"/>
            </w:pPr>
            <w:r w:rsidRPr="009835A2">
              <w:t>Bichkek (Kirghizistan)</w:t>
            </w:r>
          </w:p>
        </w:tc>
        <w:tc>
          <w:tcPr>
            <w:tcW w:w="1731" w:type="dxa"/>
          </w:tcPr>
          <w:p w14:paraId="1DF6796D" w14:textId="212D5764" w:rsidR="00D86C79" w:rsidRPr="00D86C79" w:rsidRDefault="00D86C79" w:rsidP="00BC7CFD">
            <w:pPr>
              <w:pStyle w:val="Tabletext"/>
              <w:rPr>
                <w:rStyle w:val="Hyperlink"/>
                <w:color w:val="auto"/>
              </w:rPr>
            </w:pPr>
            <w:hyperlink r:id="rId33" w:anchor="/fr" w:history="1">
              <w:r w:rsidRPr="00D86C79">
                <w:rPr>
                  <w:rStyle w:val="Hyperlink"/>
                </w:rPr>
                <w:t>Page de la manifestation</w:t>
              </w:r>
            </w:hyperlink>
          </w:p>
        </w:tc>
      </w:tr>
    </w:tbl>
    <w:p w14:paraId="53434CB3" w14:textId="77777777" w:rsidR="002F29A9" w:rsidRDefault="002F29A9" w:rsidP="002F29A9">
      <w:pPr>
        <w:pStyle w:val="Tablefin"/>
      </w:pPr>
    </w:p>
    <w:p w14:paraId="1B85B24D" w14:textId="42B92167" w:rsidR="00455256" w:rsidRPr="00184420" w:rsidRDefault="00455256" w:rsidP="002F29A9">
      <w:pPr>
        <w:spacing w:before="240"/>
        <w:jc w:val="both"/>
      </w:pPr>
      <w:r w:rsidRPr="009E5AB1">
        <w:t>2.</w:t>
      </w:r>
      <w:r>
        <w:t>1.</w:t>
      </w:r>
      <w:r w:rsidRPr="009E5AB1">
        <w:t>2</w:t>
      </w:r>
      <w:r w:rsidR="009835A2">
        <w:tab/>
      </w:r>
      <w:r w:rsidRPr="00184420">
        <w:t xml:space="preserve">Les Forums régionaux sur le développement ont pour objectif de favoriser les partenariats </w:t>
      </w:r>
      <w:proofErr w:type="spellStart"/>
      <w:r w:rsidRPr="00184420">
        <w:t>multi-parties</w:t>
      </w:r>
      <w:proofErr w:type="spellEnd"/>
      <w:r w:rsidRPr="00184420">
        <w:t xml:space="preserve"> prenantes entre les États Membres, les entreprises, les établissements universitaires, la société civile, le système des Nations Unies et les organismes ou organisations de développement, régionaux ou internationaux, sur des questions liées aux télécommunications/TIC. Ils offrent un cadre pour la tenue de dialogues de haut niveau entre le BDT, les États Membres et les Membres</w:t>
      </w:r>
      <w:r w:rsidR="00AC1558">
        <w:t xml:space="preserve"> </w:t>
      </w:r>
      <w:r w:rsidRPr="00184420">
        <w:t>du Secteur de l'UIT-D, principalement sur la mise en œuvre des initiatives régionales et du Plan d'action de Kigali.</w:t>
      </w:r>
    </w:p>
    <w:p w14:paraId="7315EE57" w14:textId="75D3AA09" w:rsidR="00455256" w:rsidRPr="00DB0A57" w:rsidRDefault="00455256" w:rsidP="002F29A9">
      <w:pPr>
        <w:jc w:val="both"/>
        <w:rPr>
          <w:rFonts w:eastAsia="Aptos"/>
        </w:rPr>
      </w:pPr>
      <w:r w:rsidRPr="009218DA">
        <w:rPr>
          <w:rFonts w:eastAsia="Aptos"/>
        </w:rPr>
        <w:t>2.1.3</w:t>
      </w:r>
      <w:r w:rsidRPr="009218DA">
        <w:tab/>
      </w:r>
      <w:r w:rsidRPr="00DB0A57">
        <w:rPr>
          <w:rFonts w:eastAsia="Aptos"/>
        </w:rPr>
        <w:t>Les prochains forums régionaux sur le développement</w:t>
      </w:r>
      <w:r w:rsidRPr="009218DA">
        <w:rPr>
          <w:rFonts w:eastAsia="Aptos"/>
        </w:rPr>
        <w:t xml:space="preserve"> </w:t>
      </w:r>
      <w:r w:rsidRPr="00DB0A57">
        <w:rPr>
          <w:rFonts w:eastAsia="Aptos"/>
        </w:rPr>
        <w:t xml:space="preserve">prévus en </w:t>
      </w:r>
      <w:r w:rsidRPr="009218DA">
        <w:rPr>
          <w:rFonts w:eastAsia="Aptos"/>
        </w:rPr>
        <w:t xml:space="preserve">2026 </w:t>
      </w:r>
      <w:r>
        <w:rPr>
          <w:rFonts w:eastAsia="Aptos"/>
        </w:rPr>
        <w:t xml:space="preserve">sont indiqués dans le Tableau </w:t>
      </w:r>
      <w:r w:rsidRPr="009218DA">
        <w:rPr>
          <w:rFonts w:eastAsia="Aptos"/>
        </w:rPr>
        <w:t xml:space="preserve">2 </w:t>
      </w:r>
      <w:r>
        <w:rPr>
          <w:rFonts w:eastAsia="Aptos"/>
        </w:rPr>
        <w:t>ci-dessous</w:t>
      </w:r>
      <w:r w:rsidRPr="009218DA">
        <w:rPr>
          <w:rFonts w:eastAsia="Aptos"/>
        </w:rPr>
        <w:t xml:space="preserve">. </w:t>
      </w:r>
      <w:r w:rsidRPr="00DB0A57">
        <w:rPr>
          <w:rFonts w:eastAsia="Aptos"/>
        </w:rPr>
        <w:t>Ces forums sont essentiels à la mi</w:t>
      </w:r>
      <w:r>
        <w:rPr>
          <w:rFonts w:eastAsia="Aptos"/>
        </w:rPr>
        <w:t>se en œuvre du Plan d</w:t>
      </w:r>
      <w:r w:rsidR="00BC7CFD">
        <w:rPr>
          <w:rFonts w:eastAsia="Aptos"/>
        </w:rPr>
        <w:t>'</w:t>
      </w:r>
      <w:r>
        <w:rPr>
          <w:rFonts w:eastAsia="Aptos"/>
        </w:rPr>
        <w:t>a</w:t>
      </w:r>
      <w:r w:rsidRPr="009218DA">
        <w:rPr>
          <w:rFonts w:eastAsia="Aptos"/>
        </w:rPr>
        <w:t xml:space="preserve">ction </w:t>
      </w:r>
      <w:r>
        <w:rPr>
          <w:rFonts w:eastAsia="Aptos"/>
        </w:rPr>
        <w:t xml:space="preserve">de Bakou, adopté par la </w:t>
      </w:r>
      <w:proofErr w:type="spellStart"/>
      <w:r>
        <w:rPr>
          <w:rFonts w:eastAsia="Aptos"/>
        </w:rPr>
        <w:t>CMDT</w:t>
      </w:r>
      <w:proofErr w:type="spellEnd"/>
      <w:r w:rsidRPr="009218DA">
        <w:rPr>
          <w:rFonts w:eastAsia="Aptos"/>
        </w:rPr>
        <w:t>-25</w:t>
      </w:r>
      <w:r>
        <w:rPr>
          <w:rFonts w:eastAsia="Aptos"/>
        </w:rPr>
        <w:t>,</w:t>
      </w:r>
      <w:r w:rsidRPr="009218DA">
        <w:rPr>
          <w:rFonts w:eastAsia="Aptos"/>
        </w:rPr>
        <w:t xml:space="preserve"> </w:t>
      </w:r>
      <w:r>
        <w:rPr>
          <w:rFonts w:eastAsia="Aptos"/>
        </w:rPr>
        <w:t>et offrent un cadre propice au dialogue et à la collaboration stratégiques</w:t>
      </w:r>
      <w:r w:rsidRPr="009218DA">
        <w:rPr>
          <w:rFonts w:eastAsia="Aptos"/>
        </w:rPr>
        <w:t xml:space="preserve">. </w:t>
      </w:r>
      <w:r w:rsidRPr="00DB0A57">
        <w:rPr>
          <w:rFonts w:eastAsia="Aptos"/>
        </w:rPr>
        <w:t>De plus</w:t>
      </w:r>
      <w:r w:rsidRPr="00EA7F9C">
        <w:rPr>
          <w:rFonts w:eastAsia="Aptos"/>
        </w:rPr>
        <w:t xml:space="preserve">, </w:t>
      </w:r>
      <w:r w:rsidRPr="00DB0A57">
        <w:rPr>
          <w:rFonts w:eastAsia="Aptos"/>
        </w:rPr>
        <w:t>l</w:t>
      </w:r>
      <w:r w:rsidR="00BC7CFD">
        <w:rPr>
          <w:rFonts w:eastAsia="Aptos"/>
        </w:rPr>
        <w:t>'</w:t>
      </w:r>
      <w:r w:rsidRPr="00EA7F9C">
        <w:rPr>
          <w:rFonts w:eastAsia="Aptos"/>
        </w:rPr>
        <w:t xml:space="preserve">inclusion </w:t>
      </w:r>
      <w:r w:rsidRPr="00DB0A57">
        <w:rPr>
          <w:rFonts w:eastAsia="Aptos"/>
        </w:rPr>
        <w:t xml:space="preserve">de tables rondes de mise en relation est </w:t>
      </w:r>
      <w:r w:rsidRPr="00EA7F9C">
        <w:rPr>
          <w:rFonts w:eastAsia="Aptos"/>
        </w:rPr>
        <w:t>important</w:t>
      </w:r>
      <w:r>
        <w:rPr>
          <w:rFonts w:eastAsia="Aptos"/>
        </w:rPr>
        <w:t>e</w:t>
      </w:r>
      <w:r w:rsidRPr="00EA7F9C">
        <w:rPr>
          <w:rFonts w:eastAsia="Aptos"/>
        </w:rPr>
        <w:t xml:space="preserve"> </w:t>
      </w:r>
      <w:r>
        <w:rPr>
          <w:rFonts w:eastAsia="Aptos"/>
        </w:rPr>
        <w:t xml:space="preserve">pour forger des </w:t>
      </w:r>
      <w:r w:rsidRPr="00EA7F9C">
        <w:rPr>
          <w:rFonts w:eastAsia="Aptos"/>
        </w:rPr>
        <w:t>proje</w:t>
      </w:r>
      <w:r>
        <w:rPr>
          <w:rFonts w:eastAsia="Aptos"/>
        </w:rPr>
        <w:t>t</w:t>
      </w:r>
      <w:r w:rsidRPr="00EA7F9C">
        <w:rPr>
          <w:rFonts w:eastAsia="Aptos"/>
        </w:rPr>
        <w:t>s</w:t>
      </w:r>
      <w:r>
        <w:rPr>
          <w:rFonts w:eastAsia="Aptos"/>
        </w:rPr>
        <w:t xml:space="preserve"> durables</w:t>
      </w:r>
      <w:r w:rsidRPr="00EA7F9C">
        <w:rPr>
          <w:rFonts w:eastAsia="Aptos"/>
        </w:rPr>
        <w:t xml:space="preserve">, </w:t>
      </w:r>
      <w:r>
        <w:rPr>
          <w:rFonts w:eastAsia="Aptos"/>
        </w:rPr>
        <w:t>mettre en lien les partenaires et les ressources et promouvoir des activités de développement efficaces dans les régions</w:t>
      </w:r>
      <w:r w:rsidRPr="00EA7F9C">
        <w:rPr>
          <w:rFonts w:eastAsia="Aptos"/>
        </w:rPr>
        <w:t xml:space="preserve">. </w:t>
      </w:r>
      <w:r w:rsidRPr="00DB0A57">
        <w:rPr>
          <w:rFonts w:eastAsia="Aptos"/>
        </w:rPr>
        <w:t>En favorisant ces partenariats, les forums régionaux sur le dével</w:t>
      </w:r>
      <w:r>
        <w:rPr>
          <w:rFonts w:eastAsia="Aptos"/>
        </w:rPr>
        <w:t xml:space="preserve">oppement contribuent à garantir que les </w:t>
      </w:r>
      <w:r w:rsidRPr="00EA7F9C">
        <w:rPr>
          <w:rFonts w:eastAsia="Aptos"/>
        </w:rPr>
        <w:t xml:space="preserve">initiatives </w:t>
      </w:r>
      <w:r>
        <w:rPr>
          <w:rFonts w:eastAsia="Aptos"/>
        </w:rPr>
        <w:t xml:space="preserve">sont </w:t>
      </w:r>
      <w:r w:rsidRPr="00EA7F9C">
        <w:rPr>
          <w:rFonts w:eastAsia="Aptos"/>
        </w:rPr>
        <w:t>align</w:t>
      </w:r>
      <w:r>
        <w:rPr>
          <w:rFonts w:eastAsia="Aptos"/>
        </w:rPr>
        <w:t>ées sur les priorités régionales et concourent à la croissance et la transformation durables du secteur des TIC</w:t>
      </w:r>
      <w:r w:rsidRPr="00EA7F9C">
        <w:rPr>
          <w:rFonts w:eastAsia="Aptos"/>
        </w:rPr>
        <w:t>.</w:t>
      </w:r>
    </w:p>
    <w:p w14:paraId="6D023B41" w14:textId="77777777" w:rsidR="00455256" w:rsidRPr="006D3414" w:rsidRDefault="00455256" w:rsidP="001B6F6C">
      <w:pPr>
        <w:pStyle w:val="TableNo"/>
      </w:pPr>
      <w:r w:rsidRPr="006D3414">
        <w:lastRenderedPageBreak/>
        <w:t>Table</w:t>
      </w:r>
      <w:r w:rsidRPr="00DB0A57">
        <w:t>AU</w:t>
      </w:r>
      <w:r w:rsidRPr="006D3414">
        <w:t xml:space="preserve"> 2</w:t>
      </w:r>
    </w:p>
    <w:p w14:paraId="09A82B3F" w14:textId="77777777" w:rsidR="00455256" w:rsidRPr="006D3414" w:rsidRDefault="00455256" w:rsidP="001B6F6C">
      <w:pPr>
        <w:pStyle w:val="Tabletitle"/>
      </w:pPr>
      <w:r w:rsidRPr="006D3414">
        <w:t xml:space="preserve">Dates </w:t>
      </w:r>
      <w:r w:rsidRPr="00DB0A57">
        <w:t xml:space="preserve">et lieux </w:t>
      </w:r>
      <w:r>
        <w:t xml:space="preserve">des </w:t>
      </w:r>
      <w:r w:rsidRPr="006D3414">
        <w:t xml:space="preserve">RDF </w:t>
      </w:r>
      <w:r>
        <w:t xml:space="preserve">prévus en </w:t>
      </w:r>
      <w:r w:rsidRPr="006D3414">
        <w:t>2026</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980"/>
        <w:gridCol w:w="2906"/>
        <w:gridCol w:w="2906"/>
      </w:tblGrid>
      <w:tr w:rsidR="00455256" w:rsidRPr="00814F4D" w14:paraId="72E32031" w14:textId="77777777" w:rsidTr="00C20954">
        <w:trPr>
          <w:cantSplit/>
          <w:tblHeader/>
          <w:jc w:val="center"/>
        </w:trPr>
        <w:tc>
          <w:tcPr>
            <w:tcW w:w="1980" w:type="dxa"/>
            <w:vAlign w:val="center"/>
          </w:tcPr>
          <w:p w14:paraId="0D241A03" w14:textId="77777777" w:rsidR="00455256" w:rsidRPr="00814F4D" w:rsidRDefault="00455256" w:rsidP="001B6F6C">
            <w:pPr>
              <w:pStyle w:val="Tablehead"/>
              <w:rPr>
                <w:rFonts w:eastAsia="SimSun"/>
              </w:rPr>
            </w:pPr>
            <w:r w:rsidRPr="00814F4D">
              <w:t>R</w:t>
            </w:r>
            <w:r>
              <w:t>é</w:t>
            </w:r>
            <w:r w:rsidRPr="00814F4D">
              <w:t>gion</w:t>
            </w:r>
          </w:p>
        </w:tc>
        <w:tc>
          <w:tcPr>
            <w:tcW w:w="2906" w:type="dxa"/>
            <w:vAlign w:val="center"/>
          </w:tcPr>
          <w:p w14:paraId="3D06A335" w14:textId="77777777" w:rsidR="00455256" w:rsidRPr="00814F4D" w:rsidRDefault="00455256" w:rsidP="001B6F6C">
            <w:pPr>
              <w:pStyle w:val="Tablehead"/>
              <w:rPr>
                <w:rFonts w:eastAsia="SimSun"/>
              </w:rPr>
            </w:pPr>
            <w:r w:rsidRPr="00814F4D">
              <w:t>Dates</w:t>
            </w:r>
          </w:p>
        </w:tc>
        <w:tc>
          <w:tcPr>
            <w:tcW w:w="2906" w:type="dxa"/>
            <w:vAlign w:val="center"/>
          </w:tcPr>
          <w:p w14:paraId="42AFF1FC" w14:textId="2A9D4C67" w:rsidR="00455256" w:rsidRPr="00814F4D" w:rsidRDefault="00455256" w:rsidP="001B6F6C">
            <w:pPr>
              <w:pStyle w:val="Tablehead"/>
              <w:rPr>
                <w:rFonts w:eastAsia="SimSun"/>
              </w:rPr>
            </w:pPr>
            <w:r>
              <w:t>Ville d</w:t>
            </w:r>
            <w:r w:rsidR="00BC7CFD">
              <w:t>'</w:t>
            </w:r>
            <w:r>
              <w:t>accueil et pays hôte</w:t>
            </w:r>
          </w:p>
        </w:tc>
      </w:tr>
      <w:tr w:rsidR="00455256" w:rsidRPr="00814F4D" w14:paraId="6ED2281E" w14:textId="77777777" w:rsidTr="00C20954">
        <w:trPr>
          <w:cantSplit/>
          <w:jc w:val="center"/>
        </w:trPr>
        <w:tc>
          <w:tcPr>
            <w:tcW w:w="1980" w:type="dxa"/>
          </w:tcPr>
          <w:p w14:paraId="0E56FB3A" w14:textId="77777777" w:rsidR="00455256" w:rsidRPr="00541954" w:rsidRDefault="00455256" w:rsidP="001B6F6C">
            <w:pPr>
              <w:pStyle w:val="Tabletext"/>
              <w:keepNext/>
              <w:keepLines/>
              <w:jc w:val="center"/>
              <w:rPr>
                <w:rFonts w:eastAsia="SimSun"/>
              </w:rPr>
            </w:pPr>
            <w:r w:rsidRPr="00541954">
              <w:t>RDF-EUR</w:t>
            </w:r>
          </w:p>
        </w:tc>
        <w:tc>
          <w:tcPr>
            <w:tcW w:w="2906" w:type="dxa"/>
          </w:tcPr>
          <w:p w14:paraId="39F0AAA0" w14:textId="77777777" w:rsidR="00455256" w:rsidRPr="00814F4D" w:rsidRDefault="00455256" w:rsidP="001B6F6C">
            <w:pPr>
              <w:pStyle w:val="Tabletext"/>
              <w:keepNext/>
              <w:keepLines/>
              <w:jc w:val="center"/>
              <w:rPr>
                <w:rFonts w:eastAsia="SimSun"/>
              </w:rPr>
            </w:pPr>
            <w:r w:rsidRPr="00814F4D">
              <w:t xml:space="preserve">24 </w:t>
            </w:r>
            <w:r>
              <w:t>mars</w:t>
            </w:r>
            <w:r w:rsidRPr="00814F4D">
              <w:t xml:space="preserve"> 2026</w:t>
            </w:r>
          </w:p>
        </w:tc>
        <w:tc>
          <w:tcPr>
            <w:tcW w:w="2906" w:type="dxa"/>
          </w:tcPr>
          <w:p w14:paraId="60CE8BB2" w14:textId="77777777" w:rsidR="00455256" w:rsidRPr="00814F4D" w:rsidRDefault="00455256" w:rsidP="001B6F6C">
            <w:pPr>
              <w:pStyle w:val="Tabletext"/>
              <w:keepNext/>
              <w:keepLines/>
              <w:rPr>
                <w:rFonts w:eastAsia="SimSun"/>
              </w:rPr>
            </w:pPr>
            <w:r w:rsidRPr="00814F4D">
              <w:t xml:space="preserve">Prague </w:t>
            </w:r>
            <w:r>
              <w:t xml:space="preserve">(République tchèque) </w:t>
            </w:r>
          </w:p>
        </w:tc>
      </w:tr>
      <w:tr w:rsidR="00455256" w:rsidRPr="00814F4D" w14:paraId="18E6607E" w14:textId="77777777" w:rsidTr="00C20954">
        <w:trPr>
          <w:cantSplit/>
          <w:jc w:val="center"/>
        </w:trPr>
        <w:tc>
          <w:tcPr>
            <w:tcW w:w="1980" w:type="dxa"/>
          </w:tcPr>
          <w:p w14:paraId="0F59FBCA" w14:textId="77777777" w:rsidR="00455256" w:rsidRPr="00814F4D" w:rsidRDefault="00455256" w:rsidP="001B6F6C">
            <w:pPr>
              <w:pStyle w:val="Tabletext"/>
              <w:keepNext/>
              <w:keepLines/>
              <w:jc w:val="center"/>
              <w:rPr>
                <w:rFonts w:eastAsia="SimSun"/>
              </w:rPr>
            </w:pPr>
            <w:r w:rsidRPr="00814F4D">
              <w:t>RDF-</w:t>
            </w:r>
            <w:proofErr w:type="spellStart"/>
            <w:r w:rsidRPr="00814F4D">
              <w:t>AFR</w:t>
            </w:r>
            <w:proofErr w:type="spellEnd"/>
          </w:p>
        </w:tc>
        <w:tc>
          <w:tcPr>
            <w:tcW w:w="2906" w:type="dxa"/>
          </w:tcPr>
          <w:p w14:paraId="0A1D35A6" w14:textId="77777777" w:rsidR="00455256" w:rsidRPr="00814F4D" w:rsidRDefault="00455256" w:rsidP="001B6F6C">
            <w:pPr>
              <w:pStyle w:val="Tabletext"/>
              <w:keepNext/>
              <w:keepLines/>
              <w:jc w:val="center"/>
              <w:rPr>
                <w:rFonts w:eastAsia="SimSun"/>
              </w:rPr>
            </w:pPr>
            <w:r w:rsidRPr="00814F4D">
              <w:t>25</w:t>
            </w:r>
            <w:r>
              <w:t>-</w:t>
            </w:r>
            <w:r w:rsidRPr="00814F4D">
              <w:t xml:space="preserve">26 </w:t>
            </w:r>
            <w:r>
              <w:t xml:space="preserve">mai </w:t>
            </w:r>
            <w:r w:rsidRPr="00814F4D">
              <w:t>2026</w:t>
            </w:r>
          </w:p>
        </w:tc>
        <w:tc>
          <w:tcPr>
            <w:tcW w:w="2906" w:type="dxa"/>
          </w:tcPr>
          <w:p w14:paraId="1D9FDCCD" w14:textId="77777777" w:rsidR="00455256" w:rsidRPr="00814F4D" w:rsidRDefault="00455256" w:rsidP="001B6F6C">
            <w:pPr>
              <w:pStyle w:val="Tabletext"/>
              <w:keepNext/>
              <w:keepLines/>
              <w:rPr>
                <w:rFonts w:eastAsia="SimSun"/>
              </w:rPr>
            </w:pPr>
            <w:r w:rsidRPr="00814F4D">
              <w:t xml:space="preserve">Victoria Falls </w:t>
            </w:r>
            <w:r>
              <w:t>(</w:t>
            </w:r>
            <w:r w:rsidRPr="00814F4D">
              <w:t>Zimbabwe</w:t>
            </w:r>
            <w:r>
              <w:t>)</w:t>
            </w:r>
          </w:p>
        </w:tc>
      </w:tr>
      <w:tr w:rsidR="00455256" w:rsidRPr="00814F4D" w14:paraId="5544C926" w14:textId="77777777" w:rsidTr="00C20954">
        <w:trPr>
          <w:cantSplit/>
          <w:jc w:val="center"/>
        </w:trPr>
        <w:tc>
          <w:tcPr>
            <w:tcW w:w="1980" w:type="dxa"/>
          </w:tcPr>
          <w:p w14:paraId="59108834" w14:textId="77777777" w:rsidR="00455256" w:rsidRPr="00814F4D" w:rsidRDefault="00455256" w:rsidP="001B6F6C">
            <w:pPr>
              <w:pStyle w:val="Tabletext"/>
              <w:keepNext/>
              <w:keepLines/>
              <w:jc w:val="center"/>
              <w:rPr>
                <w:rFonts w:eastAsia="SimSun"/>
              </w:rPr>
            </w:pPr>
            <w:r w:rsidRPr="00814F4D">
              <w:t>RDF-AMS</w:t>
            </w:r>
          </w:p>
        </w:tc>
        <w:tc>
          <w:tcPr>
            <w:tcW w:w="2906" w:type="dxa"/>
          </w:tcPr>
          <w:p w14:paraId="6A462933" w14:textId="77777777" w:rsidR="00455256" w:rsidRPr="00814F4D" w:rsidRDefault="00455256" w:rsidP="001B6F6C">
            <w:pPr>
              <w:pStyle w:val="Tabletext"/>
              <w:keepNext/>
              <w:keepLines/>
              <w:jc w:val="center"/>
            </w:pPr>
            <w:r w:rsidRPr="00814F4D">
              <w:t>16</w:t>
            </w:r>
            <w:r>
              <w:t>-</w:t>
            </w:r>
            <w:r w:rsidRPr="00814F4D">
              <w:t xml:space="preserve">17 </w:t>
            </w:r>
            <w:r>
              <w:t>juin</w:t>
            </w:r>
            <w:r w:rsidRPr="00814F4D">
              <w:t xml:space="preserve"> 2026</w:t>
            </w:r>
          </w:p>
        </w:tc>
        <w:tc>
          <w:tcPr>
            <w:tcW w:w="2906" w:type="dxa"/>
          </w:tcPr>
          <w:p w14:paraId="20A78277" w14:textId="77777777" w:rsidR="00455256" w:rsidRPr="00814F4D" w:rsidRDefault="00455256" w:rsidP="001B6F6C">
            <w:pPr>
              <w:pStyle w:val="Tabletext"/>
              <w:keepNext/>
              <w:keepLines/>
              <w:rPr>
                <w:rFonts w:eastAsia="SimSun"/>
              </w:rPr>
            </w:pPr>
            <w:r w:rsidRPr="00814F4D">
              <w:t xml:space="preserve">Cartagena de </w:t>
            </w:r>
            <w:proofErr w:type="spellStart"/>
            <w:r w:rsidRPr="00814F4D">
              <w:t>Indias</w:t>
            </w:r>
            <w:proofErr w:type="spellEnd"/>
            <w:r w:rsidRPr="00814F4D">
              <w:t xml:space="preserve"> </w:t>
            </w:r>
            <w:r>
              <w:t>(</w:t>
            </w:r>
            <w:r w:rsidRPr="00814F4D">
              <w:t>Colombi</w:t>
            </w:r>
            <w:r>
              <w:t>e)</w:t>
            </w:r>
          </w:p>
        </w:tc>
      </w:tr>
      <w:tr w:rsidR="00455256" w:rsidRPr="00814F4D" w14:paraId="4AF67133" w14:textId="77777777" w:rsidTr="00C20954">
        <w:trPr>
          <w:cantSplit/>
          <w:jc w:val="center"/>
        </w:trPr>
        <w:tc>
          <w:tcPr>
            <w:tcW w:w="1980" w:type="dxa"/>
          </w:tcPr>
          <w:p w14:paraId="4AE5A04E" w14:textId="77777777" w:rsidR="00455256" w:rsidRPr="00814F4D" w:rsidRDefault="00455256" w:rsidP="001B6F6C">
            <w:pPr>
              <w:pStyle w:val="Tabletext"/>
              <w:keepNext/>
              <w:keepLines/>
              <w:jc w:val="center"/>
              <w:rPr>
                <w:rFonts w:eastAsia="SimSun"/>
              </w:rPr>
            </w:pPr>
            <w:r w:rsidRPr="00814F4D">
              <w:t>RDF-ARB</w:t>
            </w:r>
          </w:p>
        </w:tc>
        <w:tc>
          <w:tcPr>
            <w:tcW w:w="2906" w:type="dxa"/>
          </w:tcPr>
          <w:p w14:paraId="6643A095" w14:textId="7CBD8AC1" w:rsidR="00455256" w:rsidRPr="00814F4D" w:rsidRDefault="00455256" w:rsidP="001B6F6C">
            <w:pPr>
              <w:pStyle w:val="Tabletext"/>
              <w:keepNext/>
              <w:keepLines/>
              <w:jc w:val="center"/>
              <w:rPr>
                <w:rFonts w:eastAsia="SimSun"/>
              </w:rPr>
            </w:pPr>
            <w:proofErr w:type="spellStart"/>
            <w:r w:rsidRPr="00814F4D">
              <w:t>1</w:t>
            </w:r>
            <w:r w:rsidRPr="00AC1558">
              <w:t>er</w:t>
            </w:r>
            <w:r w:rsidR="0014729D">
              <w:t>-</w:t>
            </w:r>
            <w:r w:rsidRPr="00814F4D">
              <w:t>2</w:t>
            </w:r>
            <w:proofErr w:type="spellEnd"/>
            <w:r w:rsidRPr="00814F4D">
              <w:t xml:space="preserve"> </w:t>
            </w:r>
            <w:r>
              <w:t xml:space="preserve">juillet </w:t>
            </w:r>
            <w:r w:rsidRPr="00814F4D">
              <w:t>2026</w:t>
            </w:r>
          </w:p>
        </w:tc>
        <w:tc>
          <w:tcPr>
            <w:tcW w:w="2906" w:type="dxa"/>
          </w:tcPr>
          <w:p w14:paraId="4B746293" w14:textId="61EECB46" w:rsidR="00455256" w:rsidRPr="00814F4D" w:rsidRDefault="00BC7CFD" w:rsidP="001B6F6C">
            <w:pPr>
              <w:pStyle w:val="Tabletext"/>
              <w:keepNext/>
              <w:keepLines/>
              <w:rPr>
                <w:rFonts w:eastAsia="SimSun"/>
              </w:rPr>
            </w:pPr>
            <w:r>
              <w:rPr>
                <w:i/>
                <w:iCs/>
              </w:rPr>
              <w:t>À</w:t>
            </w:r>
            <w:r w:rsidR="00455256">
              <w:rPr>
                <w:i/>
                <w:iCs/>
              </w:rPr>
              <w:t xml:space="preserve"> déterminer</w:t>
            </w:r>
          </w:p>
        </w:tc>
      </w:tr>
      <w:tr w:rsidR="00455256" w:rsidRPr="00814F4D" w14:paraId="5DB702BD" w14:textId="77777777" w:rsidTr="00C20954">
        <w:trPr>
          <w:cantSplit/>
          <w:jc w:val="center"/>
        </w:trPr>
        <w:tc>
          <w:tcPr>
            <w:tcW w:w="1980" w:type="dxa"/>
          </w:tcPr>
          <w:p w14:paraId="6B619C86" w14:textId="77777777" w:rsidR="00455256" w:rsidRPr="00814F4D" w:rsidRDefault="00455256" w:rsidP="001B6F6C">
            <w:pPr>
              <w:pStyle w:val="Tabletext"/>
              <w:keepNext/>
              <w:keepLines/>
              <w:jc w:val="center"/>
            </w:pPr>
            <w:r w:rsidRPr="00814F4D">
              <w:t>RDF-ASP</w:t>
            </w:r>
          </w:p>
        </w:tc>
        <w:tc>
          <w:tcPr>
            <w:tcW w:w="2906" w:type="dxa"/>
          </w:tcPr>
          <w:p w14:paraId="1ABEA935" w14:textId="77777777" w:rsidR="00455256" w:rsidRPr="00814F4D" w:rsidRDefault="00455256" w:rsidP="001B6F6C">
            <w:pPr>
              <w:pStyle w:val="Tabletext"/>
              <w:keepNext/>
              <w:keepLines/>
              <w:jc w:val="center"/>
              <w:rPr>
                <w:rFonts w:eastAsia="SimSun"/>
              </w:rPr>
            </w:pPr>
            <w:r w:rsidRPr="00814F4D">
              <w:t>16</w:t>
            </w:r>
            <w:r>
              <w:t>-</w:t>
            </w:r>
            <w:r w:rsidRPr="00814F4D">
              <w:t xml:space="preserve">17 </w:t>
            </w:r>
            <w:r>
              <w:t xml:space="preserve">juillet </w:t>
            </w:r>
            <w:r w:rsidRPr="00814F4D">
              <w:t>2026</w:t>
            </w:r>
          </w:p>
        </w:tc>
        <w:tc>
          <w:tcPr>
            <w:tcW w:w="2906" w:type="dxa"/>
          </w:tcPr>
          <w:p w14:paraId="1F6E18B8" w14:textId="77777777" w:rsidR="00455256" w:rsidRPr="00814F4D" w:rsidRDefault="00455256" w:rsidP="001B6F6C">
            <w:pPr>
              <w:pStyle w:val="Tabletext"/>
              <w:keepNext/>
              <w:keepLines/>
              <w:rPr>
                <w:rFonts w:eastAsia="SimSun"/>
              </w:rPr>
            </w:pPr>
            <w:r w:rsidRPr="00814F4D">
              <w:t xml:space="preserve">Bangkok </w:t>
            </w:r>
            <w:r>
              <w:t>(</w:t>
            </w:r>
            <w:r w:rsidRPr="00814F4D">
              <w:t>Tha</w:t>
            </w:r>
            <w:r>
              <w:t>ï</w:t>
            </w:r>
            <w:r w:rsidRPr="00814F4D">
              <w:t>land</w:t>
            </w:r>
            <w:r>
              <w:t>e)</w:t>
            </w:r>
          </w:p>
        </w:tc>
      </w:tr>
      <w:tr w:rsidR="00455256" w:rsidRPr="00814F4D" w14:paraId="6D5E9069" w14:textId="77777777" w:rsidTr="00C20954">
        <w:trPr>
          <w:cantSplit/>
          <w:jc w:val="center"/>
        </w:trPr>
        <w:tc>
          <w:tcPr>
            <w:tcW w:w="1980" w:type="dxa"/>
          </w:tcPr>
          <w:p w14:paraId="50F0F9D4" w14:textId="77777777" w:rsidR="00455256" w:rsidRPr="00814F4D" w:rsidRDefault="00455256" w:rsidP="001B6F6C">
            <w:pPr>
              <w:pStyle w:val="Tabletext"/>
              <w:keepNext/>
              <w:keepLines/>
              <w:jc w:val="center"/>
            </w:pPr>
            <w:r w:rsidRPr="00814F4D">
              <w:t>RDF-</w:t>
            </w:r>
            <w:r>
              <w:t>CEI</w:t>
            </w:r>
          </w:p>
        </w:tc>
        <w:tc>
          <w:tcPr>
            <w:tcW w:w="2906" w:type="dxa"/>
          </w:tcPr>
          <w:p w14:paraId="47AD2CCE" w14:textId="77777777" w:rsidR="00455256" w:rsidRPr="00814F4D" w:rsidRDefault="00455256" w:rsidP="001B6F6C">
            <w:pPr>
              <w:pStyle w:val="Tabletext"/>
              <w:keepNext/>
              <w:keepLines/>
              <w:jc w:val="center"/>
              <w:rPr>
                <w:rFonts w:eastAsia="SimSun"/>
              </w:rPr>
            </w:pPr>
            <w:r w:rsidRPr="00814F4D">
              <w:t>29</w:t>
            </w:r>
            <w:r>
              <w:t>-</w:t>
            </w:r>
            <w:r w:rsidRPr="00814F4D">
              <w:t xml:space="preserve">30 </w:t>
            </w:r>
            <w:r>
              <w:t xml:space="preserve">septembre </w:t>
            </w:r>
            <w:r w:rsidRPr="00814F4D">
              <w:t>2026</w:t>
            </w:r>
          </w:p>
        </w:tc>
        <w:tc>
          <w:tcPr>
            <w:tcW w:w="2906" w:type="dxa"/>
          </w:tcPr>
          <w:p w14:paraId="599CBF2A" w14:textId="7C412126" w:rsidR="00455256" w:rsidRPr="00814F4D" w:rsidRDefault="00455256" w:rsidP="001B6F6C">
            <w:pPr>
              <w:pStyle w:val="Tabletext"/>
              <w:keepNext/>
              <w:keepLines/>
              <w:rPr>
                <w:rFonts w:eastAsia="SimSun"/>
              </w:rPr>
            </w:pPr>
            <w:r w:rsidRPr="00AC1558">
              <w:t>Douchanbé (</w:t>
            </w:r>
            <w:r w:rsidRPr="00E91C7E">
              <w:t>Tadjikistan</w:t>
            </w:r>
            <w:r>
              <w:t>)</w:t>
            </w:r>
          </w:p>
        </w:tc>
      </w:tr>
    </w:tbl>
    <w:p w14:paraId="2CD89F81" w14:textId="77777777" w:rsidR="0014729D" w:rsidRDefault="0014729D" w:rsidP="001A7E3B">
      <w:pPr>
        <w:pStyle w:val="Tablefin"/>
      </w:pPr>
    </w:p>
    <w:p w14:paraId="57B6C771" w14:textId="6AB49582" w:rsidR="00455256" w:rsidRPr="009E5AB1" w:rsidRDefault="00455256" w:rsidP="00BC7CFD">
      <w:pPr>
        <w:pStyle w:val="Heading2"/>
        <w:spacing w:before="240"/>
      </w:pPr>
      <w:r w:rsidRPr="009E5AB1">
        <w:t>2.</w:t>
      </w:r>
      <w:r>
        <w:t>2</w:t>
      </w:r>
      <w:r w:rsidRPr="009E5AB1">
        <w:tab/>
        <w:t xml:space="preserve">Mise en œuvre du </w:t>
      </w:r>
      <w:r w:rsidR="00AC1558">
        <w:t>P</w:t>
      </w:r>
      <w:r w:rsidRPr="009E5AB1">
        <w:t>lan opérationnel de l'UIT-D</w:t>
      </w:r>
    </w:p>
    <w:p w14:paraId="1A0E1278" w14:textId="70011B78" w:rsidR="00455256" w:rsidRPr="009E5AB1" w:rsidRDefault="00455256" w:rsidP="002F29A9">
      <w:pPr>
        <w:jc w:val="both"/>
      </w:pPr>
      <w:r w:rsidRPr="009E5AB1">
        <w:t>2.</w:t>
      </w:r>
      <w:r>
        <w:t>2</w:t>
      </w:r>
      <w:r w:rsidRPr="009E5AB1">
        <w:t>.1</w:t>
      </w:r>
      <w:r w:rsidRPr="009E5AB1">
        <w:tab/>
        <w:t xml:space="preserve">L'efficacité des activités régionales menées par l'UIT contribue de manière significative à </w:t>
      </w:r>
      <w:r>
        <w:t xml:space="preserve">la réalisation de </w:t>
      </w:r>
      <w:r w:rsidRPr="009E5AB1">
        <w:t>la mission de l'organisation</w:t>
      </w:r>
      <w:r>
        <w:t xml:space="preserve"> à l</w:t>
      </w:r>
      <w:r w:rsidR="00BC7CFD">
        <w:t>'</w:t>
      </w:r>
      <w:r>
        <w:t>échelle mondiale,</w:t>
      </w:r>
      <w:r w:rsidRPr="009E5AB1">
        <w:t xml:space="preserve"> </w:t>
      </w:r>
      <w:r>
        <w:t xml:space="preserve">à savoir </w:t>
      </w:r>
      <w:r w:rsidRPr="009E5AB1">
        <w:t>connecter le monde</w:t>
      </w:r>
      <w:r>
        <w:t>,</w:t>
      </w:r>
      <w:r w:rsidRPr="009E5AB1">
        <w:t xml:space="preserve"> favoriser une transformation numérique durable </w:t>
      </w:r>
      <w:r>
        <w:t xml:space="preserve">et produire des résultats concrets en matière de développement pour les différents États Membres grâce aux travaux </w:t>
      </w:r>
      <w:r w:rsidRPr="009E5AB1">
        <w:t>du BDT. Ces actions s'inscrivent dans un cadre stratégique conçu pour garantir que l'Union demeure en mesure de répondre à l'évolution rapide des besoins des économies et sociétés numériques dans le monde.</w:t>
      </w:r>
    </w:p>
    <w:p w14:paraId="28E745F5" w14:textId="25963136" w:rsidR="00455256" w:rsidRPr="009E5AB1" w:rsidRDefault="00455256" w:rsidP="002F29A9">
      <w:pPr>
        <w:jc w:val="both"/>
      </w:pPr>
      <w:r w:rsidRPr="009E5AB1">
        <w:t>2.</w:t>
      </w:r>
      <w:r>
        <w:t>2</w:t>
      </w:r>
      <w:r w:rsidRPr="009E5AB1">
        <w:t>.2</w:t>
      </w:r>
      <w:r w:rsidRPr="009E5AB1">
        <w:tab/>
      </w:r>
      <w:r>
        <w:t xml:space="preserve">Dans le prolongement de la </w:t>
      </w:r>
      <w:proofErr w:type="spellStart"/>
      <w:r>
        <w:t>CMDT</w:t>
      </w:r>
      <w:proofErr w:type="spellEnd"/>
      <w:r>
        <w:t>-25, qui a adopté le Plan d</w:t>
      </w:r>
      <w:r w:rsidR="00BC7CFD">
        <w:t>'</w:t>
      </w:r>
      <w:r>
        <w:t xml:space="preserve">action de Bakou, le </w:t>
      </w:r>
      <w:r w:rsidR="00BC7CFD">
        <w:t>P</w:t>
      </w:r>
      <w:r w:rsidRPr="009E5AB1">
        <w:t>lan</w:t>
      </w:r>
      <w:r w:rsidR="00BC7CFD">
        <w:t> </w:t>
      </w:r>
      <w:r w:rsidRPr="009E5AB1">
        <w:t xml:space="preserve">opérationnel de l'UIT-D </w:t>
      </w:r>
      <w:r>
        <w:t xml:space="preserve">pour 2026 a été élaboré conformément à </w:t>
      </w:r>
      <w:r w:rsidRPr="009E5AB1">
        <w:t>la structure du Plan</w:t>
      </w:r>
      <w:r w:rsidR="009835A2">
        <w:t> </w:t>
      </w:r>
      <w:r w:rsidRPr="009E5AB1">
        <w:t xml:space="preserve">stratégique de l'Union pour la période 2024-2027. La structure de ce plan est conforme au Plan d'action de </w:t>
      </w:r>
      <w:r>
        <w:t xml:space="preserve">Bakou </w:t>
      </w:r>
      <w:r w:rsidRPr="009E5AB1">
        <w:t xml:space="preserve">dans lequel sont définis, d'une part, les priorités et les catalyseurs de l'UIT-D ainsi que les réalisations, produits et services correspondants, et, d'autre part, les indicateurs </w:t>
      </w:r>
      <w:r>
        <w:t xml:space="preserve">utilisés pour </w:t>
      </w:r>
      <w:r w:rsidRPr="009E5AB1">
        <w:t xml:space="preserve">mesurer les niveaux de réalisation découlant des activités du Secteur. </w:t>
      </w:r>
      <w:r>
        <w:t xml:space="preserve">Actuellement, </w:t>
      </w:r>
      <w:r w:rsidRPr="009E5AB1">
        <w:t>13</w:t>
      </w:r>
      <w:r>
        <w:t xml:space="preserve">0 mesures </w:t>
      </w:r>
      <w:r w:rsidRPr="009E5AB1">
        <w:t xml:space="preserve">sont </w:t>
      </w:r>
      <w:r>
        <w:t>mises en œuvre</w:t>
      </w:r>
      <w:r w:rsidRPr="009E5AB1">
        <w:t xml:space="preserve"> à l'échelle mondiale et au niveau des régions. Pour renforcer </w:t>
      </w:r>
      <w:r>
        <w:t>la fourniture de services</w:t>
      </w:r>
      <w:r w:rsidRPr="009E5AB1">
        <w:t xml:space="preserve">, </w:t>
      </w:r>
      <w:r>
        <w:t>on s</w:t>
      </w:r>
      <w:r w:rsidR="00BC7CFD">
        <w:t>'</w:t>
      </w:r>
      <w:r>
        <w:t xml:space="preserve">emploie activement à dégager des </w:t>
      </w:r>
      <w:r w:rsidRPr="009E5AB1">
        <w:t xml:space="preserve">synergies en ce qui concerne les produits régionaux, ainsi qu'entre les initiatives régionales et les initiatives mondiales, en </w:t>
      </w:r>
      <w:r>
        <w:t xml:space="preserve">étroite </w:t>
      </w:r>
      <w:r w:rsidRPr="009E5AB1">
        <w:t>collaboration avec les Bureaux et le Secrétariat</w:t>
      </w:r>
      <w:r w:rsidR="00BC7CFD">
        <w:t> </w:t>
      </w:r>
      <w:r w:rsidRPr="009E5AB1">
        <w:t>général de l'UIT.</w:t>
      </w:r>
    </w:p>
    <w:p w14:paraId="4B73A2F7" w14:textId="1225A13F" w:rsidR="00455256" w:rsidRPr="009E5AB1" w:rsidRDefault="00455256" w:rsidP="002F29A9">
      <w:pPr>
        <w:jc w:val="both"/>
      </w:pPr>
      <w:r w:rsidRPr="009E5AB1">
        <w:t>2.</w:t>
      </w:r>
      <w:r>
        <w:t>2</w:t>
      </w:r>
      <w:r w:rsidRPr="009E5AB1">
        <w:t>.3</w:t>
      </w:r>
      <w:r w:rsidRPr="009E5AB1">
        <w:tab/>
        <w:t xml:space="preserve">Les bureaux régionaux </w:t>
      </w:r>
      <w:r>
        <w:t xml:space="preserve">et les bureaux de zone </w:t>
      </w:r>
      <w:r w:rsidRPr="009E5AB1">
        <w:t xml:space="preserve">font partie intégrante du processus de planification opérationnelle, comme le montrent les tableaux de bord du BDT pour les </w:t>
      </w:r>
      <w:r w:rsidR="002961EF">
        <w:t>P</w:t>
      </w:r>
      <w:r w:rsidRPr="009E5AB1">
        <w:t>lans</w:t>
      </w:r>
      <w:r w:rsidR="00BC7CFD">
        <w:t> </w:t>
      </w:r>
      <w:r w:rsidRPr="009E5AB1">
        <w:t xml:space="preserve">opérationnels et les projets. Les bureaux régionaux et les bureaux de zone de l'UIT travaillent en étroite collaboration avec le siège à la définition, à la mise en œuvre et au suivi des </w:t>
      </w:r>
      <w:r w:rsidR="002961EF">
        <w:t>P</w:t>
      </w:r>
      <w:r w:rsidRPr="009E5AB1">
        <w:t>lans opérationnels. L'affectation du budget et l'évaluation des performances sont réalisées conjointement. Cela concerne les produits (produits et services de l'UIT-D) fournis aux États Membres, les réalisations (résultats) au bénéfice de ces derniers et la prise en compte des besoins particuliers des pays, conformément aux priorités et catalyseurs de l'UIT</w:t>
      </w:r>
      <w:r w:rsidR="00AC1558">
        <w:noBreakHyphen/>
      </w:r>
      <w:r w:rsidRPr="009E5AB1">
        <w:t>D</w:t>
      </w:r>
      <w:r>
        <w:t>, aux Résolutions</w:t>
      </w:r>
      <w:r w:rsidRPr="009E5AB1">
        <w:t xml:space="preserve"> et aux initiatives régionales adoptés lors de la </w:t>
      </w:r>
      <w:proofErr w:type="spellStart"/>
      <w:r w:rsidRPr="009E5AB1">
        <w:t>CMDT</w:t>
      </w:r>
      <w:proofErr w:type="spellEnd"/>
      <w:r w:rsidRPr="009E5AB1">
        <w:t>-2</w:t>
      </w:r>
      <w:r>
        <w:t>5</w:t>
      </w:r>
      <w:r w:rsidRPr="009E5AB1">
        <w:t xml:space="preserve">. Cette approche intégrée </w:t>
      </w:r>
      <w:r>
        <w:t xml:space="preserve">est plus efficace </w:t>
      </w:r>
      <w:r w:rsidRPr="009E5AB1">
        <w:t xml:space="preserve">et permet </w:t>
      </w:r>
      <w:r>
        <w:t>d</w:t>
      </w:r>
      <w:r w:rsidR="00BC7CFD">
        <w:t>'</w:t>
      </w:r>
      <w:r>
        <w:t xml:space="preserve">optimiser </w:t>
      </w:r>
      <w:r w:rsidRPr="009E5AB1">
        <w:t>les synergies entre les activités inscrites au budget ordinaire et les activités extrabudgétaires.</w:t>
      </w:r>
    </w:p>
    <w:p w14:paraId="2E3FCB34" w14:textId="6BAA5371" w:rsidR="00455256" w:rsidRPr="009E5AB1" w:rsidRDefault="00455256" w:rsidP="002F29A9">
      <w:pPr>
        <w:jc w:val="both"/>
      </w:pPr>
      <w:r>
        <w:t>2.</w:t>
      </w:r>
      <w:r w:rsidRPr="009E5AB1">
        <w:t>2.4</w:t>
      </w:r>
      <w:r w:rsidRPr="009E5AB1">
        <w:tab/>
        <w:t xml:space="preserve">Le </w:t>
      </w:r>
      <w:r w:rsidR="00AC1558">
        <w:t>P</w:t>
      </w:r>
      <w:r w:rsidRPr="009E5AB1">
        <w:t xml:space="preserve">lan opérationnel, qui repose sur des produits et des indicateurs </w:t>
      </w:r>
      <w:r>
        <w:t>de résultat</w:t>
      </w:r>
      <w:r w:rsidRPr="009E5AB1">
        <w:t xml:space="preserve">, </w:t>
      </w:r>
      <w:r>
        <w:t xml:space="preserve">est </w:t>
      </w:r>
      <w:r w:rsidRPr="009E5AB1">
        <w:t>élaboré et géré de manière conjointe et transparente par les bureaux régionaux</w:t>
      </w:r>
      <w:r>
        <w:t>, les bureaux de zone</w:t>
      </w:r>
      <w:r w:rsidRPr="009E5AB1">
        <w:t xml:space="preserve"> et le siège, qui en rendent compte de la même manière.</w:t>
      </w:r>
    </w:p>
    <w:p w14:paraId="60634BD3" w14:textId="1978A420" w:rsidR="00455256" w:rsidRPr="009E5AB1" w:rsidRDefault="00455256" w:rsidP="002F29A9">
      <w:pPr>
        <w:jc w:val="both"/>
      </w:pPr>
      <w:r w:rsidRPr="009E5AB1">
        <w:lastRenderedPageBreak/>
        <w:t>2.</w:t>
      </w:r>
      <w:r w:rsidR="00AC1558">
        <w:t>2</w:t>
      </w:r>
      <w:r w:rsidRPr="009E5AB1">
        <w:t>.5</w:t>
      </w:r>
      <w:r w:rsidRPr="009E5AB1">
        <w:tab/>
        <w:t xml:space="preserve">Pour les </w:t>
      </w:r>
      <w:r>
        <w:t>mesures</w:t>
      </w:r>
      <w:r w:rsidRPr="009E5AB1">
        <w:t xml:space="preserve"> liées au </w:t>
      </w:r>
      <w:r w:rsidR="00AC1558">
        <w:t>P</w:t>
      </w:r>
      <w:r w:rsidRPr="009E5AB1">
        <w:t xml:space="preserve">lan opérationnel, les bureaux régionaux et les bureaux de zone sont chargés de la </w:t>
      </w:r>
      <w:r>
        <w:t>fourniture de services aux États Membres</w:t>
      </w:r>
      <w:r w:rsidRPr="009E5AB1">
        <w:t xml:space="preserve">, tandis que les services du BDT basés au siège </w:t>
      </w:r>
      <w:r>
        <w:t>assurent l</w:t>
      </w:r>
      <w:r w:rsidR="00BC7CFD">
        <w:t>'</w:t>
      </w:r>
      <w:r>
        <w:t>élaboration de nouveaux produits et la gestion d</w:t>
      </w:r>
      <w:r w:rsidRPr="009E5AB1">
        <w:t xml:space="preserve">es activités multirégionales. Pour les projets propres à une région ou à un pays, les responsables de projet sont basés dans les bureaux régionaux ou les bureaux de zone. </w:t>
      </w:r>
      <w:r>
        <w:t xml:space="preserve">La mise en œuvre des mesures liées au </w:t>
      </w:r>
      <w:r w:rsidR="00BC7CFD">
        <w:t>P</w:t>
      </w:r>
      <w:r>
        <w:t>lan opérationnel et des projets de l</w:t>
      </w:r>
      <w:r w:rsidR="00BC7CFD">
        <w:t>'</w:t>
      </w:r>
      <w:r>
        <w:t xml:space="preserve">UIT-D est mesurée </w:t>
      </w:r>
      <w:r w:rsidRPr="009E5AB1">
        <w:t xml:space="preserve">à l'aide d'indicateurs adoptés par </w:t>
      </w:r>
      <w:r>
        <w:t xml:space="preserve">la </w:t>
      </w:r>
      <w:proofErr w:type="spellStart"/>
      <w:r>
        <w:t>CMDT</w:t>
      </w:r>
      <w:proofErr w:type="spellEnd"/>
      <w:r>
        <w:t>-25</w:t>
      </w:r>
      <w:r w:rsidRPr="009E5AB1">
        <w:t>.</w:t>
      </w:r>
    </w:p>
    <w:p w14:paraId="5C60D7DC" w14:textId="6361AD62" w:rsidR="00455256" w:rsidRPr="009E5AB1" w:rsidRDefault="00455256" w:rsidP="002F29A9">
      <w:pPr>
        <w:jc w:val="both"/>
      </w:pPr>
      <w:r w:rsidRPr="009E5AB1">
        <w:t>2.</w:t>
      </w:r>
      <w:r>
        <w:t>2</w:t>
      </w:r>
      <w:r w:rsidRPr="009E5AB1">
        <w:t>.6</w:t>
      </w:r>
      <w:r w:rsidRPr="009E5AB1">
        <w:tab/>
        <w:t xml:space="preserve">À sa 32ème réunion, qui s'est tenue du 12 au 16 mai 2025, le </w:t>
      </w:r>
      <w:r>
        <w:t>Groupe consultatif pour le développement des télécommunications (</w:t>
      </w:r>
      <w:proofErr w:type="spellStart"/>
      <w:r w:rsidRPr="009E5AB1">
        <w:t>GCDT</w:t>
      </w:r>
      <w:proofErr w:type="spellEnd"/>
      <w:r>
        <w:t>)</w:t>
      </w:r>
      <w:r w:rsidRPr="009E5AB1">
        <w:t xml:space="preserve"> a examiné le rapport sur la présence régionale figurant dans le </w:t>
      </w:r>
      <w:r w:rsidRPr="00BC7CFD">
        <w:t xml:space="preserve">Document </w:t>
      </w:r>
      <w:hyperlink r:id="rId34" w:history="1">
        <w:proofErr w:type="spellStart"/>
        <w:r w:rsidRPr="00BC7CFD">
          <w:rPr>
            <w:rStyle w:val="Hyperlink"/>
            <w:rFonts w:eastAsia="Times New Roman" w:cs="Times New Roman"/>
            <w:szCs w:val="20"/>
          </w:rPr>
          <w:t>TDAG</w:t>
        </w:r>
        <w:proofErr w:type="spellEnd"/>
        <w:r w:rsidRPr="00BC7CFD">
          <w:rPr>
            <w:rStyle w:val="Hyperlink"/>
            <w:rFonts w:eastAsia="Times New Roman" w:cs="Times New Roman"/>
            <w:szCs w:val="20"/>
          </w:rPr>
          <w:t>-25/24</w:t>
        </w:r>
      </w:hyperlink>
      <w:r w:rsidRPr="009E5AB1">
        <w:t xml:space="preserve">. Le </w:t>
      </w:r>
      <w:proofErr w:type="spellStart"/>
      <w:r w:rsidRPr="009E5AB1">
        <w:t>GCDT</w:t>
      </w:r>
      <w:proofErr w:type="spellEnd"/>
      <w:r w:rsidRPr="009E5AB1">
        <w:t xml:space="preserve"> a pris note du rapport et a reconnu l'importance cruciale des bureaux régionaux </w:t>
      </w:r>
      <w:r>
        <w:t xml:space="preserve">et des bureaux de zone </w:t>
      </w:r>
      <w:r w:rsidRPr="009E5AB1">
        <w:t>dans la mise en œuvre des initiatives régionales et du Plan d'action de Kigali, et a confirmé le</w:t>
      </w:r>
      <w:r>
        <w:t>ur</w:t>
      </w:r>
      <w:r w:rsidRPr="009E5AB1">
        <w:t xml:space="preserve"> rôle complémentaire dans les activités liées au développement, ainsi que dans </w:t>
      </w:r>
      <w:r>
        <w:t xml:space="preserve">les activités de </w:t>
      </w:r>
      <w:r w:rsidRPr="009E5AB1">
        <w:t>l'UIT</w:t>
      </w:r>
      <w:r w:rsidR="002961EF">
        <w:noBreakHyphen/>
      </w:r>
      <w:r w:rsidRPr="009E5AB1">
        <w:t xml:space="preserve">T et </w:t>
      </w:r>
      <w:r>
        <w:t xml:space="preserve">de </w:t>
      </w:r>
      <w:r w:rsidRPr="009E5AB1">
        <w:t xml:space="preserve">l'UIT-R. Lors de sa réunion, le </w:t>
      </w:r>
      <w:proofErr w:type="spellStart"/>
      <w:r w:rsidRPr="009E5AB1">
        <w:t>GCDT</w:t>
      </w:r>
      <w:proofErr w:type="spellEnd"/>
      <w:r w:rsidRPr="009E5AB1">
        <w:t xml:space="preserve"> a reconnu et salué l'étroite collaboration entre les bureaux régionaux et le BDT en mettant en avant les directeurs régionaux et les actions ayant produit des effets concrets dans les régions. Le </w:t>
      </w:r>
      <w:proofErr w:type="spellStart"/>
      <w:r w:rsidRPr="009E5AB1">
        <w:t>GCDT</w:t>
      </w:r>
      <w:proofErr w:type="spellEnd"/>
      <w:r w:rsidRPr="009E5AB1">
        <w:t xml:space="preserve"> a noté avec satisfaction les synergies entre les bureaux régionaux et le BDT en ce qui concerne la planification, la mise en œuvre, le suivi et l'évaluation des activités et des projets, comme en témoigne la reconnaissance exprimée à cet égard par de nombreux membres lors de leurs interventions. Les mesures d'examen relatives au renforcement de la présence régionale devraient tenir pleinement compte de la Résolution 25 (Rév. Bucarest, 2022).</w:t>
      </w:r>
    </w:p>
    <w:p w14:paraId="0A45F695" w14:textId="2A372812" w:rsidR="00455256" w:rsidRPr="009E5AB1" w:rsidRDefault="00455256" w:rsidP="009835A2">
      <w:pPr>
        <w:pStyle w:val="Heading2"/>
      </w:pPr>
      <w:r w:rsidRPr="00DB0A57">
        <w:t>2.3</w:t>
      </w:r>
      <w:r w:rsidR="009835A2">
        <w:tab/>
      </w:r>
      <w:r w:rsidRPr="00DB0A57">
        <w:t>Examen de la présence régionale de l</w:t>
      </w:r>
      <w:r w:rsidR="00BC7CFD">
        <w:t>'</w:t>
      </w:r>
      <w:r w:rsidRPr="00DB0A57">
        <w:t>UIT</w:t>
      </w:r>
    </w:p>
    <w:p w14:paraId="39115592" w14:textId="2A60D365" w:rsidR="00455256" w:rsidRPr="00DB0A57" w:rsidRDefault="00455256" w:rsidP="002F29A9">
      <w:pPr>
        <w:jc w:val="both"/>
        <w:rPr>
          <w:rFonts w:eastAsia="Aptos"/>
          <w:b/>
          <w:bCs/>
        </w:rPr>
      </w:pPr>
      <w:r w:rsidRPr="00DB0A57">
        <w:rPr>
          <w:rFonts w:eastAsia="Aptos"/>
        </w:rPr>
        <w:t>2.3.1</w:t>
      </w:r>
      <w:r w:rsidRPr="00DB0A57">
        <w:rPr>
          <w:rFonts w:eastAsia="Aptos"/>
          <w:b/>
          <w:bCs/>
        </w:rPr>
        <w:tab/>
      </w:r>
      <w:r w:rsidRPr="00DB0A57">
        <w:rPr>
          <w:rFonts w:eastAsia="Aptos"/>
        </w:rPr>
        <w:t xml:space="preserve">Conformément aux </w:t>
      </w:r>
      <w:r w:rsidR="006232B2">
        <w:rPr>
          <w:rFonts w:eastAsia="Aptos"/>
        </w:rPr>
        <w:t>r</w:t>
      </w:r>
      <w:r w:rsidRPr="00B10871">
        <w:rPr>
          <w:rFonts w:eastAsia="Aptos"/>
        </w:rPr>
        <w:t>ecommandations</w:t>
      </w:r>
      <w:r w:rsidRPr="00DB0A57">
        <w:rPr>
          <w:rFonts w:eastAsia="Aptos"/>
        </w:rPr>
        <w:t xml:space="preserve"> </w:t>
      </w:r>
      <w:r>
        <w:rPr>
          <w:rFonts w:eastAsia="Aptos"/>
        </w:rPr>
        <w:t>formulées par le</w:t>
      </w:r>
      <w:r w:rsidRPr="00DB0A57">
        <w:rPr>
          <w:rFonts w:eastAsia="Aptos"/>
        </w:rPr>
        <w:t xml:space="preserve"> Conseil, à sa session de 2025 (Rapport</w:t>
      </w:r>
      <w:r w:rsidRPr="00B1000E">
        <w:rPr>
          <w:rFonts w:eastAsia="Aptos"/>
        </w:rPr>
        <w:t xml:space="preserve"> </w:t>
      </w:r>
      <w:r>
        <w:rPr>
          <w:rFonts w:eastAsia="Aptos"/>
        </w:rPr>
        <w:t>de la</w:t>
      </w:r>
      <w:r w:rsidRPr="00DB0A57">
        <w:rPr>
          <w:rFonts w:eastAsia="Aptos"/>
        </w:rPr>
        <w:t xml:space="preserve"> Président</w:t>
      </w:r>
      <w:r>
        <w:rPr>
          <w:rFonts w:eastAsia="Aptos"/>
        </w:rPr>
        <w:t>e</w:t>
      </w:r>
      <w:r w:rsidRPr="00DB0A57">
        <w:rPr>
          <w:rFonts w:eastAsia="Aptos"/>
        </w:rPr>
        <w:t xml:space="preserve"> </w:t>
      </w:r>
      <w:r>
        <w:rPr>
          <w:rFonts w:eastAsia="Aptos"/>
        </w:rPr>
        <w:t>de la Commission permanente de l</w:t>
      </w:r>
      <w:r w:rsidR="00BC7CFD">
        <w:rPr>
          <w:rFonts w:eastAsia="Aptos"/>
        </w:rPr>
        <w:t>'</w:t>
      </w:r>
      <w:r>
        <w:rPr>
          <w:rFonts w:eastAsia="Aptos"/>
        </w:rPr>
        <w:t>administration et de la gestion</w:t>
      </w:r>
      <w:r w:rsidRPr="00DB0A57">
        <w:rPr>
          <w:rFonts w:eastAsia="Aptos"/>
        </w:rPr>
        <w:t xml:space="preserve">, Document </w:t>
      </w:r>
      <w:hyperlink r:id="rId35">
        <w:proofErr w:type="spellStart"/>
        <w:r w:rsidRPr="00DB0A57">
          <w:rPr>
            <w:rStyle w:val="Hyperlink"/>
            <w:rFonts w:asciiTheme="minorHAnsi" w:eastAsia="Aptos" w:hAnsiTheme="minorHAnsi" w:cstheme="minorHAnsi"/>
            <w:color w:val="467886"/>
            <w:szCs w:val="24"/>
          </w:rPr>
          <w:t>C25</w:t>
        </w:r>
        <w:proofErr w:type="spellEnd"/>
        <w:r w:rsidRPr="00DB0A57">
          <w:rPr>
            <w:rStyle w:val="Hyperlink"/>
            <w:rFonts w:asciiTheme="minorHAnsi" w:eastAsia="Aptos" w:hAnsiTheme="minorHAnsi" w:cstheme="minorHAnsi"/>
            <w:color w:val="467886"/>
            <w:szCs w:val="24"/>
          </w:rPr>
          <w:t>/105</w:t>
        </w:r>
      </w:hyperlink>
      <w:r w:rsidRPr="00DB0A57">
        <w:rPr>
          <w:rFonts w:eastAsia="Aptos"/>
        </w:rPr>
        <w:t xml:space="preserve">, </w:t>
      </w:r>
      <w:r>
        <w:rPr>
          <w:rFonts w:eastAsia="Aptos" w:cs="Calibri"/>
        </w:rPr>
        <w:t>paragraphe</w:t>
      </w:r>
      <w:r w:rsidR="00BC7CFD">
        <w:rPr>
          <w:rFonts w:eastAsia="Aptos" w:cs="Calibri"/>
        </w:rPr>
        <w:t xml:space="preserve"> </w:t>
      </w:r>
      <w:r w:rsidRPr="00DB0A57">
        <w:rPr>
          <w:rFonts w:eastAsia="Aptos"/>
        </w:rPr>
        <w:t>26, Annex</w:t>
      </w:r>
      <w:r>
        <w:rPr>
          <w:rFonts w:eastAsia="Aptos"/>
        </w:rPr>
        <w:t>e</w:t>
      </w:r>
      <w:r w:rsidRPr="00DB0A57">
        <w:rPr>
          <w:rFonts w:eastAsia="Aptos"/>
        </w:rPr>
        <w:t xml:space="preserve"> H, Annex</w:t>
      </w:r>
      <w:r>
        <w:rPr>
          <w:rFonts w:eastAsia="Aptos"/>
        </w:rPr>
        <w:t>e</w:t>
      </w:r>
      <w:r w:rsidRPr="00DB0A57">
        <w:rPr>
          <w:rFonts w:eastAsia="Aptos"/>
        </w:rPr>
        <w:t xml:space="preserve"> A </w:t>
      </w:r>
      <w:r>
        <w:rPr>
          <w:rFonts w:eastAsia="Aptos"/>
        </w:rPr>
        <w:t xml:space="preserve">et </w:t>
      </w:r>
      <w:r w:rsidRPr="00DB0A57">
        <w:rPr>
          <w:rFonts w:eastAsia="Aptos"/>
        </w:rPr>
        <w:t>Annex</w:t>
      </w:r>
      <w:r>
        <w:rPr>
          <w:rFonts w:eastAsia="Aptos"/>
        </w:rPr>
        <w:t>e</w:t>
      </w:r>
      <w:r w:rsidRPr="00DB0A57">
        <w:rPr>
          <w:rFonts w:eastAsia="Aptos"/>
        </w:rPr>
        <w:t> 1</w:t>
      </w:r>
      <w:r w:rsidRPr="00DF63BF">
        <w:rPr>
          <w:rStyle w:val="FootnoteReference"/>
          <w:rFonts w:eastAsia="Aptos"/>
        </w:rPr>
        <w:footnoteReference w:id="1"/>
      </w:r>
      <w:r w:rsidRPr="00DB0A57">
        <w:rPr>
          <w:rFonts w:eastAsia="Aptos"/>
        </w:rPr>
        <w:t xml:space="preserve">), </w:t>
      </w:r>
      <w:r>
        <w:rPr>
          <w:rFonts w:eastAsia="Aptos"/>
          <w:b/>
          <w:bCs/>
        </w:rPr>
        <w:t>l</w:t>
      </w:r>
      <w:r w:rsidR="00BC7CFD">
        <w:rPr>
          <w:rFonts w:eastAsia="Aptos"/>
          <w:b/>
          <w:bCs/>
        </w:rPr>
        <w:t>'</w:t>
      </w:r>
      <w:r>
        <w:rPr>
          <w:rFonts w:eastAsia="Aptos"/>
          <w:b/>
          <w:bCs/>
        </w:rPr>
        <w:t>examen de la présence régionale de l</w:t>
      </w:r>
      <w:r w:rsidR="00BC7CFD">
        <w:rPr>
          <w:rFonts w:eastAsia="Aptos"/>
          <w:b/>
          <w:bCs/>
        </w:rPr>
        <w:t>'</w:t>
      </w:r>
      <w:r>
        <w:rPr>
          <w:rFonts w:eastAsia="Aptos"/>
          <w:b/>
          <w:bCs/>
        </w:rPr>
        <w:t>UIT a été effectué</w:t>
      </w:r>
      <w:r w:rsidRPr="00DB0A57">
        <w:rPr>
          <w:rFonts w:eastAsia="Aptos"/>
        </w:rPr>
        <w:t>.</w:t>
      </w:r>
    </w:p>
    <w:p w14:paraId="690C98A7" w14:textId="37418424" w:rsidR="00455256" w:rsidRPr="00DB0A57" w:rsidRDefault="00455256" w:rsidP="002F29A9">
      <w:pPr>
        <w:jc w:val="both"/>
        <w:rPr>
          <w:rFonts w:eastAsia="Aptos"/>
        </w:rPr>
      </w:pPr>
      <w:r w:rsidRPr="00DB0A57">
        <w:rPr>
          <w:rFonts w:eastAsia="Aptos"/>
        </w:rPr>
        <w:t>2.3.2</w:t>
      </w:r>
      <w:r w:rsidRPr="00DB0A57">
        <w:rPr>
          <w:rFonts w:eastAsia="Aptos"/>
        </w:rPr>
        <w:tab/>
      </w:r>
      <w:r>
        <w:rPr>
          <w:rFonts w:eastAsia="Aptos"/>
        </w:rPr>
        <w:t>D</w:t>
      </w:r>
      <w:r w:rsidRPr="003B55AF">
        <w:rPr>
          <w:rFonts w:eastAsia="Aptos"/>
        </w:rPr>
        <w:t xml:space="preserve">epuis </w:t>
      </w:r>
      <w:r w:rsidRPr="00E96357">
        <w:rPr>
          <w:rFonts w:eastAsia="Aptos"/>
        </w:rPr>
        <w:t>juillet</w:t>
      </w:r>
      <w:r w:rsidRPr="003B55AF">
        <w:rPr>
          <w:rFonts w:eastAsia="Aptos"/>
        </w:rPr>
        <w:t xml:space="preserve"> 2025</w:t>
      </w:r>
      <w:r>
        <w:rPr>
          <w:rFonts w:eastAsia="Aptos"/>
        </w:rPr>
        <w:t>, l</w:t>
      </w:r>
      <w:r w:rsidRPr="00DB0A57">
        <w:rPr>
          <w:rFonts w:eastAsia="Aptos"/>
        </w:rPr>
        <w:t>e BDT a mené les activités suivantes:</w:t>
      </w:r>
    </w:p>
    <w:p w14:paraId="23493DF9" w14:textId="44AA55AF" w:rsidR="00455256" w:rsidRPr="009835A2" w:rsidRDefault="00455256" w:rsidP="002F29A9">
      <w:pPr>
        <w:pStyle w:val="enumlev1"/>
        <w:jc w:val="both"/>
        <w:rPr>
          <w:rFonts w:eastAsia="Aptos"/>
        </w:rPr>
      </w:pPr>
      <w:r w:rsidRPr="000E0B5E">
        <w:rPr>
          <w:rFonts w:eastAsia="Aptos"/>
          <w:i/>
          <w:iCs/>
        </w:rPr>
        <w:t>a)</w:t>
      </w:r>
      <w:r w:rsidRPr="009835A2">
        <w:rPr>
          <w:rFonts w:eastAsia="Aptos"/>
        </w:rPr>
        <w:tab/>
        <w:t>Conception et lancement de l</w:t>
      </w:r>
      <w:r w:rsidR="00BC7CFD">
        <w:rPr>
          <w:rFonts w:eastAsia="Aptos"/>
        </w:rPr>
        <w:t>'</w:t>
      </w:r>
      <w:r w:rsidRPr="009835A2">
        <w:rPr>
          <w:rFonts w:eastAsia="Aptos"/>
        </w:rPr>
        <w:t>enquête auprès des membres de l</w:t>
      </w:r>
      <w:r w:rsidR="00BC7CFD">
        <w:rPr>
          <w:rFonts w:eastAsia="Aptos"/>
        </w:rPr>
        <w:t>'</w:t>
      </w:r>
      <w:r w:rsidRPr="009835A2">
        <w:rPr>
          <w:rFonts w:eastAsia="Aptos"/>
        </w:rPr>
        <w:t>UIT</w:t>
      </w:r>
      <w:r w:rsidR="009835A2">
        <w:rPr>
          <w:rFonts w:eastAsia="Aptos"/>
        </w:rPr>
        <w:t>.</w:t>
      </w:r>
    </w:p>
    <w:p w14:paraId="4BDB443C" w14:textId="0B82F509" w:rsidR="00455256" w:rsidRPr="009835A2" w:rsidRDefault="00455256" w:rsidP="002F29A9">
      <w:pPr>
        <w:pStyle w:val="enumlev1"/>
        <w:jc w:val="both"/>
        <w:rPr>
          <w:rFonts w:eastAsia="Aptos"/>
        </w:rPr>
      </w:pPr>
      <w:r w:rsidRPr="000E0B5E">
        <w:rPr>
          <w:rFonts w:eastAsia="Aptos"/>
          <w:i/>
          <w:iCs/>
        </w:rPr>
        <w:t>b)</w:t>
      </w:r>
      <w:r w:rsidRPr="009835A2">
        <w:rPr>
          <w:rFonts w:eastAsia="Aptos"/>
        </w:rPr>
        <w:tab/>
        <w:t>Étude préliminaire</w:t>
      </w:r>
      <w:r w:rsidR="009835A2">
        <w:rPr>
          <w:rFonts w:eastAsia="Aptos"/>
        </w:rPr>
        <w:t>.</w:t>
      </w:r>
    </w:p>
    <w:p w14:paraId="35D59647" w14:textId="5C357EFA" w:rsidR="00455256" w:rsidRPr="009835A2" w:rsidRDefault="00455256" w:rsidP="002F29A9">
      <w:pPr>
        <w:pStyle w:val="enumlev1"/>
        <w:jc w:val="both"/>
        <w:rPr>
          <w:rFonts w:eastAsia="Aptos"/>
        </w:rPr>
      </w:pPr>
      <w:r w:rsidRPr="000E0B5E">
        <w:rPr>
          <w:rFonts w:eastAsia="Aptos"/>
          <w:i/>
          <w:iCs/>
        </w:rPr>
        <w:t>c)</w:t>
      </w:r>
      <w:r w:rsidRPr="009835A2">
        <w:rPr>
          <w:rFonts w:eastAsia="Aptos"/>
        </w:rPr>
        <w:tab/>
        <w:t>Consultation des parties prenantes, notamment par la conception et le lancement de l</w:t>
      </w:r>
      <w:r w:rsidR="00BC7CFD">
        <w:rPr>
          <w:rFonts w:eastAsia="Aptos"/>
        </w:rPr>
        <w:t>'</w:t>
      </w:r>
      <w:r w:rsidRPr="009835A2">
        <w:rPr>
          <w:rFonts w:eastAsia="Aptos"/>
        </w:rPr>
        <w:t>enquête d</w:t>
      </w:r>
      <w:r w:rsidR="00BC7CFD">
        <w:rPr>
          <w:rFonts w:eastAsia="Aptos"/>
        </w:rPr>
        <w:t>'</w:t>
      </w:r>
      <w:r w:rsidRPr="009835A2">
        <w:rPr>
          <w:rFonts w:eastAsia="Aptos"/>
        </w:rPr>
        <w:t>évaluation interne, et entretiens avec les organisations régionales de télécommunication</w:t>
      </w:r>
      <w:r w:rsidR="009835A2">
        <w:rPr>
          <w:rFonts w:eastAsia="Aptos"/>
        </w:rPr>
        <w:t>.</w:t>
      </w:r>
    </w:p>
    <w:p w14:paraId="5DF2EB85" w14:textId="4684652E" w:rsidR="00455256" w:rsidRPr="009835A2" w:rsidRDefault="00455256" w:rsidP="002F29A9">
      <w:pPr>
        <w:pStyle w:val="enumlev1"/>
        <w:jc w:val="both"/>
        <w:rPr>
          <w:rFonts w:eastAsia="Aptos"/>
        </w:rPr>
      </w:pPr>
      <w:r w:rsidRPr="000E0B5E">
        <w:rPr>
          <w:rFonts w:eastAsia="Aptos"/>
          <w:i/>
          <w:iCs/>
        </w:rPr>
        <w:t>d)</w:t>
      </w:r>
      <w:r w:rsidRPr="009835A2">
        <w:rPr>
          <w:rFonts w:eastAsia="Aptos"/>
        </w:rPr>
        <w:tab/>
        <w:t>Établissement de rapports périodiques conformément aux instructions du Groupe de travail du Conseil sur les ressources financières et les ressources humaines (</w:t>
      </w:r>
      <w:proofErr w:type="spellStart"/>
      <w:r w:rsidRPr="009835A2">
        <w:rPr>
          <w:rFonts w:eastAsia="Aptos"/>
        </w:rPr>
        <w:t>GTC</w:t>
      </w:r>
      <w:r w:rsidR="002961EF">
        <w:rPr>
          <w:rFonts w:eastAsia="Aptos"/>
        </w:rPr>
        <w:noBreakHyphen/>
      </w:r>
      <w:r w:rsidRPr="009835A2">
        <w:rPr>
          <w:rFonts w:eastAsia="Aptos"/>
        </w:rPr>
        <w:t>FHR</w:t>
      </w:r>
      <w:proofErr w:type="spellEnd"/>
      <w:r w:rsidRPr="009835A2">
        <w:rPr>
          <w:rFonts w:eastAsia="Aptos"/>
        </w:rPr>
        <w:t>) et du Conseil.</w:t>
      </w:r>
    </w:p>
    <w:p w14:paraId="4B424354" w14:textId="7057F0A9" w:rsidR="00455256" w:rsidRPr="00DB0A57" w:rsidRDefault="00455256" w:rsidP="0014729D">
      <w:pPr>
        <w:jc w:val="both"/>
        <w:rPr>
          <w:rFonts w:eastAsia="Aptos"/>
        </w:rPr>
      </w:pPr>
      <w:r w:rsidRPr="00720511">
        <w:rPr>
          <w:rFonts w:asciiTheme="minorHAnsi" w:eastAsia="Aptos" w:hAnsiTheme="minorHAnsi" w:cstheme="minorBidi"/>
        </w:rPr>
        <w:lastRenderedPageBreak/>
        <w:t>2.</w:t>
      </w:r>
      <w:r w:rsidRPr="00720511">
        <w:rPr>
          <w:rFonts w:eastAsia="Aptos" w:cs="Calibri"/>
        </w:rPr>
        <w:t>3.3</w:t>
      </w:r>
      <w:r w:rsidRPr="00720511">
        <w:rPr>
          <w:rFonts w:eastAsia="Aptos"/>
        </w:rPr>
        <w:tab/>
      </w:r>
      <w:r w:rsidRPr="00DB0A57">
        <w:rPr>
          <w:rFonts w:eastAsia="Aptos"/>
        </w:rPr>
        <w:t xml:space="preserve">Le </w:t>
      </w:r>
      <w:r w:rsidR="006232B2">
        <w:rPr>
          <w:rFonts w:eastAsia="Aptos"/>
        </w:rPr>
        <w:t>R</w:t>
      </w:r>
      <w:r w:rsidRPr="00DB0A57">
        <w:rPr>
          <w:rFonts w:eastAsia="Aptos"/>
        </w:rPr>
        <w:t>apport intérimaire sur l</w:t>
      </w:r>
      <w:r w:rsidR="00BC7CFD">
        <w:rPr>
          <w:rFonts w:eastAsia="Aptos"/>
        </w:rPr>
        <w:t>'</w:t>
      </w:r>
      <w:r w:rsidRPr="00DB0A57">
        <w:rPr>
          <w:rFonts w:eastAsia="Aptos"/>
        </w:rPr>
        <w:t xml:space="preserve">examen de la </w:t>
      </w:r>
      <w:r w:rsidRPr="00BF5D5F">
        <w:rPr>
          <w:rFonts w:eastAsia="Aptos"/>
        </w:rPr>
        <w:t>présence</w:t>
      </w:r>
      <w:r w:rsidRPr="00DB0A57">
        <w:rPr>
          <w:rFonts w:eastAsia="Aptos"/>
        </w:rPr>
        <w:t xml:space="preserve"> régionale de l</w:t>
      </w:r>
      <w:r w:rsidR="00BC7CFD">
        <w:rPr>
          <w:rFonts w:eastAsia="Aptos"/>
        </w:rPr>
        <w:t>'</w:t>
      </w:r>
      <w:r w:rsidRPr="00DB0A57">
        <w:rPr>
          <w:rFonts w:eastAsia="Aptos"/>
        </w:rPr>
        <w:t>U</w:t>
      </w:r>
      <w:r w:rsidRPr="00720511">
        <w:rPr>
          <w:rFonts w:eastAsia="Aptos"/>
        </w:rPr>
        <w:t>IT (Doc</w:t>
      </w:r>
      <w:r w:rsidRPr="00DB0A57">
        <w:rPr>
          <w:rFonts w:eastAsia="Aptos"/>
        </w:rPr>
        <w:t>ument</w:t>
      </w:r>
      <w:r w:rsidR="009835A2">
        <w:rPr>
          <w:rFonts w:eastAsia="Aptos"/>
        </w:rPr>
        <w:t> </w:t>
      </w:r>
      <w:proofErr w:type="spellStart"/>
      <w:r>
        <w:fldChar w:fldCharType="begin"/>
      </w:r>
      <w:r>
        <w:instrText>HYPERLINK "https://www.itu.int/md/S26-CWGFHR22-C-0004/fr" \h</w:instrText>
      </w:r>
      <w:r>
        <w:fldChar w:fldCharType="separate"/>
      </w:r>
      <w:r w:rsidRPr="00720511">
        <w:rPr>
          <w:rStyle w:val="Hyperlink"/>
          <w:rFonts w:eastAsia="Aptos" w:cs="Calibri"/>
          <w:spacing w:val="-2"/>
        </w:rPr>
        <w:t>CWG</w:t>
      </w:r>
      <w:proofErr w:type="spellEnd"/>
      <w:r w:rsidR="009835A2">
        <w:rPr>
          <w:rStyle w:val="Hyperlink"/>
          <w:rFonts w:eastAsia="Aptos" w:cs="Calibri"/>
          <w:spacing w:val="-2"/>
        </w:rPr>
        <w:noBreakHyphen/>
      </w:r>
      <w:proofErr w:type="spellStart"/>
      <w:r w:rsidRPr="00720511">
        <w:rPr>
          <w:rStyle w:val="Hyperlink"/>
          <w:rFonts w:eastAsia="Aptos" w:cs="Calibri"/>
          <w:spacing w:val="-2"/>
        </w:rPr>
        <w:t>FHR</w:t>
      </w:r>
      <w:proofErr w:type="spellEnd"/>
      <w:r w:rsidRPr="00720511">
        <w:rPr>
          <w:rStyle w:val="Hyperlink"/>
          <w:rFonts w:eastAsia="Aptos" w:cs="Calibri"/>
          <w:spacing w:val="-2"/>
        </w:rPr>
        <w:t>-22/4</w:t>
      </w:r>
      <w:r>
        <w:fldChar w:fldCharType="end"/>
      </w:r>
      <w:r w:rsidRPr="00720511">
        <w:rPr>
          <w:rFonts w:eastAsia="Aptos"/>
        </w:rPr>
        <w:t xml:space="preserve">) </w:t>
      </w:r>
      <w:r w:rsidRPr="00DB0A57">
        <w:rPr>
          <w:rFonts w:eastAsia="Aptos"/>
        </w:rPr>
        <w:t xml:space="preserve">a été </w:t>
      </w:r>
      <w:r>
        <w:rPr>
          <w:rFonts w:eastAsia="Aptos"/>
        </w:rPr>
        <w:t xml:space="preserve">présenté à la </w:t>
      </w:r>
      <w:r w:rsidRPr="00720511">
        <w:rPr>
          <w:rFonts w:eastAsia="Aptos"/>
        </w:rPr>
        <w:t>22</w:t>
      </w:r>
      <w:r w:rsidRPr="00AC1558">
        <w:rPr>
          <w:rFonts w:eastAsia="Aptos"/>
        </w:rPr>
        <w:t>ème</w:t>
      </w:r>
      <w:r w:rsidRPr="00720511">
        <w:rPr>
          <w:rFonts w:eastAsia="Aptos"/>
        </w:rPr>
        <w:t xml:space="preserve"> </w:t>
      </w:r>
      <w:r>
        <w:rPr>
          <w:rFonts w:eastAsia="Aptos"/>
        </w:rPr>
        <w:t>réunion du CGT</w:t>
      </w:r>
      <w:r w:rsidRPr="00720511">
        <w:rPr>
          <w:rFonts w:ascii="Cambria Math" w:eastAsia="Aptos" w:hAnsi="Cambria Math" w:cs="Cambria Math"/>
        </w:rPr>
        <w:t>‑</w:t>
      </w:r>
      <w:proofErr w:type="spellStart"/>
      <w:r w:rsidRPr="00720511">
        <w:rPr>
          <w:rFonts w:eastAsia="Aptos"/>
        </w:rPr>
        <w:t>FHR</w:t>
      </w:r>
      <w:proofErr w:type="spellEnd"/>
      <w:r>
        <w:rPr>
          <w:rFonts w:eastAsia="Aptos"/>
        </w:rPr>
        <w:t>, le</w:t>
      </w:r>
      <w:r w:rsidR="009835A2">
        <w:rPr>
          <w:rFonts w:eastAsia="Aptos"/>
        </w:rPr>
        <w:t> </w:t>
      </w:r>
      <w:r w:rsidRPr="00720511">
        <w:rPr>
          <w:rFonts w:eastAsia="Aptos"/>
        </w:rPr>
        <w:t>16</w:t>
      </w:r>
      <w:r w:rsidR="009835A2">
        <w:rPr>
          <w:rFonts w:eastAsia="Aptos"/>
        </w:rPr>
        <w:t> </w:t>
      </w:r>
      <w:r>
        <w:rPr>
          <w:rFonts w:eastAsia="Aptos"/>
        </w:rPr>
        <w:t>janvier</w:t>
      </w:r>
      <w:r w:rsidR="009835A2">
        <w:rPr>
          <w:rFonts w:eastAsia="Aptos"/>
        </w:rPr>
        <w:t> </w:t>
      </w:r>
      <w:r w:rsidRPr="00720511">
        <w:rPr>
          <w:rFonts w:eastAsia="Aptos"/>
        </w:rPr>
        <w:t xml:space="preserve">2026, </w:t>
      </w:r>
      <w:r>
        <w:rPr>
          <w:rFonts w:eastAsia="Aptos"/>
        </w:rPr>
        <w:t>accompagné du Document d</w:t>
      </w:r>
      <w:r w:rsidR="00BC7CFD">
        <w:rPr>
          <w:rFonts w:eastAsia="Aptos"/>
        </w:rPr>
        <w:t>'</w:t>
      </w:r>
      <w:r>
        <w:rPr>
          <w:rFonts w:eastAsia="Aptos"/>
        </w:rPr>
        <w:t xml:space="preserve">information </w:t>
      </w:r>
      <w:hyperlink r:id="rId36">
        <w:proofErr w:type="spellStart"/>
        <w:r w:rsidRPr="00DB0A57">
          <w:rPr>
            <w:rStyle w:val="Hyperlink"/>
            <w:rFonts w:eastAsia="Aptos" w:cs="Calibri"/>
            <w:spacing w:val="-2"/>
            <w:szCs w:val="24"/>
          </w:rPr>
          <w:t>CWG</w:t>
        </w:r>
        <w:proofErr w:type="spellEnd"/>
        <w:r w:rsidRPr="00DB0A57">
          <w:rPr>
            <w:rStyle w:val="Hyperlink"/>
            <w:rFonts w:eastAsia="Aptos" w:cs="Calibri"/>
            <w:spacing w:val="-2"/>
            <w:szCs w:val="24"/>
          </w:rPr>
          <w:t>-</w:t>
        </w:r>
        <w:proofErr w:type="spellStart"/>
        <w:r w:rsidRPr="00DB0A57">
          <w:rPr>
            <w:rStyle w:val="Hyperlink"/>
            <w:rFonts w:eastAsia="Aptos" w:cs="Calibri"/>
            <w:spacing w:val="-2"/>
            <w:szCs w:val="24"/>
          </w:rPr>
          <w:t>FHR</w:t>
        </w:r>
        <w:proofErr w:type="spellEnd"/>
        <w:r w:rsidRPr="00DB0A57">
          <w:rPr>
            <w:rStyle w:val="Hyperlink"/>
            <w:rFonts w:eastAsia="Aptos" w:cs="Calibri"/>
            <w:spacing w:val="-2"/>
            <w:szCs w:val="24"/>
          </w:rPr>
          <w:t>-22/</w:t>
        </w:r>
        <w:proofErr w:type="spellStart"/>
        <w:r w:rsidRPr="00DB0A57">
          <w:rPr>
            <w:rStyle w:val="Hyperlink"/>
            <w:rFonts w:eastAsia="Aptos" w:cs="Calibri"/>
            <w:spacing w:val="-2"/>
            <w:szCs w:val="24"/>
          </w:rPr>
          <w:t>INF</w:t>
        </w:r>
        <w:proofErr w:type="spellEnd"/>
        <w:r w:rsidRPr="00DB0A57">
          <w:rPr>
            <w:rStyle w:val="Hyperlink"/>
            <w:rFonts w:eastAsia="Aptos" w:cs="Calibri"/>
            <w:spacing w:val="-2"/>
            <w:szCs w:val="24"/>
          </w:rPr>
          <w:t>/1</w:t>
        </w:r>
      </w:hyperlink>
      <w:r w:rsidRPr="00720511">
        <w:rPr>
          <w:rFonts w:eastAsia="Aptos"/>
        </w:rPr>
        <w:t xml:space="preserve">, </w:t>
      </w:r>
      <w:r>
        <w:rPr>
          <w:rFonts w:eastAsia="Aptos"/>
        </w:rPr>
        <w:t xml:space="preserve">qui détaille les </w:t>
      </w:r>
      <w:r w:rsidRPr="00720511">
        <w:rPr>
          <w:rFonts w:eastAsia="Aptos"/>
        </w:rPr>
        <w:t>initiatives</w:t>
      </w:r>
      <w:r w:rsidRPr="00DB0A57">
        <w:rPr>
          <w:rFonts w:eastAsia="Aptos"/>
        </w:rPr>
        <w:t xml:space="preserve"> </w:t>
      </w:r>
      <w:r>
        <w:rPr>
          <w:rFonts w:eastAsia="Aptos"/>
        </w:rPr>
        <w:t>précises du BDT qui renforcent encore la présence régionale</w:t>
      </w:r>
      <w:r w:rsidRPr="00720511">
        <w:rPr>
          <w:rFonts w:eastAsia="Aptos"/>
        </w:rPr>
        <w:t xml:space="preserve">. </w:t>
      </w:r>
      <w:r w:rsidRPr="00DB0A57">
        <w:rPr>
          <w:rFonts w:asciiTheme="minorHAnsi" w:eastAsia="Aptos" w:hAnsiTheme="minorHAnsi" w:cstheme="minorBidi"/>
        </w:rPr>
        <w:t>Une séance spéciale sur les premières conclusions de l</w:t>
      </w:r>
      <w:r w:rsidR="00BC7CFD">
        <w:rPr>
          <w:rFonts w:asciiTheme="minorHAnsi" w:eastAsia="Aptos" w:hAnsiTheme="minorHAnsi" w:cstheme="minorBidi"/>
        </w:rPr>
        <w:t>'</w:t>
      </w:r>
      <w:r w:rsidRPr="00DB0A57">
        <w:rPr>
          <w:rFonts w:asciiTheme="minorHAnsi" w:eastAsia="Aptos" w:hAnsiTheme="minorHAnsi" w:cstheme="minorBidi"/>
        </w:rPr>
        <w:t>e</w:t>
      </w:r>
      <w:r>
        <w:rPr>
          <w:rFonts w:asciiTheme="minorHAnsi" w:eastAsia="Aptos" w:hAnsiTheme="minorHAnsi" w:cstheme="minorBidi"/>
        </w:rPr>
        <w:t xml:space="preserve">nquête auprès des membres </w:t>
      </w:r>
      <w:r w:rsidRPr="00720511">
        <w:rPr>
          <w:rFonts w:asciiTheme="minorHAnsi" w:eastAsia="Aptos" w:hAnsiTheme="minorHAnsi" w:cstheme="minorBidi"/>
        </w:rPr>
        <w:t>(</w:t>
      </w:r>
      <w:r w:rsidRPr="00720511">
        <w:rPr>
          <w:rFonts w:eastAsia="Aptos"/>
        </w:rPr>
        <w:t>Doc</w:t>
      </w:r>
      <w:r>
        <w:rPr>
          <w:rFonts w:eastAsia="Aptos"/>
        </w:rPr>
        <w:t>ument</w:t>
      </w:r>
      <w:r w:rsidRPr="00720511">
        <w:rPr>
          <w:rFonts w:eastAsia="Aptos"/>
        </w:rPr>
        <w:t> </w:t>
      </w:r>
      <w:proofErr w:type="spellStart"/>
      <w:r>
        <w:fldChar w:fldCharType="begin"/>
      </w:r>
      <w:r>
        <w:instrText>HYPERLINK "https://www.itu.int/md/S26-CWGFHR22-C-0004/fr"</w:instrText>
      </w:r>
      <w:r>
        <w:fldChar w:fldCharType="separate"/>
      </w:r>
      <w:r w:rsidRPr="00720511">
        <w:rPr>
          <w:rStyle w:val="Hyperlink"/>
          <w:rFonts w:eastAsia="Aptos" w:cs="Calibri"/>
          <w:spacing w:val="-2"/>
        </w:rPr>
        <w:t>CWG</w:t>
      </w:r>
      <w:proofErr w:type="spellEnd"/>
      <w:r w:rsidR="00571B91">
        <w:rPr>
          <w:rStyle w:val="Hyperlink"/>
          <w:rFonts w:eastAsia="Aptos" w:cs="Calibri"/>
          <w:spacing w:val="-2"/>
        </w:rPr>
        <w:noBreakHyphen/>
      </w:r>
      <w:proofErr w:type="spellStart"/>
      <w:r w:rsidRPr="00720511">
        <w:rPr>
          <w:rStyle w:val="Hyperlink"/>
          <w:rFonts w:eastAsia="Aptos" w:cs="Calibri"/>
          <w:spacing w:val="-2"/>
        </w:rPr>
        <w:t>FHR</w:t>
      </w:r>
      <w:proofErr w:type="spellEnd"/>
      <w:r w:rsidRPr="00720511">
        <w:rPr>
          <w:rStyle w:val="Hyperlink"/>
          <w:rFonts w:eastAsia="Aptos" w:cs="Calibri"/>
          <w:spacing w:val="-2"/>
        </w:rPr>
        <w:t>-22/4</w:t>
      </w:r>
      <w:r>
        <w:fldChar w:fldCharType="end"/>
      </w:r>
      <w:r w:rsidRPr="00720511">
        <w:rPr>
          <w:rFonts w:eastAsia="Aptos" w:cs="Calibri"/>
        </w:rPr>
        <w:t>,</w:t>
      </w:r>
      <w:r w:rsidRPr="00720511">
        <w:t xml:space="preserve"> Annex</w:t>
      </w:r>
      <w:r>
        <w:t>e</w:t>
      </w:r>
      <w:r w:rsidRPr="00720511">
        <w:t xml:space="preserve"> 2)</w:t>
      </w:r>
      <w:r w:rsidRPr="00720511">
        <w:rPr>
          <w:rFonts w:eastAsia="Aptos"/>
        </w:rPr>
        <w:t xml:space="preserve"> </w:t>
      </w:r>
      <w:r>
        <w:rPr>
          <w:rFonts w:asciiTheme="minorHAnsi" w:eastAsia="Aptos" w:hAnsiTheme="minorHAnsi" w:cstheme="minorBidi"/>
        </w:rPr>
        <w:t xml:space="preserve">a été organisée lors de la </w:t>
      </w:r>
      <w:proofErr w:type="spellStart"/>
      <w:r>
        <w:rPr>
          <w:rFonts w:asciiTheme="minorHAnsi" w:eastAsia="Aptos" w:hAnsiTheme="minorHAnsi" w:cstheme="minorBidi"/>
        </w:rPr>
        <w:t>CMDT</w:t>
      </w:r>
      <w:proofErr w:type="spellEnd"/>
      <w:r w:rsidRPr="00720511">
        <w:rPr>
          <w:rFonts w:asciiTheme="minorHAnsi" w:eastAsia="Aptos" w:hAnsiTheme="minorHAnsi" w:cstheme="minorBidi"/>
        </w:rPr>
        <w:t>-25</w:t>
      </w:r>
      <w:r>
        <w:rPr>
          <w:rFonts w:asciiTheme="minorHAnsi" w:eastAsia="Aptos" w:hAnsiTheme="minorHAnsi" w:cstheme="minorBidi"/>
        </w:rPr>
        <w:t>, le</w:t>
      </w:r>
      <w:r w:rsidR="00571B91">
        <w:rPr>
          <w:rFonts w:asciiTheme="minorHAnsi" w:eastAsia="Aptos" w:hAnsiTheme="minorHAnsi" w:cstheme="minorBidi"/>
        </w:rPr>
        <w:t> </w:t>
      </w:r>
      <w:r w:rsidRPr="00571B91">
        <w:rPr>
          <w:rFonts w:eastAsia="Aptos"/>
        </w:rPr>
        <w:t>24</w:t>
      </w:r>
      <w:r w:rsidR="00571B91">
        <w:rPr>
          <w:rFonts w:eastAsia="Aptos"/>
        </w:rPr>
        <w:t> </w:t>
      </w:r>
      <w:r w:rsidRPr="00571B91">
        <w:rPr>
          <w:rFonts w:eastAsia="Aptos"/>
        </w:rPr>
        <w:t>novembre</w:t>
      </w:r>
      <w:r w:rsidR="00571B91">
        <w:rPr>
          <w:rFonts w:asciiTheme="minorHAnsi" w:eastAsia="Aptos" w:hAnsiTheme="minorHAnsi" w:cstheme="minorBidi"/>
        </w:rPr>
        <w:t> </w:t>
      </w:r>
      <w:r w:rsidRPr="00720511">
        <w:rPr>
          <w:rFonts w:asciiTheme="minorHAnsi" w:eastAsia="Aptos" w:hAnsiTheme="minorHAnsi" w:cstheme="minorBidi"/>
        </w:rPr>
        <w:t xml:space="preserve">2025. </w:t>
      </w:r>
      <w:r>
        <w:rPr>
          <w:rFonts w:asciiTheme="minorHAnsi" w:eastAsia="Aptos" w:hAnsiTheme="minorHAnsi" w:cstheme="minorBidi"/>
        </w:rPr>
        <w:t>Afin de disposer davantage d</w:t>
      </w:r>
      <w:r w:rsidR="00BC7CFD">
        <w:rPr>
          <w:rFonts w:asciiTheme="minorHAnsi" w:eastAsia="Aptos" w:hAnsiTheme="minorHAnsi" w:cstheme="minorBidi"/>
        </w:rPr>
        <w:t>'</w:t>
      </w:r>
      <w:r w:rsidRPr="00DB0A57">
        <w:rPr>
          <w:rFonts w:asciiTheme="minorHAnsi" w:eastAsia="Aptos" w:hAnsiTheme="minorHAnsi" w:cstheme="minorBidi"/>
        </w:rPr>
        <w:t>informations et d</w:t>
      </w:r>
      <w:r w:rsidR="00BC7CFD">
        <w:rPr>
          <w:rFonts w:asciiTheme="minorHAnsi" w:eastAsia="Aptos" w:hAnsiTheme="minorHAnsi" w:cstheme="minorBidi"/>
        </w:rPr>
        <w:t>'</w:t>
      </w:r>
      <w:r w:rsidRPr="00DB0A57">
        <w:rPr>
          <w:rFonts w:asciiTheme="minorHAnsi" w:eastAsia="Aptos" w:hAnsiTheme="minorHAnsi" w:cstheme="minorBidi"/>
        </w:rPr>
        <w:t>orientations stratégiques sur la manière de façonner l'avenir de la présence régionale de l'UIT</w:t>
      </w:r>
      <w:r>
        <w:rPr>
          <w:rFonts w:asciiTheme="minorHAnsi" w:eastAsia="Aptos" w:hAnsiTheme="minorHAnsi" w:cstheme="minorBidi"/>
        </w:rPr>
        <w:t xml:space="preserve"> dans le cadre de </w:t>
      </w:r>
      <w:r w:rsidRPr="00BF5D5F">
        <w:rPr>
          <w:rFonts w:asciiTheme="minorHAnsi" w:eastAsia="Aptos" w:hAnsiTheme="minorHAnsi" w:cstheme="minorBidi"/>
        </w:rPr>
        <w:t xml:space="preserve">consultations </w:t>
      </w:r>
      <w:r>
        <w:rPr>
          <w:rFonts w:asciiTheme="minorHAnsi" w:eastAsia="Aptos" w:hAnsiTheme="minorHAnsi" w:cstheme="minorBidi"/>
        </w:rPr>
        <w:t xml:space="preserve">avec les </w:t>
      </w:r>
      <w:r w:rsidR="006232B2">
        <w:rPr>
          <w:rFonts w:asciiTheme="minorHAnsi" w:eastAsia="Aptos" w:hAnsiTheme="minorHAnsi" w:cstheme="minorBidi"/>
        </w:rPr>
        <w:t>G</w:t>
      </w:r>
      <w:r>
        <w:rPr>
          <w:rFonts w:asciiTheme="minorHAnsi" w:eastAsia="Aptos" w:hAnsiTheme="minorHAnsi" w:cstheme="minorBidi"/>
        </w:rPr>
        <w:t>roupes consultatifs de l</w:t>
      </w:r>
      <w:r w:rsidR="00BC7CFD">
        <w:rPr>
          <w:rFonts w:asciiTheme="minorHAnsi" w:eastAsia="Aptos" w:hAnsiTheme="minorHAnsi" w:cstheme="minorBidi"/>
        </w:rPr>
        <w:t>'</w:t>
      </w:r>
      <w:r>
        <w:rPr>
          <w:rFonts w:asciiTheme="minorHAnsi" w:eastAsia="Aptos" w:hAnsiTheme="minorHAnsi" w:cstheme="minorBidi"/>
        </w:rPr>
        <w:t>UIT</w:t>
      </w:r>
      <w:r w:rsidRPr="00BF5D5F">
        <w:rPr>
          <w:rFonts w:asciiTheme="minorHAnsi" w:eastAsia="Aptos" w:hAnsiTheme="minorHAnsi" w:cstheme="minorBidi"/>
        </w:rPr>
        <w:t xml:space="preserve">, </w:t>
      </w:r>
      <w:r>
        <w:rPr>
          <w:rFonts w:asciiTheme="minorHAnsi" w:eastAsia="Aptos" w:hAnsiTheme="minorHAnsi" w:cstheme="minorBidi"/>
        </w:rPr>
        <w:t xml:space="preserve">le BDT a présenté le </w:t>
      </w:r>
      <w:r w:rsidR="006232B2">
        <w:rPr>
          <w:rFonts w:asciiTheme="minorHAnsi" w:eastAsia="Aptos" w:hAnsiTheme="minorHAnsi" w:cstheme="minorBidi"/>
        </w:rPr>
        <w:t>R</w:t>
      </w:r>
      <w:r>
        <w:rPr>
          <w:rFonts w:asciiTheme="minorHAnsi" w:eastAsia="Aptos" w:hAnsiTheme="minorHAnsi" w:cstheme="minorBidi"/>
        </w:rPr>
        <w:t xml:space="preserve">apport intérimaire aux réunions de 2026 du Groupe consultatif de la normalisation des télécommunications </w:t>
      </w:r>
      <w:r w:rsidRPr="00BF5D5F">
        <w:rPr>
          <w:rFonts w:asciiTheme="minorHAnsi" w:eastAsia="Aptos" w:hAnsiTheme="minorHAnsi" w:cstheme="minorBidi"/>
        </w:rPr>
        <w:t>(</w:t>
      </w:r>
      <w:r w:rsidRPr="00BF5D5F">
        <w:rPr>
          <w:rFonts w:eastAsia="Aptos"/>
        </w:rPr>
        <w:t>Doc</w:t>
      </w:r>
      <w:r>
        <w:rPr>
          <w:rFonts w:eastAsia="Aptos"/>
        </w:rPr>
        <w:t>ument</w:t>
      </w:r>
      <w:r w:rsidRPr="00BF5D5F">
        <w:rPr>
          <w:rFonts w:eastAsia="Aptos"/>
        </w:rPr>
        <w:t> </w:t>
      </w:r>
      <w:hyperlink r:id="rId37">
        <w:r w:rsidR="00D9085D">
          <w:rPr>
            <w:rStyle w:val="Hyperlink"/>
            <w:rFonts w:asciiTheme="minorHAnsi" w:eastAsia="Aptos" w:hAnsiTheme="minorHAnsi"/>
            <w:spacing w:val="-2"/>
          </w:rPr>
          <w:t>TSAG-TD-313</w:t>
        </w:r>
      </w:hyperlink>
      <w:r w:rsidRPr="00BF5D5F">
        <w:rPr>
          <w:rFonts w:asciiTheme="minorHAnsi" w:eastAsia="Aptos" w:hAnsiTheme="minorHAnsi" w:cstheme="minorBidi"/>
        </w:rPr>
        <w:t xml:space="preserve">), </w:t>
      </w:r>
      <w:r>
        <w:rPr>
          <w:rFonts w:asciiTheme="minorHAnsi" w:eastAsia="Aptos" w:hAnsiTheme="minorHAnsi" w:cstheme="minorBidi"/>
        </w:rPr>
        <w:t xml:space="preserve">du </w:t>
      </w:r>
      <w:proofErr w:type="spellStart"/>
      <w:r>
        <w:rPr>
          <w:rFonts w:asciiTheme="minorHAnsi" w:eastAsia="Aptos" w:hAnsiTheme="minorHAnsi" w:cstheme="minorBidi"/>
        </w:rPr>
        <w:t>GCDT</w:t>
      </w:r>
      <w:proofErr w:type="spellEnd"/>
      <w:r>
        <w:rPr>
          <w:rFonts w:asciiTheme="minorHAnsi" w:eastAsia="Aptos" w:hAnsiTheme="minorHAnsi" w:cstheme="minorBidi"/>
        </w:rPr>
        <w:t xml:space="preserve"> </w:t>
      </w:r>
      <w:r w:rsidRPr="00BF5D5F">
        <w:rPr>
          <w:rFonts w:asciiTheme="minorHAnsi" w:eastAsia="Aptos" w:hAnsiTheme="minorHAnsi" w:cstheme="minorBidi"/>
        </w:rPr>
        <w:t>(</w:t>
      </w:r>
      <w:r w:rsidRPr="00BF5D5F">
        <w:rPr>
          <w:rFonts w:eastAsia="Aptos"/>
        </w:rPr>
        <w:t>Doc</w:t>
      </w:r>
      <w:r>
        <w:rPr>
          <w:rFonts w:eastAsia="Aptos"/>
        </w:rPr>
        <w:t>ument</w:t>
      </w:r>
      <w:r w:rsidRPr="00BF5D5F">
        <w:rPr>
          <w:rFonts w:eastAsia="Aptos"/>
        </w:rPr>
        <w:t> </w:t>
      </w:r>
      <w:proofErr w:type="spellStart"/>
      <w:r>
        <w:fldChar w:fldCharType="begin"/>
      </w:r>
      <w:r>
        <w:instrText>HYPERLINK "https://www.itu.int/md/D26-TDAG33-C-0016/fr" \h</w:instrText>
      </w:r>
      <w:r>
        <w:fldChar w:fldCharType="separate"/>
      </w:r>
      <w:r w:rsidRPr="00BF5D5F">
        <w:rPr>
          <w:rStyle w:val="Hyperlink"/>
          <w:spacing w:val="-2"/>
        </w:rPr>
        <w:t>TDAG</w:t>
      </w:r>
      <w:proofErr w:type="spellEnd"/>
      <w:r w:rsidRPr="00BF5D5F">
        <w:rPr>
          <w:rStyle w:val="Hyperlink"/>
          <w:spacing w:val="-2"/>
        </w:rPr>
        <w:t>-26/16</w:t>
      </w:r>
      <w:r>
        <w:fldChar w:fldCharType="end"/>
      </w:r>
      <w:r w:rsidRPr="00BF5D5F">
        <w:rPr>
          <w:rFonts w:asciiTheme="minorHAnsi" w:eastAsia="Aptos" w:hAnsiTheme="minorHAnsi" w:cstheme="minorBidi"/>
        </w:rPr>
        <w:t xml:space="preserve">) </w:t>
      </w:r>
      <w:r>
        <w:rPr>
          <w:rFonts w:asciiTheme="minorHAnsi" w:eastAsia="Aptos" w:hAnsiTheme="minorHAnsi" w:cstheme="minorBidi"/>
        </w:rPr>
        <w:t xml:space="preserve">et du Groupe consultatif des radiocommunications </w:t>
      </w:r>
      <w:r w:rsidRPr="00BF5D5F">
        <w:rPr>
          <w:rFonts w:asciiTheme="minorHAnsi" w:eastAsia="Aptos" w:hAnsiTheme="minorHAnsi" w:cstheme="minorBidi"/>
        </w:rPr>
        <w:t>(</w:t>
      </w:r>
      <w:r w:rsidRPr="00BF5D5F">
        <w:rPr>
          <w:rFonts w:eastAsia="Aptos"/>
        </w:rPr>
        <w:t>Doc</w:t>
      </w:r>
      <w:r>
        <w:rPr>
          <w:rFonts w:eastAsia="Aptos"/>
        </w:rPr>
        <w:t>ument</w:t>
      </w:r>
      <w:r w:rsidRPr="00BF5D5F">
        <w:rPr>
          <w:rFonts w:eastAsia="Aptos"/>
        </w:rPr>
        <w:t> </w:t>
      </w:r>
      <w:hyperlink r:id="rId38">
        <w:r w:rsidRPr="007733DE">
          <w:rPr>
            <w:rStyle w:val="Hyperlink"/>
            <w:rFonts w:eastAsia="Aptos"/>
            <w:spacing w:val="-2"/>
          </w:rPr>
          <w:t>RAG/66</w:t>
        </w:r>
      </w:hyperlink>
      <w:r w:rsidRPr="007733DE">
        <w:rPr>
          <w:rFonts w:asciiTheme="minorHAnsi" w:eastAsia="Aptos" w:hAnsiTheme="minorHAnsi" w:cstheme="minorBidi"/>
        </w:rPr>
        <w:t xml:space="preserve">). </w:t>
      </w:r>
      <w:r w:rsidRPr="00DB0A57">
        <w:rPr>
          <w:rFonts w:asciiTheme="minorHAnsi" w:eastAsia="Aptos" w:hAnsiTheme="minorHAnsi" w:cstheme="minorBidi"/>
        </w:rPr>
        <w:t>Comme demandé à la</w:t>
      </w:r>
      <w:r w:rsidR="00AC1558">
        <w:rPr>
          <w:rFonts w:asciiTheme="minorHAnsi" w:eastAsia="Aptos" w:hAnsiTheme="minorHAnsi" w:cstheme="minorBidi"/>
        </w:rPr>
        <w:t> </w:t>
      </w:r>
      <w:r w:rsidRPr="007733DE">
        <w:rPr>
          <w:rFonts w:asciiTheme="minorHAnsi" w:eastAsia="Aptos" w:hAnsiTheme="minorHAnsi" w:cstheme="minorBidi"/>
        </w:rPr>
        <w:t>22</w:t>
      </w:r>
      <w:r w:rsidRPr="00AC1558">
        <w:rPr>
          <w:rFonts w:asciiTheme="minorHAnsi" w:eastAsia="Aptos" w:hAnsiTheme="minorHAnsi" w:cstheme="minorBidi"/>
        </w:rPr>
        <w:t>ème</w:t>
      </w:r>
      <w:r w:rsidRPr="007733DE">
        <w:rPr>
          <w:rFonts w:asciiTheme="minorHAnsi" w:eastAsia="Aptos" w:hAnsiTheme="minorHAnsi" w:cstheme="minorBidi"/>
        </w:rPr>
        <w:t xml:space="preserve"> </w:t>
      </w:r>
      <w:r w:rsidRPr="00DB0A57">
        <w:rPr>
          <w:rFonts w:asciiTheme="minorHAnsi" w:eastAsia="Aptos" w:hAnsiTheme="minorHAnsi" w:cstheme="minorBidi"/>
        </w:rPr>
        <w:t xml:space="preserve">réunion du </w:t>
      </w:r>
      <w:proofErr w:type="spellStart"/>
      <w:r w:rsidRPr="00DB0A57">
        <w:rPr>
          <w:rFonts w:asciiTheme="minorHAnsi" w:eastAsia="Aptos" w:hAnsiTheme="minorHAnsi" w:cstheme="minorBidi"/>
        </w:rPr>
        <w:t>GT</w:t>
      </w:r>
      <w:r>
        <w:rPr>
          <w:rFonts w:asciiTheme="minorHAnsi" w:eastAsia="Aptos" w:hAnsiTheme="minorHAnsi" w:cstheme="minorBidi"/>
        </w:rPr>
        <w:t>C</w:t>
      </w:r>
      <w:r w:rsidRPr="007733DE">
        <w:rPr>
          <w:rFonts w:asciiTheme="minorHAnsi" w:eastAsia="Aptos" w:hAnsiTheme="minorHAnsi" w:cstheme="minorBidi"/>
        </w:rPr>
        <w:t>-FHR</w:t>
      </w:r>
      <w:proofErr w:type="spellEnd"/>
      <w:r w:rsidRPr="007733DE">
        <w:rPr>
          <w:rFonts w:asciiTheme="minorHAnsi" w:eastAsia="Aptos" w:hAnsiTheme="minorHAnsi" w:cstheme="minorBidi"/>
        </w:rPr>
        <w:t xml:space="preserve">, </w:t>
      </w:r>
      <w:r>
        <w:rPr>
          <w:rFonts w:asciiTheme="minorHAnsi" w:eastAsia="Aptos" w:hAnsiTheme="minorHAnsi" w:cstheme="minorBidi"/>
        </w:rPr>
        <w:t>une réunion d</w:t>
      </w:r>
      <w:r w:rsidR="00BC7CFD">
        <w:rPr>
          <w:rFonts w:asciiTheme="minorHAnsi" w:eastAsia="Aptos" w:hAnsiTheme="minorHAnsi" w:cstheme="minorBidi"/>
        </w:rPr>
        <w:t>'</w:t>
      </w:r>
      <w:r>
        <w:rPr>
          <w:rFonts w:asciiTheme="minorHAnsi" w:eastAsia="Aptos" w:hAnsiTheme="minorHAnsi" w:cstheme="minorBidi"/>
        </w:rPr>
        <w:t>i</w:t>
      </w:r>
      <w:r w:rsidRPr="007733DE">
        <w:rPr>
          <w:rFonts w:asciiTheme="minorHAnsi" w:eastAsia="Aptos" w:hAnsiTheme="minorHAnsi" w:cstheme="minorBidi"/>
        </w:rPr>
        <w:t xml:space="preserve">nformation </w:t>
      </w:r>
      <w:r>
        <w:rPr>
          <w:rFonts w:asciiTheme="minorHAnsi" w:eastAsia="Aptos" w:hAnsiTheme="minorHAnsi" w:cstheme="minorBidi"/>
        </w:rPr>
        <w:t>sur la présence régionale préalable à</w:t>
      </w:r>
      <w:r w:rsidR="00571B91">
        <w:rPr>
          <w:rFonts w:asciiTheme="minorHAnsi" w:eastAsia="Aptos" w:hAnsiTheme="minorHAnsi" w:cstheme="minorBidi"/>
        </w:rPr>
        <w:t> </w:t>
      </w:r>
      <w:r>
        <w:rPr>
          <w:rFonts w:asciiTheme="minorHAnsi" w:eastAsia="Aptos" w:hAnsiTheme="minorHAnsi" w:cstheme="minorBidi"/>
        </w:rPr>
        <w:t xml:space="preserve">la session de 2026 du Conseil a été organisée, le </w:t>
      </w:r>
      <w:r w:rsidRPr="007733DE">
        <w:rPr>
          <w:rFonts w:asciiTheme="minorHAnsi" w:eastAsia="Aptos" w:hAnsiTheme="minorHAnsi" w:cstheme="minorBidi"/>
        </w:rPr>
        <w:t>5</w:t>
      </w:r>
      <w:r w:rsidR="00AC1558">
        <w:rPr>
          <w:rFonts w:asciiTheme="minorHAnsi" w:eastAsia="Aptos" w:hAnsiTheme="minorHAnsi" w:cstheme="minorBidi"/>
        </w:rPr>
        <w:t xml:space="preserve"> </w:t>
      </w:r>
      <w:r>
        <w:rPr>
          <w:rFonts w:asciiTheme="minorHAnsi" w:eastAsia="Aptos" w:hAnsiTheme="minorHAnsi" w:cstheme="minorBidi"/>
        </w:rPr>
        <w:t xml:space="preserve">mars </w:t>
      </w:r>
      <w:r w:rsidRPr="007733DE">
        <w:rPr>
          <w:rFonts w:asciiTheme="minorHAnsi" w:eastAsia="Aptos" w:hAnsiTheme="minorHAnsi" w:cstheme="minorBidi"/>
        </w:rPr>
        <w:t>2026. T</w:t>
      </w:r>
      <w:r w:rsidRPr="00DB0A57">
        <w:rPr>
          <w:rFonts w:asciiTheme="minorHAnsi" w:eastAsia="Aptos" w:hAnsiTheme="minorHAnsi" w:cstheme="minorBidi"/>
        </w:rPr>
        <w:t>ous</w:t>
      </w:r>
      <w:r w:rsidRPr="007733DE">
        <w:rPr>
          <w:rFonts w:asciiTheme="minorHAnsi" w:eastAsia="Aptos" w:hAnsiTheme="minorHAnsi" w:cstheme="minorBidi"/>
        </w:rPr>
        <w:t xml:space="preserve"> ce</w:t>
      </w:r>
      <w:r w:rsidRPr="00DB0A57">
        <w:rPr>
          <w:rFonts w:asciiTheme="minorHAnsi" w:eastAsia="Aptos" w:hAnsiTheme="minorHAnsi" w:cstheme="minorBidi"/>
        </w:rPr>
        <w:t>s efforts ont abouti à</w:t>
      </w:r>
      <w:r w:rsidR="001B6F6C">
        <w:rPr>
          <w:rFonts w:asciiTheme="minorHAnsi" w:eastAsia="Aptos" w:hAnsiTheme="minorHAnsi" w:cstheme="minorBidi"/>
        </w:rPr>
        <w:t> </w:t>
      </w:r>
      <w:r w:rsidRPr="00DB0A57">
        <w:rPr>
          <w:rFonts w:asciiTheme="minorHAnsi" w:eastAsia="Aptos" w:hAnsiTheme="minorHAnsi" w:cstheme="minorBidi"/>
        </w:rPr>
        <w:t>l</w:t>
      </w:r>
      <w:r w:rsidR="00BC7CFD">
        <w:rPr>
          <w:rFonts w:asciiTheme="minorHAnsi" w:eastAsia="Aptos" w:hAnsiTheme="minorHAnsi" w:cstheme="minorBidi"/>
        </w:rPr>
        <w:t>'</w:t>
      </w:r>
      <w:r w:rsidRPr="00DB0A57">
        <w:rPr>
          <w:rFonts w:asciiTheme="minorHAnsi" w:eastAsia="Aptos" w:hAnsiTheme="minorHAnsi" w:cstheme="minorBidi"/>
        </w:rPr>
        <w:t xml:space="preserve">établissement de la version finale du </w:t>
      </w:r>
      <w:r w:rsidR="006232B2">
        <w:rPr>
          <w:rFonts w:asciiTheme="minorHAnsi" w:eastAsia="Aptos" w:hAnsiTheme="minorHAnsi" w:cstheme="minorBidi"/>
        </w:rPr>
        <w:t>R</w:t>
      </w:r>
      <w:r w:rsidRPr="00DB0A57">
        <w:rPr>
          <w:rFonts w:asciiTheme="minorHAnsi" w:eastAsia="Aptos" w:hAnsiTheme="minorHAnsi" w:cstheme="minorBidi"/>
        </w:rPr>
        <w:t>a</w:t>
      </w:r>
      <w:r>
        <w:rPr>
          <w:rFonts w:asciiTheme="minorHAnsi" w:eastAsia="Aptos" w:hAnsiTheme="minorHAnsi" w:cstheme="minorBidi"/>
        </w:rPr>
        <w:t>pport sur l</w:t>
      </w:r>
      <w:r w:rsidR="00BC7CFD">
        <w:rPr>
          <w:rFonts w:asciiTheme="minorHAnsi" w:eastAsia="Aptos" w:hAnsiTheme="minorHAnsi" w:cstheme="minorBidi"/>
        </w:rPr>
        <w:t>'</w:t>
      </w:r>
      <w:r>
        <w:rPr>
          <w:rFonts w:asciiTheme="minorHAnsi" w:eastAsia="Aptos" w:hAnsiTheme="minorHAnsi" w:cstheme="minorBidi"/>
        </w:rPr>
        <w:t>examen de la présence régionale de l</w:t>
      </w:r>
      <w:r w:rsidR="00BC7CFD">
        <w:rPr>
          <w:rFonts w:asciiTheme="minorHAnsi" w:eastAsia="Aptos" w:hAnsiTheme="minorHAnsi" w:cstheme="minorBidi"/>
        </w:rPr>
        <w:t>'</w:t>
      </w:r>
      <w:r>
        <w:rPr>
          <w:rFonts w:asciiTheme="minorHAnsi" w:eastAsia="Aptos" w:hAnsiTheme="minorHAnsi" w:cstheme="minorBidi"/>
        </w:rPr>
        <w:t>UIT</w:t>
      </w:r>
      <w:r w:rsidRPr="00DB0A57">
        <w:rPr>
          <w:rFonts w:asciiTheme="minorHAnsi" w:eastAsia="Aptos" w:hAnsiTheme="minorHAnsi" w:cstheme="minorBidi"/>
        </w:rPr>
        <w:t xml:space="preserve">, </w:t>
      </w:r>
      <w:r>
        <w:rPr>
          <w:rFonts w:asciiTheme="minorHAnsi" w:eastAsia="Aptos" w:hAnsiTheme="minorHAnsi" w:cstheme="minorBidi"/>
        </w:rPr>
        <w:t>qui sera présenté au Conseil, à sa session de 2026</w:t>
      </w:r>
      <w:r w:rsidRPr="00DB0A57">
        <w:rPr>
          <w:rFonts w:asciiTheme="minorHAnsi" w:eastAsia="Aptos" w:hAnsiTheme="minorHAnsi"/>
        </w:rPr>
        <w:t>.</w:t>
      </w:r>
    </w:p>
    <w:p w14:paraId="39F15A2C" w14:textId="77777777" w:rsidR="00455256" w:rsidRPr="009E5AB1" w:rsidRDefault="00455256" w:rsidP="009835A2">
      <w:pPr>
        <w:pStyle w:val="Heading2"/>
      </w:pPr>
      <w:r w:rsidRPr="009E5AB1">
        <w:t>2.</w:t>
      </w:r>
      <w:r>
        <w:t>4</w:t>
      </w:r>
      <w:r w:rsidRPr="009E5AB1">
        <w:tab/>
        <w:t>Participation des bureaux régionaux</w:t>
      </w:r>
      <w:r>
        <w:t xml:space="preserve"> et des bureaux de zone</w:t>
      </w:r>
      <w:r w:rsidRPr="009E5AB1">
        <w:t xml:space="preserve"> à la mise en œuvre des projets de l'UIT-D</w:t>
      </w:r>
    </w:p>
    <w:p w14:paraId="7B1D0B9E" w14:textId="77777777" w:rsidR="00455256" w:rsidRPr="009E5AB1" w:rsidRDefault="00455256" w:rsidP="0014729D">
      <w:pPr>
        <w:jc w:val="both"/>
      </w:pPr>
      <w:r w:rsidRPr="009E5AB1">
        <w:t>2.</w:t>
      </w:r>
      <w:r>
        <w:t>4</w:t>
      </w:r>
      <w:r w:rsidRPr="009E5AB1">
        <w:t>.1</w:t>
      </w:r>
      <w:r w:rsidRPr="009E5AB1">
        <w:tab/>
        <w:t>Les projets de l'UIT-D, conçus pour faciliter et améliorer le développement des télécommunications/TIC par une coopération et une assistance sur le plan technique, sont mis en œuvre dans les six régions. Le BDT est responsable de la conception, de l'élaboration, de la mise en œuvre et de l'évaluation d</w:t>
      </w:r>
      <w:r>
        <w:t>e c</w:t>
      </w:r>
      <w:r w:rsidRPr="009E5AB1">
        <w:t>es projets.</w:t>
      </w:r>
    </w:p>
    <w:p w14:paraId="2453B119" w14:textId="457F3CFD" w:rsidR="00455256" w:rsidRPr="009E5AB1" w:rsidRDefault="00455256" w:rsidP="0014729D">
      <w:pPr>
        <w:jc w:val="both"/>
      </w:pPr>
      <w:r w:rsidRPr="009E5AB1">
        <w:t>2.</w:t>
      </w:r>
      <w:r>
        <w:t>4</w:t>
      </w:r>
      <w:r w:rsidRPr="009E5AB1">
        <w:t>.2</w:t>
      </w:r>
      <w:r w:rsidRPr="009E5AB1">
        <w:tab/>
        <w:t xml:space="preserve">Les bureaux régionaux et les bureaux de zone jouent un rôle essentiel </w:t>
      </w:r>
      <w:r>
        <w:t xml:space="preserve">dans </w:t>
      </w:r>
      <w:r w:rsidRPr="009E5AB1">
        <w:t xml:space="preserve">la collaboration de l'UIT avec les parties prenantes locales et les gouvernements </w:t>
      </w:r>
      <w:r>
        <w:t xml:space="preserve">et </w:t>
      </w:r>
      <w:r w:rsidRPr="009E5AB1">
        <w:t>travaillent en coordination étroite avec le siège à l'identification, à la mise en œuvre et au suivi des projets visant à fournir une assistance technique, des produits de l'UIT-D et des services et à</w:t>
      </w:r>
      <w:r w:rsidR="00571B91">
        <w:t> </w:t>
      </w:r>
      <w:r w:rsidRPr="009E5AB1">
        <w:t>la prise en compte des besoins propres aux pays, dans la droite lignée du Plan d'action et des initiatives régionales. Cette approche intégrée, qui consiste à exploiter les synergies entre les activités inscrites au budget ordinaire et les activités extrabudgétaires, permet au</w:t>
      </w:r>
      <w:r w:rsidR="004218C5">
        <w:t> </w:t>
      </w:r>
      <w:r w:rsidRPr="009E5AB1">
        <w:t>BDT d'améliorer les services offerts aux États Membres.</w:t>
      </w:r>
    </w:p>
    <w:p w14:paraId="19BF20AB" w14:textId="473D8743" w:rsidR="00455256" w:rsidRDefault="00455256" w:rsidP="0014729D">
      <w:pPr>
        <w:jc w:val="both"/>
      </w:pPr>
      <w:r w:rsidRPr="009E5AB1">
        <w:t>2.</w:t>
      </w:r>
      <w:r>
        <w:t>4</w:t>
      </w:r>
      <w:r w:rsidRPr="009E5AB1">
        <w:t>.3</w:t>
      </w:r>
      <w:r w:rsidRPr="009E5AB1">
        <w:tab/>
        <w:t xml:space="preserve">Le BDT a consolidé </w:t>
      </w:r>
      <w:r>
        <w:t xml:space="preserve">la </w:t>
      </w:r>
      <w:r w:rsidRPr="009E5AB1">
        <w:t xml:space="preserve">gestion de projets en </w:t>
      </w:r>
      <w:r>
        <w:t xml:space="preserve">formant les </w:t>
      </w:r>
      <w:r w:rsidRPr="009E5AB1">
        <w:t xml:space="preserve">responsables de projet, en établissant une structure de gouvernance claire </w:t>
      </w:r>
      <w:r>
        <w:t>à l</w:t>
      </w:r>
      <w:r w:rsidR="00BC7CFD">
        <w:t>'</w:t>
      </w:r>
      <w:r>
        <w:t xml:space="preserve">aide du </w:t>
      </w:r>
      <w:r w:rsidRPr="009E5AB1">
        <w:t>Comité directeur des projets du</w:t>
      </w:r>
      <w:r w:rsidR="004218C5">
        <w:t> </w:t>
      </w:r>
      <w:r w:rsidRPr="009E5AB1">
        <w:t xml:space="preserve">BDT, en améliorant l'établissement de rapports à l'intention des partenaires </w:t>
      </w:r>
      <w:r>
        <w:t xml:space="preserve">de financement </w:t>
      </w:r>
      <w:r w:rsidRPr="009E5AB1">
        <w:t xml:space="preserve">et en </w:t>
      </w:r>
      <w:r>
        <w:t xml:space="preserve">perfectionnant les </w:t>
      </w:r>
      <w:r w:rsidRPr="009E5AB1">
        <w:t xml:space="preserve">systèmes de suivi. </w:t>
      </w:r>
      <w:r>
        <w:t xml:space="preserve">Les </w:t>
      </w:r>
      <w:r w:rsidRPr="009E5AB1">
        <w:t xml:space="preserve">projets </w:t>
      </w:r>
      <w:r>
        <w:t xml:space="preserve">font </w:t>
      </w:r>
      <w:r w:rsidRPr="009E5AB1">
        <w:t xml:space="preserve">l'objet d'un suivi continu et il en est rendu compte chaque trimestre dans des tableaux de bord </w:t>
      </w:r>
      <w:r>
        <w:t xml:space="preserve">et </w:t>
      </w:r>
      <w:r w:rsidRPr="009E5AB1">
        <w:t xml:space="preserve">des rapports d'évaluation pour favoriser une prise de décisions fondée sur des données. Le Comité directeur des projets </w:t>
      </w:r>
      <w:r>
        <w:t xml:space="preserve">garantit leur alignement avec le </w:t>
      </w:r>
      <w:r w:rsidRPr="009E5AB1">
        <w:t>Plan d'action et la bonne gouvernance du portefeuille de projets.</w:t>
      </w:r>
      <w:r w:rsidR="00571B91">
        <w:t xml:space="preserve"> </w:t>
      </w:r>
      <w:r w:rsidRPr="009E5AB1">
        <w:t xml:space="preserve">Les rapports trimestriels sont examinés et évalués par des équipes indépendantes (appui aux projets) qui n'interviennent pas dans la mise en œuvre des projets, afin de </w:t>
      </w:r>
      <w:r>
        <w:t>garantir</w:t>
      </w:r>
      <w:r w:rsidRPr="009E5AB1">
        <w:t xml:space="preserve"> une évaluation </w:t>
      </w:r>
      <w:r>
        <w:t xml:space="preserve">objective </w:t>
      </w:r>
      <w:r w:rsidRPr="009E5AB1">
        <w:t>des progrès réalisés.</w:t>
      </w:r>
    </w:p>
    <w:p w14:paraId="5454F8C4" w14:textId="5FC23535" w:rsidR="00455256" w:rsidRPr="009E5AB1" w:rsidRDefault="00455256" w:rsidP="0014729D">
      <w:pPr>
        <w:jc w:val="both"/>
      </w:pPr>
      <w:r w:rsidRPr="000612E2">
        <w:rPr>
          <w:rFonts w:eastAsia="Aptos"/>
          <w:spacing w:val="-2"/>
        </w:rPr>
        <w:t>2.4.4</w:t>
      </w:r>
      <w:r w:rsidRPr="000612E2">
        <w:rPr>
          <w:rFonts w:eastAsia="Aptos"/>
          <w:spacing w:val="-2"/>
        </w:rPr>
        <w:tab/>
      </w:r>
      <w:r w:rsidRPr="00DB0A57">
        <w:rPr>
          <w:rFonts w:eastAsia="Aptos" w:cs="Calibri"/>
          <w:spacing w:val="-2"/>
        </w:rPr>
        <w:t>À</w:t>
      </w:r>
      <w:r w:rsidRPr="00DB0A57">
        <w:rPr>
          <w:rFonts w:eastAsia="Aptos"/>
          <w:spacing w:val="-2"/>
        </w:rPr>
        <w:t xml:space="preserve"> la suite de la </w:t>
      </w:r>
      <w:proofErr w:type="spellStart"/>
      <w:r w:rsidRPr="00DB0A57">
        <w:rPr>
          <w:rFonts w:eastAsia="Aptos"/>
          <w:spacing w:val="-2"/>
        </w:rPr>
        <w:t>CMDT</w:t>
      </w:r>
      <w:proofErr w:type="spellEnd"/>
      <w:r w:rsidRPr="000612E2">
        <w:rPr>
          <w:rFonts w:eastAsia="Aptos"/>
          <w:spacing w:val="-2"/>
        </w:rPr>
        <w:t xml:space="preserve">-22, </w:t>
      </w:r>
      <w:r w:rsidRPr="00DB0A57">
        <w:rPr>
          <w:rFonts w:eastAsia="Aptos"/>
          <w:spacing w:val="-2"/>
        </w:rPr>
        <w:t xml:space="preserve">le </w:t>
      </w:r>
      <w:r w:rsidRPr="000612E2">
        <w:rPr>
          <w:rFonts w:eastAsia="Aptos"/>
          <w:spacing w:val="-2"/>
        </w:rPr>
        <w:t xml:space="preserve">BDT </w:t>
      </w:r>
      <w:r w:rsidRPr="00DB0A57">
        <w:rPr>
          <w:rFonts w:eastAsia="Aptos"/>
          <w:spacing w:val="-2"/>
        </w:rPr>
        <w:t xml:space="preserve">a mobilisé des ressources extrabudgétaires et a mis au point et </w:t>
      </w:r>
      <w:r w:rsidRPr="000612E2">
        <w:rPr>
          <w:rFonts w:eastAsia="Aptos"/>
          <w:spacing w:val="-2"/>
        </w:rPr>
        <w:t>ex</w:t>
      </w:r>
      <w:r w:rsidRPr="00DB0A57">
        <w:rPr>
          <w:rFonts w:eastAsia="Aptos"/>
          <w:spacing w:val="-2"/>
        </w:rPr>
        <w:t xml:space="preserve">écuté </w:t>
      </w:r>
      <w:r w:rsidRPr="000612E2">
        <w:rPr>
          <w:rFonts w:eastAsia="Aptos"/>
          <w:spacing w:val="-2"/>
        </w:rPr>
        <w:t xml:space="preserve">91 </w:t>
      </w:r>
      <w:r>
        <w:rPr>
          <w:rFonts w:eastAsia="Aptos"/>
          <w:spacing w:val="-2"/>
        </w:rPr>
        <w:t>projets, qui ont généré</w:t>
      </w:r>
      <w:r w:rsidRPr="000612E2">
        <w:rPr>
          <w:rFonts w:eastAsia="Aptos"/>
          <w:spacing w:val="-2"/>
        </w:rPr>
        <w:t xml:space="preserve"> 51 million</w:t>
      </w:r>
      <w:r>
        <w:rPr>
          <w:rFonts w:eastAsia="Aptos"/>
          <w:spacing w:val="-2"/>
        </w:rPr>
        <w:t xml:space="preserve">s </w:t>
      </w:r>
      <w:r w:rsidRPr="000612E2">
        <w:rPr>
          <w:rFonts w:eastAsia="Aptos"/>
          <w:spacing w:val="-2"/>
        </w:rPr>
        <w:t xml:space="preserve">CHF </w:t>
      </w:r>
      <w:r>
        <w:rPr>
          <w:rFonts w:eastAsia="Aptos"/>
          <w:spacing w:val="-2"/>
        </w:rPr>
        <w:t>sur la période triennale couverte par le Plan d</w:t>
      </w:r>
      <w:r w:rsidR="00BC7CFD">
        <w:rPr>
          <w:rFonts w:eastAsia="Aptos"/>
          <w:spacing w:val="-2"/>
        </w:rPr>
        <w:t>'</w:t>
      </w:r>
      <w:r>
        <w:rPr>
          <w:rFonts w:eastAsia="Aptos"/>
          <w:spacing w:val="-2"/>
        </w:rPr>
        <w:t>action de Kigali,</w:t>
      </w:r>
      <w:r w:rsidRPr="000612E2">
        <w:rPr>
          <w:rFonts w:eastAsia="Aptos"/>
          <w:spacing w:val="-2"/>
        </w:rPr>
        <w:t xml:space="preserve"> </w:t>
      </w:r>
      <w:r>
        <w:rPr>
          <w:rFonts w:eastAsia="Aptos"/>
          <w:spacing w:val="-2"/>
        </w:rPr>
        <w:t>contribuant ainsi à la mise en œuvre des priorités et des initiatives régionales pour répondre aux besoins particuliers des régions</w:t>
      </w:r>
      <w:r w:rsidRPr="000612E2">
        <w:rPr>
          <w:rFonts w:eastAsia="Aptos"/>
          <w:spacing w:val="-2"/>
        </w:rPr>
        <w:t xml:space="preserve">. </w:t>
      </w:r>
      <w:r w:rsidRPr="00DB0A57">
        <w:rPr>
          <w:rFonts w:eastAsia="Aptos"/>
          <w:spacing w:val="-2"/>
        </w:rPr>
        <w:t>Pour chaque région, les projets du</w:t>
      </w:r>
      <w:r w:rsidRPr="000612E2">
        <w:rPr>
          <w:rFonts w:eastAsia="Aptos"/>
          <w:spacing w:val="-2"/>
        </w:rPr>
        <w:t xml:space="preserve"> BDT </w:t>
      </w:r>
      <w:r w:rsidRPr="00DB0A57">
        <w:rPr>
          <w:rFonts w:eastAsia="Aptos"/>
          <w:spacing w:val="-2"/>
        </w:rPr>
        <w:t>contribu</w:t>
      </w:r>
      <w:r>
        <w:rPr>
          <w:rFonts w:eastAsia="Aptos"/>
          <w:spacing w:val="-2"/>
        </w:rPr>
        <w:t>ent</w:t>
      </w:r>
      <w:r w:rsidRPr="00DB0A57">
        <w:rPr>
          <w:rFonts w:eastAsia="Aptos"/>
          <w:spacing w:val="-2"/>
        </w:rPr>
        <w:t xml:space="preserve"> à l</w:t>
      </w:r>
      <w:r w:rsidR="00BC7CFD">
        <w:rPr>
          <w:rFonts w:eastAsia="Aptos"/>
          <w:spacing w:val="-2"/>
        </w:rPr>
        <w:t>'</w:t>
      </w:r>
      <w:r w:rsidRPr="00DB0A57">
        <w:rPr>
          <w:rFonts w:eastAsia="Aptos"/>
          <w:spacing w:val="-2"/>
        </w:rPr>
        <w:t>élaboration de divers produits et services conformé</w:t>
      </w:r>
      <w:r>
        <w:rPr>
          <w:rFonts w:eastAsia="Aptos"/>
          <w:spacing w:val="-2"/>
        </w:rPr>
        <w:t xml:space="preserve">ment aux priorités et </w:t>
      </w:r>
      <w:r>
        <w:rPr>
          <w:rFonts w:eastAsia="Aptos"/>
          <w:spacing w:val="-2"/>
        </w:rPr>
        <w:lastRenderedPageBreak/>
        <w:t>catalyseurs de l</w:t>
      </w:r>
      <w:r w:rsidR="00BC7CFD">
        <w:rPr>
          <w:rFonts w:eastAsia="Aptos"/>
          <w:spacing w:val="-2"/>
        </w:rPr>
        <w:t>'</w:t>
      </w:r>
      <w:r>
        <w:rPr>
          <w:rFonts w:eastAsia="Aptos"/>
          <w:spacing w:val="-2"/>
        </w:rPr>
        <w:t>UIT-D définis dans le Plan d</w:t>
      </w:r>
      <w:r w:rsidR="00BC7CFD">
        <w:rPr>
          <w:rFonts w:eastAsia="Aptos"/>
          <w:spacing w:val="-2"/>
        </w:rPr>
        <w:t>'</w:t>
      </w:r>
      <w:r>
        <w:rPr>
          <w:rFonts w:eastAsia="Aptos"/>
          <w:spacing w:val="-2"/>
        </w:rPr>
        <w:t>action de Kigali ainsi qu</w:t>
      </w:r>
      <w:r w:rsidR="00BC7CFD">
        <w:rPr>
          <w:rFonts w:eastAsia="Aptos"/>
          <w:spacing w:val="-2"/>
        </w:rPr>
        <w:t>'</w:t>
      </w:r>
      <w:r>
        <w:rPr>
          <w:rFonts w:eastAsia="Aptos"/>
          <w:spacing w:val="-2"/>
        </w:rPr>
        <w:t xml:space="preserve">au </w:t>
      </w:r>
      <w:r w:rsidR="00571B91">
        <w:rPr>
          <w:rFonts w:eastAsia="Aptos"/>
          <w:spacing w:val="-2"/>
        </w:rPr>
        <w:t>P</w:t>
      </w:r>
      <w:r>
        <w:rPr>
          <w:rFonts w:eastAsia="Aptos"/>
          <w:spacing w:val="-2"/>
        </w:rPr>
        <w:t>lan</w:t>
      </w:r>
      <w:r w:rsidR="00571B91">
        <w:rPr>
          <w:rFonts w:eastAsia="Aptos"/>
          <w:spacing w:val="-2"/>
        </w:rPr>
        <w:t> </w:t>
      </w:r>
      <w:r>
        <w:rPr>
          <w:rFonts w:eastAsia="Aptos"/>
          <w:spacing w:val="-2"/>
        </w:rPr>
        <w:t>stratégique de l</w:t>
      </w:r>
      <w:r w:rsidR="00BC7CFD">
        <w:rPr>
          <w:rFonts w:eastAsia="Aptos"/>
          <w:spacing w:val="-2"/>
        </w:rPr>
        <w:t>'</w:t>
      </w:r>
      <w:r>
        <w:rPr>
          <w:rFonts w:eastAsia="Aptos"/>
          <w:spacing w:val="-2"/>
        </w:rPr>
        <w:t>UIT.</w:t>
      </w:r>
      <w:r w:rsidRPr="000612E2">
        <w:rPr>
          <w:rFonts w:eastAsia="Aptos"/>
          <w:spacing w:val="-2"/>
        </w:rPr>
        <w:t xml:space="preserve"> </w:t>
      </w:r>
      <w:r w:rsidRPr="009E5AB1">
        <w:t xml:space="preserve">Les projets </w:t>
      </w:r>
      <w:r>
        <w:t xml:space="preserve">du BDT </w:t>
      </w:r>
      <w:r w:rsidRPr="009E5AB1">
        <w:t xml:space="preserve">mis en œuvre ou en cours au titre de chaque initiative régionale pour la période 2023-2025 sont répertoriés dans le </w:t>
      </w:r>
      <w:r w:rsidRPr="00571B91">
        <w:t>Document</w:t>
      </w:r>
      <w:r w:rsidR="00571B91" w:rsidRPr="00571B91">
        <w:t> </w:t>
      </w:r>
      <w:r w:rsidRPr="00571B91">
        <w:t xml:space="preserve">d'information </w:t>
      </w:r>
      <w:hyperlink r:id="rId39" w:history="1">
        <w:proofErr w:type="spellStart"/>
        <w:r w:rsidRPr="00571B91">
          <w:rPr>
            <w:rStyle w:val="Hyperlink"/>
            <w:rFonts w:eastAsia="Times New Roman" w:cs="Times New Roman"/>
            <w:szCs w:val="20"/>
          </w:rPr>
          <w:t>TDAG</w:t>
        </w:r>
        <w:proofErr w:type="spellEnd"/>
        <w:r w:rsidRPr="00571B91">
          <w:rPr>
            <w:rStyle w:val="Hyperlink"/>
            <w:rFonts w:eastAsia="Times New Roman" w:cs="Times New Roman"/>
            <w:szCs w:val="20"/>
          </w:rPr>
          <w:t>-25/</w:t>
        </w:r>
        <w:proofErr w:type="spellStart"/>
        <w:r w:rsidRPr="00571B91">
          <w:rPr>
            <w:rStyle w:val="Hyperlink"/>
            <w:rFonts w:eastAsia="Times New Roman" w:cs="Times New Roman"/>
            <w:szCs w:val="20"/>
          </w:rPr>
          <w:t>INF</w:t>
        </w:r>
        <w:proofErr w:type="spellEnd"/>
        <w:r w:rsidRPr="00571B91">
          <w:rPr>
            <w:rStyle w:val="Hyperlink"/>
            <w:rFonts w:eastAsia="Times New Roman" w:cs="Times New Roman"/>
            <w:szCs w:val="20"/>
          </w:rPr>
          <w:t>/4</w:t>
        </w:r>
      </w:hyperlink>
      <w:r w:rsidRPr="009E5AB1">
        <w:t>.</w:t>
      </w:r>
    </w:p>
    <w:p w14:paraId="5AD85D54" w14:textId="64B4C19E" w:rsidR="00455256" w:rsidRPr="009E5AB1" w:rsidRDefault="00455256" w:rsidP="0014729D">
      <w:pPr>
        <w:jc w:val="both"/>
      </w:pPr>
      <w:r w:rsidRPr="009E5AB1">
        <w:t>2.</w:t>
      </w:r>
      <w:r w:rsidR="004218C5">
        <w:t>4</w:t>
      </w:r>
      <w:r w:rsidRPr="009E5AB1">
        <w:t>.</w:t>
      </w:r>
      <w:r w:rsidR="004218C5">
        <w:t>5</w:t>
      </w:r>
      <w:r w:rsidRPr="009E5AB1">
        <w:tab/>
      </w:r>
      <w:r>
        <w:t>Dans le prolongement du Plan d</w:t>
      </w:r>
      <w:r w:rsidR="00BC7CFD">
        <w:t>'</w:t>
      </w:r>
      <w:r>
        <w:t xml:space="preserve">action de Bakou, des Résolutions, nouvelles et modifiées, </w:t>
      </w:r>
      <w:r w:rsidRPr="009835A2">
        <w:t>et des initiatives régionales ont été adoptées pour une mise en œuvre sur la période 2026-2029</w:t>
      </w:r>
      <w:r>
        <w:t xml:space="preserve">. Le </w:t>
      </w:r>
      <w:r>
        <w:rPr>
          <w:rFonts w:eastAsia="Aptos"/>
        </w:rPr>
        <w:t xml:space="preserve">Document </w:t>
      </w:r>
      <w:hyperlink r:id="rId40" w:history="1">
        <w:proofErr w:type="spellStart"/>
        <w:r w:rsidRPr="00565F51">
          <w:rPr>
            <w:rStyle w:val="Hyperlink"/>
            <w:szCs w:val="24"/>
          </w:rPr>
          <w:t>TDAG</w:t>
        </w:r>
        <w:proofErr w:type="spellEnd"/>
        <w:r w:rsidRPr="00565F51">
          <w:rPr>
            <w:rStyle w:val="Hyperlink"/>
            <w:szCs w:val="24"/>
          </w:rPr>
          <w:t>-26/4</w:t>
        </w:r>
      </w:hyperlink>
      <w:r w:rsidRPr="00565F51">
        <w:rPr>
          <w:rFonts w:eastAsia="Aptos"/>
          <w:szCs w:val="24"/>
        </w:rPr>
        <w:t xml:space="preserve"> </w:t>
      </w:r>
      <w:r>
        <w:rPr>
          <w:rFonts w:eastAsia="Aptos"/>
        </w:rPr>
        <w:t xml:space="preserve">présente les incidences financières des Résolutions adoptées par la </w:t>
      </w:r>
      <w:proofErr w:type="spellStart"/>
      <w:r>
        <w:rPr>
          <w:rFonts w:eastAsia="Aptos"/>
        </w:rPr>
        <w:t>CMDT</w:t>
      </w:r>
      <w:proofErr w:type="spellEnd"/>
      <w:r>
        <w:rPr>
          <w:rFonts w:eastAsia="Aptos"/>
        </w:rPr>
        <w:t>-25, tandis que le Document </w:t>
      </w:r>
      <w:proofErr w:type="spellStart"/>
      <w:r>
        <w:fldChar w:fldCharType="begin"/>
      </w:r>
      <w:r>
        <w:instrText>HYPERLINK "https://www.itu.int/md/D26-TDAG33-C-0019/fr"</w:instrText>
      </w:r>
      <w:r>
        <w:fldChar w:fldCharType="separate"/>
      </w:r>
      <w:r w:rsidRPr="00565F51">
        <w:rPr>
          <w:rStyle w:val="Hyperlink"/>
          <w:rFonts w:eastAsia="Aptos"/>
        </w:rPr>
        <w:t>TDAG</w:t>
      </w:r>
      <w:proofErr w:type="spellEnd"/>
      <w:r w:rsidRPr="00565F51">
        <w:rPr>
          <w:rStyle w:val="Hyperlink"/>
          <w:rFonts w:eastAsia="Aptos"/>
        </w:rPr>
        <w:t>-26/19</w:t>
      </w:r>
      <w:r>
        <w:fldChar w:fldCharType="end"/>
      </w:r>
      <w:r w:rsidRPr="00565F51">
        <w:rPr>
          <w:rFonts w:eastAsia="Aptos"/>
        </w:rPr>
        <w:t xml:space="preserve"> p</w:t>
      </w:r>
      <w:r>
        <w:rPr>
          <w:rFonts w:eastAsia="Aptos"/>
        </w:rPr>
        <w:t>résente les</w:t>
      </w:r>
      <w:r w:rsidR="00571B91">
        <w:rPr>
          <w:rFonts w:eastAsia="Aptos"/>
        </w:rPr>
        <w:t> </w:t>
      </w:r>
      <w:r>
        <w:rPr>
          <w:rFonts w:eastAsia="Aptos"/>
        </w:rPr>
        <w:t xml:space="preserve">incidences financières des nouvelles initiatives régionales adoptées. </w:t>
      </w:r>
      <w:r w:rsidRPr="009E5AB1">
        <w:t xml:space="preserve">On trouvera de plus amples renseignements sur les projets de l'UIT-D dans le </w:t>
      </w:r>
      <w:r w:rsidRPr="004B5003">
        <w:t>Document </w:t>
      </w:r>
      <w:proofErr w:type="spellStart"/>
      <w:r>
        <w:fldChar w:fldCharType="begin"/>
      </w:r>
      <w:r>
        <w:instrText>HYPERLINK "https://www.itu.int/md/D22-TDAG32-C-0005/fr"</w:instrText>
      </w:r>
      <w:r>
        <w:fldChar w:fldCharType="separate"/>
      </w:r>
      <w:r w:rsidRPr="004B5003">
        <w:rPr>
          <w:rStyle w:val="Hyperlink"/>
          <w:rFonts w:eastAsia="Times New Roman" w:cs="Times New Roman"/>
          <w:szCs w:val="20"/>
        </w:rPr>
        <w:t>TDAG</w:t>
      </w:r>
      <w:proofErr w:type="spellEnd"/>
      <w:r w:rsidRPr="004B5003">
        <w:rPr>
          <w:rStyle w:val="Hyperlink"/>
          <w:rFonts w:eastAsia="Times New Roman" w:cs="Times New Roman"/>
          <w:szCs w:val="20"/>
        </w:rPr>
        <w:noBreakHyphen/>
        <w:t>25/5</w:t>
      </w:r>
      <w:r>
        <w:fldChar w:fldCharType="end"/>
      </w:r>
      <w:r>
        <w:t xml:space="preserve"> et dans le</w:t>
      </w:r>
      <w:r w:rsidR="00571B91">
        <w:t> </w:t>
      </w:r>
      <w:r>
        <w:t xml:space="preserve">Document </w:t>
      </w:r>
      <w:hyperlink r:id="rId41" w:history="1">
        <w:proofErr w:type="spellStart"/>
        <w:r w:rsidRPr="00604391">
          <w:rPr>
            <w:rStyle w:val="Hyperlink"/>
          </w:rPr>
          <w:t>TDAG</w:t>
        </w:r>
        <w:proofErr w:type="spellEnd"/>
        <w:r>
          <w:rPr>
            <w:rStyle w:val="Hyperlink"/>
          </w:rPr>
          <w:noBreakHyphen/>
        </w:r>
        <w:r w:rsidRPr="00604391">
          <w:rPr>
            <w:rStyle w:val="Hyperlink"/>
          </w:rPr>
          <w:t>26/8</w:t>
        </w:r>
      </w:hyperlink>
      <w:r w:rsidRPr="009E5AB1">
        <w:t>.</w:t>
      </w:r>
    </w:p>
    <w:p w14:paraId="39814F76" w14:textId="77777777" w:rsidR="00455256" w:rsidRPr="009E5AB1" w:rsidRDefault="00455256" w:rsidP="009835A2">
      <w:pPr>
        <w:pStyle w:val="Heading1"/>
      </w:pPr>
      <w:r w:rsidRPr="009E5AB1">
        <w:t>3</w:t>
      </w:r>
      <w:r w:rsidRPr="009E5AB1">
        <w:tab/>
        <w:t>Activités liées aux autres Secteurs et aux Bureaux de l'UIT</w:t>
      </w:r>
    </w:p>
    <w:p w14:paraId="30D22395" w14:textId="77777777" w:rsidR="00455256" w:rsidRPr="009E5AB1" w:rsidRDefault="00455256" w:rsidP="009835A2">
      <w:pPr>
        <w:pStyle w:val="Heading2"/>
      </w:pPr>
      <w:r w:rsidRPr="009E5AB1">
        <w:t>3.1</w:t>
      </w:r>
      <w:r w:rsidRPr="009E5AB1">
        <w:tab/>
        <w:t>Collaboration générale</w:t>
      </w:r>
    </w:p>
    <w:p w14:paraId="08ABCA13" w14:textId="687F964D" w:rsidR="00455256" w:rsidRPr="009E5AB1" w:rsidRDefault="00455256" w:rsidP="0014729D">
      <w:pPr>
        <w:jc w:val="both"/>
      </w:pPr>
      <w:r w:rsidRPr="009E5AB1">
        <w:t>Le BDT, en collaboration et en étroite coordination avec le BR, le TSB et le</w:t>
      </w:r>
      <w:r w:rsidR="004218C5">
        <w:t xml:space="preserve"> </w:t>
      </w:r>
      <w:r w:rsidRPr="009E5AB1">
        <w:t>Secrétariat</w:t>
      </w:r>
      <w:r w:rsidR="00571B91">
        <w:t> </w:t>
      </w:r>
      <w:r w:rsidRPr="009E5AB1">
        <w:t xml:space="preserve">général, s'emploie </w:t>
      </w:r>
      <w:r>
        <w:t>sans relâche</w:t>
      </w:r>
      <w:r w:rsidRPr="009E5AB1">
        <w:t xml:space="preserve"> à renforcer la présence régionale</w:t>
      </w:r>
      <w:r>
        <w:t xml:space="preserve"> de l</w:t>
      </w:r>
      <w:r w:rsidR="00BC7CFD">
        <w:t>'</w:t>
      </w:r>
      <w:r>
        <w:t>UIT</w:t>
      </w:r>
      <w:r w:rsidRPr="009E5AB1">
        <w:t xml:space="preserve"> </w:t>
      </w:r>
      <w:r>
        <w:t>et à</w:t>
      </w:r>
      <w:r w:rsidR="00571B91">
        <w:t> </w:t>
      </w:r>
      <w:r w:rsidRPr="009E5AB1">
        <w:t>améliorer la fourniture de services aux États Membres.</w:t>
      </w:r>
    </w:p>
    <w:p w14:paraId="4173DE32" w14:textId="3E0E6769" w:rsidR="00455256" w:rsidRPr="009E5AB1" w:rsidRDefault="00455256" w:rsidP="009835A2">
      <w:pPr>
        <w:pStyle w:val="Heading2"/>
      </w:pPr>
      <w:r w:rsidRPr="009E5AB1">
        <w:t>3.2</w:t>
      </w:r>
      <w:r w:rsidRPr="009E5AB1">
        <w:tab/>
        <w:t>Bureau régional pour l'Afrique/</w:t>
      </w:r>
      <w:r w:rsidR="004218C5">
        <w:t>a</w:t>
      </w:r>
      <w:r w:rsidRPr="009E5AB1">
        <w:t>ctivités dans la région Afrique</w:t>
      </w:r>
    </w:p>
    <w:p w14:paraId="151FECD9" w14:textId="77777777" w:rsidR="00455256" w:rsidRPr="009E5AB1" w:rsidRDefault="00455256" w:rsidP="009835A2">
      <w:pPr>
        <w:pStyle w:val="Headingb"/>
      </w:pPr>
      <w:r w:rsidRPr="009E5AB1">
        <w:t>Activités liées au BR</w:t>
      </w:r>
    </w:p>
    <w:p w14:paraId="04CDFBA8" w14:textId="72608F34" w:rsidR="00455256" w:rsidRPr="009E5AB1" w:rsidRDefault="00455256" w:rsidP="0014729D">
      <w:pPr>
        <w:pStyle w:val="enumlev1"/>
        <w:jc w:val="both"/>
      </w:pPr>
      <w:r w:rsidRPr="009E5AB1">
        <w:t>–</w:t>
      </w:r>
      <w:r w:rsidRPr="009E5AB1">
        <w:tab/>
        <w:t xml:space="preserve">Le Bureau régional pour l'Afrique a </w:t>
      </w:r>
      <w:r>
        <w:t xml:space="preserve">facilité </w:t>
      </w:r>
      <w:r w:rsidRPr="009E5AB1">
        <w:t xml:space="preserve">l'organisation du </w:t>
      </w:r>
      <w:hyperlink r:id="rId42" w:anchor="/fr" w:history="1">
        <w:r w:rsidRPr="00571B91">
          <w:rPr>
            <w:rStyle w:val="Hyperlink"/>
            <w:rFonts w:eastAsia="Times New Roman" w:cs="Times New Roman"/>
            <w:szCs w:val="20"/>
          </w:rPr>
          <w:t>Séminaire régional des radiocommunications de l'UIT pour l'Afrique</w:t>
        </w:r>
      </w:hyperlink>
      <w:r>
        <w:t>,</w:t>
      </w:r>
      <w:r w:rsidR="00571B91">
        <w:t xml:space="preserve"> </w:t>
      </w:r>
      <w:r>
        <w:t xml:space="preserve">tenu </w:t>
      </w:r>
      <w:r w:rsidRPr="009E5AB1">
        <w:t>du 5 au 8 mai 2025 à Djibouti.</w:t>
      </w:r>
    </w:p>
    <w:p w14:paraId="6D3BFFB2" w14:textId="65BC5B5A" w:rsidR="00455256" w:rsidRPr="00EF5C6E" w:rsidRDefault="00455256" w:rsidP="0014729D">
      <w:pPr>
        <w:pStyle w:val="enumlev1"/>
        <w:jc w:val="both"/>
        <w:rPr>
          <w:spacing w:val="-2"/>
        </w:rPr>
      </w:pPr>
      <w:r w:rsidRPr="00EF5C6E">
        <w:rPr>
          <w:spacing w:val="-2"/>
        </w:rPr>
        <w:t>–</w:t>
      </w:r>
      <w:r w:rsidRPr="00EF5C6E">
        <w:rPr>
          <w:spacing w:val="-2"/>
        </w:rPr>
        <w:tab/>
      </w:r>
      <w:r w:rsidRPr="00EF5C6E">
        <w:rPr>
          <w:rFonts w:eastAsia="Aptos"/>
          <w:spacing w:val="-2"/>
        </w:rPr>
        <w:t>Le Bureau régional pour l</w:t>
      </w:r>
      <w:r w:rsidR="00BC7CFD" w:rsidRPr="00EF5C6E">
        <w:rPr>
          <w:rFonts w:eastAsia="Aptos"/>
          <w:spacing w:val="-2"/>
        </w:rPr>
        <w:t>'</w:t>
      </w:r>
      <w:r w:rsidRPr="00EF5C6E">
        <w:rPr>
          <w:rFonts w:eastAsia="Aptos"/>
          <w:spacing w:val="-2"/>
        </w:rPr>
        <w:t xml:space="preserve">Afrique, en collaboration avec la </w:t>
      </w:r>
      <w:proofErr w:type="spellStart"/>
      <w:r w:rsidRPr="00EF5C6E">
        <w:rPr>
          <w:rFonts w:eastAsia="Aptos"/>
          <w:spacing w:val="-2"/>
        </w:rPr>
        <w:t>GSMA</w:t>
      </w:r>
      <w:proofErr w:type="spellEnd"/>
      <w:r w:rsidRPr="00EF5C6E">
        <w:rPr>
          <w:rFonts w:eastAsia="Aptos"/>
          <w:spacing w:val="-2"/>
        </w:rPr>
        <w:t>,</w:t>
      </w:r>
      <w:r w:rsidR="00571B91" w:rsidRPr="00EF5C6E">
        <w:rPr>
          <w:rFonts w:eastAsia="Aptos"/>
          <w:spacing w:val="-2"/>
        </w:rPr>
        <w:t xml:space="preserve"> </w:t>
      </w:r>
      <w:r w:rsidRPr="00EF5C6E">
        <w:rPr>
          <w:rFonts w:eastAsia="Aptos"/>
          <w:spacing w:val="-2"/>
        </w:rPr>
        <w:t>la Communauté de l</w:t>
      </w:r>
      <w:r w:rsidR="00BC7CFD" w:rsidRPr="00EF5C6E">
        <w:rPr>
          <w:rFonts w:eastAsia="Aptos"/>
          <w:spacing w:val="-2"/>
        </w:rPr>
        <w:t>'</w:t>
      </w:r>
      <w:r w:rsidRPr="00EF5C6E">
        <w:rPr>
          <w:rFonts w:eastAsia="Aptos"/>
          <w:spacing w:val="-2"/>
        </w:rPr>
        <w:t>Afrique de l</w:t>
      </w:r>
      <w:r w:rsidR="00BC7CFD" w:rsidRPr="00EF5C6E">
        <w:rPr>
          <w:rFonts w:eastAsia="Aptos"/>
          <w:spacing w:val="-2"/>
        </w:rPr>
        <w:t>'</w:t>
      </w:r>
      <w:r w:rsidRPr="00EF5C6E">
        <w:rPr>
          <w:rFonts w:eastAsia="Aptos"/>
          <w:spacing w:val="-2"/>
        </w:rPr>
        <w:t>Est (CAE) et l</w:t>
      </w:r>
      <w:r w:rsidR="00BC7CFD" w:rsidRPr="00EF5C6E">
        <w:rPr>
          <w:rFonts w:eastAsia="Aptos"/>
          <w:spacing w:val="-2"/>
        </w:rPr>
        <w:t>'</w:t>
      </w:r>
      <w:r w:rsidRPr="00EF5C6E">
        <w:rPr>
          <w:rFonts w:eastAsia="Aptos"/>
          <w:spacing w:val="-2"/>
        </w:rPr>
        <w:t>Autorité intergouvernementale pour le développement (</w:t>
      </w:r>
      <w:proofErr w:type="spellStart"/>
      <w:r w:rsidRPr="00EF5C6E">
        <w:rPr>
          <w:rFonts w:eastAsia="Aptos"/>
          <w:spacing w:val="-2"/>
        </w:rPr>
        <w:t>IGAD</w:t>
      </w:r>
      <w:proofErr w:type="spellEnd"/>
      <w:r w:rsidRPr="00EF5C6E">
        <w:rPr>
          <w:rFonts w:eastAsia="Aptos"/>
          <w:spacing w:val="-2"/>
        </w:rPr>
        <w:t>), et avec l</w:t>
      </w:r>
      <w:r w:rsidR="00BC7CFD" w:rsidRPr="00EF5C6E">
        <w:rPr>
          <w:rFonts w:eastAsia="Aptos"/>
          <w:spacing w:val="-2"/>
        </w:rPr>
        <w:t>'</w:t>
      </w:r>
      <w:r w:rsidRPr="00EF5C6E">
        <w:rPr>
          <w:rFonts w:eastAsia="Aptos"/>
          <w:spacing w:val="-2"/>
        </w:rPr>
        <w:t>appui de la Banque mondiale dans le cadre du projet régional d</w:t>
      </w:r>
      <w:r w:rsidR="00BC7CFD" w:rsidRPr="00EF5C6E">
        <w:rPr>
          <w:rFonts w:eastAsia="Aptos"/>
          <w:spacing w:val="-2"/>
        </w:rPr>
        <w:t>'</w:t>
      </w:r>
      <w:r w:rsidRPr="00EF5C6E">
        <w:rPr>
          <w:rFonts w:eastAsia="Aptos"/>
          <w:spacing w:val="-2"/>
        </w:rPr>
        <w:t>intégration numérique de l</w:t>
      </w:r>
      <w:r w:rsidR="00BC7CFD" w:rsidRPr="00EF5C6E">
        <w:rPr>
          <w:rFonts w:eastAsia="Aptos"/>
          <w:spacing w:val="-2"/>
        </w:rPr>
        <w:t>'</w:t>
      </w:r>
      <w:r w:rsidRPr="00EF5C6E">
        <w:rPr>
          <w:rFonts w:eastAsia="Aptos"/>
          <w:spacing w:val="-2"/>
        </w:rPr>
        <w:t>Afrique de l</w:t>
      </w:r>
      <w:r w:rsidR="00BC7CFD" w:rsidRPr="00EF5C6E">
        <w:rPr>
          <w:rFonts w:eastAsia="Aptos"/>
          <w:spacing w:val="-2"/>
        </w:rPr>
        <w:t>'</w:t>
      </w:r>
      <w:r w:rsidRPr="00EF5C6E">
        <w:rPr>
          <w:rFonts w:eastAsia="Aptos"/>
          <w:spacing w:val="-2"/>
        </w:rPr>
        <w:t>Est (</w:t>
      </w:r>
      <w:proofErr w:type="spellStart"/>
      <w:r w:rsidRPr="00EF5C6E">
        <w:rPr>
          <w:rFonts w:eastAsia="Aptos"/>
          <w:spacing w:val="-2"/>
        </w:rPr>
        <w:t>EARDIP</w:t>
      </w:r>
      <w:proofErr w:type="spellEnd"/>
      <w:r w:rsidRPr="00EF5C6E">
        <w:rPr>
          <w:rFonts w:eastAsia="Aptos"/>
          <w:spacing w:val="-2"/>
        </w:rPr>
        <w:t>), a organisé, le 20 octobre 2025 à</w:t>
      </w:r>
      <w:r w:rsidR="00571B91" w:rsidRPr="00EF5C6E">
        <w:rPr>
          <w:rFonts w:eastAsia="Aptos"/>
          <w:spacing w:val="-2"/>
        </w:rPr>
        <w:t> </w:t>
      </w:r>
      <w:r w:rsidRPr="00EF5C6E">
        <w:rPr>
          <w:rFonts w:eastAsia="Aptos"/>
          <w:spacing w:val="-2"/>
        </w:rPr>
        <w:t xml:space="preserve">Kigali (Rwanda), un </w:t>
      </w:r>
      <w:hyperlink r:id="rId43" w:history="1">
        <w:r w:rsidRPr="00EF5C6E">
          <w:rPr>
            <w:rStyle w:val="Hyperlink"/>
            <w:rFonts w:eastAsia="Aptos" w:cs="Times New Roman"/>
            <w:spacing w:val="-2"/>
            <w:szCs w:val="20"/>
          </w:rPr>
          <w:t>atelier sur la gestion du spectre axé sur l</w:t>
        </w:r>
        <w:r w:rsidR="00BC7CFD" w:rsidRPr="00EF5C6E">
          <w:rPr>
            <w:rStyle w:val="Hyperlink"/>
            <w:rFonts w:eastAsia="Aptos" w:cs="Times New Roman"/>
            <w:spacing w:val="-2"/>
            <w:szCs w:val="20"/>
          </w:rPr>
          <w:t>'</w:t>
        </w:r>
        <w:r w:rsidRPr="00EF5C6E">
          <w:rPr>
            <w:rStyle w:val="Hyperlink"/>
            <w:rFonts w:eastAsia="Aptos" w:cs="Times New Roman"/>
            <w:spacing w:val="-2"/>
            <w:szCs w:val="20"/>
          </w:rPr>
          <w:t>harmonisation régionale pour promouvoir la connectivité transfrontières en Afrique de l</w:t>
        </w:r>
        <w:r w:rsidR="00BC7CFD" w:rsidRPr="00EF5C6E">
          <w:rPr>
            <w:rStyle w:val="Hyperlink"/>
            <w:rFonts w:eastAsia="Aptos" w:cs="Times New Roman"/>
            <w:spacing w:val="-2"/>
            <w:szCs w:val="20"/>
          </w:rPr>
          <w:t>'</w:t>
        </w:r>
        <w:r w:rsidRPr="00EF5C6E">
          <w:rPr>
            <w:rStyle w:val="Hyperlink"/>
            <w:rFonts w:eastAsia="Aptos" w:cs="Times New Roman"/>
            <w:spacing w:val="-2"/>
            <w:szCs w:val="20"/>
          </w:rPr>
          <w:t>Est</w:t>
        </w:r>
      </w:hyperlink>
      <w:r w:rsidRPr="00EF5C6E">
        <w:rPr>
          <w:rFonts w:eastAsia="Aptos"/>
          <w:spacing w:val="-2"/>
        </w:rPr>
        <w:t>. Avec</w:t>
      </w:r>
      <w:r w:rsidR="004218C5" w:rsidRPr="00EF5C6E">
        <w:rPr>
          <w:rFonts w:eastAsia="Aptos"/>
          <w:spacing w:val="-2"/>
        </w:rPr>
        <w:t> </w:t>
      </w:r>
      <w:r w:rsidRPr="00EF5C6E">
        <w:rPr>
          <w:rFonts w:eastAsia="Aptos"/>
          <w:spacing w:val="-2"/>
        </w:rPr>
        <w:t>42 participants venus du Burundi, de la République démocratique du Congo, de</w:t>
      </w:r>
      <w:r w:rsidR="00571B91" w:rsidRPr="00EF5C6E">
        <w:rPr>
          <w:rFonts w:eastAsia="Aptos"/>
          <w:spacing w:val="-2"/>
        </w:rPr>
        <w:t> </w:t>
      </w:r>
      <w:r w:rsidRPr="00EF5C6E">
        <w:rPr>
          <w:rFonts w:eastAsia="Aptos"/>
          <w:spacing w:val="-2"/>
        </w:rPr>
        <w:t>Djibouti, de l</w:t>
      </w:r>
      <w:r w:rsidR="00BC7CFD" w:rsidRPr="00EF5C6E">
        <w:rPr>
          <w:rFonts w:eastAsia="Aptos"/>
          <w:spacing w:val="-2"/>
        </w:rPr>
        <w:t>'</w:t>
      </w:r>
      <w:r w:rsidRPr="00EF5C6E">
        <w:rPr>
          <w:rFonts w:eastAsia="Aptos" w:cs="Calibri"/>
          <w:spacing w:val="-2"/>
        </w:rPr>
        <w:t>É</w:t>
      </w:r>
      <w:r w:rsidRPr="00EF5C6E">
        <w:rPr>
          <w:rFonts w:eastAsia="Aptos"/>
          <w:spacing w:val="-2"/>
        </w:rPr>
        <w:t>thiopie, du Kenya, du Rwanda, de la Somalie, du Soudan, du</w:t>
      </w:r>
      <w:r w:rsidR="00571B91" w:rsidRPr="00EF5C6E">
        <w:rPr>
          <w:rFonts w:eastAsia="Aptos"/>
          <w:spacing w:val="-2"/>
        </w:rPr>
        <w:t> </w:t>
      </w:r>
      <w:r w:rsidRPr="00EF5C6E">
        <w:rPr>
          <w:rFonts w:eastAsia="Aptos"/>
          <w:spacing w:val="-2"/>
        </w:rPr>
        <w:t>Soudan</w:t>
      </w:r>
      <w:r w:rsidR="00571B91" w:rsidRPr="00EF5C6E">
        <w:rPr>
          <w:rFonts w:eastAsia="Aptos"/>
          <w:spacing w:val="-2"/>
        </w:rPr>
        <w:t> </w:t>
      </w:r>
      <w:r w:rsidRPr="00EF5C6E">
        <w:rPr>
          <w:rFonts w:eastAsia="Aptos"/>
          <w:spacing w:val="-2"/>
        </w:rPr>
        <w:t>du Sud, de la Tanzanie et de l</w:t>
      </w:r>
      <w:r w:rsidR="00BC7CFD" w:rsidRPr="00EF5C6E">
        <w:rPr>
          <w:rFonts w:eastAsia="Aptos"/>
          <w:spacing w:val="-2"/>
        </w:rPr>
        <w:t>'</w:t>
      </w:r>
      <w:r w:rsidRPr="00EF5C6E">
        <w:rPr>
          <w:rFonts w:eastAsia="Aptos"/>
          <w:spacing w:val="-2"/>
        </w:rPr>
        <w:t>Ouganda, cette formation sur la gestion du spectre a mis l</w:t>
      </w:r>
      <w:r w:rsidR="00BC7CFD" w:rsidRPr="00EF5C6E">
        <w:rPr>
          <w:rFonts w:eastAsia="Aptos"/>
          <w:spacing w:val="-2"/>
        </w:rPr>
        <w:t>'</w:t>
      </w:r>
      <w:r w:rsidRPr="00EF5C6E">
        <w:rPr>
          <w:rFonts w:eastAsia="Aptos"/>
          <w:spacing w:val="-2"/>
        </w:rPr>
        <w:t>accent sur l</w:t>
      </w:r>
      <w:r w:rsidR="00BC7CFD" w:rsidRPr="00EF5C6E">
        <w:rPr>
          <w:rFonts w:eastAsia="Aptos"/>
          <w:spacing w:val="-2"/>
        </w:rPr>
        <w:t>'</w:t>
      </w:r>
      <w:r w:rsidRPr="00EF5C6E">
        <w:rPr>
          <w:rFonts w:eastAsia="Aptos"/>
          <w:spacing w:val="-2"/>
        </w:rPr>
        <w:t>intégration régionale et la coordination transfrontières en</w:t>
      </w:r>
      <w:r w:rsidR="00F963B9" w:rsidRPr="00EF5C6E">
        <w:rPr>
          <w:rFonts w:eastAsia="Aptos"/>
          <w:spacing w:val="-2"/>
        </w:rPr>
        <w:t> </w:t>
      </w:r>
      <w:r w:rsidRPr="00EF5C6E">
        <w:rPr>
          <w:rFonts w:eastAsia="Aptos"/>
          <w:spacing w:val="-2"/>
        </w:rPr>
        <w:t>Afrique de l</w:t>
      </w:r>
      <w:r w:rsidR="00BC7CFD" w:rsidRPr="00EF5C6E">
        <w:rPr>
          <w:rFonts w:eastAsia="Aptos"/>
          <w:spacing w:val="-2"/>
        </w:rPr>
        <w:t>'</w:t>
      </w:r>
      <w:r w:rsidRPr="00EF5C6E">
        <w:rPr>
          <w:rFonts w:eastAsia="Aptos"/>
          <w:spacing w:val="-2"/>
        </w:rPr>
        <w:t>Est et a donné aux régulateurs et aux décideurs les moyens de mettre en œuvre des modèles de gouvernance du spectre interopérables, résilients et parés pour l</w:t>
      </w:r>
      <w:r w:rsidR="00BC7CFD" w:rsidRPr="00EF5C6E">
        <w:rPr>
          <w:rFonts w:eastAsia="Aptos"/>
          <w:spacing w:val="-2"/>
        </w:rPr>
        <w:t>'</w:t>
      </w:r>
      <w:r w:rsidRPr="00EF5C6E">
        <w:rPr>
          <w:rFonts w:eastAsia="Aptos"/>
          <w:spacing w:val="-2"/>
        </w:rPr>
        <w:t>avenir qui transcendent les frontières nationales. Avec le BR, le Bureau régional pour l</w:t>
      </w:r>
      <w:r w:rsidR="00BC7CFD" w:rsidRPr="00EF5C6E">
        <w:rPr>
          <w:rFonts w:eastAsia="Aptos"/>
          <w:spacing w:val="-2"/>
        </w:rPr>
        <w:t>'</w:t>
      </w:r>
      <w:r w:rsidRPr="00EF5C6E">
        <w:rPr>
          <w:rFonts w:eastAsia="Aptos"/>
          <w:spacing w:val="-2"/>
        </w:rPr>
        <w:t>Afrique a dispensé des formations sur les aspects réglementaires de la coordination des IMT et de la notification des IMT à l</w:t>
      </w:r>
      <w:r w:rsidR="00BC7CFD" w:rsidRPr="00EF5C6E">
        <w:rPr>
          <w:rFonts w:eastAsia="Aptos"/>
          <w:spacing w:val="-2"/>
        </w:rPr>
        <w:t>'</w:t>
      </w:r>
      <w:r w:rsidRPr="00EF5C6E">
        <w:rPr>
          <w:rFonts w:eastAsia="Aptos"/>
          <w:spacing w:val="-2"/>
        </w:rPr>
        <w:t>UIT, sur l</w:t>
      </w:r>
      <w:r w:rsidR="00BC7CFD" w:rsidRPr="00EF5C6E">
        <w:rPr>
          <w:rFonts w:eastAsia="Aptos"/>
          <w:spacing w:val="-2"/>
        </w:rPr>
        <w:t>'</w:t>
      </w:r>
      <w:r w:rsidRPr="00EF5C6E">
        <w:rPr>
          <w:rFonts w:eastAsia="Aptos"/>
          <w:spacing w:val="-2"/>
        </w:rPr>
        <w:t>harmonisation régionale des bandes de fréquences et des conditions techniques, ainsi que sur l</w:t>
      </w:r>
      <w:r w:rsidR="00BC7CFD" w:rsidRPr="00EF5C6E">
        <w:rPr>
          <w:rFonts w:eastAsia="Aptos"/>
          <w:spacing w:val="-2"/>
        </w:rPr>
        <w:t>'</w:t>
      </w:r>
      <w:r w:rsidRPr="00EF5C6E">
        <w:rPr>
          <w:rFonts w:eastAsia="Aptos"/>
          <w:spacing w:val="-2"/>
        </w:rPr>
        <w:t>expérience de l</w:t>
      </w:r>
      <w:r w:rsidR="00BC7CFD" w:rsidRPr="00EF5C6E">
        <w:rPr>
          <w:rFonts w:eastAsia="Aptos"/>
          <w:spacing w:val="-2"/>
        </w:rPr>
        <w:t>'</w:t>
      </w:r>
      <w:r w:rsidRPr="00EF5C6E">
        <w:rPr>
          <w:rFonts w:eastAsia="Aptos"/>
          <w:spacing w:val="-2"/>
        </w:rPr>
        <w:t>UIT en ce qui concerne le rôle de la coordination transfrontières du spectre dans la normalisation des technologies large bande de Terre.</w:t>
      </w:r>
    </w:p>
    <w:p w14:paraId="31CD3B30" w14:textId="77777777" w:rsidR="00455256" w:rsidRPr="009E5AB1" w:rsidRDefault="00455256" w:rsidP="001B6F6C">
      <w:pPr>
        <w:pStyle w:val="Headingb"/>
      </w:pPr>
      <w:r w:rsidRPr="009E5AB1">
        <w:t>Activités liées au TSB</w:t>
      </w:r>
    </w:p>
    <w:p w14:paraId="29646D17" w14:textId="77777777" w:rsidR="00455256" w:rsidRDefault="00455256" w:rsidP="0014729D">
      <w:pPr>
        <w:pStyle w:val="enumlev1"/>
        <w:jc w:val="both"/>
      </w:pPr>
      <w:r w:rsidRPr="009E5AB1">
        <w:t>–</w:t>
      </w:r>
      <w:r w:rsidRPr="009E5AB1">
        <w:tab/>
        <w:t>En collaboration avec le TSB, une série de stages pratiques sur la sécurité des services financiers numériques (</w:t>
      </w:r>
      <w:proofErr w:type="spellStart"/>
      <w:r w:rsidRPr="009E5AB1">
        <w:t>DFS</w:t>
      </w:r>
      <w:proofErr w:type="spellEnd"/>
      <w:r w:rsidRPr="009E5AB1">
        <w:t>) ont été organisés dans les pays suivants: Gambie, Soudan du Sud, Ghana, Zimbabwe, Malawi, Lesotho, Éthiopie, Eswatini, Sierra Leone, Burkina Faso et Gabon.</w:t>
      </w:r>
    </w:p>
    <w:p w14:paraId="0CB9DE3B" w14:textId="582546B6" w:rsidR="00455256" w:rsidRPr="00A72ADE" w:rsidRDefault="00455256" w:rsidP="0014729D">
      <w:pPr>
        <w:pStyle w:val="enumlev1"/>
        <w:jc w:val="both"/>
        <w:rPr>
          <w:rFonts w:asciiTheme="minorHAnsi" w:eastAsia="Aptos" w:hAnsiTheme="minorHAnsi" w:cstheme="minorHAnsi"/>
        </w:rPr>
      </w:pPr>
      <w:r w:rsidRPr="00A72ADE">
        <w:rPr>
          <w:rFonts w:asciiTheme="minorHAnsi" w:eastAsia="Aptos" w:hAnsiTheme="minorHAnsi" w:cstheme="minorHAnsi"/>
        </w:rPr>
        <w:lastRenderedPageBreak/>
        <w:t>–</w:t>
      </w:r>
      <w:r w:rsidRPr="00A72ADE">
        <w:rPr>
          <w:rFonts w:asciiTheme="minorHAnsi" w:eastAsia="Aptos" w:hAnsiTheme="minorHAnsi" w:cstheme="minorHAnsi"/>
        </w:rPr>
        <w:tab/>
      </w:r>
      <w:r w:rsidRPr="00DB0A57">
        <w:rPr>
          <w:rFonts w:asciiTheme="minorHAnsi" w:eastAsia="Aptos" w:hAnsiTheme="minorHAnsi" w:cstheme="minorHAnsi"/>
        </w:rPr>
        <w:t>Le Bureau régional pour l</w:t>
      </w:r>
      <w:r w:rsidR="00BC7CFD">
        <w:rPr>
          <w:rFonts w:asciiTheme="minorHAnsi" w:eastAsia="Aptos" w:hAnsiTheme="minorHAnsi" w:cstheme="minorHAnsi"/>
        </w:rPr>
        <w:t>'</w:t>
      </w:r>
      <w:r w:rsidRPr="00DB0A57">
        <w:rPr>
          <w:rFonts w:asciiTheme="minorHAnsi" w:eastAsia="Aptos" w:hAnsiTheme="minorHAnsi" w:cstheme="minorHAnsi"/>
        </w:rPr>
        <w:t xml:space="preserve">Afrique, en </w:t>
      </w:r>
      <w:r w:rsidRPr="00A72ADE">
        <w:rPr>
          <w:rFonts w:asciiTheme="minorHAnsi" w:eastAsia="Aptos" w:hAnsiTheme="minorHAnsi" w:cstheme="minorHAnsi"/>
        </w:rPr>
        <w:t xml:space="preserve">collaboration </w:t>
      </w:r>
      <w:r w:rsidRPr="00DB0A57">
        <w:rPr>
          <w:rFonts w:asciiTheme="minorHAnsi" w:eastAsia="Aptos" w:hAnsiTheme="minorHAnsi" w:cstheme="minorHAnsi"/>
        </w:rPr>
        <w:t xml:space="preserve">avec la </w:t>
      </w:r>
      <w:proofErr w:type="spellStart"/>
      <w:r w:rsidRPr="00A72ADE">
        <w:rPr>
          <w:rFonts w:asciiTheme="minorHAnsi" w:eastAsia="Aptos" w:hAnsiTheme="minorHAnsi" w:cstheme="minorHAnsi"/>
        </w:rPr>
        <w:t>GSMA</w:t>
      </w:r>
      <w:proofErr w:type="spellEnd"/>
      <w:r w:rsidRPr="00A72ADE">
        <w:rPr>
          <w:rFonts w:asciiTheme="minorHAnsi" w:eastAsia="Aptos" w:hAnsiTheme="minorHAnsi" w:cstheme="minorHAnsi"/>
        </w:rPr>
        <w:t xml:space="preserve">, </w:t>
      </w:r>
      <w:r w:rsidRPr="00DB0A57">
        <w:rPr>
          <w:rFonts w:asciiTheme="minorHAnsi" w:eastAsia="Aptos" w:hAnsiTheme="minorHAnsi" w:cstheme="minorHAnsi"/>
        </w:rPr>
        <w:t xml:space="preserve">a coordonné un atelier au </w:t>
      </w:r>
      <w:r>
        <w:rPr>
          <w:rFonts w:asciiTheme="minorHAnsi" w:eastAsia="Aptos" w:hAnsiTheme="minorHAnsi" w:cstheme="minorHAnsi"/>
        </w:rPr>
        <w:t xml:space="preserve">Bénin, le </w:t>
      </w:r>
      <w:r w:rsidRPr="00A72ADE">
        <w:rPr>
          <w:rFonts w:asciiTheme="minorHAnsi" w:eastAsia="Aptos" w:hAnsiTheme="minorHAnsi" w:cstheme="minorHAnsi"/>
        </w:rPr>
        <w:t xml:space="preserve">5 </w:t>
      </w:r>
      <w:r>
        <w:rPr>
          <w:rFonts w:asciiTheme="minorHAnsi" w:eastAsia="Aptos" w:hAnsiTheme="minorHAnsi" w:cstheme="minorHAnsi"/>
        </w:rPr>
        <w:t xml:space="preserve">septembre </w:t>
      </w:r>
      <w:r w:rsidRPr="00A72ADE">
        <w:rPr>
          <w:rFonts w:asciiTheme="minorHAnsi" w:eastAsia="Aptos" w:hAnsiTheme="minorHAnsi" w:cstheme="minorHAnsi"/>
        </w:rPr>
        <w:t xml:space="preserve">2025, </w:t>
      </w:r>
      <w:r>
        <w:rPr>
          <w:rFonts w:asciiTheme="minorHAnsi" w:eastAsia="Aptos" w:hAnsiTheme="minorHAnsi" w:cstheme="minorHAnsi"/>
        </w:rPr>
        <w:t xml:space="preserve">au cours duquel le </w:t>
      </w:r>
      <w:r w:rsidRPr="00A72ADE">
        <w:rPr>
          <w:rFonts w:asciiTheme="minorHAnsi" w:eastAsia="Aptos" w:hAnsiTheme="minorHAnsi" w:cstheme="minorHAnsi"/>
        </w:rPr>
        <w:t xml:space="preserve">TSB </w:t>
      </w:r>
      <w:r>
        <w:rPr>
          <w:rFonts w:asciiTheme="minorHAnsi" w:eastAsia="Aptos" w:hAnsiTheme="minorHAnsi" w:cstheme="minorHAnsi"/>
        </w:rPr>
        <w:t xml:space="preserve">a dispensé une formation sur la qualité de service et les </w:t>
      </w:r>
      <w:r w:rsidR="000E0B5E">
        <w:rPr>
          <w:rFonts w:asciiTheme="minorHAnsi" w:eastAsia="Aptos" w:hAnsiTheme="minorHAnsi" w:cstheme="minorHAnsi"/>
        </w:rPr>
        <w:t>R</w:t>
      </w:r>
      <w:r>
        <w:rPr>
          <w:rFonts w:asciiTheme="minorHAnsi" w:eastAsia="Aptos" w:hAnsiTheme="minorHAnsi" w:cstheme="minorHAnsi"/>
        </w:rPr>
        <w:t>ecommandations connexes adoptées par</w:t>
      </w:r>
      <w:r w:rsidR="004218C5">
        <w:rPr>
          <w:rFonts w:asciiTheme="minorHAnsi" w:eastAsia="Aptos" w:hAnsiTheme="minorHAnsi" w:cstheme="minorHAnsi"/>
        </w:rPr>
        <w:t> </w:t>
      </w:r>
      <w:r>
        <w:rPr>
          <w:rFonts w:asciiTheme="minorHAnsi" w:eastAsia="Aptos" w:hAnsiTheme="minorHAnsi" w:cstheme="minorHAnsi"/>
        </w:rPr>
        <w:t>l</w:t>
      </w:r>
      <w:r w:rsidR="00BC7CFD">
        <w:rPr>
          <w:rFonts w:asciiTheme="minorHAnsi" w:eastAsia="Aptos" w:hAnsiTheme="minorHAnsi" w:cstheme="minorHAnsi"/>
        </w:rPr>
        <w:t>'</w:t>
      </w:r>
      <w:r>
        <w:rPr>
          <w:rFonts w:asciiTheme="minorHAnsi" w:eastAsia="Aptos" w:hAnsiTheme="minorHAnsi" w:cstheme="minorHAnsi"/>
        </w:rPr>
        <w:t>UIT</w:t>
      </w:r>
      <w:r w:rsidRPr="00A72ADE">
        <w:rPr>
          <w:rFonts w:asciiTheme="minorHAnsi" w:eastAsia="Aptos" w:hAnsiTheme="minorHAnsi" w:cstheme="minorHAnsi"/>
        </w:rPr>
        <w:t>.</w:t>
      </w:r>
    </w:p>
    <w:p w14:paraId="518F2CDD" w14:textId="3A78C4B8" w:rsidR="00455256" w:rsidRPr="00A72ADE" w:rsidRDefault="00455256" w:rsidP="0014729D">
      <w:pPr>
        <w:pStyle w:val="enumlev1"/>
        <w:jc w:val="both"/>
        <w:rPr>
          <w:rFonts w:eastAsia="Aptos"/>
        </w:rPr>
      </w:pPr>
      <w:r w:rsidRPr="00A72ADE">
        <w:rPr>
          <w:rFonts w:asciiTheme="minorHAnsi" w:eastAsia="Aptos" w:hAnsiTheme="minorHAnsi" w:cstheme="minorBidi"/>
        </w:rPr>
        <w:t>–</w:t>
      </w:r>
      <w:r w:rsidRPr="00A72ADE">
        <w:tab/>
      </w:r>
      <w:r w:rsidRPr="00DB0A57">
        <w:rPr>
          <w:rFonts w:eastAsia="Aptos"/>
        </w:rPr>
        <w:t>Trois fonctionnaires du</w:t>
      </w:r>
      <w:r w:rsidRPr="00A72ADE">
        <w:rPr>
          <w:rFonts w:eastAsia="Aptos"/>
        </w:rPr>
        <w:t xml:space="preserve"> TSB </w:t>
      </w:r>
      <w:r w:rsidRPr="00DB0A57">
        <w:rPr>
          <w:rFonts w:eastAsia="Aptos"/>
        </w:rPr>
        <w:t xml:space="preserve">sont </w:t>
      </w:r>
      <w:r w:rsidRPr="00A72ADE">
        <w:rPr>
          <w:rFonts w:eastAsia="Aptos"/>
        </w:rPr>
        <w:t>détachés</w:t>
      </w:r>
      <w:r w:rsidRPr="00DB0A57">
        <w:rPr>
          <w:rFonts w:eastAsia="Aptos"/>
        </w:rPr>
        <w:t xml:space="preserve"> auprès du </w:t>
      </w:r>
      <w:r>
        <w:rPr>
          <w:rFonts w:eastAsia="Aptos"/>
        </w:rPr>
        <w:t>Bureau régional pour l</w:t>
      </w:r>
      <w:r w:rsidR="00BC7CFD">
        <w:rPr>
          <w:rFonts w:eastAsia="Aptos"/>
        </w:rPr>
        <w:t>'</w:t>
      </w:r>
      <w:r>
        <w:rPr>
          <w:rFonts w:eastAsia="Aptos"/>
        </w:rPr>
        <w:t>Afrique, afin d</w:t>
      </w:r>
      <w:r w:rsidR="00BC7CFD">
        <w:rPr>
          <w:rFonts w:eastAsia="Aptos"/>
        </w:rPr>
        <w:t>'</w:t>
      </w:r>
      <w:r>
        <w:rPr>
          <w:rFonts w:eastAsia="Aptos"/>
        </w:rPr>
        <w:t>aider les membres dans les travaux de normalisation</w:t>
      </w:r>
      <w:r w:rsidRPr="00A72ADE">
        <w:rPr>
          <w:rFonts w:eastAsia="Aptos"/>
        </w:rPr>
        <w:t>.</w:t>
      </w:r>
    </w:p>
    <w:p w14:paraId="5E5AA2B8" w14:textId="047DA089" w:rsidR="00455256" w:rsidRPr="009E5AB1" w:rsidRDefault="00455256" w:rsidP="009835A2">
      <w:pPr>
        <w:pStyle w:val="Heading2"/>
      </w:pPr>
      <w:r w:rsidRPr="009E5AB1">
        <w:t>3.3</w:t>
      </w:r>
      <w:r w:rsidRPr="009E5AB1">
        <w:tab/>
        <w:t>Bureau régional pour les Amériques/</w:t>
      </w:r>
      <w:r w:rsidR="004218C5">
        <w:t>a</w:t>
      </w:r>
      <w:r w:rsidRPr="009E5AB1">
        <w:t>ctivités dans la région Amériques</w:t>
      </w:r>
    </w:p>
    <w:p w14:paraId="56214D47" w14:textId="77777777" w:rsidR="00455256" w:rsidRPr="009E5AB1" w:rsidRDefault="00455256" w:rsidP="009835A2">
      <w:pPr>
        <w:pStyle w:val="Headingb"/>
      </w:pPr>
      <w:r w:rsidRPr="009E5AB1">
        <w:t>Activités liées au BR</w:t>
      </w:r>
    </w:p>
    <w:p w14:paraId="569E6DDD" w14:textId="77777777" w:rsidR="00455256" w:rsidRPr="009E5AB1" w:rsidRDefault="00455256" w:rsidP="0014729D">
      <w:pPr>
        <w:pStyle w:val="enumlev1"/>
        <w:jc w:val="both"/>
      </w:pPr>
      <w:r w:rsidRPr="009E5AB1">
        <w:t>–</w:t>
      </w:r>
      <w:r w:rsidRPr="009E5AB1">
        <w:tab/>
        <w:t>Des équipements satellitaires ont été déployés pour couvrir la Jamaïque</w:t>
      </w:r>
      <w:r>
        <w:t xml:space="preserve"> (2025)</w:t>
      </w:r>
      <w:r w:rsidRPr="009E5AB1">
        <w:t xml:space="preserve"> </w:t>
      </w:r>
      <w:r>
        <w:t xml:space="preserve">et </w:t>
      </w:r>
      <w:r w:rsidRPr="009E5AB1">
        <w:t xml:space="preserve">appuyer les interventions </w:t>
      </w:r>
      <w:r>
        <w:t>post-</w:t>
      </w:r>
      <w:r w:rsidRPr="009E5AB1">
        <w:t xml:space="preserve">ouragan. </w:t>
      </w:r>
      <w:r>
        <w:t xml:space="preserve">Des équipements satellitaires prépositionnés avaient déjà </w:t>
      </w:r>
      <w:r w:rsidRPr="009E5AB1">
        <w:t xml:space="preserve">été </w:t>
      </w:r>
      <w:r>
        <w:t xml:space="preserve">déployés </w:t>
      </w:r>
      <w:r w:rsidRPr="009E5AB1">
        <w:t>à la Barbade</w:t>
      </w:r>
      <w:r>
        <w:t xml:space="preserve"> avant la saison des ouragans de 2024</w:t>
      </w:r>
      <w:r w:rsidRPr="009E5AB1">
        <w:t>.</w:t>
      </w:r>
    </w:p>
    <w:p w14:paraId="1C84E6DD" w14:textId="084AA3F3" w:rsidR="00455256" w:rsidRPr="009E5AB1" w:rsidRDefault="00455256" w:rsidP="0014729D">
      <w:pPr>
        <w:pStyle w:val="enumlev1"/>
        <w:jc w:val="both"/>
      </w:pPr>
      <w:r w:rsidRPr="009E5AB1">
        <w:t>–</w:t>
      </w:r>
      <w:r w:rsidRPr="009E5AB1">
        <w:tab/>
        <w:t xml:space="preserve">Le Bureau régional </w:t>
      </w:r>
      <w:r>
        <w:t xml:space="preserve">pour les Amériques a </w:t>
      </w:r>
      <w:r w:rsidRPr="009E5AB1">
        <w:t>collaboré dans le cadre de l'organisation d</w:t>
      </w:r>
      <w:r>
        <w:t>u</w:t>
      </w:r>
      <w:r w:rsidRPr="009E5AB1">
        <w:t xml:space="preserve"> </w:t>
      </w:r>
      <w:hyperlink r:id="rId44" w:anchor="/fr" w:history="1">
        <w:r w:rsidRPr="00F963B9">
          <w:rPr>
            <w:rStyle w:val="Hyperlink"/>
            <w:rFonts w:eastAsia="Times New Roman" w:cs="Times New Roman"/>
            <w:szCs w:val="20"/>
          </w:rPr>
          <w:t>Séminaire régional des radiocommunications pour les Amériques</w:t>
        </w:r>
      </w:hyperlink>
      <w:r>
        <w:t xml:space="preserve">, qui a eu lieu </w:t>
      </w:r>
      <w:r w:rsidRPr="009E5AB1">
        <w:t>du 12</w:t>
      </w:r>
      <w:r w:rsidR="00F963B9">
        <w:t> </w:t>
      </w:r>
      <w:r w:rsidRPr="009E5AB1">
        <w:t xml:space="preserve">au 16 juin </w:t>
      </w:r>
      <w:r>
        <w:t xml:space="preserve">2025 </w:t>
      </w:r>
      <w:r w:rsidRPr="009E5AB1">
        <w:t xml:space="preserve">à Tegucigalpa </w:t>
      </w:r>
      <w:r>
        <w:t>(</w:t>
      </w:r>
      <w:r w:rsidRPr="009E5AB1">
        <w:t>Honduras</w:t>
      </w:r>
      <w:r>
        <w:t xml:space="preserve">), et qui a permis aux </w:t>
      </w:r>
      <w:r>
        <w:rPr>
          <w:rFonts w:cs="Calibri"/>
        </w:rPr>
        <w:t>É</w:t>
      </w:r>
      <w:r>
        <w:t>tats</w:t>
      </w:r>
      <w:r w:rsidR="00F963B9">
        <w:t> </w:t>
      </w:r>
      <w:r>
        <w:t>Membres d</w:t>
      </w:r>
      <w:r w:rsidR="00BC7CFD">
        <w:t>'</w:t>
      </w:r>
      <w:r>
        <w:t>intégrer les technologies satellitaires dans leurs stratégies nationales sur le large bande</w:t>
      </w:r>
      <w:r w:rsidRPr="009E5AB1">
        <w:t>.</w:t>
      </w:r>
    </w:p>
    <w:p w14:paraId="3199750B" w14:textId="7B352360" w:rsidR="00455256" w:rsidRDefault="00455256" w:rsidP="0014729D">
      <w:pPr>
        <w:pStyle w:val="enumlev1"/>
        <w:jc w:val="both"/>
      </w:pPr>
      <w:r w:rsidRPr="009E5AB1">
        <w:t>–</w:t>
      </w:r>
      <w:r w:rsidRPr="009E5AB1">
        <w:tab/>
      </w:r>
      <w:r>
        <w:t>Le</w:t>
      </w:r>
      <w:r w:rsidRPr="009E5AB1">
        <w:t xml:space="preserve"> BDT a </w:t>
      </w:r>
      <w:r>
        <w:t xml:space="preserve">fourni une </w:t>
      </w:r>
      <w:r w:rsidRPr="009E5AB1">
        <w:t>collabor</w:t>
      </w:r>
      <w:r>
        <w:t xml:space="preserve">ation concernant </w:t>
      </w:r>
      <w:r w:rsidRPr="009E5AB1">
        <w:t xml:space="preserve">divers programmes de renforcement des capacités </w:t>
      </w:r>
      <w:r>
        <w:t xml:space="preserve">liées à la </w:t>
      </w:r>
      <w:r w:rsidRPr="009E5AB1">
        <w:t>gestion du spectre radioélectrique, en partenariat avec les Centres</w:t>
      </w:r>
      <w:r w:rsidR="00F963B9">
        <w:t> </w:t>
      </w:r>
      <w:r w:rsidRPr="009E5AB1">
        <w:t>de formation de l'Académie de l'UIT du Pérou et du Brésil</w:t>
      </w:r>
      <w:r>
        <w:t xml:space="preserve">, dont huit cours liés à la </w:t>
      </w:r>
      <w:proofErr w:type="spellStart"/>
      <w:r>
        <w:t>5G</w:t>
      </w:r>
      <w:proofErr w:type="spellEnd"/>
      <w:r>
        <w:t xml:space="preserve"> organisés au Costa Rica de septembre à octobre 2025</w:t>
      </w:r>
      <w:r w:rsidRPr="009E5AB1">
        <w:t>.</w:t>
      </w:r>
    </w:p>
    <w:p w14:paraId="672BE8C8" w14:textId="77777777" w:rsidR="00455256" w:rsidRPr="00CD459D" w:rsidRDefault="00455256" w:rsidP="0014729D">
      <w:pPr>
        <w:pStyle w:val="enumlev1"/>
        <w:jc w:val="both"/>
        <w:rPr>
          <w:rFonts w:eastAsia="Aptos"/>
        </w:rPr>
      </w:pPr>
      <w:r w:rsidRPr="00CD459D">
        <w:rPr>
          <w:rFonts w:asciiTheme="minorHAnsi" w:eastAsia="Aptos" w:hAnsiTheme="minorHAnsi" w:cstheme="minorHAnsi"/>
        </w:rPr>
        <w:t>–</w:t>
      </w:r>
      <w:r w:rsidRPr="00CD459D">
        <w:rPr>
          <w:rFonts w:asciiTheme="minorHAnsi" w:eastAsia="Aptos" w:hAnsiTheme="minorHAnsi" w:cstheme="minorHAnsi"/>
        </w:rPr>
        <w:tab/>
      </w:r>
      <w:r w:rsidRPr="00DB0A57">
        <w:rPr>
          <w:rFonts w:eastAsia="Aptos"/>
        </w:rPr>
        <w:t>En</w:t>
      </w:r>
      <w:r w:rsidRPr="00CD459D">
        <w:rPr>
          <w:rFonts w:eastAsia="Aptos"/>
        </w:rPr>
        <w:t xml:space="preserve"> </w:t>
      </w:r>
      <w:r w:rsidRPr="00DB0A57">
        <w:rPr>
          <w:rFonts w:eastAsia="Aptos"/>
        </w:rPr>
        <w:t xml:space="preserve">décembre </w:t>
      </w:r>
      <w:r w:rsidRPr="00CD459D">
        <w:rPr>
          <w:rFonts w:eastAsia="Aptos"/>
        </w:rPr>
        <w:t xml:space="preserve">2025, </w:t>
      </w:r>
      <w:r w:rsidRPr="00DB0A57">
        <w:rPr>
          <w:rFonts w:eastAsia="Aptos"/>
        </w:rPr>
        <w:t xml:space="preserve">le </w:t>
      </w:r>
      <w:r w:rsidRPr="00CD459D">
        <w:rPr>
          <w:rFonts w:eastAsia="Aptos"/>
        </w:rPr>
        <w:t xml:space="preserve">BDT </w:t>
      </w:r>
      <w:r w:rsidRPr="00DB0A57">
        <w:rPr>
          <w:rFonts w:eastAsia="Aptos"/>
        </w:rPr>
        <w:t xml:space="preserve">a fourni à la Colombie le Plan général pour l'arrêt de la </w:t>
      </w:r>
      <w:r>
        <w:rPr>
          <w:rFonts w:eastAsia="Aptos"/>
        </w:rPr>
        <w:t xml:space="preserve">télévision </w:t>
      </w:r>
      <w:r w:rsidRPr="00DB0A57">
        <w:rPr>
          <w:rFonts w:eastAsia="Aptos"/>
        </w:rPr>
        <w:t>analogiqu</w:t>
      </w:r>
      <w:r>
        <w:rPr>
          <w:rFonts w:eastAsia="Aptos"/>
        </w:rPr>
        <w:t>e</w:t>
      </w:r>
      <w:r w:rsidRPr="00CD459D">
        <w:rPr>
          <w:rFonts w:eastAsia="Aptos"/>
        </w:rPr>
        <w:t>.</w:t>
      </w:r>
    </w:p>
    <w:p w14:paraId="1A8E2CEE" w14:textId="77777777" w:rsidR="00455256" w:rsidRPr="00CD459D" w:rsidRDefault="00455256" w:rsidP="0014729D">
      <w:pPr>
        <w:pStyle w:val="enumlev1"/>
        <w:jc w:val="both"/>
        <w:rPr>
          <w:rFonts w:eastAsia="Aptos"/>
        </w:rPr>
      </w:pPr>
      <w:r w:rsidRPr="00CD459D">
        <w:rPr>
          <w:rFonts w:asciiTheme="minorHAnsi" w:eastAsia="Aptos" w:hAnsiTheme="minorHAnsi" w:cstheme="minorHAnsi"/>
        </w:rPr>
        <w:t>–</w:t>
      </w:r>
      <w:r w:rsidRPr="00CD459D">
        <w:rPr>
          <w:rFonts w:asciiTheme="minorHAnsi" w:eastAsia="Aptos" w:hAnsiTheme="minorHAnsi" w:cstheme="minorHAnsi"/>
        </w:rPr>
        <w:tab/>
      </w:r>
      <w:r w:rsidRPr="00DB0A57">
        <w:rPr>
          <w:rFonts w:asciiTheme="minorHAnsi" w:eastAsia="Aptos" w:hAnsiTheme="minorHAnsi" w:cstheme="minorHAnsi"/>
        </w:rPr>
        <w:t>Une assistance t</w:t>
      </w:r>
      <w:r w:rsidRPr="00CD459D">
        <w:rPr>
          <w:rFonts w:eastAsia="Aptos"/>
        </w:rPr>
        <w:t>echni</w:t>
      </w:r>
      <w:r w:rsidRPr="00DB0A57">
        <w:rPr>
          <w:rFonts w:eastAsia="Aptos"/>
        </w:rPr>
        <w:t xml:space="preserve">que a </w:t>
      </w:r>
      <w:r w:rsidRPr="00DB0A57">
        <w:rPr>
          <w:rFonts w:asciiTheme="minorHAnsi" w:eastAsia="Aptos" w:hAnsiTheme="minorHAnsi" w:cstheme="minorHAnsi"/>
        </w:rPr>
        <w:t>été fournie à la République dominicaine (2025) afin d'établir une feuille de route pour la mise en œuvre d'un système de cartographie</w:t>
      </w:r>
      <w:r>
        <w:rPr>
          <w:rFonts w:asciiTheme="minorHAnsi" w:eastAsia="Aptos" w:hAnsiTheme="minorHAnsi" w:cstheme="minorHAnsi"/>
        </w:rPr>
        <w:t>.</w:t>
      </w:r>
    </w:p>
    <w:p w14:paraId="5061DEB1" w14:textId="77777777" w:rsidR="00455256" w:rsidRPr="009E5AB1" w:rsidRDefault="00455256" w:rsidP="009835A2">
      <w:pPr>
        <w:pStyle w:val="Headingb"/>
      </w:pPr>
      <w:r w:rsidRPr="009E5AB1">
        <w:t>Activités liées au TSB</w:t>
      </w:r>
    </w:p>
    <w:p w14:paraId="55A909F6" w14:textId="08406D7F" w:rsidR="00455256" w:rsidRPr="009E5AB1" w:rsidRDefault="00455256" w:rsidP="0014729D">
      <w:pPr>
        <w:pStyle w:val="enumlev1"/>
        <w:jc w:val="both"/>
      </w:pPr>
      <w:r w:rsidRPr="009E5AB1">
        <w:t>–</w:t>
      </w:r>
      <w:r w:rsidRPr="009E5AB1">
        <w:tab/>
        <w:t xml:space="preserve">Par l'intermédiaire </w:t>
      </w:r>
      <w:r>
        <w:t>du</w:t>
      </w:r>
      <w:r w:rsidRPr="009E5AB1">
        <w:t xml:space="preserve"> </w:t>
      </w:r>
      <w:r>
        <w:t>B</w:t>
      </w:r>
      <w:r w:rsidRPr="009E5AB1">
        <w:t>ureau régional</w:t>
      </w:r>
      <w:r>
        <w:t xml:space="preserve"> pour les Amériques</w:t>
      </w:r>
      <w:r w:rsidRPr="009E5AB1">
        <w:t>, le BDT a encouragé les États</w:t>
      </w:r>
      <w:r w:rsidR="004218C5">
        <w:t> </w:t>
      </w:r>
      <w:r w:rsidRPr="009E5AB1">
        <w:t>Membres de la région Amériques et les membres du secteur privé à participer activement aux travaux des commissions d'études du TSB lors de diverses réunions.</w:t>
      </w:r>
    </w:p>
    <w:p w14:paraId="50EFFE27" w14:textId="77777777" w:rsidR="00455256" w:rsidRPr="009E5AB1" w:rsidRDefault="00455256" w:rsidP="0014729D">
      <w:pPr>
        <w:pStyle w:val="enumlev1"/>
        <w:jc w:val="both"/>
      </w:pPr>
      <w:r w:rsidRPr="009E5AB1">
        <w:t>–</w:t>
      </w:r>
      <w:r w:rsidRPr="009E5AB1">
        <w:tab/>
        <w:t>Des appels ont été organisés à intervalles réguliers avec le directeur et l'équipe de direction du TSB à des fins de coordination. En complément, des consultations ont été menées au niveau opérationnel, lorsque cela était nécessaire.</w:t>
      </w:r>
    </w:p>
    <w:p w14:paraId="21F60B91" w14:textId="39A60670" w:rsidR="00455256" w:rsidRPr="009E5AB1" w:rsidRDefault="00455256" w:rsidP="0014729D">
      <w:pPr>
        <w:pStyle w:val="enumlev1"/>
        <w:jc w:val="both"/>
      </w:pPr>
      <w:r w:rsidRPr="009E5AB1">
        <w:t>–</w:t>
      </w:r>
      <w:r w:rsidRPr="009E5AB1">
        <w:tab/>
        <w:t xml:space="preserve">Le Bureau régional pour les Amériques a facilité la coordination entre le TSB et les organisations régionales (CITEL, principalement au sein du </w:t>
      </w:r>
      <w:proofErr w:type="spellStart"/>
      <w:r w:rsidRPr="009E5AB1">
        <w:t>PCC.I</w:t>
      </w:r>
      <w:proofErr w:type="spellEnd"/>
      <w:r w:rsidRPr="009E5AB1">
        <w:t xml:space="preserve">) et fourni </w:t>
      </w:r>
      <w:r>
        <w:t xml:space="preserve">un </w:t>
      </w:r>
      <w:r w:rsidRPr="009E5AB1">
        <w:t>appui pour garantir une participation au niveau régional. En ce qui concerne le programme de réduction de l'écart en matière de normalisation (</w:t>
      </w:r>
      <w:proofErr w:type="spellStart"/>
      <w:r w:rsidRPr="009E5AB1">
        <w:t>BSG</w:t>
      </w:r>
      <w:proofErr w:type="spellEnd"/>
      <w:r w:rsidRPr="009E5AB1">
        <w:t>), le Bureau régional pour les Amériques a fourni un appui au TSB au plus haut niveau des manifestations et des plates</w:t>
      </w:r>
      <w:r w:rsidR="000E0B5E">
        <w:noBreakHyphen/>
      </w:r>
      <w:r w:rsidRPr="009E5AB1">
        <w:t xml:space="preserve">formes pertinentes, en procédant à la refonte des produits et des services du programme </w:t>
      </w:r>
      <w:proofErr w:type="spellStart"/>
      <w:r w:rsidRPr="009E5AB1">
        <w:t>BSG</w:t>
      </w:r>
      <w:proofErr w:type="spellEnd"/>
      <w:r w:rsidRPr="009E5AB1">
        <w:t xml:space="preserve"> (</w:t>
      </w:r>
      <w:r>
        <w:t>conformément aux</w:t>
      </w:r>
      <w:r w:rsidRPr="009E5AB1">
        <w:t xml:space="preserve"> Résolutions 123 de la </w:t>
      </w:r>
      <w:proofErr w:type="spellStart"/>
      <w:r w:rsidRPr="009E5AB1">
        <w:t>PP-22</w:t>
      </w:r>
      <w:proofErr w:type="spellEnd"/>
      <w:r w:rsidRPr="009E5AB1">
        <w:t xml:space="preserve"> et 44 de l'</w:t>
      </w:r>
      <w:proofErr w:type="spellStart"/>
      <w:r w:rsidRPr="009E5AB1">
        <w:t>AMNT</w:t>
      </w:r>
      <w:proofErr w:type="spellEnd"/>
      <w:r w:rsidRPr="009E5AB1">
        <w:t>-24).</w:t>
      </w:r>
    </w:p>
    <w:p w14:paraId="772674A4" w14:textId="16841069" w:rsidR="00455256" w:rsidRPr="009E5AB1" w:rsidRDefault="00455256" w:rsidP="0014729D">
      <w:pPr>
        <w:pStyle w:val="enumlev1"/>
        <w:jc w:val="both"/>
      </w:pPr>
      <w:r w:rsidRPr="009E5AB1">
        <w:t>–</w:t>
      </w:r>
      <w:r w:rsidRPr="009E5AB1">
        <w:tab/>
        <w:t xml:space="preserve">Le TSB a participé activement au Dialogue économique régional (RED-AMS), qui s'est tenu en </w:t>
      </w:r>
      <w:r>
        <w:t>octobre</w:t>
      </w:r>
      <w:r w:rsidRPr="009E5AB1">
        <w:t xml:space="preserve"> 202</w:t>
      </w:r>
      <w:r>
        <w:t>5</w:t>
      </w:r>
      <w:r w:rsidRPr="009E5AB1">
        <w:t xml:space="preserve"> à </w:t>
      </w:r>
      <w:r>
        <w:t xml:space="preserve">Montevideo </w:t>
      </w:r>
      <w:r w:rsidRPr="009E5AB1">
        <w:t>(</w:t>
      </w:r>
      <w:r>
        <w:t>Uruguay</w:t>
      </w:r>
      <w:r w:rsidRPr="009E5AB1">
        <w:t>), en partageant des connaissances et une expertise au sujet des travaux menés actuellement par la Commission d'études</w:t>
      </w:r>
      <w:r w:rsidR="00F963B9">
        <w:t> </w:t>
      </w:r>
      <w:r w:rsidRPr="009E5AB1">
        <w:t xml:space="preserve">3 de l'UIT-T et le Groupe spécialisé de l'UIT sur les modèles de coûts pour des services de données financièrement abordables (FG-CD), ainsi que sur la </w:t>
      </w:r>
      <w:r>
        <w:t>réglementation applicable aux réseaux de télécommunication</w:t>
      </w:r>
      <w:r w:rsidRPr="009E5AB1">
        <w:t>.</w:t>
      </w:r>
    </w:p>
    <w:p w14:paraId="1955B5E9" w14:textId="5FFA9E79" w:rsidR="00455256" w:rsidRPr="009E5AB1" w:rsidRDefault="00455256" w:rsidP="0014729D">
      <w:pPr>
        <w:pStyle w:val="enumlev1"/>
        <w:jc w:val="both"/>
      </w:pPr>
      <w:r w:rsidRPr="009E5AB1">
        <w:lastRenderedPageBreak/>
        <w:t>–</w:t>
      </w:r>
      <w:r w:rsidRPr="009E5AB1">
        <w:tab/>
        <w:t xml:space="preserve">Le Bureau régional </w:t>
      </w:r>
      <w:r>
        <w:t xml:space="preserve">pour les Amériques </w:t>
      </w:r>
      <w:r w:rsidRPr="009E5AB1">
        <w:t xml:space="preserve">a </w:t>
      </w:r>
      <w:r>
        <w:t>facilité l</w:t>
      </w:r>
      <w:r w:rsidR="00BC7CFD">
        <w:t>'</w:t>
      </w:r>
      <w:r>
        <w:t xml:space="preserve">organisation </w:t>
      </w:r>
      <w:r w:rsidRPr="009E5AB1">
        <w:t>de la réunion du Groupe</w:t>
      </w:r>
      <w:r w:rsidR="00F963B9">
        <w:t> </w:t>
      </w:r>
      <w:r w:rsidRPr="009E5AB1">
        <w:t>régional de la Commission d'études 3 de l'UIT-T pour l'Amérique latine et les Caraïbes (</w:t>
      </w:r>
      <w:proofErr w:type="spellStart"/>
      <w:r w:rsidRPr="009E5AB1">
        <w:t>SG3RG</w:t>
      </w:r>
      <w:proofErr w:type="spellEnd"/>
      <w:r w:rsidRPr="009E5AB1">
        <w:t>-LAC)</w:t>
      </w:r>
      <w:r>
        <w:t xml:space="preserve"> et de</w:t>
      </w:r>
      <w:r w:rsidRPr="009E5AB1">
        <w:t xml:space="preserve"> la réunion du Groupe régional de la Commission</w:t>
      </w:r>
      <w:r w:rsidR="000E0B5E">
        <w:t xml:space="preserve"> </w:t>
      </w:r>
      <w:r w:rsidRPr="009E5AB1">
        <w:t>d'études</w:t>
      </w:r>
      <w:r w:rsidR="00F963B9">
        <w:t> </w:t>
      </w:r>
      <w:r>
        <w:t>2</w:t>
      </w:r>
      <w:r w:rsidRPr="009E5AB1">
        <w:t xml:space="preserve"> de l'UIT-T pour l</w:t>
      </w:r>
      <w:r>
        <w:t xml:space="preserve">es </w:t>
      </w:r>
      <w:r w:rsidRPr="009E5AB1">
        <w:t>Amérique</w:t>
      </w:r>
      <w:r>
        <w:t>s</w:t>
      </w:r>
      <w:r w:rsidRPr="009E5AB1">
        <w:t xml:space="preserve"> (</w:t>
      </w:r>
      <w:proofErr w:type="spellStart"/>
      <w:r w:rsidRPr="009E5AB1">
        <w:t>SG</w:t>
      </w:r>
      <w:r>
        <w:t>2</w:t>
      </w:r>
      <w:r w:rsidRPr="009E5AB1">
        <w:t>RG</w:t>
      </w:r>
      <w:proofErr w:type="spellEnd"/>
      <w:r w:rsidRPr="009E5AB1">
        <w:t>-</w:t>
      </w:r>
      <w:r>
        <w:t>AMR</w:t>
      </w:r>
      <w:r w:rsidRPr="009E5AB1">
        <w:t>), qui se sont déroulées à</w:t>
      </w:r>
      <w:r w:rsidR="000E0B5E">
        <w:t> </w:t>
      </w:r>
      <w:r>
        <w:t>Montevideo</w:t>
      </w:r>
      <w:r w:rsidRPr="009E5AB1">
        <w:t xml:space="preserve"> (</w:t>
      </w:r>
      <w:r>
        <w:t>Uruguay</w:t>
      </w:r>
      <w:r w:rsidRPr="009E5AB1">
        <w:t xml:space="preserve">) en </w:t>
      </w:r>
      <w:r>
        <w:t>octobre 2025</w:t>
      </w:r>
      <w:r w:rsidRPr="009E5AB1">
        <w:t>.</w:t>
      </w:r>
    </w:p>
    <w:p w14:paraId="083068B7" w14:textId="426E2E17" w:rsidR="00455256" w:rsidRPr="009E5AB1" w:rsidRDefault="00455256" w:rsidP="009835A2">
      <w:pPr>
        <w:pStyle w:val="Heading2"/>
      </w:pPr>
      <w:r w:rsidRPr="009E5AB1">
        <w:t>3.4</w:t>
      </w:r>
      <w:r w:rsidRPr="009E5AB1">
        <w:tab/>
        <w:t>Bureau régional pour les États arabes/</w:t>
      </w:r>
      <w:r w:rsidR="00102342">
        <w:t>a</w:t>
      </w:r>
      <w:r w:rsidRPr="009E5AB1">
        <w:t>ctivités dans la région des États arabes</w:t>
      </w:r>
    </w:p>
    <w:p w14:paraId="442DE961" w14:textId="77777777" w:rsidR="00455256" w:rsidRPr="009E5AB1" w:rsidRDefault="00455256" w:rsidP="009835A2">
      <w:pPr>
        <w:pStyle w:val="Headingb"/>
      </w:pPr>
      <w:r w:rsidRPr="009E5AB1">
        <w:t>Activités liées au BR</w:t>
      </w:r>
    </w:p>
    <w:p w14:paraId="305F1138" w14:textId="77777777" w:rsidR="00455256" w:rsidRPr="009E5AB1" w:rsidRDefault="00455256" w:rsidP="0014729D">
      <w:pPr>
        <w:pStyle w:val="enumlev1"/>
        <w:jc w:val="both"/>
      </w:pPr>
      <w:r w:rsidRPr="009E5AB1">
        <w:t>–</w:t>
      </w:r>
      <w:r w:rsidRPr="009E5AB1">
        <w:tab/>
        <w:t>L'atelier régional de l'UIT intitulé "Vers une connectivité universelle et efficace pour la région des États arabes" s'est tenu à Alger et portait sur les défis liés au développement des infrastructures et à la connectivité.</w:t>
      </w:r>
    </w:p>
    <w:p w14:paraId="4A246929" w14:textId="0F06DCCE" w:rsidR="00455256" w:rsidRPr="009E5AB1" w:rsidRDefault="00455256" w:rsidP="0014729D">
      <w:pPr>
        <w:pStyle w:val="enumlev1"/>
        <w:jc w:val="both"/>
      </w:pPr>
      <w:r w:rsidRPr="009E5AB1">
        <w:t>–</w:t>
      </w:r>
      <w:r w:rsidRPr="009E5AB1">
        <w:tab/>
      </w:r>
      <w:r>
        <w:t xml:space="preserve">Le Bureau régional pour les </w:t>
      </w:r>
      <w:r w:rsidRPr="009E5AB1">
        <w:t>États arabes</w:t>
      </w:r>
      <w:r>
        <w:t xml:space="preserve"> a continué de se coordonner avec le BR aux fins des travaux menés dans la région dans le cadre du Groupe chargé de la gestion du spectre dans les </w:t>
      </w:r>
      <w:r w:rsidRPr="009E5AB1">
        <w:t>États arabes</w:t>
      </w:r>
      <w:r>
        <w:t>.</w:t>
      </w:r>
    </w:p>
    <w:p w14:paraId="71E31F3C" w14:textId="77777777" w:rsidR="00455256" w:rsidRPr="009E5AB1" w:rsidRDefault="00455256" w:rsidP="009835A2">
      <w:pPr>
        <w:pStyle w:val="Headingb"/>
      </w:pPr>
      <w:r w:rsidRPr="009E5AB1">
        <w:t>Activités liées au TSB</w:t>
      </w:r>
    </w:p>
    <w:p w14:paraId="31323CBB" w14:textId="27E8BAF9" w:rsidR="00455256" w:rsidRDefault="00455256" w:rsidP="0014729D">
      <w:pPr>
        <w:pStyle w:val="enumlev1"/>
        <w:jc w:val="both"/>
      </w:pPr>
      <w:r w:rsidRPr="009E5AB1">
        <w:t>–</w:t>
      </w:r>
      <w:r w:rsidRPr="009E5AB1">
        <w:tab/>
        <w:t>Le BDT a soutenu les travaux de la réunion du Groupe régional de la Commission</w:t>
      </w:r>
      <w:r w:rsidR="00F963B9">
        <w:t> </w:t>
      </w:r>
      <w:r w:rsidRPr="009E5AB1">
        <w:t>d'études 3 de l'UIT-T, qui s'est tenue à Amman (Jordanie) en février 2025.</w:t>
      </w:r>
    </w:p>
    <w:p w14:paraId="6F509631" w14:textId="795BEAFF" w:rsidR="00455256" w:rsidRPr="00ED6793" w:rsidRDefault="00455256" w:rsidP="0014729D">
      <w:pPr>
        <w:pStyle w:val="enumlev1"/>
        <w:jc w:val="both"/>
        <w:rPr>
          <w:rFonts w:eastAsia="Aptos"/>
          <w:szCs w:val="24"/>
        </w:rPr>
      </w:pPr>
      <w:r w:rsidRPr="00ED6793">
        <w:rPr>
          <w:rFonts w:asciiTheme="minorHAnsi" w:eastAsia="Aptos" w:hAnsiTheme="minorHAnsi" w:cstheme="minorHAnsi"/>
        </w:rPr>
        <w:t>–</w:t>
      </w:r>
      <w:r w:rsidRPr="00ED6793">
        <w:rPr>
          <w:rFonts w:asciiTheme="minorHAnsi" w:eastAsia="Aptos" w:hAnsiTheme="minorHAnsi" w:cstheme="minorHAnsi"/>
        </w:rPr>
        <w:tab/>
      </w:r>
      <w:r w:rsidRPr="00DB0A57">
        <w:rPr>
          <w:rFonts w:asciiTheme="minorHAnsi" w:eastAsia="Aptos" w:hAnsiTheme="minorHAnsi" w:cstheme="minorHAnsi"/>
        </w:rPr>
        <w:t xml:space="preserve">Le </w:t>
      </w:r>
      <w:r w:rsidRPr="00ED6793">
        <w:rPr>
          <w:lang w:eastAsia="en-GB"/>
        </w:rPr>
        <w:t xml:space="preserve">BDT </w:t>
      </w:r>
      <w:r w:rsidRPr="00DB0A57">
        <w:rPr>
          <w:lang w:eastAsia="en-GB"/>
        </w:rPr>
        <w:t>et l</w:t>
      </w:r>
      <w:r w:rsidR="00BC7CFD">
        <w:rPr>
          <w:lang w:eastAsia="en-GB"/>
        </w:rPr>
        <w:t>'</w:t>
      </w:r>
      <w:r w:rsidRPr="00DB0A57">
        <w:rPr>
          <w:lang w:eastAsia="en-GB"/>
        </w:rPr>
        <w:t>Autorité nationale de régulatio</w:t>
      </w:r>
      <w:r>
        <w:rPr>
          <w:lang w:eastAsia="en-GB"/>
        </w:rPr>
        <w:t xml:space="preserve">n des télécommunications </w:t>
      </w:r>
      <w:r w:rsidRPr="00ED6793">
        <w:rPr>
          <w:lang w:eastAsia="en-GB"/>
        </w:rPr>
        <w:t>(</w:t>
      </w:r>
      <w:proofErr w:type="spellStart"/>
      <w:r w:rsidRPr="00ED6793">
        <w:rPr>
          <w:lang w:eastAsia="en-GB"/>
        </w:rPr>
        <w:t>NTRA</w:t>
      </w:r>
      <w:proofErr w:type="spellEnd"/>
      <w:r w:rsidRPr="00ED6793">
        <w:rPr>
          <w:lang w:eastAsia="en-GB"/>
        </w:rPr>
        <w:t xml:space="preserve">) </w:t>
      </w:r>
      <w:r>
        <w:rPr>
          <w:lang w:eastAsia="en-GB"/>
        </w:rPr>
        <w:t>de l</w:t>
      </w:r>
      <w:r w:rsidR="00BC7CFD">
        <w:rPr>
          <w:lang w:eastAsia="en-GB"/>
        </w:rPr>
        <w:t>'</w:t>
      </w:r>
      <w:r w:rsidRPr="009E5AB1">
        <w:t>É</w:t>
      </w:r>
      <w:r>
        <w:t xml:space="preserve">gypte </w:t>
      </w:r>
      <w:r>
        <w:rPr>
          <w:lang w:eastAsia="en-GB"/>
        </w:rPr>
        <w:t xml:space="preserve">mettent en œuvre un projet sur les villes et les communautés intelligentes et durables </w:t>
      </w:r>
      <w:r w:rsidRPr="00ED6793">
        <w:rPr>
          <w:lang w:eastAsia="en-GB"/>
        </w:rPr>
        <w:t>(</w:t>
      </w:r>
      <w:proofErr w:type="spellStart"/>
      <w:r w:rsidRPr="00ED6793">
        <w:rPr>
          <w:lang w:eastAsia="en-GB"/>
        </w:rPr>
        <w:t>SSC&amp;C</w:t>
      </w:r>
      <w:proofErr w:type="spellEnd"/>
      <w:r w:rsidRPr="00ED6793">
        <w:rPr>
          <w:lang w:eastAsia="en-GB"/>
        </w:rPr>
        <w:t>).</w:t>
      </w:r>
      <w:r w:rsidRPr="00ED6793">
        <w:rPr>
          <w:i/>
          <w:iCs/>
          <w:lang w:eastAsia="en-GB"/>
        </w:rPr>
        <w:t xml:space="preserve"> </w:t>
      </w:r>
      <w:r w:rsidRPr="00ED6793">
        <w:rPr>
          <w:rFonts w:eastAsia="Calibri" w:cs="Calibri"/>
          <w:szCs w:val="24"/>
        </w:rPr>
        <w:t>D</w:t>
      </w:r>
      <w:r w:rsidRPr="00DB0A57">
        <w:rPr>
          <w:rFonts w:eastAsia="Calibri" w:cs="Calibri"/>
          <w:szCs w:val="24"/>
        </w:rPr>
        <w:t>ans le ca</w:t>
      </w:r>
      <w:r w:rsidRPr="00ED6793">
        <w:rPr>
          <w:rFonts w:eastAsia="Calibri" w:cs="Calibri"/>
          <w:szCs w:val="24"/>
        </w:rPr>
        <w:t xml:space="preserve">dre </w:t>
      </w:r>
      <w:r w:rsidRPr="00DB0A57">
        <w:rPr>
          <w:rFonts w:eastAsia="Calibri" w:cs="Calibri"/>
          <w:szCs w:val="24"/>
        </w:rPr>
        <w:t xml:space="preserve">de ce projet, le </w:t>
      </w:r>
      <w:r>
        <w:t xml:space="preserve">Bureau régional pour les </w:t>
      </w:r>
      <w:r w:rsidRPr="009E5AB1">
        <w:t>États arabes</w:t>
      </w:r>
      <w:r>
        <w:t xml:space="preserve"> a coordonné le développement et la promotion des </w:t>
      </w:r>
      <w:r>
        <w:rPr>
          <w:lang w:eastAsia="en-GB"/>
        </w:rPr>
        <w:t xml:space="preserve">villes et communautés intelligentes et durables </w:t>
      </w:r>
      <w:r>
        <w:rPr>
          <w:rFonts w:eastAsia="Calibri" w:cs="Calibri"/>
          <w:szCs w:val="24"/>
        </w:rPr>
        <w:t>avec la Commission d</w:t>
      </w:r>
      <w:r w:rsidR="00BC7CFD">
        <w:rPr>
          <w:rFonts w:eastAsia="Calibri" w:cs="Calibri"/>
          <w:szCs w:val="24"/>
        </w:rPr>
        <w:t>'</w:t>
      </w:r>
      <w:r>
        <w:rPr>
          <w:rFonts w:eastAsia="Calibri" w:cs="Calibri"/>
          <w:szCs w:val="24"/>
        </w:rPr>
        <w:t>études 20 de l</w:t>
      </w:r>
      <w:r w:rsidR="00BC7CFD">
        <w:rPr>
          <w:rFonts w:eastAsia="Calibri" w:cs="Calibri"/>
          <w:szCs w:val="24"/>
        </w:rPr>
        <w:t>'</w:t>
      </w:r>
      <w:r>
        <w:rPr>
          <w:rFonts w:eastAsia="Calibri" w:cs="Calibri"/>
          <w:szCs w:val="24"/>
        </w:rPr>
        <w:t>UIT</w:t>
      </w:r>
      <w:r w:rsidRPr="00ED6793">
        <w:rPr>
          <w:rFonts w:eastAsia="Calibri" w:cs="Calibri"/>
          <w:szCs w:val="24"/>
        </w:rPr>
        <w:t>-T.</w:t>
      </w:r>
      <w:r>
        <w:rPr>
          <w:rFonts w:eastAsia="Calibri" w:cs="Calibri"/>
          <w:szCs w:val="24"/>
        </w:rPr>
        <w:t xml:space="preserve"> </w:t>
      </w:r>
      <w:r w:rsidRPr="00ED6793">
        <w:rPr>
          <w:rFonts w:eastAsia="Calibri" w:cs="Calibri"/>
          <w:szCs w:val="24"/>
        </w:rPr>
        <w:t>D</w:t>
      </w:r>
      <w:r w:rsidRPr="00DB0A57">
        <w:rPr>
          <w:rFonts w:eastAsia="Calibri" w:cs="Calibri"/>
          <w:szCs w:val="24"/>
        </w:rPr>
        <w:t xml:space="preserve">e </w:t>
      </w:r>
      <w:r w:rsidRPr="00ED6793">
        <w:rPr>
          <w:rFonts w:eastAsia="Calibri" w:cs="Calibri"/>
          <w:szCs w:val="24"/>
        </w:rPr>
        <w:t xml:space="preserve">plus, </w:t>
      </w:r>
      <w:r w:rsidRPr="00DB0A57">
        <w:rPr>
          <w:rFonts w:eastAsia="Calibri" w:cs="Calibri"/>
          <w:szCs w:val="24"/>
        </w:rPr>
        <w:t xml:space="preserve">les contributions en matière de gestion, les observations et les orientations techniques de </w:t>
      </w:r>
      <w:r>
        <w:rPr>
          <w:rFonts w:eastAsia="Calibri" w:cs="Calibri"/>
          <w:szCs w:val="24"/>
        </w:rPr>
        <w:t>la Commission</w:t>
      </w:r>
      <w:r w:rsidR="00F963B9">
        <w:rPr>
          <w:rFonts w:eastAsia="Calibri" w:cs="Calibri"/>
          <w:szCs w:val="24"/>
        </w:rPr>
        <w:t> </w:t>
      </w:r>
      <w:r>
        <w:rPr>
          <w:rFonts w:eastAsia="Calibri" w:cs="Calibri"/>
          <w:szCs w:val="24"/>
        </w:rPr>
        <w:t>d</w:t>
      </w:r>
      <w:r w:rsidR="00BC7CFD">
        <w:rPr>
          <w:rFonts w:eastAsia="Calibri" w:cs="Calibri"/>
          <w:szCs w:val="24"/>
        </w:rPr>
        <w:t>'</w:t>
      </w:r>
      <w:r>
        <w:rPr>
          <w:rFonts w:eastAsia="Calibri" w:cs="Calibri"/>
          <w:szCs w:val="24"/>
        </w:rPr>
        <w:t>études 20 de l</w:t>
      </w:r>
      <w:r w:rsidR="00BC7CFD">
        <w:rPr>
          <w:rFonts w:eastAsia="Calibri" w:cs="Calibri"/>
          <w:szCs w:val="24"/>
        </w:rPr>
        <w:t>'</w:t>
      </w:r>
      <w:r>
        <w:rPr>
          <w:rFonts w:eastAsia="Calibri" w:cs="Calibri"/>
          <w:szCs w:val="24"/>
        </w:rPr>
        <w:t>UIT</w:t>
      </w:r>
      <w:r w:rsidRPr="00ED6793">
        <w:rPr>
          <w:rFonts w:eastAsia="Calibri" w:cs="Calibri"/>
          <w:szCs w:val="24"/>
        </w:rPr>
        <w:t xml:space="preserve">-T </w:t>
      </w:r>
      <w:r>
        <w:rPr>
          <w:rFonts w:eastAsia="Calibri" w:cs="Calibri"/>
          <w:szCs w:val="24"/>
        </w:rPr>
        <w:t>ont été intégrées dans les travaux mis au point par</w:t>
      </w:r>
      <w:r w:rsidR="00F963B9">
        <w:rPr>
          <w:rFonts w:eastAsia="Calibri" w:cs="Calibri"/>
          <w:szCs w:val="24"/>
        </w:rPr>
        <w:t> </w:t>
      </w:r>
      <w:r>
        <w:rPr>
          <w:rFonts w:eastAsia="Calibri" w:cs="Calibri"/>
          <w:szCs w:val="24"/>
        </w:rPr>
        <w:t xml:space="preserve">le </w:t>
      </w:r>
      <w:r w:rsidRPr="00ED6793">
        <w:rPr>
          <w:rFonts w:eastAsia="Calibri" w:cs="Calibri"/>
          <w:szCs w:val="24"/>
        </w:rPr>
        <w:t xml:space="preserve">BDT </w:t>
      </w:r>
      <w:r>
        <w:rPr>
          <w:rFonts w:eastAsia="Calibri" w:cs="Calibri"/>
          <w:szCs w:val="24"/>
        </w:rPr>
        <w:t>concernant le projet de cadre d</w:t>
      </w:r>
      <w:r w:rsidR="00BC7CFD">
        <w:rPr>
          <w:rFonts w:eastAsia="Calibri" w:cs="Calibri"/>
          <w:szCs w:val="24"/>
        </w:rPr>
        <w:t>'</w:t>
      </w:r>
      <w:r>
        <w:rPr>
          <w:rFonts w:eastAsia="Calibri" w:cs="Calibri"/>
          <w:szCs w:val="24"/>
        </w:rPr>
        <w:t xml:space="preserve">évaluation des villes et communautés intelligentes et durables pour </w:t>
      </w:r>
      <w:r>
        <w:rPr>
          <w:lang w:eastAsia="en-GB"/>
        </w:rPr>
        <w:t>l</w:t>
      </w:r>
      <w:r w:rsidR="00BC7CFD">
        <w:rPr>
          <w:lang w:eastAsia="en-GB"/>
        </w:rPr>
        <w:t>'</w:t>
      </w:r>
      <w:r w:rsidRPr="009E5AB1">
        <w:t>É</w:t>
      </w:r>
      <w:r>
        <w:t>gypte</w:t>
      </w:r>
      <w:r w:rsidRPr="00ED6793">
        <w:rPr>
          <w:rFonts w:eastAsia="Calibri" w:cs="Calibri"/>
          <w:szCs w:val="24"/>
        </w:rPr>
        <w:t>.</w:t>
      </w:r>
    </w:p>
    <w:p w14:paraId="019EC1DA" w14:textId="2C78A1C4" w:rsidR="00455256" w:rsidRPr="00F808D5" w:rsidRDefault="00455256" w:rsidP="0014729D">
      <w:pPr>
        <w:pStyle w:val="enumlev1"/>
        <w:jc w:val="both"/>
        <w:rPr>
          <w:rFonts w:eastAsia="Calibri" w:cs="Calibri"/>
          <w:sz w:val="22"/>
          <w:szCs w:val="22"/>
        </w:rPr>
      </w:pPr>
      <w:r w:rsidRPr="00F808D5">
        <w:rPr>
          <w:rFonts w:asciiTheme="minorHAnsi" w:eastAsia="Aptos" w:hAnsiTheme="minorHAnsi" w:cstheme="minorHAnsi"/>
        </w:rPr>
        <w:t>–</w:t>
      </w:r>
      <w:r w:rsidRPr="00F808D5">
        <w:rPr>
          <w:rFonts w:asciiTheme="minorHAnsi" w:eastAsia="Aptos" w:hAnsiTheme="minorHAnsi" w:cstheme="minorHAnsi"/>
        </w:rPr>
        <w:tab/>
      </w:r>
      <w:r w:rsidRPr="00DB0A57">
        <w:rPr>
          <w:rFonts w:eastAsia="Calibri" w:cs="Calibri"/>
          <w:szCs w:val="24"/>
        </w:rPr>
        <w:t>L</w:t>
      </w:r>
      <w:r>
        <w:rPr>
          <w:rFonts w:eastAsia="Calibri" w:cs="Calibri"/>
          <w:szCs w:val="24"/>
        </w:rPr>
        <w:t>a réunion du</w:t>
      </w:r>
      <w:r w:rsidRPr="00DB0A57">
        <w:rPr>
          <w:rFonts w:eastAsia="Calibri" w:cs="Calibri"/>
          <w:szCs w:val="24"/>
        </w:rPr>
        <w:t xml:space="preserve"> Groupe régional de la Commission d</w:t>
      </w:r>
      <w:r w:rsidR="00BC7CFD">
        <w:rPr>
          <w:rFonts w:eastAsia="Calibri" w:cs="Calibri"/>
          <w:szCs w:val="24"/>
        </w:rPr>
        <w:t>'</w:t>
      </w:r>
      <w:r w:rsidRPr="00DB0A57">
        <w:rPr>
          <w:rFonts w:eastAsia="Calibri" w:cs="Calibri"/>
          <w:szCs w:val="24"/>
        </w:rPr>
        <w:t>études 3 de l</w:t>
      </w:r>
      <w:r w:rsidR="00BC7CFD">
        <w:rPr>
          <w:rFonts w:eastAsia="Calibri" w:cs="Calibri"/>
          <w:szCs w:val="24"/>
        </w:rPr>
        <w:t>'</w:t>
      </w:r>
      <w:r w:rsidRPr="00DB0A57">
        <w:rPr>
          <w:rFonts w:eastAsia="Calibri" w:cs="Calibri"/>
          <w:szCs w:val="24"/>
        </w:rPr>
        <w:t>UIT</w:t>
      </w:r>
      <w:r w:rsidRPr="00F808D5">
        <w:rPr>
          <w:rFonts w:eastAsia="Calibri" w:cs="Calibri"/>
          <w:szCs w:val="24"/>
        </w:rPr>
        <w:t xml:space="preserve">-T </w:t>
      </w:r>
      <w:r w:rsidRPr="00DB0A57">
        <w:rPr>
          <w:rFonts w:eastAsia="Calibri" w:cs="Calibri"/>
          <w:szCs w:val="24"/>
        </w:rPr>
        <w:t>pour la région</w:t>
      </w:r>
      <w:r w:rsidR="00102342">
        <w:rPr>
          <w:rFonts w:eastAsia="Calibri" w:cs="Calibri"/>
          <w:szCs w:val="24"/>
        </w:rPr>
        <w:t> </w:t>
      </w:r>
      <w:r w:rsidRPr="00DB0A57">
        <w:rPr>
          <w:rFonts w:eastAsia="Calibri" w:cs="Calibri"/>
          <w:szCs w:val="24"/>
        </w:rPr>
        <w:t>des</w:t>
      </w:r>
      <w:r w:rsidRPr="00F808D5">
        <w:t xml:space="preserve"> États arabes</w:t>
      </w:r>
      <w:r w:rsidRPr="00DB0A57">
        <w:rPr>
          <w:rFonts w:eastAsia="Calibri" w:cs="Calibri"/>
          <w:szCs w:val="24"/>
        </w:rPr>
        <w:t xml:space="preserve"> </w:t>
      </w:r>
      <w:r w:rsidRPr="00F808D5">
        <w:rPr>
          <w:rFonts w:eastAsia="Calibri" w:cs="Calibri"/>
          <w:szCs w:val="24"/>
        </w:rPr>
        <w:t>(</w:t>
      </w:r>
      <w:proofErr w:type="spellStart"/>
      <w:r w:rsidRPr="00F808D5">
        <w:rPr>
          <w:rFonts w:eastAsia="Calibri" w:cs="Calibri"/>
          <w:szCs w:val="24"/>
        </w:rPr>
        <w:t>SG3RG</w:t>
      </w:r>
      <w:proofErr w:type="spellEnd"/>
      <w:r w:rsidRPr="00F808D5">
        <w:rPr>
          <w:rFonts w:eastAsia="Calibri" w:cs="Calibri"/>
          <w:szCs w:val="24"/>
        </w:rPr>
        <w:t xml:space="preserve">-ARB) </w:t>
      </w:r>
      <w:r>
        <w:rPr>
          <w:rFonts w:eastAsia="Calibri" w:cs="Calibri"/>
          <w:szCs w:val="24"/>
        </w:rPr>
        <w:t>devrait se tenir</w:t>
      </w:r>
      <w:r w:rsidRPr="00F808D5">
        <w:rPr>
          <w:rFonts w:eastAsia="Calibri" w:cs="Calibri"/>
          <w:szCs w:val="24"/>
        </w:rPr>
        <w:t xml:space="preserve"> </w:t>
      </w:r>
      <w:r>
        <w:rPr>
          <w:rFonts w:eastAsia="Calibri" w:cs="Calibri"/>
          <w:szCs w:val="24"/>
        </w:rPr>
        <w:t xml:space="preserve">les </w:t>
      </w:r>
      <w:r w:rsidRPr="00F808D5">
        <w:rPr>
          <w:rFonts w:eastAsia="Calibri" w:cs="Calibri"/>
          <w:szCs w:val="24"/>
        </w:rPr>
        <w:t>29</w:t>
      </w:r>
      <w:r>
        <w:rPr>
          <w:rFonts w:eastAsia="Calibri" w:cs="Calibri"/>
          <w:szCs w:val="24"/>
        </w:rPr>
        <w:t xml:space="preserve"> et </w:t>
      </w:r>
      <w:r w:rsidRPr="00F808D5">
        <w:rPr>
          <w:rFonts w:eastAsia="Calibri" w:cs="Calibri"/>
          <w:szCs w:val="24"/>
        </w:rPr>
        <w:t xml:space="preserve">30 </w:t>
      </w:r>
      <w:r>
        <w:rPr>
          <w:rFonts w:eastAsia="Calibri" w:cs="Calibri"/>
          <w:szCs w:val="24"/>
        </w:rPr>
        <w:t xml:space="preserve">mars </w:t>
      </w:r>
      <w:r w:rsidRPr="00F808D5">
        <w:rPr>
          <w:rFonts w:eastAsia="Calibri" w:cs="Calibri"/>
          <w:szCs w:val="24"/>
        </w:rPr>
        <w:t>2026</w:t>
      </w:r>
      <w:r>
        <w:rPr>
          <w:rFonts w:eastAsia="Calibri" w:cs="Calibri"/>
          <w:szCs w:val="24"/>
        </w:rPr>
        <w:t>, au</w:t>
      </w:r>
      <w:r w:rsidR="00102342">
        <w:rPr>
          <w:rFonts w:eastAsia="Calibri" w:cs="Calibri"/>
          <w:szCs w:val="24"/>
        </w:rPr>
        <w:t> </w:t>
      </w:r>
      <w:r w:rsidRPr="00F808D5">
        <w:rPr>
          <w:rFonts w:eastAsia="Calibri" w:cs="Calibri"/>
          <w:szCs w:val="24"/>
        </w:rPr>
        <w:t>Cair</w:t>
      </w:r>
      <w:r>
        <w:rPr>
          <w:rFonts w:eastAsia="Calibri" w:cs="Calibri"/>
          <w:szCs w:val="24"/>
        </w:rPr>
        <w:t>e</w:t>
      </w:r>
      <w:r w:rsidR="00F963B9">
        <w:rPr>
          <w:rFonts w:eastAsia="Calibri" w:cs="Calibri"/>
          <w:szCs w:val="24"/>
        </w:rPr>
        <w:t> </w:t>
      </w:r>
      <w:r>
        <w:rPr>
          <w:rFonts w:eastAsia="Calibri" w:cs="Calibri"/>
          <w:szCs w:val="24"/>
        </w:rPr>
        <w:t>(</w:t>
      </w:r>
      <w:r w:rsidRPr="009E5AB1">
        <w:t>É</w:t>
      </w:r>
      <w:r>
        <w:t>gypte</w:t>
      </w:r>
      <w:r>
        <w:rPr>
          <w:rFonts w:eastAsia="Calibri" w:cs="Calibri"/>
          <w:szCs w:val="24"/>
        </w:rPr>
        <w:t>), et devrait être suivie de la réunion du Groupe régional de la Commission</w:t>
      </w:r>
      <w:r w:rsidR="00F963B9">
        <w:rPr>
          <w:rFonts w:eastAsia="Calibri" w:cs="Calibri"/>
          <w:szCs w:val="24"/>
        </w:rPr>
        <w:t> </w:t>
      </w:r>
      <w:r>
        <w:rPr>
          <w:rFonts w:eastAsia="Calibri" w:cs="Calibri"/>
          <w:szCs w:val="24"/>
        </w:rPr>
        <w:t>d</w:t>
      </w:r>
      <w:r w:rsidR="00BC7CFD">
        <w:rPr>
          <w:rFonts w:eastAsia="Calibri" w:cs="Calibri"/>
          <w:szCs w:val="24"/>
        </w:rPr>
        <w:t>'</w:t>
      </w:r>
      <w:r>
        <w:rPr>
          <w:rFonts w:eastAsia="Calibri" w:cs="Calibri"/>
          <w:szCs w:val="24"/>
        </w:rPr>
        <w:t>études 20 de l</w:t>
      </w:r>
      <w:r w:rsidR="00BC7CFD">
        <w:rPr>
          <w:rFonts w:eastAsia="Calibri" w:cs="Calibri"/>
          <w:szCs w:val="24"/>
        </w:rPr>
        <w:t>'</w:t>
      </w:r>
      <w:r>
        <w:rPr>
          <w:rFonts w:eastAsia="Calibri" w:cs="Calibri"/>
          <w:szCs w:val="24"/>
        </w:rPr>
        <w:t>UIT</w:t>
      </w:r>
      <w:r w:rsidRPr="00F808D5">
        <w:rPr>
          <w:rFonts w:eastAsia="Calibri" w:cs="Calibri"/>
          <w:szCs w:val="24"/>
        </w:rPr>
        <w:t xml:space="preserve">-T </w:t>
      </w:r>
      <w:r>
        <w:rPr>
          <w:rFonts w:eastAsia="Calibri" w:cs="Calibri"/>
          <w:szCs w:val="24"/>
        </w:rPr>
        <w:t>pour l</w:t>
      </w:r>
      <w:r w:rsidR="00BC7CFD">
        <w:rPr>
          <w:rFonts w:eastAsia="Calibri" w:cs="Calibri"/>
          <w:szCs w:val="24"/>
        </w:rPr>
        <w:t>'</w:t>
      </w:r>
      <w:r>
        <w:rPr>
          <w:rFonts w:eastAsia="Calibri" w:cs="Calibri"/>
          <w:szCs w:val="24"/>
        </w:rPr>
        <w:t xml:space="preserve">Afrique </w:t>
      </w:r>
      <w:r w:rsidRPr="00F808D5">
        <w:rPr>
          <w:rFonts w:eastAsia="Calibri" w:cs="Calibri"/>
          <w:szCs w:val="24"/>
        </w:rPr>
        <w:t>(</w:t>
      </w:r>
      <w:proofErr w:type="spellStart"/>
      <w:r w:rsidRPr="00F808D5">
        <w:rPr>
          <w:rFonts w:eastAsia="Calibri" w:cs="Calibri"/>
          <w:szCs w:val="24"/>
        </w:rPr>
        <w:t>SG20RG-AFR</w:t>
      </w:r>
      <w:proofErr w:type="spellEnd"/>
      <w:r w:rsidRPr="00F808D5">
        <w:rPr>
          <w:rFonts w:eastAsia="Calibri" w:cs="Calibri"/>
          <w:szCs w:val="24"/>
        </w:rPr>
        <w:t>)</w:t>
      </w:r>
      <w:r>
        <w:rPr>
          <w:rFonts w:eastAsia="Calibri" w:cs="Calibri"/>
          <w:szCs w:val="24"/>
        </w:rPr>
        <w:t xml:space="preserve">, les </w:t>
      </w:r>
      <w:r w:rsidRPr="00F808D5">
        <w:rPr>
          <w:rFonts w:eastAsia="Calibri" w:cs="Calibri"/>
          <w:szCs w:val="24"/>
        </w:rPr>
        <w:t>30</w:t>
      </w:r>
      <w:r>
        <w:rPr>
          <w:rFonts w:eastAsia="Calibri" w:cs="Calibri"/>
          <w:szCs w:val="24"/>
        </w:rPr>
        <w:t xml:space="preserve"> et </w:t>
      </w:r>
      <w:r w:rsidRPr="00F808D5">
        <w:rPr>
          <w:rFonts w:eastAsia="Calibri" w:cs="Calibri"/>
          <w:szCs w:val="24"/>
        </w:rPr>
        <w:t>31</w:t>
      </w:r>
      <w:r w:rsidR="00F963B9">
        <w:rPr>
          <w:rFonts w:eastAsia="Calibri" w:cs="Calibri"/>
          <w:szCs w:val="24"/>
        </w:rPr>
        <w:t> </w:t>
      </w:r>
      <w:r>
        <w:rPr>
          <w:rFonts w:eastAsia="Calibri" w:cs="Calibri"/>
          <w:szCs w:val="24"/>
        </w:rPr>
        <w:t>mars</w:t>
      </w:r>
      <w:r w:rsidR="00F963B9">
        <w:rPr>
          <w:rFonts w:eastAsia="Calibri" w:cs="Calibri"/>
          <w:szCs w:val="24"/>
        </w:rPr>
        <w:t> </w:t>
      </w:r>
      <w:r w:rsidRPr="00F808D5">
        <w:rPr>
          <w:rFonts w:eastAsia="Calibri" w:cs="Calibri"/>
          <w:szCs w:val="24"/>
        </w:rPr>
        <w:t>2026</w:t>
      </w:r>
      <w:r>
        <w:rPr>
          <w:rFonts w:eastAsia="Calibri" w:cs="Calibri"/>
          <w:szCs w:val="24"/>
        </w:rPr>
        <w:t>.</w:t>
      </w:r>
    </w:p>
    <w:p w14:paraId="427F78F9" w14:textId="2220315B" w:rsidR="00455256" w:rsidRPr="00F808D5" w:rsidRDefault="00455256" w:rsidP="0014729D">
      <w:pPr>
        <w:pStyle w:val="enumlev1"/>
        <w:jc w:val="both"/>
        <w:rPr>
          <w:rFonts w:eastAsia="Calibri" w:cs="Calibri"/>
          <w:sz w:val="22"/>
          <w:szCs w:val="22"/>
        </w:rPr>
      </w:pPr>
      <w:r w:rsidRPr="00F808D5">
        <w:rPr>
          <w:rFonts w:asciiTheme="minorHAnsi" w:eastAsia="Aptos" w:hAnsiTheme="minorHAnsi" w:cstheme="minorBidi"/>
        </w:rPr>
        <w:t>–</w:t>
      </w:r>
      <w:r w:rsidRPr="00F808D5">
        <w:tab/>
      </w:r>
      <w:r w:rsidRPr="00DB0A57">
        <w:rPr>
          <w:rFonts w:eastAsia="Aptos"/>
        </w:rPr>
        <w:t>Un fonctionnaire de catégorie</w:t>
      </w:r>
      <w:r w:rsidRPr="00F808D5">
        <w:rPr>
          <w:rFonts w:eastAsia="Aptos"/>
        </w:rPr>
        <w:t xml:space="preserve"> G</w:t>
      </w:r>
      <w:r w:rsidRPr="00DB0A57">
        <w:rPr>
          <w:rFonts w:eastAsia="Aptos"/>
        </w:rPr>
        <w:t xml:space="preserve"> a été nommé </w:t>
      </w:r>
      <w:r>
        <w:rPr>
          <w:rFonts w:eastAsia="Aptos"/>
        </w:rPr>
        <w:t xml:space="preserve">au </w:t>
      </w:r>
      <w:r>
        <w:t xml:space="preserve">Bureau régional pour les </w:t>
      </w:r>
      <w:r w:rsidRPr="009E5AB1">
        <w:t>États</w:t>
      </w:r>
      <w:r w:rsidR="00F963B9">
        <w:t> </w:t>
      </w:r>
      <w:r w:rsidRPr="009E5AB1">
        <w:t>arabes</w:t>
      </w:r>
      <w:r>
        <w:t xml:space="preserve">, afin de renforcer la </w:t>
      </w:r>
      <w:r w:rsidRPr="00F808D5">
        <w:t xml:space="preserve">coordination </w:t>
      </w:r>
      <w:r>
        <w:t xml:space="preserve">avec le </w:t>
      </w:r>
      <w:r w:rsidRPr="00F808D5">
        <w:t>TSB</w:t>
      </w:r>
      <w:r>
        <w:t xml:space="preserve"> et de </w:t>
      </w:r>
      <w:r w:rsidRPr="00F808D5">
        <w:t>facilit</w:t>
      </w:r>
      <w:r>
        <w:t>er</w:t>
      </w:r>
      <w:r w:rsidRPr="00F808D5">
        <w:t xml:space="preserve"> </w:t>
      </w:r>
      <w:r>
        <w:t>les activités liées aux commissions d</w:t>
      </w:r>
      <w:r w:rsidR="00BC7CFD">
        <w:t>'</w:t>
      </w:r>
      <w:r>
        <w:t>études</w:t>
      </w:r>
      <w:r w:rsidRPr="00F808D5">
        <w:t>.</w:t>
      </w:r>
    </w:p>
    <w:p w14:paraId="49A7CA52" w14:textId="56603650" w:rsidR="00455256" w:rsidRPr="009E5AB1" w:rsidRDefault="00455256" w:rsidP="009835A2">
      <w:pPr>
        <w:pStyle w:val="Heading2"/>
      </w:pPr>
      <w:r w:rsidRPr="009E5AB1">
        <w:t>3.5</w:t>
      </w:r>
      <w:r w:rsidRPr="009E5AB1">
        <w:tab/>
        <w:t>Bureau régional pour l'Asie-Pacifique/</w:t>
      </w:r>
      <w:r w:rsidR="00102342">
        <w:t>a</w:t>
      </w:r>
      <w:r w:rsidRPr="009E5AB1">
        <w:t>ctivités pour la région Asie-Pacifique</w:t>
      </w:r>
    </w:p>
    <w:p w14:paraId="45098AE0" w14:textId="77777777" w:rsidR="00455256" w:rsidRPr="009E5AB1" w:rsidRDefault="00455256" w:rsidP="009835A2">
      <w:pPr>
        <w:pStyle w:val="Headingb"/>
      </w:pPr>
      <w:r w:rsidRPr="009E5AB1">
        <w:t>Activités liées au BR</w:t>
      </w:r>
    </w:p>
    <w:p w14:paraId="1A217A1C" w14:textId="535A44C2" w:rsidR="00455256" w:rsidRPr="003A275D" w:rsidRDefault="00455256" w:rsidP="0014729D">
      <w:pPr>
        <w:pStyle w:val="enumlev1"/>
        <w:jc w:val="both"/>
        <w:rPr>
          <w:rFonts w:eastAsia="Aptos"/>
        </w:rPr>
      </w:pPr>
      <w:r w:rsidRPr="003A275D">
        <w:t>–</w:t>
      </w:r>
      <w:r w:rsidRPr="003A275D">
        <w:tab/>
      </w:r>
      <w:r w:rsidRPr="00DB0A57">
        <w:rPr>
          <w:rFonts w:eastAsia="Aptos"/>
        </w:rPr>
        <w:t>Du</w:t>
      </w:r>
      <w:r w:rsidRPr="003A275D">
        <w:rPr>
          <w:rFonts w:eastAsia="Aptos"/>
        </w:rPr>
        <w:t xml:space="preserve"> 20</w:t>
      </w:r>
      <w:r w:rsidRPr="00DB0A57">
        <w:rPr>
          <w:rFonts w:eastAsia="Aptos"/>
        </w:rPr>
        <w:t xml:space="preserve"> au </w:t>
      </w:r>
      <w:r w:rsidRPr="003A275D">
        <w:rPr>
          <w:rFonts w:eastAsia="Aptos"/>
        </w:rPr>
        <w:t xml:space="preserve">24 </w:t>
      </w:r>
      <w:r w:rsidRPr="00DB0A57">
        <w:rPr>
          <w:rFonts w:eastAsia="Aptos"/>
        </w:rPr>
        <w:t xml:space="preserve">octobre </w:t>
      </w:r>
      <w:r w:rsidRPr="003A275D">
        <w:rPr>
          <w:rFonts w:eastAsia="Aptos"/>
        </w:rPr>
        <w:t>2025</w:t>
      </w:r>
      <w:r w:rsidRPr="00DB0A57">
        <w:rPr>
          <w:rFonts w:eastAsia="Aptos"/>
        </w:rPr>
        <w:t>, à</w:t>
      </w:r>
      <w:r w:rsidRPr="003A275D">
        <w:rPr>
          <w:rFonts w:eastAsia="Aptos"/>
        </w:rPr>
        <w:t xml:space="preserve"> Chengdu</w:t>
      </w:r>
      <w:r w:rsidRPr="00DB0A57">
        <w:rPr>
          <w:rFonts w:eastAsia="Aptos"/>
        </w:rPr>
        <w:t xml:space="preserve"> (</w:t>
      </w:r>
      <w:proofErr w:type="spellStart"/>
      <w:r w:rsidRPr="00DB0A57">
        <w:rPr>
          <w:rFonts w:eastAsia="Aptos"/>
        </w:rPr>
        <w:t>Rép</w:t>
      </w:r>
      <w:proofErr w:type="spellEnd"/>
      <w:r w:rsidRPr="00DB0A57">
        <w:rPr>
          <w:rFonts w:eastAsia="Aptos"/>
        </w:rPr>
        <w:t xml:space="preserve">. </w:t>
      </w:r>
      <w:r>
        <w:rPr>
          <w:rFonts w:eastAsia="Aptos"/>
        </w:rPr>
        <w:t>p</w:t>
      </w:r>
      <w:r w:rsidRPr="00DB0A57">
        <w:rPr>
          <w:rFonts w:eastAsia="Aptos"/>
        </w:rPr>
        <w:t>op. de Chine)</w:t>
      </w:r>
      <w:r w:rsidRPr="003A275D">
        <w:rPr>
          <w:rFonts w:eastAsia="Aptos"/>
        </w:rPr>
        <w:t xml:space="preserve">, </w:t>
      </w:r>
      <w:r>
        <w:rPr>
          <w:rFonts w:eastAsia="Aptos"/>
        </w:rPr>
        <w:t>le Bureau régional pour l</w:t>
      </w:r>
      <w:r w:rsidR="00BC7CFD">
        <w:rPr>
          <w:rFonts w:eastAsia="Aptos"/>
        </w:rPr>
        <w:t>'</w:t>
      </w:r>
      <w:r>
        <w:rPr>
          <w:rFonts w:eastAsia="Aptos"/>
        </w:rPr>
        <w:t xml:space="preserve">Asie-Pacifique a aidé le </w:t>
      </w:r>
      <w:r w:rsidRPr="003A275D">
        <w:rPr>
          <w:rFonts w:eastAsia="Aptos"/>
        </w:rPr>
        <w:t xml:space="preserve">BR </w:t>
      </w:r>
      <w:r>
        <w:rPr>
          <w:rFonts w:eastAsia="Aptos"/>
        </w:rPr>
        <w:t xml:space="preserve">à organiser le </w:t>
      </w:r>
      <w:hyperlink r:id="rId45" w:history="1">
        <w:r w:rsidRPr="00F963B9">
          <w:rPr>
            <w:rStyle w:val="Hyperlink"/>
            <w:rFonts w:eastAsia="Aptos" w:cs="Times New Roman"/>
            <w:szCs w:val="20"/>
          </w:rPr>
          <w:t>Séminaire régional des radiocommunications de l'UIT pour l</w:t>
        </w:r>
        <w:r w:rsidR="00BC7CFD" w:rsidRPr="00F963B9">
          <w:rPr>
            <w:rStyle w:val="Hyperlink"/>
            <w:rFonts w:eastAsia="Aptos" w:cs="Times New Roman"/>
            <w:szCs w:val="20"/>
          </w:rPr>
          <w:t>'</w:t>
        </w:r>
        <w:r w:rsidRPr="00F963B9">
          <w:rPr>
            <w:rStyle w:val="Hyperlink"/>
            <w:rFonts w:eastAsia="Aptos" w:cs="Times New Roman"/>
            <w:szCs w:val="20"/>
          </w:rPr>
          <w:t>Asie-Pacifique</w:t>
        </w:r>
      </w:hyperlink>
      <w:r w:rsidRPr="003A275D">
        <w:rPr>
          <w:rFonts w:eastAsia="Aptos"/>
        </w:rPr>
        <w:t xml:space="preserve">. Le Bureau </w:t>
      </w:r>
      <w:r w:rsidRPr="00DB0A57">
        <w:rPr>
          <w:rFonts w:eastAsia="Aptos"/>
        </w:rPr>
        <w:t>régional pour l</w:t>
      </w:r>
      <w:r w:rsidR="00BC7CFD">
        <w:rPr>
          <w:rFonts w:eastAsia="Aptos"/>
        </w:rPr>
        <w:t>'</w:t>
      </w:r>
      <w:r w:rsidRPr="00DB0A57">
        <w:rPr>
          <w:rFonts w:eastAsia="Aptos"/>
        </w:rPr>
        <w:t>Asie-Pacifique a mené des activités po</w:t>
      </w:r>
      <w:r>
        <w:rPr>
          <w:rFonts w:eastAsia="Aptos"/>
        </w:rPr>
        <w:t xml:space="preserve">ur contribuer à la mise en œuvre de la </w:t>
      </w:r>
      <w:r>
        <w:rPr>
          <w:rFonts w:cstheme="minorBidi"/>
        </w:rPr>
        <w:t xml:space="preserve">Résolution 9 de la </w:t>
      </w:r>
      <w:proofErr w:type="spellStart"/>
      <w:r>
        <w:rPr>
          <w:rFonts w:cstheme="minorBidi"/>
        </w:rPr>
        <w:t>CMDT</w:t>
      </w:r>
      <w:proofErr w:type="spellEnd"/>
      <w:r w:rsidRPr="003A275D">
        <w:rPr>
          <w:rFonts w:cstheme="minorBidi"/>
        </w:rPr>
        <w:t xml:space="preserve">-22 </w:t>
      </w:r>
      <w:r>
        <w:rPr>
          <w:rFonts w:cstheme="minorBidi"/>
        </w:rPr>
        <w:t>et conformément à l</w:t>
      </w:r>
      <w:r w:rsidR="00BC7CFD">
        <w:rPr>
          <w:rFonts w:cstheme="minorBidi"/>
        </w:rPr>
        <w:t>'</w:t>
      </w:r>
      <w:r w:rsidR="006232B2">
        <w:rPr>
          <w:rFonts w:cstheme="minorBidi"/>
        </w:rPr>
        <w:t>I</w:t>
      </w:r>
      <w:r>
        <w:rPr>
          <w:rFonts w:cstheme="minorBidi"/>
        </w:rPr>
        <w:t xml:space="preserve">nitiative régionale 3 et au </w:t>
      </w:r>
      <w:r w:rsidR="00D71BE9">
        <w:rPr>
          <w:rFonts w:cstheme="minorBidi"/>
        </w:rPr>
        <w:t>R</w:t>
      </w:r>
      <w:r>
        <w:rPr>
          <w:rFonts w:cstheme="minorBidi"/>
        </w:rPr>
        <w:t>ésultat attendu</w:t>
      </w:r>
      <w:r w:rsidRPr="003A275D">
        <w:rPr>
          <w:rFonts w:cstheme="minorBidi"/>
        </w:rPr>
        <w:t xml:space="preserve"> 6</w:t>
      </w:r>
      <w:r>
        <w:rPr>
          <w:rFonts w:cstheme="minorBidi"/>
        </w:rPr>
        <w:t xml:space="preserve"> pour l</w:t>
      </w:r>
      <w:r w:rsidR="00BC7CFD">
        <w:rPr>
          <w:rFonts w:cstheme="minorBidi"/>
        </w:rPr>
        <w:t>'</w:t>
      </w:r>
      <w:r>
        <w:rPr>
          <w:rFonts w:cstheme="minorBidi"/>
        </w:rPr>
        <w:t>Asie-Pacifique</w:t>
      </w:r>
      <w:r w:rsidRPr="003A275D">
        <w:rPr>
          <w:rFonts w:cstheme="minorBidi"/>
        </w:rPr>
        <w:t>.</w:t>
      </w:r>
    </w:p>
    <w:p w14:paraId="115649A2" w14:textId="553B0C5B" w:rsidR="00455256" w:rsidRPr="00755FD2" w:rsidRDefault="00455256" w:rsidP="0014729D">
      <w:pPr>
        <w:pStyle w:val="enumlev1"/>
        <w:jc w:val="both"/>
        <w:rPr>
          <w:rFonts w:eastAsia="Aptos"/>
        </w:rPr>
      </w:pPr>
      <w:r w:rsidRPr="003A275D">
        <w:rPr>
          <w:rFonts w:asciiTheme="minorHAnsi" w:eastAsia="Aptos" w:hAnsiTheme="minorHAnsi" w:cstheme="minorHAnsi"/>
        </w:rPr>
        <w:t>–</w:t>
      </w:r>
      <w:r w:rsidRPr="003A275D">
        <w:rPr>
          <w:rFonts w:asciiTheme="minorHAnsi" w:eastAsia="Aptos" w:hAnsiTheme="minorHAnsi" w:cstheme="minorHAnsi"/>
        </w:rPr>
        <w:tab/>
      </w:r>
      <w:r w:rsidRPr="00DB0A57">
        <w:rPr>
          <w:rFonts w:eastAsia="Aptos"/>
        </w:rPr>
        <w:t>L</w:t>
      </w:r>
      <w:r w:rsidRPr="003A275D">
        <w:rPr>
          <w:rFonts w:eastAsia="Aptos"/>
        </w:rPr>
        <w:t>e Bureau régional pour l</w:t>
      </w:r>
      <w:r w:rsidR="00BC7CFD">
        <w:rPr>
          <w:rFonts w:eastAsia="Aptos"/>
        </w:rPr>
        <w:t>'</w:t>
      </w:r>
      <w:r w:rsidRPr="003A275D">
        <w:rPr>
          <w:rFonts w:eastAsia="Aptos"/>
        </w:rPr>
        <w:t xml:space="preserve">Asie-Pacifique </w:t>
      </w:r>
      <w:r w:rsidRPr="00DB0A57">
        <w:rPr>
          <w:rFonts w:eastAsia="Aptos"/>
        </w:rPr>
        <w:t xml:space="preserve">a </w:t>
      </w:r>
      <w:r w:rsidRPr="003A275D">
        <w:rPr>
          <w:rFonts w:eastAsia="Aptos"/>
        </w:rPr>
        <w:t>aidé</w:t>
      </w:r>
      <w:r w:rsidRPr="00DB0A57">
        <w:rPr>
          <w:rFonts w:eastAsia="Aptos"/>
        </w:rPr>
        <w:t xml:space="preserve"> le </w:t>
      </w:r>
      <w:r w:rsidRPr="003A275D">
        <w:rPr>
          <w:rFonts w:eastAsia="Aptos"/>
        </w:rPr>
        <w:t xml:space="preserve">BR </w:t>
      </w:r>
      <w:r>
        <w:rPr>
          <w:rFonts w:eastAsia="Aptos"/>
        </w:rPr>
        <w:t>à organiser</w:t>
      </w:r>
      <w:r w:rsidRPr="003A275D">
        <w:rPr>
          <w:rFonts w:eastAsia="Aptos"/>
        </w:rPr>
        <w:t xml:space="preserve"> </w:t>
      </w:r>
      <w:r>
        <w:rPr>
          <w:rFonts w:eastAsia="Aptos"/>
        </w:rPr>
        <w:t>l</w:t>
      </w:r>
      <w:r w:rsidR="00BC7CFD">
        <w:rPr>
          <w:rFonts w:eastAsia="Aptos"/>
        </w:rPr>
        <w:t>'</w:t>
      </w:r>
      <w:hyperlink r:id="rId46" w:history="1">
        <w:r w:rsidRPr="00F963B9">
          <w:rPr>
            <w:rStyle w:val="Hyperlink"/>
            <w:rFonts w:eastAsia="Aptos" w:cs="Times New Roman"/>
            <w:szCs w:val="20"/>
          </w:rPr>
          <w:t>Atelier de l</w:t>
        </w:r>
        <w:r w:rsidR="00BC7CFD" w:rsidRPr="00F963B9">
          <w:rPr>
            <w:rStyle w:val="Hyperlink"/>
            <w:rFonts w:eastAsia="Aptos" w:cs="Times New Roman"/>
            <w:szCs w:val="20"/>
          </w:rPr>
          <w:t>'</w:t>
        </w:r>
        <w:r w:rsidRPr="00F963B9">
          <w:rPr>
            <w:rStyle w:val="Hyperlink"/>
            <w:rFonts w:eastAsia="Aptos" w:cs="Times New Roman"/>
            <w:szCs w:val="20"/>
          </w:rPr>
          <w:t xml:space="preserve">UIT </w:t>
        </w:r>
        <w:r w:rsidRPr="00F963B9">
          <w:rPr>
            <w:rStyle w:val="Hyperlink"/>
            <w:rFonts w:eastAsia="Aptos"/>
          </w:rPr>
          <w:t>sur la gestion moderne du spectre de 2025 pour la Région 3 (</w:t>
        </w:r>
        <w:proofErr w:type="spellStart"/>
        <w:r w:rsidRPr="00F963B9">
          <w:rPr>
            <w:rStyle w:val="Hyperlink"/>
            <w:rFonts w:eastAsia="Aptos"/>
          </w:rPr>
          <w:t>WS</w:t>
        </w:r>
        <w:proofErr w:type="spellEnd"/>
        <w:r w:rsidRPr="00F963B9">
          <w:rPr>
            <w:rStyle w:val="Hyperlink"/>
            <w:rFonts w:eastAsia="Aptos"/>
          </w:rPr>
          <w:t>-MSS-25-</w:t>
        </w:r>
        <w:proofErr w:type="spellStart"/>
        <w:r w:rsidRPr="00F963B9">
          <w:rPr>
            <w:rStyle w:val="Hyperlink"/>
            <w:rFonts w:eastAsia="Aptos"/>
          </w:rPr>
          <w:t>R3</w:t>
        </w:r>
        <w:proofErr w:type="spellEnd"/>
        <w:r w:rsidRPr="00F963B9">
          <w:rPr>
            <w:rStyle w:val="Hyperlink"/>
            <w:rFonts w:eastAsia="Aptos"/>
          </w:rPr>
          <w:t>)</w:t>
        </w:r>
      </w:hyperlink>
      <w:r w:rsidRPr="003A275D">
        <w:rPr>
          <w:rFonts w:eastAsia="Aptos"/>
        </w:rPr>
        <w:t xml:space="preserve">. </w:t>
      </w:r>
      <w:r w:rsidRPr="005F3CBA">
        <w:rPr>
          <w:rFonts w:eastAsia="Aptos"/>
        </w:rPr>
        <w:t>Il a mis l</w:t>
      </w:r>
      <w:r w:rsidR="00BC7CFD">
        <w:rPr>
          <w:rFonts w:eastAsia="Aptos"/>
        </w:rPr>
        <w:t>'</w:t>
      </w:r>
      <w:r w:rsidRPr="005F3CBA">
        <w:rPr>
          <w:rFonts w:eastAsia="Aptos"/>
        </w:rPr>
        <w:t>a</w:t>
      </w:r>
      <w:r w:rsidRPr="00DB0A57">
        <w:rPr>
          <w:rFonts w:eastAsia="Aptos"/>
        </w:rPr>
        <w:t xml:space="preserve">ccent sur les besoins </w:t>
      </w:r>
      <w:r>
        <w:rPr>
          <w:rFonts w:eastAsia="Aptos"/>
        </w:rPr>
        <w:t>en</w:t>
      </w:r>
      <w:r w:rsidRPr="00DB0A57">
        <w:rPr>
          <w:rFonts w:eastAsia="Aptos"/>
        </w:rPr>
        <w:t xml:space="preserve"> spectre des fréquences radioélectriques pour les service</w:t>
      </w:r>
      <w:r>
        <w:rPr>
          <w:rFonts w:eastAsia="Aptos"/>
        </w:rPr>
        <w:t>s essentiels, notamment les services aé</w:t>
      </w:r>
      <w:r w:rsidRPr="005F3CBA">
        <w:rPr>
          <w:rFonts w:eastAsia="Aptos"/>
        </w:rPr>
        <w:t>ronauti</w:t>
      </w:r>
      <w:r>
        <w:rPr>
          <w:rFonts w:eastAsia="Aptos"/>
        </w:rPr>
        <w:t>que et maritime</w:t>
      </w:r>
      <w:r w:rsidRPr="005F3CBA">
        <w:rPr>
          <w:rFonts w:eastAsia="Aptos"/>
        </w:rPr>
        <w:t xml:space="preserve">, </w:t>
      </w:r>
      <w:r>
        <w:rPr>
          <w:rFonts w:eastAsia="Aptos"/>
        </w:rPr>
        <w:t>l</w:t>
      </w:r>
      <w:r w:rsidR="00BC7CFD">
        <w:rPr>
          <w:rFonts w:eastAsia="Aptos"/>
        </w:rPr>
        <w:t>'</w:t>
      </w:r>
      <w:r>
        <w:rPr>
          <w:rFonts w:eastAsia="Aptos"/>
        </w:rPr>
        <w:t>alerte avancée et l</w:t>
      </w:r>
      <w:r w:rsidR="00BC7CFD">
        <w:rPr>
          <w:rFonts w:eastAsia="Aptos"/>
        </w:rPr>
        <w:t>'</w:t>
      </w:r>
      <w:r>
        <w:rPr>
          <w:rFonts w:eastAsia="Aptos"/>
        </w:rPr>
        <w:t xml:space="preserve">atténuation des </w:t>
      </w:r>
      <w:r>
        <w:rPr>
          <w:rFonts w:eastAsia="Aptos"/>
        </w:rPr>
        <w:lastRenderedPageBreak/>
        <w:t>effets des catastrophes, ainsi que sur les caractéristiques offertes par le Système de gestion du spectre pour les pays en développement</w:t>
      </w:r>
      <w:r w:rsidRPr="005F3CBA">
        <w:rPr>
          <w:rFonts w:eastAsia="Aptos"/>
        </w:rPr>
        <w:t xml:space="preserve"> </w:t>
      </w:r>
      <w:r>
        <w:rPr>
          <w:rFonts w:eastAsia="Aptos"/>
        </w:rPr>
        <w:t>(</w:t>
      </w:r>
      <w:proofErr w:type="spellStart"/>
      <w:r w:rsidRPr="005F3CBA">
        <w:rPr>
          <w:rFonts w:eastAsia="Aptos"/>
        </w:rPr>
        <w:t>SMS4DC</w:t>
      </w:r>
      <w:proofErr w:type="spellEnd"/>
      <w:r>
        <w:rPr>
          <w:rFonts w:eastAsia="Aptos"/>
        </w:rPr>
        <w:t>)</w:t>
      </w:r>
      <w:r w:rsidRPr="005F3CBA">
        <w:rPr>
          <w:rFonts w:eastAsia="Aptos"/>
        </w:rPr>
        <w:t xml:space="preserve"> </w:t>
      </w:r>
      <w:r>
        <w:rPr>
          <w:rFonts w:eastAsia="Aptos"/>
        </w:rPr>
        <w:t>en ce qui concerne l</w:t>
      </w:r>
      <w:r w:rsidR="00BC7CFD">
        <w:rPr>
          <w:rFonts w:eastAsia="Aptos"/>
        </w:rPr>
        <w:t>'</w:t>
      </w:r>
      <w:r>
        <w:rPr>
          <w:rFonts w:eastAsia="Aptos"/>
        </w:rPr>
        <w:t>automatisation des fonctions de la gestion du spectre</w:t>
      </w:r>
      <w:r w:rsidRPr="005F3CBA">
        <w:rPr>
          <w:rFonts w:eastAsia="Aptos"/>
        </w:rPr>
        <w:t xml:space="preserve">. </w:t>
      </w:r>
      <w:r w:rsidRPr="00DB0A57">
        <w:rPr>
          <w:rFonts w:eastAsia="Aptos"/>
        </w:rPr>
        <w:t>L</w:t>
      </w:r>
      <w:r w:rsidR="00BC7CFD">
        <w:rPr>
          <w:rFonts w:eastAsia="Aptos"/>
        </w:rPr>
        <w:t>'</w:t>
      </w:r>
      <w:r w:rsidRPr="00DB0A57">
        <w:rPr>
          <w:rFonts w:eastAsia="Aptos"/>
        </w:rPr>
        <w:t>atelier s</w:t>
      </w:r>
      <w:r w:rsidR="00BC7CFD">
        <w:rPr>
          <w:rFonts w:eastAsia="Aptos"/>
        </w:rPr>
        <w:t>'</w:t>
      </w:r>
      <w:r w:rsidRPr="00DB0A57">
        <w:rPr>
          <w:rFonts w:eastAsia="Aptos"/>
        </w:rPr>
        <w:t>est déroulé du</w:t>
      </w:r>
      <w:r w:rsidR="00102342">
        <w:rPr>
          <w:rFonts w:eastAsia="Aptos"/>
        </w:rPr>
        <w:t> </w:t>
      </w:r>
      <w:r w:rsidRPr="00755FD2">
        <w:rPr>
          <w:rFonts w:eastAsia="Aptos"/>
        </w:rPr>
        <w:t>27</w:t>
      </w:r>
      <w:r w:rsidR="00102342">
        <w:rPr>
          <w:rFonts w:eastAsia="Aptos"/>
        </w:rPr>
        <w:t> </w:t>
      </w:r>
      <w:r w:rsidRPr="00DB0A57">
        <w:rPr>
          <w:rFonts w:eastAsia="Aptos"/>
        </w:rPr>
        <w:t>au</w:t>
      </w:r>
      <w:r w:rsidR="00102342">
        <w:rPr>
          <w:rFonts w:eastAsia="Aptos"/>
        </w:rPr>
        <w:t> </w:t>
      </w:r>
      <w:r w:rsidRPr="00755FD2">
        <w:rPr>
          <w:rFonts w:eastAsia="Aptos"/>
        </w:rPr>
        <w:t xml:space="preserve">29 </w:t>
      </w:r>
      <w:r w:rsidRPr="00DB0A57">
        <w:rPr>
          <w:rFonts w:eastAsia="Aptos"/>
        </w:rPr>
        <w:t xml:space="preserve">octobre </w:t>
      </w:r>
      <w:r w:rsidRPr="00755FD2">
        <w:rPr>
          <w:rFonts w:eastAsia="Aptos"/>
        </w:rPr>
        <w:t>2025</w:t>
      </w:r>
      <w:r w:rsidRPr="00DB0A57">
        <w:rPr>
          <w:rFonts w:eastAsia="Aptos"/>
        </w:rPr>
        <w:t xml:space="preserve">, avec le </w:t>
      </w:r>
      <w:r>
        <w:rPr>
          <w:rFonts w:eastAsia="Aptos"/>
        </w:rPr>
        <w:t xml:space="preserve">soutien de </w:t>
      </w:r>
      <w:proofErr w:type="spellStart"/>
      <w:r w:rsidRPr="00755FD2">
        <w:rPr>
          <w:rFonts w:eastAsia="Aptos"/>
        </w:rPr>
        <w:t>MIIT</w:t>
      </w:r>
      <w:proofErr w:type="spellEnd"/>
      <w:r w:rsidRPr="00755FD2">
        <w:rPr>
          <w:rFonts w:eastAsia="Aptos"/>
        </w:rPr>
        <w:t>-China.</w:t>
      </w:r>
    </w:p>
    <w:p w14:paraId="36538DF0" w14:textId="73A77469" w:rsidR="00455256" w:rsidRPr="00755FD2" w:rsidRDefault="00455256" w:rsidP="0014729D">
      <w:pPr>
        <w:pStyle w:val="enumlev1"/>
        <w:jc w:val="both"/>
        <w:rPr>
          <w:rFonts w:eastAsia="Aptos"/>
        </w:rPr>
      </w:pPr>
      <w:r w:rsidRPr="00755FD2">
        <w:rPr>
          <w:rFonts w:asciiTheme="minorHAnsi" w:eastAsia="Aptos" w:hAnsiTheme="minorHAnsi" w:cstheme="minorHAnsi"/>
        </w:rPr>
        <w:t>–</w:t>
      </w:r>
      <w:r w:rsidRPr="00755FD2">
        <w:rPr>
          <w:rFonts w:asciiTheme="minorHAnsi" w:eastAsia="Aptos" w:hAnsiTheme="minorHAnsi" w:cstheme="minorHAnsi"/>
        </w:rPr>
        <w:tab/>
      </w:r>
      <w:r w:rsidRPr="00755FD2">
        <w:rPr>
          <w:rFonts w:eastAsia="Aptos"/>
        </w:rPr>
        <w:t>Le Bureau régional pour l</w:t>
      </w:r>
      <w:r w:rsidR="00BC7CFD">
        <w:rPr>
          <w:rFonts w:eastAsia="Aptos"/>
        </w:rPr>
        <w:t>'</w:t>
      </w:r>
      <w:r w:rsidRPr="00755FD2">
        <w:rPr>
          <w:rFonts w:eastAsia="Aptos"/>
        </w:rPr>
        <w:t>Asie-Pacifique a</w:t>
      </w:r>
      <w:r w:rsidRPr="00DB0A57">
        <w:rPr>
          <w:rFonts w:eastAsia="Aptos"/>
        </w:rPr>
        <w:t xml:space="preserve"> fourni u</w:t>
      </w:r>
      <w:r>
        <w:rPr>
          <w:rFonts w:eastAsia="Aptos"/>
        </w:rPr>
        <w:t>n appui dans le cadre du Séminaire sur les services scientifiques de préparation à la Conférence mondiale des radiocommunications (CMR) de 20</w:t>
      </w:r>
      <w:r w:rsidRPr="00755FD2">
        <w:rPr>
          <w:rFonts w:eastAsia="Aptos"/>
        </w:rPr>
        <w:t>27</w:t>
      </w:r>
      <w:r>
        <w:rPr>
          <w:rFonts w:eastAsia="Aptos"/>
        </w:rPr>
        <w:t>, qui a eu lieu les</w:t>
      </w:r>
      <w:r w:rsidRPr="00755FD2">
        <w:rPr>
          <w:rFonts w:eastAsia="Aptos"/>
        </w:rPr>
        <w:t xml:space="preserve"> 9</w:t>
      </w:r>
      <w:r>
        <w:rPr>
          <w:rFonts w:eastAsia="Aptos"/>
        </w:rPr>
        <w:t xml:space="preserve"> et </w:t>
      </w:r>
      <w:r w:rsidRPr="00755FD2">
        <w:rPr>
          <w:rFonts w:eastAsia="Aptos"/>
        </w:rPr>
        <w:t xml:space="preserve">10 </w:t>
      </w:r>
      <w:r>
        <w:rPr>
          <w:rFonts w:eastAsia="Aptos"/>
        </w:rPr>
        <w:t xml:space="preserve">décembre </w:t>
      </w:r>
      <w:r w:rsidRPr="00755FD2">
        <w:rPr>
          <w:rFonts w:eastAsia="Aptos"/>
        </w:rPr>
        <w:t xml:space="preserve">2025 </w:t>
      </w:r>
      <w:r>
        <w:rPr>
          <w:rFonts w:eastAsia="Aptos"/>
        </w:rPr>
        <w:t>à</w:t>
      </w:r>
      <w:r w:rsidR="00F963B9">
        <w:rPr>
          <w:rFonts w:eastAsia="Aptos"/>
        </w:rPr>
        <w:t> </w:t>
      </w:r>
      <w:proofErr w:type="spellStart"/>
      <w:r w:rsidRPr="00755FD2">
        <w:rPr>
          <w:rFonts w:eastAsia="Aptos"/>
        </w:rPr>
        <w:t>Cyberjaya</w:t>
      </w:r>
      <w:proofErr w:type="spellEnd"/>
      <w:r>
        <w:rPr>
          <w:rFonts w:eastAsia="Aptos"/>
        </w:rPr>
        <w:t xml:space="preserve"> (</w:t>
      </w:r>
      <w:r w:rsidRPr="00755FD2">
        <w:rPr>
          <w:rFonts w:eastAsia="Aptos"/>
        </w:rPr>
        <w:t>Mala</w:t>
      </w:r>
      <w:r>
        <w:rPr>
          <w:rFonts w:eastAsia="Aptos"/>
        </w:rPr>
        <w:t>isie)</w:t>
      </w:r>
      <w:r w:rsidRPr="00755FD2">
        <w:rPr>
          <w:rFonts w:eastAsia="Aptos"/>
        </w:rPr>
        <w:t>.</w:t>
      </w:r>
    </w:p>
    <w:p w14:paraId="3E7911F8" w14:textId="67CC7E8A" w:rsidR="00455256" w:rsidRPr="00DF101C" w:rsidRDefault="00455256" w:rsidP="0014729D">
      <w:pPr>
        <w:pStyle w:val="enumlev1"/>
        <w:jc w:val="both"/>
        <w:rPr>
          <w:rFonts w:eastAsia="Aptos"/>
        </w:rPr>
      </w:pPr>
      <w:r w:rsidRPr="00755FD2">
        <w:rPr>
          <w:rFonts w:asciiTheme="minorHAnsi" w:eastAsia="Aptos" w:hAnsiTheme="minorHAnsi" w:cstheme="minorHAnsi"/>
        </w:rPr>
        <w:t>–</w:t>
      </w:r>
      <w:r w:rsidRPr="00755FD2">
        <w:rPr>
          <w:rFonts w:asciiTheme="minorHAnsi" w:eastAsia="Aptos" w:hAnsiTheme="minorHAnsi" w:cstheme="minorHAnsi"/>
        </w:rPr>
        <w:tab/>
      </w:r>
      <w:r w:rsidRPr="00DB0A57">
        <w:rPr>
          <w:rFonts w:eastAsia="Aptos"/>
        </w:rPr>
        <w:t>Dans le cadre de l</w:t>
      </w:r>
      <w:r w:rsidR="00BC7CFD">
        <w:rPr>
          <w:rFonts w:eastAsia="Aptos"/>
        </w:rPr>
        <w:t>'</w:t>
      </w:r>
      <w:r w:rsidRPr="00DB0A57">
        <w:rPr>
          <w:rFonts w:eastAsia="Aptos"/>
        </w:rPr>
        <w:t xml:space="preserve">assistance directe fournie à </w:t>
      </w:r>
      <w:r w:rsidRPr="00755FD2">
        <w:rPr>
          <w:rFonts w:eastAsia="Aptos"/>
        </w:rPr>
        <w:t xml:space="preserve">Palau, </w:t>
      </w:r>
      <w:r w:rsidRPr="00DB0A57">
        <w:rPr>
          <w:rFonts w:eastAsia="Aptos"/>
        </w:rPr>
        <w:t xml:space="preserve">à </w:t>
      </w:r>
      <w:r w:rsidRPr="00755FD2">
        <w:rPr>
          <w:rFonts w:eastAsia="Aptos"/>
        </w:rPr>
        <w:t xml:space="preserve">Nauru </w:t>
      </w:r>
      <w:r w:rsidRPr="00DB0A57">
        <w:rPr>
          <w:rFonts w:eastAsia="Aptos"/>
        </w:rPr>
        <w:t xml:space="preserve">et au </w:t>
      </w:r>
      <w:r w:rsidRPr="00755FD2">
        <w:rPr>
          <w:rFonts w:eastAsia="Aptos"/>
        </w:rPr>
        <w:t xml:space="preserve">Vanuatu </w:t>
      </w:r>
      <w:r w:rsidRPr="00DB0A57">
        <w:rPr>
          <w:rFonts w:eastAsia="Aptos"/>
        </w:rPr>
        <w:t>au titre de l</w:t>
      </w:r>
      <w:r w:rsidR="00BC7CFD">
        <w:rPr>
          <w:rFonts w:eastAsia="Aptos"/>
        </w:rPr>
        <w:t>'</w:t>
      </w:r>
      <w:r w:rsidR="006232B2">
        <w:rPr>
          <w:rFonts w:eastAsia="Aptos"/>
        </w:rPr>
        <w:t>I</w:t>
      </w:r>
      <w:r w:rsidRPr="00DB0A57">
        <w:rPr>
          <w:rFonts w:eastAsia="Aptos"/>
        </w:rPr>
        <w:t>nit</w:t>
      </w:r>
      <w:r>
        <w:rPr>
          <w:rFonts w:eastAsia="Aptos"/>
        </w:rPr>
        <w:t>iative régionale 3 et du résultat attendu 6 pour l</w:t>
      </w:r>
      <w:r w:rsidR="00BC7CFD">
        <w:rPr>
          <w:rFonts w:eastAsia="Aptos"/>
        </w:rPr>
        <w:t>'</w:t>
      </w:r>
      <w:r>
        <w:rPr>
          <w:rFonts w:eastAsia="Aptos"/>
        </w:rPr>
        <w:t>Asie-Pacifique, les connaissances du personnel technique ont été perfectionnées</w:t>
      </w:r>
      <w:r w:rsidRPr="00755FD2">
        <w:rPr>
          <w:rFonts w:eastAsia="Aptos"/>
        </w:rPr>
        <w:t xml:space="preserve"> </w:t>
      </w:r>
      <w:r>
        <w:rPr>
          <w:rFonts w:eastAsia="Aptos"/>
        </w:rPr>
        <w:t xml:space="preserve">grâce à des séances spéciales sur la gestion </w:t>
      </w:r>
      <w:r w:rsidRPr="00755FD2">
        <w:rPr>
          <w:rFonts w:eastAsia="Aptos"/>
        </w:rPr>
        <w:t>national</w:t>
      </w:r>
      <w:r>
        <w:rPr>
          <w:rFonts w:eastAsia="Aptos"/>
        </w:rPr>
        <w:t>e du spectre</w:t>
      </w:r>
      <w:r w:rsidRPr="00755FD2">
        <w:rPr>
          <w:rFonts w:eastAsia="Aptos"/>
        </w:rPr>
        <w:t xml:space="preserve">, </w:t>
      </w:r>
      <w:r>
        <w:rPr>
          <w:rFonts w:eastAsia="Aptos"/>
        </w:rPr>
        <w:t>le contrôle des fréquences radioélectriques</w:t>
      </w:r>
      <w:r w:rsidRPr="00755FD2">
        <w:rPr>
          <w:rFonts w:eastAsia="Aptos"/>
        </w:rPr>
        <w:t xml:space="preserve">, </w:t>
      </w:r>
      <w:r>
        <w:rPr>
          <w:rFonts w:eastAsia="Aptos"/>
        </w:rPr>
        <w:t xml:space="preserve">la </w:t>
      </w:r>
      <w:r w:rsidRPr="00755FD2">
        <w:rPr>
          <w:rFonts w:eastAsia="Aptos"/>
        </w:rPr>
        <w:t>coordination international</w:t>
      </w:r>
      <w:r>
        <w:rPr>
          <w:rFonts w:eastAsia="Aptos"/>
        </w:rPr>
        <w:t>e</w:t>
      </w:r>
      <w:r w:rsidRPr="00755FD2">
        <w:rPr>
          <w:rFonts w:eastAsia="Aptos"/>
        </w:rPr>
        <w:t xml:space="preserve"> </w:t>
      </w:r>
      <w:r>
        <w:rPr>
          <w:rFonts w:eastAsia="Aptos"/>
        </w:rPr>
        <w:t>et le rôle des CMR</w:t>
      </w:r>
      <w:r w:rsidRPr="00755FD2">
        <w:rPr>
          <w:rFonts w:eastAsia="Aptos"/>
        </w:rPr>
        <w:t xml:space="preserve">. </w:t>
      </w:r>
      <w:r>
        <w:rPr>
          <w:rFonts w:eastAsia="Aptos"/>
        </w:rPr>
        <w:t>Une assistance du même type</w:t>
      </w:r>
      <w:r w:rsidRPr="00DB0A57">
        <w:rPr>
          <w:rFonts w:eastAsia="Aptos"/>
        </w:rPr>
        <w:t xml:space="preserve"> devrait être fourni</w:t>
      </w:r>
      <w:r>
        <w:rPr>
          <w:rFonts w:eastAsia="Aptos"/>
        </w:rPr>
        <w:t>e</w:t>
      </w:r>
      <w:r w:rsidRPr="00DB0A57">
        <w:rPr>
          <w:rFonts w:eastAsia="Aptos"/>
        </w:rPr>
        <w:t xml:space="preserve"> </w:t>
      </w:r>
      <w:r>
        <w:rPr>
          <w:rFonts w:eastAsia="Aptos"/>
        </w:rPr>
        <w:t xml:space="preserve">au </w:t>
      </w:r>
      <w:r w:rsidRPr="00DF101C">
        <w:rPr>
          <w:rFonts w:eastAsia="Aptos"/>
        </w:rPr>
        <w:t xml:space="preserve">Timor-Leste, </w:t>
      </w:r>
      <w:r>
        <w:rPr>
          <w:rFonts w:eastAsia="Aptos"/>
        </w:rPr>
        <w:t xml:space="preserve">à la République des Îles Marshall et à </w:t>
      </w:r>
      <w:r w:rsidRPr="00DF101C">
        <w:rPr>
          <w:rFonts w:eastAsia="Aptos"/>
        </w:rPr>
        <w:t>Brun</w:t>
      </w:r>
      <w:r>
        <w:rPr>
          <w:rFonts w:eastAsia="Aptos"/>
        </w:rPr>
        <w:t>é</w:t>
      </w:r>
      <w:r w:rsidRPr="00DF101C">
        <w:rPr>
          <w:rFonts w:eastAsia="Aptos"/>
        </w:rPr>
        <w:t>i</w:t>
      </w:r>
      <w:r>
        <w:rPr>
          <w:rFonts w:eastAsia="Aptos"/>
        </w:rPr>
        <w:t xml:space="preserve"> en </w:t>
      </w:r>
      <w:r w:rsidRPr="00DF101C">
        <w:rPr>
          <w:rFonts w:eastAsia="Aptos"/>
        </w:rPr>
        <w:t>2026.</w:t>
      </w:r>
    </w:p>
    <w:p w14:paraId="45B33282" w14:textId="6EFC2D97" w:rsidR="00455256" w:rsidRPr="005A00D8" w:rsidRDefault="00455256" w:rsidP="0014729D">
      <w:pPr>
        <w:pStyle w:val="enumlev1"/>
        <w:jc w:val="both"/>
        <w:rPr>
          <w:rFonts w:eastAsia="Aptos"/>
        </w:rPr>
      </w:pPr>
      <w:r w:rsidRPr="005A00D8">
        <w:rPr>
          <w:rFonts w:asciiTheme="minorHAnsi" w:eastAsia="Aptos" w:hAnsiTheme="minorHAnsi" w:cstheme="minorHAnsi"/>
        </w:rPr>
        <w:t>–</w:t>
      </w:r>
      <w:r w:rsidRPr="005A00D8">
        <w:rPr>
          <w:rFonts w:asciiTheme="minorHAnsi" w:eastAsia="Aptos" w:hAnsiTheme="minorHAnsi" w:cstheme="minorHAnsi"/>
        </w:rPr>
        <w:tab/>
      </w:r>
      <w:hyperlink r:id="rId47" w:history="1">
        <w:r w:rsidRPr="00DB0A57">
          <w:rPr>
            <w:rStyle w:val="Hyperlink"/>
            <w:rFonts w:eastAsia="Aptos"/>
          </w:rPr>
          <w:t>Le Séminaire conjoint UIT</w:t>
        </w:r>
        <w:r w:rsidR="00F963B9">
          <w:rPr>
            <w:rStyle w:val="Hyperlink"/>
            <w:rFonts w:eastAsia="Aptos"/>
          </w:rPr>
          <w:t xml:space="preserve"> </w:t>
        </w:r>
        <w:r w:rsidR="00F963B9" w:rsidRPr="00F963B9">
          <w:rPr>
            <w:rStyle w:val="Hyperlink"/>
            <w:rFonts w:eastAsia="Aptos"/>
          </w:rPr>
          <w:t>–</w:t>
        </w:r>
        <w:r w:rsidRPr="005A00D8">
          <w:rPr>
            <w:rStyle w:val="Hyperlink"/>
            <w:rFonts w:eastAsia="Aptos"/>
          </w:rPr>
          <w:t xml:space="preserve"> </w:t>
        </w:r>
        <w:proofErr w:type="spellStart"/>
        <w:r w:rsidRPr="005A00D8">
          <w:rPr>
            <w:rStyle w:val="Hyperlink"/>
            <w:rFonts w:eastAsia="Aptos"/>
          </w:rPr>
          <w:t>ITTLLDC</w:t>
        </w:r>
        <w:proofErr w:type="spellEnd"/>
        <w:r w:rsidRPr="005A00D8">
          <w:rPr>
            <w:rStyle w:val="Hyperlink"/>
            <w:rFonts w:eastAsia="Aptos"/>
          </w:rPr>
          <w:t xml:space="preserve"> (</w:t>
        </w:r>
        <w:r w:rsidRPr="00DB0A57">
          <w:rPr>
            <w:rStyle w:val="Hyperlink"/>
            <w:rFonts w:eastAsia="Aptos"/>
          </w:rPr>
          <w:t xml:space="preserve">Groupe de réflexion international pour les </w:t>
        </w:r>
        <w:proofErr w:type="spellStart"/>
        <w:r w:rsidRPr="00DB0A57">
          <w:rPr>
            <w:rStyle w:val="Hyperlink"/>
            <w:rFonts w:eastAsia="Aptos"/>
          </w:rPr>
          <w:t>PDSL</w:t>
        </w:r>
        <w:proofErr w:type="spellEnd"/>
        <w:r w:rsidRPr="005A00D8">
          <w:rPr>
            <w:rStyle w:val="Hyperlink"/>
            <w:rFonts w:eastAsia="Aptos"/>
          </w:rPr>
          <w:t xml:space="preserve">) </w:t>
        </w:r>
        <w:r>
          <w:rPr>
            <w:rStyle w:val="Hyperlink"/>
            <w:rFonts w:eastAsia="Aptos"/>
          </w:rPr>
          <w:t xml:space="preserve">de </w:t>
        </w:r>
        <w:r w:rsidRPr="005A00D8">
          <w:rPr>
            <w:rStyle w:val="Hyperlink"/>
            <w:rFonts w:eastAsia="Aptos"/>
          </w:rPr>
          <w:t>2025</w:t>
        </w:r>
      </w:hyperlink>
      <w:r w:rsidRPr="005A00D8">
        <w:rPr>
          <w:rFonts w:eastAsia="Aptos"/>
        </w:rPr>
        <w:t xml:space="preserve"> </w:t>
      </w:r>
      <w:r w:rsidRPr="00DB0A57">
        <w:rPr>
          <w:rFonts w:eastAsia="Aptos"/>
        </w:rPr>
        <w:t xml:space="preserve">a été organisé les </w:t>
      </w:r>
      <w:r w:rsidRPr="005A00D8">
        <w:rPr>
          <w:rFonts w:eastAsia="Aptos"/>
        </w:rPr>
        <w:t>28</w:t>
      </w:r>
      <w:r>
        <w:rPr>
          <w:rFonts w:eastAsia="Aptos"/>
        </w:rPr>
        <w:t xml:space="preserve"> et </w:t>
      </w:r>
      <w:r w:rsidRPr="005A00D8">
        <w:rPr>
          <w:rFonts w:eastAsia="Aptos"/>
        </w:rPr>
        <w:t xml:space="preserve">29 </w:t>
      </w:r>
      <w:r>
        <w:rPr>
          <w:rFonts w:eastAsia="Aptos"/>
        </w:rPr>
        <w:t xml:space="preserve">août </w:t>
      </w:r>
      <w:r w:rsidRPr="005A00D8">
        <w:rPr>
          <w:rFonts w:eastAsia="Aptos"/>
        </w:rPr>
        <w:t xml:space="preserve">2025 </w:t>
      </w:r>
      <w:r>
        <w:rPr>
          <w:rFonts w:eastAsia="Aptos"/>
        </w:rPr>
        <w:t>à Oulan-Bator (</w:t>
      </w:r>
      <w:r w:rsidRPr="005A00D8">
        <w:rPr>
          <w:rFonts w:eastAsia="Aptos"/>
        </w:rPr>
        <w:t>Mongoli</w:t>
      </w:r>
      <w:r>
        <w:rPr>
          <w:rFonts w:eastAsia="Aptos"/>
        </w:rPr>
        <w:t>e) sur le thème</w:t>
      </w:r>
      <w:r w:rsidRPr="005A00D8">
        <w:rPr>
          <w:rFonts w:eastAsia="Aptos"/>
        </w:rPr>
        <w:t xml:space="preserve"> </w:t>
      </w:r>
      <w:r w:rsidR="00F963B9">
        <w:rPr>
          <w:rFonts w:eastAsia="Aptos"/>
        </w:rPr>
        <w:t>"</w:t>
      </w:r>
      <w:r>
        <w:rPr>
          <w:rFonts w:eastAsia="Aptos"/>
        </w:rPr>
        <w:t>La coopération au service d</w:t>
      </w:r>
      <w:r w:rsidR="00BC7CFD">
        <w:rPr>
          <w:rFonts w:eastAsia="Aptos"/>
        </w:rPr>
        <w:t>'</w:t>
      </w:r>
      <w:r>
        <w:rPr>
          <w:rFonts w:eastAsia="Aptos"/>
        </w:rPr>
        <w:t>une connectivité spatiale, d</w:t>
      </w:r>
      <w:r w:rsidR="00BC7CFD">
        <w:rPr>
          <w:rFonts w:eastAsia="Aptos"/>
        </w:rPr>
        <w:t>'</w:t>
      </w:r>
      <w:r>
        <w:rPr>
          <w:rFonts w:eastAsia="Aptos"/>
        </w:rPr>
        <w:t>une utilisation du spectre et de systèmes d</w:t>
      </w:r>
      <w:r w:rsidR="00BC7CFD">
        <w:rPr>
          <w:rFonts w:eastAsia="Aptos"/>
        </w:rPr>
        <w:t>'</w:t>
      </w:r>
      <w:r>
        <w:rPr>
          <w:rFonts w:eastAsia="Aptos"/>
        </w:rPr>
        <w:t>alerte avancée durables</w:t>
      </w:r>
      <w:r w:rsidR="00F963B9">
        <w:rPr>
          <w:rFonts w:eastAsia="Aptos"/>
        </w:rPr>
        <w:t>"</w:t>
      </w:r>
      <w:r>
        <w:rPr>
          <w:rFonts w:eastAsia="Aptos"/>
        </w:rPr>
        <w:t xml:space="preserve">. </w:t>
      </w:r>
      <w:r w:rsidRPr="005A00D8">
        <w:rPr>
          <w:rFonts w:eastAsia="Aptos"/>
        </w:rPr>
        <w:t>La manifestation a</w:t>
      </w:r>
      <w:r w:rsidRPr="00DB0A57">
        <w:rPr>
          <w:rFonts w:eastAsia="Aptos"/>
        </w:rPr>
        <w:t xml:space="preserve"> réuni des participants des </w:t>
      </w:r>
      <w:proofErr w:type="spellStart"/>
      <w:r w:rsidRPr="00DB0A57">
        <w:rPr>
          <w:rFonts w:eastAsia="Aptos"/>
        </w:rPr>
        <w:t>PDSL</w:t>
      </w:r>
      <w:proofErr w:type="spellEnd"/>
      <w:r w:rsidRPr="00DB0A57">
        <w:rPr>
          <w:rFonts w:eastAsia="Aptos"/>
        </w:rPr>
        <w:t xml:space="preserve"> </w:t>
      </w:r>
      <w:r>
        <w:rPr>
          <w:rFonts w:eastAsia="Aptos"/>
        </w:rPr>
        <w:t xml:space="preserve">de la région Asie-Pacifique et de la Communauté des </w:t>
      </w:r>
      <w:r>
        <w:rPr>
          <w:rFonts w:eastAsia="Aptos" w:cs="Calibri"/>
        </w:rPr>
        <w:t>É</w:t>
      </w:r>
      <w:r>
        <w:rPr>
          <w:rFonts w:eastAsia="Aptos"/>
        </w:rPr>
        <w:t>tats indépendants (CEI) et d</w:t>
      </w:r>
      <w:r w:rsidR="00BC7CFD">
        <w:rPr>
          <w:rFonts w:eastAsia="Aptos"/>
        </w:rPr>
        <w:t>'</w:t>
      </w:r>
      <w:r>
        <w:rPr>
          <w:rFonts w:eastAsia="Aptos"/>
        </w:rPr>
        <w:t>autres pays de la région Asie-Pacifique</w:t>
      </w:r>
      <w:r w:rsidRPr="005A00D8">
        <w:rPr>
          <w:rFonts w:eastAsia="Aptos"/>
        </w:rPr>
        <w:t>.</w:t>
      </w:r>
    </w:p>
    <w:p w14:paraId="06A56FC9" w14:textId="3A7258B3" w:rsidR="00455256" w:rsidRPr="005A00D8" w:rsidRDefault="00455256" w:rsidP="0014729D">
      <w:pPr>
        <w:pStyle w:val="enumlev1"/>
        <w:jc w:val="both"/>
        <w:rPr>
          <w:rFonts w:eastAsia="Aptos"/>
        </w:rPr>
      </w:pPr>
      <w:r w:rsidRPr="005A00D8">
        <w:rPr>
          <w:rFonts w:asciiTheme="minorHAnsi" w:eastAsia="Aptos" w:hAnsiTheme="minorHAnsi" w:cstheme="minorBidi"/>
        </w:rPr>
        <w:t>–</w:t>
      </w:r>
      <w:r w:rsidRPr="005A00D8">
        <w:tab/>
      </w:r>
      <w:r w:rsidRPr="00DB0A57">
        <w:rPr>
          <w:rFonts w:eastAsia="Aptos"/>
        </w:rPr>
        <w:t>De plus</w:t>
      </w:r>
      <w:r w:rsidRPr="005A00D8">
        <w:rPr>
          <w:rFonts w:eastAsia="Aptos"/>
        </w:rPr>
        <w:t xml:space="preserve">, </w:t>
      </w:r>
      <w:r w:rsidRPr="00DB0A57">
        <w:rPr>
          <w:rFonts w:eastAsia="Aptos"/>
        </w:rPr>
        <w:t xml:space="preserve">plusieurs activités </w:t>
      </w:r>
      <w:r>
        <w:rPr>
          <w:rFonts w:eastAsia="Aptos"/>
        </w:rPr>
        <w:t xml:space="preserve">qui présentent </w:t>
      </w:r>
      <w:r>
        <w:t>un intérêt pour les travaux du</w:t>
      </w:r>
      <w:r w:rsidRPr="005A00D8">
        <w:rPr>
          <w:rFonts w:eastAsia="Aptos"/>
        </w:rPr>
        <w:t xml:space="preserve"> BR</w:t>
      </w:r>
      <w:r w:rsidRPr="00D43A48">
        <w:rPr>
          <w:rFonts w:eastAsia="Aptos"/>
        </w:rPr>
        <w:t xml:space="preserve"> </w:t>
      </w:r>
      <w:r>
        <w:rPr>
          <w:rFonts w:eastAsia="Aptos"/>
        </w:rPr>
        <w:t xml:space="preserve">ont été </w:t>
      </w:r>
      <w:r w:rsidRPr="00DB0A57">
        <w:rPr>
          <w:rFonts w:eastAsia="Aptos"/>
        </w:rPr>
        <w:t xml:space="preserve">menées au titre du </w:t>
      </w:r>
      <w:hyperlink r:id="rId48" w:history="1">
        <w:r w:rsidR="00A427BA">
          <w:rPr>
            <w:rStyle w:val="Hyperlink"/>
            <w:rFonts w:eastAsia="Aptos" w:cs="Times New Roman"/>
            <w:szCs w:val="20"/>
          </w:rPr>
          <w:t>P</w:t>
        </w:r>
        <w:r w:rsidRPr="00A427BA">
          <w:rPr>
            <w:rStyle w:val="Hyperlink"/>
            <w:rFonts w:eastAsia="Aptos" w:cs="Times New Roman"/>
            <w:szCs w:val="20"/>
          </w:rPr>
          <w:t xml:space="preserve">rogramme </w:t>
        </w:r>
        <w:r w:rsidR="00A427BA" w:rsidRPr="00A427BA">
          <w:rPr>
            <w:rStyle w:val="Hyperlink"/>
            <w:rFonts w:eastAsia="Aptos" w:cs="Times New Roman"/>
            <w:szCs w:val="20"/>
          </w:rPr>
          <w:t>"</w:t>
        </w:r>
        <w:r w:rsidRPr="00A427BA">
          <w:rPr>
            <w:rStyle w:val="Hyperlink"/>
            <w:rFonts w:eastAsia="Aptos" w:cs="Times New Roman"/>
            <w:szCs w:val="20"/>
          </w:rPr>
          <w:t>Alertes précoces pour tous</w:t>
        </w:r>
        <w:r w:rsidR="00A427BA" w:rsidRPr="00A427BA">
          <w:rPr>
            <w:rStyle w:val="Hyperlink"/>
            <w:rFonts w:eastAsia="Aptos" w:cs="Times New Roman"/>
            <w:szCs w:val="20"/>
          </w:rPr>
          <w:t>"</w:t>
        </w:r>
        <w:r w:rsidRPr="00A427BA">
          <w:rPr>
            <w:rStyle w:val="Hyperlink"/>
            <w:rFonts w:eastAsia="Aptos" w:cs="Times New Roman"/>
            <w:szCs w:val="20"/>
          </w:rPr>
          <w:t xml:space="preserve"> (</w:t>
        </w:r>
        <w:proofErr w:type="spellStart"/>
        <w:r w:rsidRPr="00A427BA">
          <w:rPr>
            <w:rStyle w:val="Hyperlink"/>
            <w:rFonts w:eastAsia="Aptos" w:cs="Times New Roman"/>
            <w:szCs w:val="20"/>
          </w:rPr>
          <w:t>EW4ALL</w:t>
        </w:r>
        <w:proofErr w:type="spellEnd"/>
        <w:r w:rsidRPr="00A427BA">
          <w:rPr>
            <w:rStyle w:val="Hyperlink"/>
            <w:rFonts w:eastAsia="Aptos" w:cs="Times New Roman"/>
            <w:szCs w:val="20"/>
          </w:rPr>
          <w:t>)</w:t>
        </w:r>
      </w:hyperlink>
      <w:r w:rsidRPr="00DB0A57">
        <w:rPr>
          <w:rFonts w:eastAsia="Aptos"/>
        </w:rPr>
        <w:t xml:space="preserve"> dans la région</w:t>
      </w:r>
      <w:r w:rsidR="00D71BE9">
        <w:rPr>
          <w:rFonts w:eastAsia="Aptos"/>
        </w:rPr>
        <w:t> </w:t>
      </w:r>
      <w:r w:rsidRPr="00DB0A57">
        <w:rPr>
          <w:rFonts w:eastAsia="Aptos"/>
        </w:rPr>
        <w:t>Asie-Pacifique</w:t>
      </w:r>
      <w:r w:rsidRPr="005A00D8">
        <w:rPr>
          <w:rFonts w:eastAsia="Aptos"/>
        </w:rPr>
        <w:t>.</w:t>
      </w:r>
    </w:p>
    <w:p w14:paraId="13BE1B3C" w14:textId="701B74A0" w:rsidR="00455256" w:rsidRPr="005A00D8" w:rsidRDefault="00455256" w:rsidP="0014729D">
      <w:pPr>
        <w:pStyle w:val="enumlev1"/>
        <w:jc w:val="both"/>
        <w:rPr>
          <w:rFonts w:eastAsia="Aptos"/>
        </w:rPr>
      </w:pPr>
      <w:r w:rsidRPr="005A00D8">
        <w:rPr>
          <w:rFonts w:asciiTheme="minorHAnsi" w:eastAsia="Aptos" w:hAnsiTheme="minorHAnsi" w:cstheme="minorHAnsi"/>
        </w:rPr>
        <w:t>–</w:t>
      </w:r>
      <w:r w:rsidRPr="005A00D8">
        <w:rPr>
          <w:rFonts w:asciiTheme="minorHAnsi" w:eastAsia="Aptos" w:hAnsiTheme="minorHAnsi" w:cstheme="minorHAnsi"/>
        </w:rPr>
        <w:tab/>
      </w:r>
      <w:r w:rsidRPr="005A00D8">
        <w:rPr>
          <w:rFonts w:eastAsia="Aptos"/>
        </w:rPr>
        <w:t>Le Bureau régional pour l</w:t>
      </w:r>
      <w:r w:rsidR="00BC7CFD">
        <w:rPr>
          <w:rFonts w:eastAsia="Aptos"/>
        </w:rPr>
        <w:t>'</w:t>
      </w:r>
      <w:r w:rsidRPr="005A00D8">
        <w:rPr>
          <w:rFonts w:eastAsia="Aptos"/>
        </w:rPr>
        <w:t>Asie-Pacifique a</w:t>
      </w:r>
      <w:r w:rsidRPr="00DB0A57">
        <w:rPr>
          <w:rFonts w:eastAsia="Aptos"/>
        </w:rPr>
        <w:t xml:space="preserve"> participé </w:t>
      </w:r>
      <w:r>
        <w:rPr>
          <w:rFonts w:eastAsia="Aptos"/>
        </w:rPr>
        <w:t xml:space="preserve">à la </w:t>
      </w:r>
      <w:r w:rsidRPr="00DB0A57">
        <w:rPr>
          <w:rFonts w:eastAsia="Aptos"/>
        </w:rPr>
        <w:t>12ème Conférence Asie</w:t>
      </w:r>
      <w:r w:rsidR="00A427BA">
        <w:rPr>
          <w:rFonts w:eastAsia="Aptos"/>
        </w:rPr>
        <w:noBreakHyphen/>
      </w:r>
      <w:r w:rsidRPr="00DB0A57">
        <w:rPr>
          <w:rFonts w:eastAsia="Aptos"/>
        </w:rPr>
        <w:t>Pacifique sur la gestion du spectre</w:t>
      </w:r>
      <w:r>
        <w:rPr>
          <w:rFonts w:eastAsia="Aptos"/>
        </w:rPr>
        <w:t>,</w:t>
      </w:r>
      <w:r w:rsidRPr="00DB0A57">
        <w:rPr>
          <w:rFonts w:eastAsia="Aptos"/>
        </w:rPr>
        <w:t xml:space="preserve"> organisée par Forum Global</w:t>
      </w:r>
      <w:r w:rsidRPr="005A00D8">
        <w:rPr>
          <w:rFonts w:eastAsia="Aptos"/>
        </w:rPr>
        <w:t xml:space="preserve"> </w:t>
      </w:r>
      <w:r>
        <w:rPr>
          <w:rFonts w:eastAsia="Aptos"/>
        </w:rPr>
        <w:t xml:space="preserve">à </w:t>
      </w:r>
      <w:r w:rsidRPr="457BE9D4">
        <w:rPr>
          <w:rFonts w:eastAsia="Aptos"/>
        </w:rPr>
        <w:t>Phnom Penh</w:t>
      </w:r>
      <w:r>
        <w:rPr>
          <w:rFonts w:eastAsia="Aptos"/>
        </w:rPr>
        <w:t xml:space="preserve"> les</w:t>
      </w:r>
      <w:r w:rsidR="00A427BA">
        <w:rPr>
          <w:rFonts w:eastAsia="Aptos"/>
        </w:rPr>
        <w:t> </w:t>
      </w:r>
      <w:r w:rsidRPr="005A00D8">
        <w:rPr>
          <w:rFonts w:eastAsia="Aptos"/>
        </w:rPr>
        <w:t>11</w:t>
      </w:r>
      <w:r>
        <w:rPr>
          <w:rFonts w:eastAsia="Aptos"/>
        </w:rPr>
        <w:t xml:space="preserve"> et </w:t>
      </w:r>
      <w:r w:rsidRPr="005A00D8">
        <w:rPr>
          <w:rFonts w:eastAsia="Aptos"/>
        </w:rPr>
        <w:t xml:space="preserve">12 </w:t>
      </w:r>
      <w:r>
        <w:rPr>
          <w:rFonts w:eastAsia="Aptos"/>
        </w:rPr>
        <w:t xml:space="preserve">mars </w:t>
      </w:r>
      <w:r w:rsidRPr="005A00D8">
        <w:rPr>
          <w:rFonts w:eastAsia="Aptos"/>
        </w:rPr>
        <w:t>2026.</w:t>
      </w:r>
    </w:p>
    <w:p w14:paraId="7F277C86" w14:textId="77777777" w:rsidR="00455256" w:rsidRPr="009E5AB1" w:rsidRDefault="00455256" w:rsidP="009835A2">
      <w:pPr>
        <w:pStyle w:val="Headingb"/>
      </w:pPr>
      <w:r w:rsidRPr="009E5AB1">
        <w:t>Activités liées au TSB</w:t>
      </w:r>
    </w:p>
    <w:p w14:paraId="28E11592" w14:textId="68561C14" w:rsidR="00455256" w:rsidRPr="009E5AB1" w:rsidRDefault="00455256" w:rsidP="0014729D">
      <w:pPr>
        <w:pStyle w:val="enumlev1"/>
        <w:jc w:val="both"/>
      </w:pPr>
      <w:r w:rsidRPr="009E5AB1">
        <w:t>–</w:t>
      </w:r>
      <w:r w:rsidRPr="009E5AB1">
        <w:tab/>
        <w:t xml:space="preserve">À l'issue de consultations avec le TSB et le Ministère des affaires intérieures et des communications (MIC) du Japon, </w:t>
      </w:r>
      <w:r>
        <w:t>le BDT</w:t>
      </w:r>
      <w:r w:rsidRPr="009E5AB1">
        <w:t xml:space="preserve"> et le MIC ont échangé</w:t>
      </w:r>
      <w:r>
        <w:t>,</w:t>
      </w:r>
      <w:r w:rsidRPr="009E5AB1">
        <w:t xml:space="preserve"> le 6 février 2025, une correspondance </w:t>
      </w:r>
      <w:r>
        <w:t xml:space="preserve">ayant permis de mobiliser </w:t>
      </w:r>
      <w:r w:rsidRPr="009E5AB1">
        <w:t xml:space="preserve">des fonds </w:t>
      </w:r>
      <w:r>
        <w:t xml:space="preserve">pour le </w:t>
      </w:r>
      <w:r w:rsidRPr="009E5AB1">
        <w:t>projet intitulé "Renforcement des capacités sur les technologies et les normes dans le domaine de l'IA en Asie-Pacifique"</w:t>
      </w:r>
      <w:r>
        <w:t>, afin de renforcer les capacités des pouvoirs publics et des parties prenantes concernant les technologies de l</w:t>
      </w:r>
      <w:r w:rsidR="00BC7CFD">
        <w:t>'</w:t>
      </w:r>
      <w:r>
        <w:t>IA et les normes connexes, l</w:t>
      </w:r>
      <w:r w:rsidR="00BC7CFD">
        <w:t>'</w:t>
      </w:r>
      <w:r>
        <w:t>objectif étant de promouvoir la transformation numérique et la réduction de l</w:t>
      </w:r>
      <w:r w:rsidR="00BC7CFD">
        <w:t>'</w:t>
      </w:r>
      <w:r>
        <w:t>écart de normalisation</w:t>
      </w:r>
      <w:r w:rsidRPr="009E5AB1">
        <w:t>.</w:t>
      </w:r>
      <w:r>
        <w:t xml:space="preserve"> Après le premier atelier tenu à Delhi (Inde), en mai 2025, d</w:t>
      </w:r>
      <w:r w:rsidR="00BC7CFD">
        <w:t>'</w:t>
      </w:r>
      <w:r>
        <w:t>autres ateliers ont été organisés en 2025 selon les modalités suivantes:</w:t>
      </w:r>
    </w:p>
    <w:p w14:paraId="5E05434D" w14:textId="068E5CA9" w:rsidR="00455256" w:rsidRPr="001A7E3B" w:rsidRDefault="00455256" w:rsidP="0014729D">
      <w:pPr>
        <w:pStyle w:val="enumlev2"/>
        <w:jc w:val="both"/>
        <w:rPr>
          <w:rFonts w:eastAsia="Aptos"/>
          <w:spacing w:val="-2"/>
        </w:rPr>
      </w:pPr>
      <w:r w:rsidRPr="001A7E3B">
        <w:rPr>
          <w:rFonts w:eastAsia="Aptos"/>
          <w:spacing w:val="-2"/>
        </w:rPr>
        <w:t>•</w:t>
      </w:r>
      <w:r w:rsidRPr="001A7E3B">
        <w:rPr>
          <w:rFonts w:eastAsia="Aptos"/>
          <w:spacing w:val="-2"/>
        </w:rPr>
        <w:tab/>
      </w:r>
      <w:r w:rsidRPr="001A7E3B">
        <w:rPr>
          <w:rFonts w:eastAsia="Aptos" w:cs="Calibri"/>
          <w:spacing w:val="-2"/>
        </w:rPr>
        <w:t>À</w:t>
      </w:r>
      <w:r w:rsidRPr="001A7E3B">
        <w:rPr>
          <w:rFonts w:eastAsia="Aptos"/>
          <w:spacing w:val="-2"/>
        </w:rPr>
        <w:t xml:space="preserve"> Kuala Lumpur (Malaisie), du 9 au 12 septembre: 73 participants issus de</w:t>
      </w:r>
      <w:r w:rsidR="00D71BE9" w:rsidRPr="001A7E3B">
        <w:rPr>
          <w:rFonts w:eastAsia="Aptos"/>
          <w:spacing w:val="-2"/>
        </w:rPr>
        <w:t> </w:t>
      </w:r>
      <w:r w:rsidRPr="001A7E3B">
        <w:rPr>
          <w:rFonts w:eastAsia="Aptos"/>
          <w:spacing w:val="-2"/>
        </w:rPr>
        <w:t>9</w:t>
      </w:r>
      <w:r w:rsidR="00A427BA" w:rsidRPr="001A7E3B">
        <w:rPr>
          <w:rFonts w:eastAsia="Aptos"/>
          <w:spacing w:val="-2"/>
        </w:rPr>
        <w:t> </w:t>
      </w:r>
      <w:r w:rsidRPr="001A7E3B">
        <w:rPr>
          <w:rFonts w:eastAsia="Aptos"/>
          <w:spacing w:val="-2"/>
        </w:rPr>
        <w:t>États</w:t>
      </w:r>
      <w:r w:rsidR="00A427BA" w:rsidRPr="001A7E3B">
        <w:rPr>
          <w:rFonts w:eastAsia="Aptos"/>
          <w:spacing w:val="-2"/>
        </w:rPr>
        <w:t> </w:t>
      </w:r>
      <w:r w:rsidRPr="001A7E3B">
        <w:rPr>
          <w:rFonts w:eastAsia="Aptos"/>
          <w:spacing w:val="-2"/>
        </w:rPr>
        <w:t>Membres (Malaisie, Indonésie, Brunéi, Timor-Leste, Thaïlande, Cambodge, Mongolie, Lao (</w:t>
      </w:r>
      <w:proofErr w:type="spellStart"/>
      <w:r w:rsidRPr="001A7E3B">
        <w:rPr>
          <w:rFonts w:eastAsia="Aptos"/>
          <w:spacing w:val="-2"/>
        </w:rPr>
        <w:t>R.d.p</w:t>
      </w:r>
      <w:proofErr w:type="spellEnd"/>
      <w:r w:rsidRPr="001A7E3B">
        <w:rPr>
          <w:rFonts w:eastAsia="Aptos"/>
          <w:spacing w:val="-2"/>
        </w:rPr>
        <w:t>.) et Pakistan) ont été formés. Deux séances en</w:t>
      </w:r>
      <w:r w:rsidR="00A427BA" w:rsidRPr="001A7E3B">
        <w:rPr>
          <w:rFonts w:eastAsia="Aptos"/>
          <w:spacing w:val="-2"/>
        </w:rPr>
        <w:t> </w:t>
      </w:r>
      <w:r w:rsidRPr="001A7E3B">
        <w:rPr>
          <w:rFonts w:eastAsia="Aptos"/>
          <w:spacing w:val="-2"/>
        </w:rPr>
        <w:t>ligne ont été organisées avant l</w:t>
      </w:r>
      <w:r w:rsidR="00BC7CFD" w:rsidRPr="001A7E3B">
        <w:rPr>
          <w:rFonts w:eastAsia="Aptos"/>
          <w:spacing w:val="-2"/>
        </w:rPr>
        <w:t>'</w:t>
      </w:r>
      <w:r w:rsidRPr="001A7E3B">
        <w:rPr>
          <w:rFonts w:eastAsia="Aptos"/>
          <w:spacing w:val="-2"/>
        </w:rPr>
        <w:t>atelier, le 16 et le 19 août, concernant les supports de formation sur a) les normes relatives à l</w:t>
      </w:r>
      <w:r w:rsidR="00BC7CFD" w:rsidRPr="001A7E3B">
        <w:rPr>
          <w:rFonts w:eastAsia="Aptos"/>
          <w:spacing w:val="-2"/>
        </w:rPr>
        <w:t>'</w:t>
      </w:r>
      <w:r w:rsidRPr="001A7E3B">
        <w:rPr>
          <w:rFonts w:eastAsia="Aptos"/>
          <w:spacing w:val="-2"/>
        </w:rPr>
        <w:t>IA et b) les technologies de</w:t>
      </w:r>
      <w:r w:rsidR="00A427BA" w:rsidRPr="001A7E3B">
        <w:rPr>
          <w:rFonts w:eastAsia="Aptos"/>
          <w:spacing w:val="-2"/>
        </w:rPr>
        <w:t> </w:t>
      </w:r>
      <w:r w:rsidRPr="001A7E3B">
        <w:rPr>
          <w:rFonts w:eastAsia="Aptos"/>
          <w:spacing w:val="-2"/>
        </w:rPr>
        <w:t>l</w:t>
      </w:r>
      <w:r w:rsidR="00BC7CFD" w:rsidRPr="001A7E3B">
        <w:rPr>
          <w:rFonts w:eastAsia="Aptos"/>
          <w:spacing w:val="-2"/>
        </w:rPr>
        <w:t>'</w:t>
      </w:r>
      <w:r w:rsidRPr="001A7E3B">
        <w:rPr>
          <w:rFonts w:eastAsia="Aptos"/>
          <w:spacing w:val="-2"/>
        </w:rPr>
        <w:t>IA.</w:t>
      </w:r>
    </w:p>
    <w:p w14:paraId="0AF3C2D5" w14:textId="1FEB7237" w:rsidR="00455256" w:rsidRPr="009835A2" w:rsidRDefault="00455256" w:rsidP="0014729D">
      <w:pPr>
        <w:pStyle w:val="enumlev2"/>
        <w:jc w:val="both"/>
        <w:rPr>
          <w:rFonts w:eastAsia="Aptos"/>
        </w:rPr>
      </w:pPr>
      <w:r w:rsidRPr="009835A2">
        <w:rPr>
          <w:rFonts w:eastAsia="Aptos"/>
        </w:rPr>
        <w:t>•</w:t>
      </w:r>
      <w:r w:rsidRPr="009835A2">
        <w:rPr>
          <w:rFonts w:eastAsia="Aptos"/>
        </w:rPr>
        <w:tab/>
        <w:t>À Thimphu (Bhoutan), du 22 au 26 septembre: 69 fonctionnaires bhoutanais ont reçu une formation concernant les fondamentaux de l</w:t>
      </w:r>
      <w:r w:rsidR="00BC7CFD">
        <w:rPr>
          <w:rFonts w:eastAsia="Aptos"/>
        </w:rPr>
        <w:t>'</w:t>
      </w:r>
      <w:r w:rsidRPr="009835A2">
        <w:rPr>
          <w:rFonts w:eastAsia="Aptos"/>
        </w:rPr>
        <w:t>IA (en deux sessions).</w:t>
      </w:r>
    </w:p>
    <w:p w14:paraId="44862166" w14:textId="26897D67" w:rsidR="00455256" w:rsidRPr="00FD1E28" w:rsidRDefault="00455256" w:rsidP="0014729D">
      <w:pPr>
        <w:pStyle w:val="enumlev2"/>
        <w:jc w:val="both"/>
        <w:rPr>
          <w:rFonts w:eastAsia="Aptos"/>
        </w:rPr>
      </w:pPr>
      <w:r w:rsidRPr="009835A2">
        <w:rPr>
          <w:rFonts w:eastAsia="Aptos"/>
        </w:rPr>
        <w:lastRenderedPageBreak/>
        <w:t>•</w:t>
      </w:r>
      <w:r w:rsidRPr="009835A2">
        <w:rPr>
          <w:rFonts w:eastAsia="Aptos"/>
        </w:rPr>
        <w:tab/>
        <w:t>À Phnom Penh</w:t>
      </w:r>
      <w:r w:rsidRPr="00FD1E28">
        <w:rPr>
          <w:rFonts w:eastAsia="Aptos"/>
        </w:rPr>
        <w:t xml:space="preserve"> </w:t>
      </w:r>
      <w:r w:rsidRPr="00DB0A57">
        <w:rPr>
          <w:rFonts w:eastAsia="Aptos"/>
        </w:rPr>
        <w:t>(</w:t>
      </w:r>
      <w:r w:rsidRPr="00FD1E28">
        <w:rPr>
          <w:rFonts w:eastAsia="Aptos"/>
        </w:rPr>
        <w:t>Cambod</w:t>
      </w:r>
      <w:r w:rsidRPr="00DB0A57">
        <w:rPr>
          <w:rFonts w:eastAsia="Aptos"/>
        </w:rPr>
        <w:t>ge)</w:t>
      </w:r>
      <w:r w:rsidRPr="00FD1E28">
        <w:rPr>
          <w:rFonts w:eastAsia="Aptos"/>
        </w:rPr>
        <w:t xml:space="preserve">, </w:t>
      </w:r>
      <w:r w:rsidRPr="00DB0A57">
        <w:rPr>
          <w:rFonts w:eastAsia="Aptos"/>
        </w:rPr>
        <w:t xml:space="preserve">du </w:t>
      </w:r>
      <w:r w:rsidRPr="00FD1E28">
        <w:rPr>
          <w:rFonts w:eastAsia="Aptos"/>
        </w:rPr>
        <w:t>8</w:t>
      </w:r>
      <w:r w:rsidRPr="00DB0A57">
        <w:rPr>
          <w:rFonts w:eastAsia="Aptos"/>
        </w:rPr>
        <w:t xml:space="preserve"> au </w:t>
      </w:r>
      <w:r w:rsidRPr="00FD1E28">
        <w:rPr>
          <w:rFonts w:eastAsia="Aptos"/>
        </w:rPr>
        <w:t xml:space="preserve">10 </w:t>
      </w:r>
      <w:proofErr w:type="gramStart"/>
      <w:r w:rsidRPr="00DB0A57">
        <w:rPr>
          <w:rFonts w:eastAsia="Aptos"/>
        </w:rPr>
        <w:t>octobre</w:t>
      </w:r>
      <w:r>
        <w:rPr>
          <w:rFonts w:eastAsia="Aptos"/>
        </w:rPr>
        <w:t>:</w:t>
      </w:r>
      <w:proofErr w:type="gramEnd"/>
      <w:r w:rsidRPr="00DB0A57">
        <w:rPr>
          <w:rFonts w:eastAsia="Aptos"/>
        </w:rPr>
        <w:t xml:space="preserve"> un total de </w:t>
      </w:r>
      <w:r w:rsidRPr="00FD1E28">
        <w:rPr>
          <w:rFonts w:eastAsia="Aptos"/>
        </w:rPr>
        <w:t xml:space="preserve">55 participants </w:t>
      </w:r>
      <w:proofErr w:type="gramStart"/>
      <w:r>
        <w:rPr>
          <w:rFonts w:eastAsia="Aptos"/>
        </w:rPr>
        <w:t>ont</w:t>
      </w:r>
      <w:proofErr w:type="gramEnd"/>
      <w:r>
        <w:rPr>
          <w:rFonts w:eastAsia="Aptos"/>
        </w:rPr>
        <w:t xml:space="preserve"> été formés à l</w:t>
      </w:r>
      <w:r w:rsidR="00BC7CFD">
        <w:rPr>
          <w:rFonts w:eastAsia="Aptos"/>
        </w:rPr>
        <w:t>'</w:t>
      </w:r>
      <w:r>
        <w:rPr>
          <w:rFonts w:eastAsia="Aptos"/>
        </w:rPr>
        <w:t>échelle nationale</w:t>
      </w:r>
      <w:r w:rsidRPr="00FD1E28">
        <w:rPr>
          <w:rFonts w:eastAsia="Aptos"/>
        </w:rPr>
        <w:t xml:space="preserve">. </w:t>
      </w:r>
      <w:r w:rsidRPr="00DB0A57">
        <w:rPr>
          <w:rFonts w:eastAsia="Aptos"/>
        </w:rPr>
        <w:t>Une séance en ligne supplémentaire a été organisée</w:t>
      </w:r>
      <w:r>
        <w:rPr>
          <w:rFonts w:eastAsia="Aptos"/>
        </w:rPr>
        <w:t xml:space="preserve"> le </w:t>
      </w:r>
      <w:r w:rsidRPr="00FD1E28">
        <w:rPr>
          <w:rFonts w:eastAsia="Aptos"/>
        </w:rPr>
        <w:t xml:space="preserve">3 </w:t>
      </w:r>
      <w:r>
        <w:rPr>
          <w:rFonts w:eastAsia="Aptos"/>
        </w:rPr>
        <w:t>octobre, en complément de la formation en personne, pour traiter de la question des normes relatives à l</w:t>
      </w:r>
      <w:r w:rsidR="00BC7CFD">
        <w:rPr>
          <w:rFonts w:eastAsia="Aptos"/>
        </w:rPr>
        <w:t>'</w:t>
      </w:r>
      <w:r>
        <w:rPr>
          <w:rFonts w:eastAsia="Aptos"/>
        </w:rPr>
        <w:t>IA</w:t>
      </w:r>
      <w:r w:rsidRPr="00FD1E28">
        <w:rPr>
          <w:rFonts w:eastAsia="Aptos"/>
        </w:rPr>
        <w:t>.</w:t>
      </w:r>
    </w:p>
    <w:p w14:paraId="68BC0C7C" w14:textId="7EC5DB80" w:rsidR="00455256" w:rsidRPr="009C0EA3" w:rsidRDefault="00455256" w:rsidP="0014729D">
      <w:pPr>
        <w:pStyle w:val="enumlev1"/>
        <w:jc w:val="both"/>
        <w:rPr>
          <w:rFonts w:eastAsia="Aptos"/>
        </w:rPr>
      </w:pPr>
      <w:r w:rsidRPr="009C0EA3">
        <w:rPr>
          <w:rFonts w:eastAsia="Aptos"/>
        </w:rPr>
        <w:t>–</w:t>
      </w:r>
      <w:r w:rsidRPr="009C0EA3">
        <w:rPr>
          <w:rFonts w:eastAsia="Aptos"/>
        </w:rPr>
        <w:tab/>
      </w:r>
      <w:r w:rsidRPr="00DB0A57">
        <w:rPr>
          <w:rFonts w:eastAsia="Aptos"/>
        </w:rPr>
        <w:t>L</w:t>
      </w:r>
      <w:r>
        <w:rPr>
          <w:rFonts w:eastAsia="Aptos"/>
        </w:rPr>
        <w:t>a manifestation parallèle sur l</w:t>
      </w:r>
      <w:r w:rsidR="00BC7CFD">
        <w:rPr>
          <w:rFonts w:eastAsia="Aptos"/>
        </w:rPr>
        <w:t>'</w:t>
      </w:r>
      <w:r>
        <w:rPr>
          <w:rFonts w:eastAsia="Aptos"/>
        </w:rPr>
        <w:t>administration numérique organisée dans le cadre de la manifestation Vietnam Digital Week, le 28 octobre 2025, a été l</w:t>
      </w:r>
      <w:r w:rsidR="00BC7CFD">
        <w:rPr>
          <w:rFonts w:eastAsia="Aptos"/>
        </w:rPr>
        <w:t>'</w:t>
      </w:r>
      <w:r>
        <w:rPr>
          <w:rFonts w:eastAsia="Aptos"/>
        </w:rPr>
        <w:t>occasion de faire connaître l</w:t>
      </w:r>
      <w:r w:rsidRPr="00DB0A57">
        <w:rPr>
          <w:rFonts w:eastAsia="Aptos"/>
        </w:rPr>
        <w:t xml:space="preserve">es </w:t>
      </w:r>
      <w:r w:rsidR="00D71BE9">
        <w:rPr>
          <w:rFonts w:eastAsia="Aptos"/>
        </w:rPr>
        <w:t>i</w:t>
      </w:r>
      <w:r w:rsidRPr="00DB0A57">
        <w:rPr>
          <w:rFonts w:eastAsia="Aptos"/>
        </w:rPr>
        <w:t>nitiatives de l</w:t>
      </w:r>
      <w:r w:rsidR="00BC7CFD">
        <w:rPr>
          <w:rFonts w:eastAsia="Aptos"/>
        </w:rPr>
        <w:t>'</w:t>
      </w:r>
      <w:r w:rsidRPr="00DB0A57">
        <w:rPr>
          <w:rFonts w:eastAsia="Aptos"/>
        </w:rPr>
        <w:t>UIT</w:t>
      </w:r>
      <w:r w:rsidRPr="009C0EA3">
        <w:rPr>
          <w:rFonts w:eastAsia="Aptos"/>
        </w:rPr>
        <w:t xml:space="preserve">-T </w:t>
      </w:r>
      <w:r w:rsidRPr="00DB0A57">
        <w:rPr>
          <w:rFonts w:eastAsia="Aptos"/>
        </w:rPr>
        <w:t>telles que celle sur l</w:t>
      </w:r>
      <w:r w:rsidR="00BC7CFD">
        <w:rPr>
          <w:rFonts w:eastAsia="Aptos"/>
        </w:rPr>
        <w:t>'</w:t>
      </w:r>
      <w:r w:rsidRPr="00DB0A57">
        <w:rPr>
          <w:rFonts w:eastAsia="Aptos"/>
        </w:rPr>
        <w:t xml:space="preserve">intelligence artificielle au service </w:t>
      </w:r>
      <w:r>
        <w:rPr>
          <w:rFonts w:eastAsia="Aptos"/>
        </w:rPr>
        <w:t>du bien social (</w:t>
      </w:r>
      <w:proofErr w:type="spellStart"/>
      <w:r w:rsidRPr="009C0EA3">
        <w:rPr>
          <w:rFonts w:eastAsia="Aptos"/>
        </w:rPr>
        <w:t>AI4GOOD</w:t>
      </w:r>
      <w:proofErr w:type="spellEnd"/>
      <w:r>
        <w:rPr>
          <w:rFonts w:eastAsia="Aptos"/>
        </w:rPr>
        <w:t>)</w:t>
      </w:r>
      <w:r w:rsidRPr="009C0EA3">
        <w:rPr>
          <w:rFonts w:eastAsia="Aptos"/>
        </w:rPr>
        <w:t xml:space="preserve">, </w:t>
      </w:r>
      <w:r>
        <w:rPr>
          <w:rFonts w:eastAsia="Aptos"/>
        </w:rPr>
        <w:t>la Coalition pour les compétences en matière d</w:t>
      </w:r>
      <w:r w:rsidR="00BC7CFD">
        <w:rPr>
          <w:rFonts w:eastAsia="Aptos"/>
        </w:rPr>
        <w:t>'</w:t>
      </w:r>
      <w:r>
        <w:rPr>
          <w:rFonts w:eastAsia="Aptos"/>
        </w:rPr>
        <w:t>IA et l</w:t>
      </w:r>
      <w:r w:rsidR="00BC7CFD">
        <w:rPr>
          <w:rFonts w:eastAsia="Aptos"/>
        </w:rPr>
        <w:t>'</w:t>
      </w:r>
      <w:r w:rsidR="006232B2">
        <w:rPr>
          <w:rFonts w:eastAsia="Aptos"/>
        </w:rPr>
        <w:t>I</w:t>
      </w:r>
      <w:r>
        <w:rPr>
          <w:rFonts w:eastAsia="Aptos"/>
        </w:rPr>
        <w:t>nitiative sur l</w:t>
      </w:r>
      <w:r w:rsidR="00BC7CFD">
        <w:rPr>
          <w:rFonts w:eastAsia="Aptos"/>
        </w:rPr>
        <w:t>'</w:t>
      </w:r>
      <w:r>
        <w:rPr>
          <w:rFonts w:eastAsia="Aptos"/>
        </w:rPr>
        <w:t>échange de normes relatives à l</w:t>
      </w:r>
      <w:r w:rsidR="00BC7CFD">
        <w:rPr>
          <w:rFonts w:eastAsia="Aptos"/>
        </w:rPr>
        <w:t>'</w:t>
      </w:r>
      <w:r>
        <w:rPr>
          <w:rFonts w:eastAsia="Aptos"/>
        </w:rPr>
        <w:t>IA</w:t>
      </w:r>
      <w:r w:rsidRPr="009C0EA3">
        <w:rPr>
          <w:rFonts w:eastAsia="Aptos"/>
        </w:rPr>
        <w:t>.</w:t>
      </w:r>
    </w:p>
    <w:p w14:paraId="1137E75D" w14:textId="039C8E98" w:rsidR="00455256" w:rsidRPr="00DB0A57" w:rsidRDefault="00455256" w:rsidP="0014729D">
      <w:pPr>
        <w:pStyle w:val="enumlev1"/>
        <w:jc w:val="both"/>
        <w:rPr>
          <w:rFonts w:eastAsia="Aptos"/>
        </w:rPr>
      </w:pPr>
      <w:r w:rsidRPr="00266002">
        <w:rPr>
          <w:rFonts w:asciiTheme="minorHAnsi" w:eastAsia="Aptos" w:hAnsiTheme="minorHAnsi" w:cstheme="minorHAnsi"/>
        </w:rPr>
        <w:t>–</w:t>
      </w:r>
      <w:r w:rsidRPr="00266002">
        <w:rPr>
          <w:rFonts w:asciiTheme="minorHAnsi" w:eastAsia="Aptos" w:hAnsiTheme="minorHAnsi" w:cstheme="minorHAnsi"/>
        </w:rPr>
        <w:tab/>
      </w:r>
      <w:r w:rsidRPr="00DB0A57">
        <w:rPr>
          <w:rFonts w:asciiTheme="minorHAnsi" w:eastAsia="Aptos" w:hAnsiTheme="minorHAnsi" w:cstheme="minorHAnsi"/>
        </w:rPr>
        <w:t>En partenariat avec la</w:t>
      </w:r>
      <w:r w:rsidRPr="00266002">
        <w:rPr>
          <w:rFonts w:asciiTheme="minorHAnsi" w:eastAsia="Aptos" w:hAnsiTheme="minorHAnsi" w:cstheme="minorHAnsi"/>
        </w:rPr>
        <w:t xml:space="preserve"> </w:t>
      </w:r>
      <w:proofErr w:type="spellStart"/>
      <w:r w:rsidRPr="00266002">
        <w:rPr>
          <w:rFonts w:eastAsia="Aptos"/>
        </w:rPr>
        <w:t>Telecommunication</w:t>
      </w:r>
      <w:proofErr w:type="spellEnd"/>
      <w:r w:rsidRPr="00DB0A57">
        <w:rPr>
          <w:rFonts w:eastAsia="Aptos"/>
        </w:rPr>
        <w:t xml:space="preserve"> </w:t>
      </w:r>
      <w:proofErr w:type="spellStart"/>
      <w:r w:rsidRPr="00DB0A57">
        <w:rPr>
          <w:rFonts w:eastAsia="Aptos"/>
        </w:rPr>
        <w:t>Technology</w:t>
      </w:r>
      <w:proofErr w:type="spellEnd"/>
      <w:r w:rsidRPr="00DB0A57">
        <w:rPr>
          <w:rFonts w:eastAsia="Aptos"/>
        </w:rPr>
        <w:t xml:space="preserve"> Association (</w:t>
      </w:r>
      <w:proofErr w:type="spellStart"/>
      <w:r w:rsidRPr="00DB0A57">
        <w:rPr>
          <w:rFonts w:eastAsia="Aptos"/>
        </w:rPr>
        <w:t>TTA</w:t>
      </w:r>
      <w:proofErr w:type="spellEnd"/>
      <w:r w:rsidRPr="00DB0A57">
        <w:rPr>
          <w:rFonts w:eastAsia="Aptos"/>
        </w:rPr>
        <w:t xml:space="preserve">) de la République de Corée et </w:t>
      </w:r>
      <w:proofErr w:type="spellStart"/>
      <w:r w:rsidRPr="00DB0A57">
        <w:rPr>
          <w:rFonts w:eastAsia="Aptos"/>
        </w:rPr>
        <w:t>Passwordless</w:t>
      </w:r>
      <w:proofErr w:type="spellEnd"/>
      <w:r w:rsidRPr="00DB0A57">
        <w:rPr>
          <w:rFonts w:eastAsia="Aptos"/>
        </w:rPr>
        <w:t xml:space="preserve"> Alliance, une forma</w:t>
      </w:r>
      <w:r>
        <w:rPr>
          <w:rFonts w:eastAsia="Aptos"/>
        </w:rPr>
        <w:t>tion</w:t>
      </w:r>
      <w:r w:rsidRPr="00DB0A57">
        <w:rPr>
          <w:rFonts w:eastAsia="Aptos"/>
        </w:rPr>
        <w:t xml:space="preserve"> interr</w:t>
      </w:r>
      <w:r>
        <w:rPr>
          <w:rFonts w:eastAsia="Aptos"/>
        </w:rPr>
        <w:t>é</w:t>
      </w:r>
      <w:r w:rsidRPr="00DB0A57">
        <w:rPr>
          <w:rFonts w:eastAsia="Aptos"/>
        </w:rPr>
        <w:t>gional</w:t>
      </w:r>
      <w:r>
        <w:rPr>
          <w:rFonts w:eastAsia="Aptos"/>
        </w:rPr>
        <w:t>e</w:t>
      </w:r>
      <w:r w:rsidRPr="00DB0A57">
        <w:rPr>
          <w:rFonts w:eastAsia="Aptos"/>
        </w:rPr>
        <w:t xml:space="preserve"> </w:t>
      </w:r>
      <w:r>
        <w:rPr>
          <w:rFonts w:eastAsia="Aptos"/>
        </w:rPr>
        <w:t xml:space="preserve">a été organisée du </w:t>
      </w:r>
      <w:r w:rsidRPr="00DB0A57">
        <w:rPr>
          <w:rFonts w:eastAsia="Aptos"/>
        </w:rPr>
        <w:t>11</w:t>
      </w:r>
      <w:r>
        <w:rPr>
          <w:rFonts w:eastAsia="Aptos"/>
        </w:rPr>
        <w:t xml:space="preserve"> au </w:t>
      </w:r>
      <w:r w:rsidRPr="00DB0A57">
        <w:rPr>
          <w:rFonts w:eastAsia="Aptos"/>
        </w:rPr>
        <w:t xml:space="preserve">13 </w:t>
      </w:r>
      <w:r>
        <w:rPr>
          <w:rFonts w:eastAsia="Aptos"/>
        </w:rPr>
        <w:t xml:space="preserve">février </w:t>
      </w:r>
      <w:r w:rsidRPr="00DB0A57">
        <w:rPr>
          <w:rFonts w:eastAsia="Aptos"/>
        </w:rPr>
        <w:t>2026</w:t>
      </w:r>
      <w:r>
        <w:rPr>
          <w:rFonts w:eastAsia="Aptos"/>
        </w:rPr>
        <w:t xml:space="preserve">, à </w:t>
      </w:r>
      <w:r w:rsidRPr="00DB0A57">
        <w:rPr>
          <w:rFonts w:eastAsia="Aptos"/>
        </w:rPr>
        <w:t xml:space="preserve">Bangkok </w:t>
      </w:r>
      <w:r>
        <w:rPr>
          <w:rFonts w:eastAsia="Aptos"/>
        </w:rPr>
        <w:t>(</w:t>
      </w:r>
      <w:r w:rsidRPr="00DB0A57">
        <w:rPr>
          <w:rFonts w:eastAsia="Aptos"/>
        </w:rPr>
        <w:t>Tha</w:t>
      </w:r>
      <w:r>
        <w:rPr>
          <w:rFonts w:eastAsia="Aptos"/>
        </w:rPr>
        <w:t>ï</w:t>
      </w:r>
      <w:r w:rsidRPr="00DB0A57">
        <w:rPr>
          <w:rFonts w:eastAsia="Aptos"/>
        </w:rPr>
        <w:t>land</w:t>
      </w:r>
      <w:r>
        <w:rPr>
          <w:rFonts w:eastAsia="Aptos"/>
        </w:rPr>
        <w:t>e), sur deux Recommandations de l</w:t>
      </w:r>
      <w:r w:rsidR="00BC7CFD">
        <w:rPr>
          <w:rFonts w:eastAsia="Aptos"/>
        </w:rPr>
        <w:t>'</w:t>
      </w:r>
      <w:r>
        <w:rPr>
          <w:rFonts w:eastAsia="Aptos"/>
        </w:rPr>
        <w:t>UIT</w:t>
      </w:r>
      <w:r w:rsidRPr="00DB0A57">
        <w:rPr>
          <w:rFonts w:eastAsia="Aptos"/>
        </w:rPr>
        <w:t>-T</w:t>
      </w:r>
      <w:r>
        <w:rPr>
          <w:rFonts w:eastAsia="Aptos"/>
        </w:rPr>
        <w:t xml:space="preserve"> – l</w:t>
      </w:r>
      <w:r w:rsidR="00BC7CFD">
        <w:rPr>
          <w:rFonts w:eastAsia="Aptos"/>
        </w:rPr>
        <w:t>'</w:t>
      </w:r>
      <w:r>
        <w:rPr>
          <w:rFonts w:eastAsia="Aptos"/>
        </w:rPr>
        <w:t>une</w:t>
      </w:r>
      <w:r w:rsidRPr="00DB0A57">
        <w:rPr>
          <w:rFonts w:eastAsia="Aptos"/>
        </w:rPr>
        <w:t xml:space="preserve"> </w:t>
      </w:r>
      <w:r>
        <w:rPr>
          <w:rFonts w:eastAsia="Aptos"/>
        </w:rPr>
        <w:t xml:space="preserve">sur la protection du stockage </w:t>
      </w:r>
      <w:r w:rsidRPr="00DB0A57">
        <w:rPr>
          <w:rFonts w:eastAsia="Aptos"/>
        </w:rPr>
        <w:t>(</w:t>
      </w:r>
      <w:proofErr w:type="spellStart"/>
      <w:r w:rsidRPr="00DB0A57">
        <w:rPr>
          <w:rFonts w:eastAsia="Aptos"/>
        </w:rPr>
        <w:t>X.1220</w:t>
      </w:r>
      <w:proofErr w:type="spellEnd"/>
      <w:r w:rsidRPr="00DB0A57">
        <w:rPr>
          <w:rFonts w:eastAsia="Aptos"/>
        </w:rPr>
        <w:t>/</w:t>
      </w:r>
      <w:proofErr w:type="spellStart"/>
      <w:r w:rsidRPr="00DB0A57">
        <w:rPr>
          <w:rFonts w:eastAsia="Aptos"/>
        </w:rPr>
        <w:t>X.nspam</w:t>
      </w:r>
      <w:proofErr w:type="spellEnd"/>
      <w:r w:rsidRPr="00DB0A57">
        <w:rPr>
          <w:rFonts w:eastAsia="Aptos"/>
        </w:rPr>
        <w:t xml:space="preserve">) </w:t>
      </w:r>
      <w:r>
        <w:rPr>
          <w:rFonts w:eastAsia="Aptos"/>
        </w:rPr>
        <w:t>et l</w:t>
      </w:r>
      <w:r w:rsidR="00BC7CFD">
        <w:rPr>
          <w:rFonts w:eastAsia="Aptos"/>
        </w:rPr>
        <w:t>'</w:t>
      </w:r>
      <w:r>
        <w:rPr>
          <w:rFonts w:eastAsia="Aptos"/>
        </w:rPr>
        <w:t>autre sur l</w:t>
      </w:r>
      <w:r w:rsidR="00BC7CFD">
        <w:rPr>
          <w:rFonts w:eastAsia="Aptos"/>
        </w:rPr>
        <w:t>'</w:t>
      </w:r>
      <w:r>
        <w:rPr>
          <w:rFonts w:eastAsia="Aptos"/>
        </w:rPr>
        <w:t>a</w:t>
      </w:r>
      <w:r w:rsidRPr="00DB0A57">
        <w:rPr>
          <w:rFonts w:eastAsia="Aptos"/>
        </w:rPr>
        <w:t>uthenti</w:t>
      </w:r>
      <w:r>
        <w:rPr>
          <w:rFonts w:eastAsia="Aptos"/>
        </w:rPr>
        <w:t>fi</w:t>
      </w:r>
      <w:r w:rsidRPr="00DB0A57">
        <w:rPr>
          <w:rFonts w:eastAsia="Aptos"/>
        </w:rPr>
        <w:t xml:space="preserve">cation </w:t>
      </w:r>
      <w:r>
        <w:rPr>
          <w:rFonts w:eastAsia="Aptos"/>
        </w:rPr>
        <w:t xml:space="preserve">sans mot de passe </w:t>
      </w:r>
      <w:r w:rsidRPr="00DB0A57">
        <w:rPr>
          <w:rFonts w:eastAsia="Aptos"/>
        </w:rPr>
        <w:t>(</w:t>
      </w:r>
      <w:proofErr w:type="spellStart"/>
      <w:r w:rsidRPr="00DB0A57">
        <w:rPr>
          <w:rFonts w:eastAsia="Aptos"/>
        </w:rPr>
        <w:t>X.1280</w:t>
      </w:r>
      <w:proofErr w:type="spellEnd"/>
      <w:r w:rsidRPr="00DB0A57">
        <w:rPr>
          <w:rFonts w:eastAsia="Aptos"/>
        </w:rPr>
        <w:t>)</w:t>
      </w:r>
      <w:r>
        <w:rPr>
          <w:rFonts w:eastAsia="Aptos"/>
        </w:rPr>
        <w:t>;</w:t>
      </w:r>
      <w:r w:rsidRPr="00DB0A57">
        <w:rPr>
          <w:rFonts w:eastAsia="Aptos"/>
        </w:rPr>
        <w:t xml:space="preserve"> </w:t>
      </w:r>
      <w:r>
        <w:rPr>
          <w:rFonts w:eastAsia="Aptos"/>
        </w:rPr>
        <w:t>cette manifestation a permis de mettre en évidence les conséquences de ces normes de cybersécurité pour les participants des régions de l</w:t>
      </w:r>
      <w:r w:rsidR="00BC7CFD">
        <w:rPr>
          <w:rFonts w:eastAsia="Aptos"/>
        </w:rPr>
        <w:t>'</w:t>
      </w:r>
      <w:r>
        <w:rPr>
          <w:rFonts w:eastAsia="Aptos"/>
        </w:rPr>
        <w:t>Asie-Pacifique et de la CEI</w:t>
      </w:r>
      <w:r w:rsidRPr="00DB0A57">
        <w:rPr>
          <w:rFonts w:eastAsia="Aptos"/>
        </w:rPr>
        <w:t>.</w:t>
      </w:r>
    </w:p>
    <w:p w14:paraId="28B386FF" w14:textId="6529F0F0" w:rsidR="00455256" w:rsidRPr="00DB0A57" w:rsidRDefault="00455256" w:rsidP="0014729D">
      <w:pPr>
        <w:pStyle w:val="enumlev1"/>
        <w:jc w:val="both"/>
        <w:rPr>
          <w:rFonts w:eastAsia="Aptos"/>
        </w:rPr>
      </w:pPr>
      <w:r w:rsidRPr="00266002">
        <w:rPr>
          <w:rFonts w:asciiTheme="minorHAnsi" w:eastAsia="Aptos" w:hAnsiTheme="minorHAnsi" w:cstheme="minorHAnsi"/>
        </w:rPr>
        <w:t>–</w:t>
      </w:r>
      <w:r w:rsidRPr="00266002">
        <w:rPr>
          <w:rFonts w:asciiTheme="minorHAnsi" w:eastAsia="Aptos" w:hAnsiTheme="minorHAnsi" w:cstheme="minorHAnsi"/>
        </w:rPr>
        <w:tab/>
      </w:r>
      <w:r w:rsidRPr="00266002">
        <w:rPr>
          <w:rFonts w:eastAsia="Aptos" w:cs="Calibri"/>
        </w:rPr>
        <w:t>À</w:t>
      </w:r>
      <w:r w:rsidRPr="00DB0A57">
        <w:rPr>
          <w:rFonts w:eastAsia="Aptos"/>
        </w:rPr>
        <w:t xml:space="preserve"> la demande du TSB, le directeur régional pour l</w:t>
      </w:r>
      <w:r w:rsidR="00BC7CFD">
        <w:rPr>
          <w:rFonts w:eastAsia="Aptos"/>
        </w:rPr>
        <w:t>'</w:t>
      </w:r>
      <w:r w:rsidRPr="00DB0A57">
        <w:rPr>
          <w:rFonts w:eastAsia="Aptos"/>
        </w:rPr>
        <w:t xml:space="preserve">Asie-Pacifique est </w:t>
      </w:r>
      <w:r w:rsidRPr="008C28BE">
        <w:rPr>
          <w:rFonts w:eastAsia="Aptos"/>
        </w:rPr>
        <w:t>intervenu</w:t>
      </w:r>
      <w:r w:rsidRPr="00DB0A57">
        <w:rPr>
          <w:rFonts w:eastAsia="Aptos"/>
        </w:rPr>
        <w:t xml:space="preserve"> à</w:t>
      </w:r>
      <w:r w:rsidR="00A427BA">
        <w:rPr>
          <w:rFonts w:eastAsia="Aptos"/>
        </w:rPr>
        <w:t> </w:t>
      </w:r>
      <w:r w:rsidRPr="00DB0A57">
        <w:rPr>
          <w:rFonts w:eastAsia="Aptos"/>
        </w:rPr>
        <w:t>l</w:t>
      </w:r>
      <w:r w:rsidR="00BC7CFD">
        <w:rPr>
          <w:rFonts w:eastAsia="Aptos"/>
        </w:rPr>
        <w:t>'</w:t>
      </w:r>
      <w:r w:rsidRPr="00DB0A57">
        <w:rPr>
          <w:rFonts w:eastAsia="Aptos"/>
        </w:rPr>
        <w:t xml:space="preserve">occasion </w:t>
      </w:r>
      <w:r>
        <w:rPr>
          <w:rFonts w:eastAsia="Aptos"/>
        </w:rPr>
        <w:t xml:space="preserve">du Sommet indien de </w:t>
      </w:r>
      <w:r w:rsidRPr="00900ABE">
        <w:rPr>
          <w:rFonts w:eastAsia="Aptos"/>
        </w:rPr>
        <w:t>2026</w:t>
      </w:r>
      <w:r>
        <w:rPr>
          <w:rFonts w:eastAsia="Aptos"/>
        </w:rPr>
        <w:t xml:space="preserve"> sur l</w:t>
      </w:r>
      <w:r w:rsidR="00BC7CFD">
        <w:rPr>
          <w:rFonts w:eastAsia="Aptos"/>
        </w:rPr>
        <w:t>'</w:t>
      </w:r>
      <w:r>
        <w:rPr>
          <w:rFonts w:eastAsia="Aptos"/>
        </w:rPr>
        <w:t>impact de l</w:t>
      </w:r>
      <w:r w:rsidR="00BC7CFD">
        <w:rPr>
          <w:rFonts w:eastAsia="Aptos"/>
        </w:rPr>
        <w:t>'</w:t>
      </w:r>
      <w:r>
        <w:rPr>
          <w:rFonts w:eastAsia="Aptos"/>
        </w:rPr>
        <w:t>intelligence artificielle</w:t>
      </w:r>
      <w:r w:rsidRPr="00DB0A57">
        <w:rPr>
          <w:rFonts w:eastAsia="Aptos"/>
        </w:rPr>
        <w:t xml:space="preserve">, </w:t>
      </w:r>
      <w:r>
        <w:rPr>
          <w:rFonts w:eastAsia="Aptos"/>
        </w:rPr>
        <w:t>dans le cadre d</w:t>
      </w:r>
      <w:r w:rsidR="00BC7CFD">
        <w:rPr>
          <w:rFonts w:eastAsia="Aptos"/>
        </w:rPr>
        <w:t>'</w:t>
      </w:r>
      <w:r>
        <w:rPr>
          <w:rFonts w:eastAsia="Aptos"/>
        </w:rPr>
        <w:t>une séance consacrée aux normes et aux mesures stratégiques</w:t>
      </w:r>
      <w:r w:rsidRPr="00DB0A57">
        <w:rPr>
          <w:rFonts w:eastAsia="Aptos"/>
        </w:rPr>
        <w:t xml:space="preserve"> </w:t>
      </w:r>
      <w:r>
        <w:rPr>
          <w:rFonts w:eastAsia="Aptos"/>
        </w:rPr>
        <w:t>propres à</w:t>
      </w:r>
      <w:r w:rsidR="00A427BA">
        <w:rPr>
          <w:rFonts w:eastAsia="Aptos"/>
        </w:rPr>
        <w:t> </w:t>
      </w:r>
      <w:r>
        <w:rPr>
          <w:rFonts w:eastAsia="Aptos"/>
        </w:rPr>
        <w:t>faciliter le déploiement à grande échelle de systèmes agroalimentaires fondés sur l</w:t>
      </w:r>
      <w:r w:rsidR="00BC7CFD">
        <w:rPr>
          <w:rFonts w:eastAsia="Aptos"/>
        </w:rPr>
        <w:t>'</w:t>
      </w:r>
      <w:r>
        <w:rPr>
          <w:rFonts w:eastAsia="Aptos"/>
        </w:rPr>
        <w:t xml:space="preserve">IA et centrés sur les agriculteurs, tenue le </w:t>
      </w:r>
      <w:r w:rsidRPr="00900ABE">
        <w:rPr>
          <w:rFonts w:eastAsia="Aptos"/>
        </w:rPr>
        <w:t xml:space="preserve">16 </w:t>
      </w:r>
      <w:r>
        <w:rPr>
          <w:rFonts w:eastAsia="Aptos"/>
        </w:rPr>
        <w:t xml:space="preserve">février </w:t>
      </w:r>
      <w:r w:rsidRPr="00900ABE">
        <w:rPr>
          <w:rFonts w:eastAsia="Aptos"/>
        </w:rPr>
        <w:t>2026</w:t>
      </w:r>
      <w:r w:rsidRPr="00DB0A57">
        <w:rPr>
          <w:rFonts w:eastAsia="Aptos"/>
        </w:rPr>
        <w:t>.</w:t>
      </w:r>
    </w:p>
    <w:p w14:paraId="0A4E9E8F" w14:textId="70FD7E33" w:rsidR="00455256" w:rsidRPr="00DB0A57" w:rsidRDefault="00455256" w:rsidP="0014729D">
      <w:pPr>
        <w:pStyle w:val="enumlev1"/>
        <w:jc w:val="both"/>
        <w:rPr>
          <w:rFonts w:eastAsia="Aptos"/>
        </w:rPr>
      </w:pPr>
      <w:r w:rsidRPr="00D328BC">
        <w:rPr>
          <w:rFonts w:asciiTheme="minorHAnsi" w:eastAsia="Aptos" w:hAnsiTheme="minorHAnsi" w:cstheme="minorHAnsi"/>
        </w:rPr>
        <w:t>–</w:t>
      </w:r>
      <w:r w:rsidRPr="00DB0A57">
        <w:rPr>
          <w:rFonts w:eastAsia="Aptos"/>
        </w:rPr>
        <w:tab/>
        <w:t xml:space="preserve">Pour soutenir </w:t>
      </w:r>
      <w:r w:rsidR="00A427BA">
        <w:rPr>
          <w:rFonts w:eastAsia="Aptos"/>
        </w:rPr>
        <w:t>l'</w:t>
      </w:r>
      <w:hyperlink r:id="rId49" w:anchor="/fr" w:history="1">
        <w:r w:rsidR="006232B2">
          <w:rPr>
            <w:rStyle w:val="Hyperlink"/>
            <w:rFonts w:eastAsia="Aptos" w:cs="Times New Roman"/>
            <w:szCs w:val="20"/>
          </w:rPr>
          <w:t>I</w:t>
        </w:r>
        <w:r w:rsidRPr="00A427BA">
          <w:rPr>
            <w:rStyle w:val="Hyperlink"/>
            <w:rFonts w:eastAsia="Aptos" w:cs="Times New Roman"/>
            <w:szCs w:val="20"/>
          </w:rPr>
          <w:t xml:space="preserve">nitiative </w:t>
        </w:r>
        <w:r w:rsidR="00A427BA" w:rsidRPr="00A427BA">
          <w:rPr>
            <w:rStyle w:val="Hyperlink"/>
            <w:rFonts w:eastAsia="Aptos" w:cs="Times New Roman"/>
            <w:szCs w:val="20"/>
          </w:rPr>
          <w:t>"</w:t>
        </w:r>
        <w:r w:rsidRPr="00A427BA">
          <w:rPr>
            <w:rStyle w:val="Hyperlink"/>
            <w:rFonts w:eastAsia="Aptos" w:cs="Times New Roman"/>
            <w:szCs w:val="20"/>
          </w:rPr>
          <w:t>Tous unis pour des villes intelligentes et durables</w:t>
        </w:r>
        <w:r w:rsidR="00A427BA" w:rsidRPr="00A427BA">
          <w:rPr>
            <w:rStyle w:val="Hyperlink"/>
            <w:rFonts w:eastAsia="Aptos" w:cs="Times New Roman"/>
            <w:szCs w:val="20"/>
          </w:rPr>
          <w:t>"</w:t>
        </w:r>
        <w:r w:rsidRPr="00A427BA">
          <w:rPr>
            <w:rStyle w:val="Hyperlink"/>
            <w:rFonts w:eastAsia="Aptos" w:cs="Times New Roman"/>
            <w:szCs w:val="20"/>
          </w:rPr>
          <w:t xml:space="preserve"> (</w:t>
        </w:r>
        <w:proofErr w:type="spellStart"/>
        <w:r w:rsidRPr="00A427BA">
          <w:rPr>
            <w:rStyle w:val="Hyperlink"/>
            <w:rFonts w:eastAsia="Aptos" w:cs="Times New Roman"/>
            <w:szCs w:val="20"/>
          </w:rPr>
          <w:t>U4SSC</w:t>
        </w:r>
        <w:proofErr w:type="spellEnd"/>
        <w:r w:rsidRPr="00A427BA">
          <w:rPr>
            <w:rStyle w:val="Hyperlink"/>
            <w:rFonts w:eastAsia="Aptos" w:cs="Times New Roman"/>
            <w:szCs w:val="20"/>
          </w:rPr>
          <w:t>)</w:t>
        </w:r>
      </w:hyperlink>
      <w:r w:rsidRPr="00DB0A57">
        <w:rPr>
          <w:rFonts w:eastAsia="Aptos"/>
        </w:rPr>
        <w:t xml:space="preserve">, </w:t>
      </w:r>
      <w:r>
        <w:rPr>
          <w:rFonts w:eastAsia="Aptos"/>
        </w:rPr>
        <w:t>le Bureau régional pour l</w:t>
      </w:r>
      <w:r w:rsidR="00BC7CFD">
        <w:rPr>
          <w:rFonts w:eastAsia="Aptos"/>
        </w:rPr>
        <w:t>'</w:t>
      </w:r>
      <w:r>
        <w:rPr>
          <w:rFonts w:eastAsia="Aptos"/>
        </w:rPr>
        <w:t>Asie-Pacifique s</w:t>
      </w:r>
      <w:r w:rsidR="00BC7CFD">
        <w:rPr>
          <w:rFonts w:eastAsia="Aptos"/>
        </w:rPr>
        <w:t>'</w:t>
      </w:r>
      <w:r>
        <w:rPr>
          <w:rFonts w:eastAsia="Aptos"/>
        </w:rPr>
        <w:t xml:space="preserve">est associé aux efforts du </w:t>
      </w:r>
      <w:r w:rsidRPr="00DB0A57">
        <w:rPr>
          <w:rFonts w:eastAsia="Aptos"/>
        </w:rPr>
        <w:t xml:space="preserve">TSB </w:t>
      </w:r>
      <w:r>
        <w:rPr>
          <w:rFonts w:eastAsia="Aptos"/>
        </w:rPr>
        <w:t xml:space="preserve">pour élargir la </w:t>
      </w:r>
      <w:r w:rsidRPr="00DB0A57">
        <w:rPr>
          <w:rFonts w:eastAsia="Aptos"/>
        </w:rPr>
        <w:t xml:space="preserve">collaboration </w:t>
      </w:r>
      <w:r>
        <w:rPr>
          <w:rFonts w:eastAsia="Aptos"/>
        </w:rPr>
        <w:t>avec ONU</w:t>
      </w:r>
      <w:r w:rsidRPr="00DB0A57">
        <w:rPr>
          <w:rFonts w:eastAsia="Aptos"/>
        </w:rPr>
        <w:t xml:space="preserve">-HABITAT </w:t>
      </w:r>
      <w:r>
        <w:rPr>
          <w:rFonts w:eastAsia="Aptos"/>
        </w:rPr>
        <w:t xml:space="preserve">dans la région Asie-Pacifique en </w:t>
      </w:r>
      <w:r w:rsidRPr="00DB0A57">
        <w:rPr>
          <w:rFonts w:eastAsia="Aptos"/>
        </w:rPr>
        <w:t>2026</w:t>
      </w:r>
      <w:r>
        <w:rPr>
          <w:rFonts w:eastAsia="Aptos"/>
        </w:rPr>
        <w:t>, et des</w:t>
      </w:r>
      <w:r w:rsidRPr="00DB0A57">
        <w:rPr>
          <w:rFonts w:eastAsia="Aptos"/>
        </w:rPr>
        <w:t xml:space="preserve"> discussions </w:t>
      </w:r>
      <w:r>
        <w:rPr>
          <w:rFonts w:eastAsia="Aptos"/>
        </w:rPr>
        <w:t xml:space="preserve">sont </w:t>
      </w:r>
      <w:proofErr w:type="gramStart"/>
      <w:r>
        <w:rPr>
          <w:rFonts w:eastAsia="Aptos"/>
        </w:rPr>
        <w:t>actuellement en cours</w:t>
      </w:r>
      <w:proofErr w:type="gramEnd"/>
      <w:r w:rsidRPr="00DB0A57">
        <w:rPr>
          <w:rFonts w:eastAsia="Aptos"/>
        </w:rPr>
        <w:t>.</w:t>
      </w:r>
    </w:p>
    <w:p w14:paraId="05259717" w14:textId="77777777" w:rsidR="00455256" w:rsidRPr="00DB0A57" w:rsidRDefault="00455256" w:rsidP="0014729D">
      <w:pPr>
        <w:pStyle w:val="enumlev1"/>
        <w:jc w:val="both"/>
        <w:rPr>
          <w:rFonts w:eastAsia="Aptos"/>
        </w:rPr>
      </w:pPr>
      <w:r w:rsidRPr="00D328BC">
        <w:rPr>
          <w:rFonts w:asciiTheme="minorHAnsi" w:eastAsia="Aptos" w:hAnsiTheme="minorHAnsi" w:cstheme="minorHAnsi"/>
        </w:rPr>
        <w:t>–</w:t>
      </w:r>
      <w:r w:rsidRPr="00D328BC">
        <w:rPr>
          <w:rFonts w:asciiTheme="minorHAnsi" w:eastAsia="Aptos" w:hAnsiTheme="minorHAnsi" w:cstheme="minorHAnsi"/>
        </w:rPr>
        <w:tab/>
      </w:r>
      <w:r w:rsidRPr="00DB0A57">
        <w:rPr>
          <w:rFonts w:eastAsia="Aptos"/>
        </w:rPr>
        <w:t xml:space="preserve">Un fonctionnaire du </w:t>
      </w:r>
      <w:r w:rsidRPr="00D328BC">
        <w:rPr>
          <w:rFonts w:eastAsia="Aptos"/>
        </w:rPr>
        <w:t xml:space="preserve">TSB </w:t>
      </w:r>
      <w:r w:rsidRPr="00DB0A57">
        <w:rPr>
          <w:rFonts w:eastAsia="Aptos"/>
        </w:rPr>
        <w:t xml:space="preserve">a été recruté dans le </w:t>
      </w:r>
      <w:r>
        <w:rPr>
          <w:rFonts w:eastAsia="Aptos"/>
        </w:rPr>
        <w:t>bureau de zone en Inde</w:t>
      </w:r>
      <w:r w:rsidRPr="00D328BC">
        <w:rPr>
          <w:rFonts w:eastAsia="Aptos"/>
        </w:rPr>
        <w:t>.</w:t>
      </w:r>
    </w:p>
    <w:p w14:paraId="4816CD9B" w14:textId="3F554150" w:rsidR="00455256" w:rsidRPr="009E5AB1" w:rsidRDefault="00455256" w:rsidP="00455256">
      <w:pPr>
        <w:pStyle w:val="Heading2"/>
      </w:pPr>
      <w:r w:rsidRPr="009E5AB1">
        <w:t>3.6</w:t>
      </w:r>
      <w:r w:rsidRPr="009E5AB1">
        <w:tab/>
        <w:t>Activités du Bureau régional pour la Communauté des États indépendants (CEI)/</w:t>
      </w:r>
      <w:r w:rsidR="00D71BE9">
        <w:t>a</w:t>
      </w:r>
      <w:r w:rsidRPr="009E5AB1">
        <w:t>ctivités dans la région de la CEI</w:t>
      </w:r>
    </w:p>
    <w:p w14:paraId="2DDA831C" w14:textId="77777777" w:rsidR="00455256" w:rsidRPr="009E5AB1" w:rsidRDefault="00455256" w:rsidP="009835A2">
      <w:pPr>
        <w:pStyle w:val="Headingb"/>
      </w:pPr>
      <w:r w:rsidRPr="009E5AB1">
        <w:t>Activités liées au BR</w:t>
      </w:r>
    </w:p>
    <w:p w14:paraId="32E48DCF" w14:textId="3E2B3985" w:rsidR="00455256" w:rsidRDefault="00455256" w:rsidP="0014729D">
      <w:pPr>
        <w:pStyle w:val="enumlev1"/>
        <w:jc w:val="both"/>
      </w:pPr>
      <w:r w:rsidRPr="009E5AB1">
        <w:t>–</w:t>
      </w:r>
      <w:r w:rsidRPr="009E5AB1">
        <w:tab/>
        <w:t xml:space="preserve">En février 2025, le BDT, conjointement avec </w:t>
      </w:r>
      <w:proofErr w:type="spellStart"/>
      <w:r w:rsidRPr="009E5AB1">
        <w:t>Intersputnik</w:t>
      </w:r>
      <w:proofErr w:type="spellEnd"/>
      <w:r w:rsidRPr="009E5AB1">
        <w:t xml:space="preserve"> et avec la participation d'experts du BR, a organisé un atelier intitulé "Les activités spatiales dans les réalités modernes"</w:t>
      </w:r>
      <w:r>
        <w:t xml:space="preserve"> à Almaty (Kazakhstan)</w:t>
      </w:r>
      <w:r w:rsidRPr="009E5AB1">
        <w:t>. Cette manifestation, qui a réuni des acteurs du secteur des communications par satellite et a été très appréciée des participants, a</w:t>
      </w:r>
      <w:r w:rsidR="00A427BA">
        <w:t> </w:t>
      </w:r>
      <w:r w:rsidRPr="009E5AB1">
        <w:t>offert une occasion unique d'échanger de bonnes pratiques concernant l'élaboration ou l'amélioration d'une législation nationale relative aux activités spatiales, tout en examinant les enjeux liés aux politiques nationales d'accès aux marchés pour les systèmes à satellites.</w:t>
      </w:r>
      <w:r>
        <w:t xml:space="preserve"> Une deuxième formation offrant une perspective mondiale en matière de connectivité spatiale a été organisée en septembre 2025, à l</w:t>
      </w:r>
      <w:r w:rsidR="00BC7CFD">
        <w:t>'</w:t>
      </w:r>
      <w:r>
        <w:t>aimable invitation de l</w:t>
      </w:r>
      <w:r w:rsidR="00BC7CFD">
        <w:t>'</w:t>
      </w:r>
      <w:r>
        <w:t>Agence spatiale de la République d</w:t>
      </w:r>
      <w:r w:rsidR="00BC7CFD">
        <w:t>'</w:t>
      </w:r>
      <w:r>
        <w:t xml:space="preserve">Azerbaïdjan, </w:t>
      </w:r>
      <w:proofErr w:type="spellStart"/>
      <w:r>
        <w:t>AzerCosmos</w:t>
      </w:r>
      <w:proofErr w:type="spellEnd"/>
      <w:r>
        <w:t>.</w:t>
      </w:r>
    </w:p>
    <w:p w14:paraId="0521005D" w14:textId="1B4A7D75" w:rsidR="00455256" w:rsidRPr="0075221A" w:rsidRDefault="00455256" w:rsidP="0014729D">
      <w:pPr>
        <w:pStyle w:val="enumlev1"/>
        <w:jc w:val="both"/>
        <w:rPr>
          <w:rFonts w:eastAsia="Aptos"/>
          <w:color w:val="000000" w:themeColor="text1"/>
        </w:rPr>
      </w:pPr>
      <w:r w:rsidRPr="0075221A">
        <w:rPr>
          <w:rFonts w:asciiTheme="minorHAnsi" w:eastAsia="Aptos" w:hAnsiTheme="minorHAnsi" w:cstheme="minorHAnsi"/>
        </w:rPr>
        <w:t>–</w:t>
      </w:r>
      <w:r w:rsidRPr="0075221A">
        <w:rPr>
          <w:rFonts w:asciiTheme="minorHAnsi" w:eastAsia="Aptos" w:hAnsiTheme="minorHAnsi" w:cstheme="minorHAnsi"/>
        </w:rPr>
        <w:tab/>
      </w:r>
      <w:r w:rsidRPr="00DB0A57">
        <w:rPr>
          <w:rFonts w:asciiTheme="minorHAnsi" w:eastAsia="Aptos" w:hAnsiTheme="minorHAnsi" w:cstheme="minorHAnsi"/>
        </w:rPr>
        <w:t xml:space="preserve">Une </w:t>
      </w:r>
      <w:r w:rsidRPr="0075221A">
        <w:rPr>
          <w:rFonts w:eastAsia="Aptos"/>
          <w:color w:val="000000" w:themeColor="text1"/>
        </w:rPr>
        <w:t xml:space="preserve">assistance </w:t>
      </w:r>
      <w:r w:rsidRPr="00DB0A57">
        <w:rPr>
          <w:rFonts w:eastAsia="Aptos"/>
          <w:color w:val="000000" w:themeColor="text1"/>
        </w:rPr>
        <w:t xml:space="preserve">technique </w:t>
      </w:r>
      <w:r>
        <w:rPr>
          <w:rFonts w:eastAsia="Aptos"/>
          <w:color w:val="000000" w:themeColor="text1"/>
        </w:rPr>
        <w:t xml:space="preserve">sur la </w:t>
      </w:r>
      <w:r w:rsidRPr="00DB0A57">
        <w:rPr>
          <w:rFonts w:eastAsia="Aptos"/>
          <w:color w:val="000000" w:themeColor="text1"/>
        </w:rPr>
        <w:t xml:space="preserve">planification des fréquences pour la radiodiffusion audionumérique </w:t>
      </w:r>
      <w:r w:rsidRPr="0075221A">
        <w:rPr>
          <w:rFonts w:eastAsia="Aptos"/>
          <w:color w:val="000000" w:themeColor="text1"/>
        </w:rPr>
        <w:t xml:space="preserve">(DAB) </w:t>
      </w:r>
      <w:r>
        <w:rPr>
          <w:rFonts w:eastAsia="Aptos"/>
          <w:color w:val="000000" w:themeColor="text1"/>
        </w:rPr>
        <w:t xml:space="preserve">dans la bande de fréquences </w:t>
      </w:r>
      <w:r w:rsidRPr="0075221A">
        <w:rPr>
          <w:rFonts w:eastAsia="Aptos"/>
          <w:color w:val="000000" w:themeColor="text1"/>
        </w:rPr>
        <w:t xml:space="preserve">174-230 MHz </w:t>
      </w:r>
      <w:r w:rsidRPr="00900ABE">
        <w:rPr>
          <w:rFonts w:eastAsia="Aptos"/>
          <w:color w:val="000000" w:themeColor="text1"/>
        </w:rPr>
        <w:t xml:space="preserve">est actuellement fournie </w:t>
      </w:r>
      <w:r>
        <w:rPr>
          <w:rFonts w:eastAsia="Aptos"/>
          <w:color w:val="000000" w:themeColor="text1"/>
        </w:rPr>
        <w:t>à l</w:t>
      </w:r>
      <w:r w:rsidR="00BC7CFD">
        <w:rPr>
          <w:rFonts w:eastAsia="Aptos"/>
          <w:color w:val="000000" w:themeColor="text1"/>
        </w:rPr>
        <w:t>'</w:t>
      </w:r>
      <w:r w:rsidRPr="0075221A">
        <w:rPr>
          <w:rFonts w:eastAsia="Aptos"/>
          <w:color w:val="000000" w:themeColor="text1"/>
        </w:rPr>
        <w:t>Arm</w:t>
      </w:r>
      <w:r>
        <w:rPr>
          <w:rFonts w:eastAsia="Aptos"/>
          <w:color w:val="000000" w:themeColor="text1"/>
        </w:rPr>
        <w:t>énie</w:t>
      </w:r>
      <w:r w:rsidRPr="0075221A">
        <w:rPr>
          <w:rFonts w:eastAsia="Aptos"/>
          <w:color w:val="000000" w:themeColor="text1"/>
        </w:rPr>
        <w:t xml:space="preserve">, </w:t>
      </w:r>
      <w:r>
        <w:rPr>
          <w:rFonts w:eastAsia="Aptos"/>
          <w:color w:val="000000" w:themeColor="text1"/>
        </w:rPr>
        <w:t>l</w:t>
      </w:r>
      <w:r w:rsidR="00BC7CFD">
        <w:rPr>
          <w:rFonts w:eastAsia="Aptos"/>
          <w:color w:val="000000" w:themeColor="text1"/>
        </w:rPr>
        <w:t>'</w:t>
      </w:r>
      <w:r w:rsidRPr="0075221A">
        <w:rPr>
          <w:rFonts w:eastAsia="Aptos"/>
          <w:color w:val="000000" w:themeColor="text1"/>
        </w:rPr>
        <w:t>Azerba</w:t>
      </w:r>
      <w:r>
        <w:rPr>
          <w:rFonts w:eastAsia="Aptos"/>
          <w:color w:val="000000" w:themeColor="text1"/>
        </w:rPr>
        <w:t>ïd</w:t>
      </w:r>
      <w:r w:rsidRPr="0075221A">
        <w:rPr>
          <w:rFonts w:eastAsia="Aptos"/>
          <w:color w:val="000000" w:themeColor="text1"/>
        </w:rPr>
        <w:t>jan</w:t>
      </w:r>
      <w:r>
        <w:rPr>
          <w:rFonts w:eastAsia="Aptos"/>
          <w:color w:val="000000" w:themeColor="text1"/>
        </w:rPr>
        <w:t xml:space="preserve"> et à la Géorgie</w:t>
      </w:r>
      <w:r w:rsidRPr="0075221A">
        <w:rPr>
          <w:rFonts w:eastAsia="Aptos"/>
          <w:color w:val="000000" w:themeColor="text1"/>
        </w:rPr>
        <w:t>.</w:t>
      </w:r>
    </w:p>
    <w:p w14:paraId="5E17B22C" w14:textId="2DE4C1EC" w:rsidR="00455256" w:rsidRPr="00DB0A57" w:rsidRDefault="00455256" w:rsidP="0014729D">
      <w:pPr>
        <w:pStyle w:val="enumlev1"/>
        <w:jc w:val="both"/>
        <w:rPr>
          <w:rFonts w:asciiTheme="minorHAnsi" w:hAnsiTheme="minorHAnsi" w:cstheme="minorHAnsi"/>
          <w:color w:val="000000"/>
          <w:szCs w:val="24"/>
          <w:lang w:eastAsia="zh-CN"/>
        </w:rPr>
      </w:pPr>
      <w:r w:rsidRPr="00985C90">
        <w:rPr>
          <w:rFonts w:asciiTheme="minorHAnsi" w:eastAsia="Aptos" w:hAnsiTheme="minorHAnsi" w:cstheme="minorHAnsi"/>
        </w:rPr>
        <w:t>–</w:t>
      </w:r>
      <w:r w:rsidRPr="00985C90">
        <w:rPr>
          <w:rFonts w:asciiTheme="minorHAnsi" w:eastAsia="Aptos" w:hAnsiTheme="minorHAnsi" w:cstheme="minorHAnsi"/>
        </w:rPr>
        <w:tab/>
      </w:r>
      <w:r w:rsidRPr="00DB0A57">
        <w:rPr>
          <w:rFonts w:asciiTheme="minorHAnsi" w:eastAsia="Aptos" w:hAnsiTheme="minorHAnsi" w:cstheme="minorHAnsi"/>
        </w:rPr>
        <w:t xml:space="preserve">Le </w:t>
      </w:r>
      <w:r w:rsidRPr="00985C90">
        <w:rPr>
          <w:rFonts w:eastAsia="Aptos"/>
          <w:color w:val="000000" w:themeColor="text1"/>
        </w:rPr>
        <w:t xml:space="preserve">BR </w:t>
      </w:r>
      <w:r w:rsidRPr="00DB0A57">
        <w:rPr>
          <w:rFonts w:eastAsia="Aptos"/>
          <w:color w:val="000000" w:themeColor="text1"/>
        </w:rPr>
        <w:t xml:space="preserve">et le </w:t>
      </w:r>
      <w:r>
        <w:rPr>
          <w:rFonts w:eastAsia="Aptos"/>
          <w:color w:val="000000" w:themeColor="text1"/>
        </w:rPr>
        <w:t xml:space="preserve">BDT </w:t>
      </w:r>
      <w:r w:rsidRPr="00DB0A57">
        <w:rPr>
          <w:rFonts w:eastAsia="Aptos"/>
          <w:color w:val="000000" w:themeColor="text1"/>
        </w:rPr>
        <w:t xml:space="preserve">ont fourni une assistance réglementaire et technique </w:t>
      </w:r>
      <w:r w:rsidRPr="00985C90">
        <w:rPr>
          <w:rFonts w:eastAsia="Aptos"/>
          <w:color w:val="000000" w:themeColor="text1"/>
        </w:rPr>
        <w:t>complète</w:t>
      </w:r>
      <w:r w:rsidRPr="00DB0A57">
        <w:rPr>
          <w:rFonts w:eastAsia="Aptos"/>
          <w:color w:val="000000" w:themeColor="text1"/>
        </w:rPr>
        <w:t xml:space="preserve"> à</w:t>
      </w:r>
      <w:r w:rsidR="00A427BA">
        <w:rPr>
          <w:rFonts w:eastAsia="Aptos"/>
          <w:color w:val="000000" w:themeColor="text1"/>
        </w:rPr>
        <w:t> </w:t>
      </w:r>
      <w:r w:rsidRPr="00DB0A57">
        <w:rPr>
          <w:rFonts w:eastAsia="Aptos"/>
          <w:color w:val="000000" w:themeColor="text1"/>
        </w:rPr>
        <w:t>l</w:t>
      </w:r>
      <w:r w:rsidR="00BC7CFD">
        <w:rPr>
          <w:rFonts w:eastAsia="Aptos"/>
          <w:color w:val="000000" w:themeColor="text1"/>
        </w:rPr>
        <w:t>'</w:t>
      </w:r>
      <w:r w:rsidRPr="00DB0A57">
        <w:rPr>
          <w:rFonts w:eastAsia="Aptos"/>
          <w:color w:val="000000" w:themeColor="text1"/>
        </w:rPr>
        <w:t>Ou</w:t>
      </w:r>
      <w:r w:rsidRPr="00985C90">
        <w:rPr>
          <w:rFonts w:eastAsia="Aptos"/>
          <w:color w:val="000000" w:themeColor="text1"/>
        </w:rPr>
        <w:t>zb</w:t>
      </w:r>
      <w:r w:rsidRPr="00DB0A57">
        <w:rPr>
          <w:rFonts w:eastAsia="Aptos"/>
          <w:color w:val="000000" w:themeColor="text1"/>
        </w:rPr>
        <w:t>é</w:t>
      </w:r>
      <w:r w:rsidRPr="00985C90">
        <w:rPr>
          <w:rFonts w:eastAsia="Aptos"/>
          <w:color w:val="000000" w:themeColor="text1"/>
        </w:rPr>
        <w:t xml:space="preserve">kistan </w:t>
      </w:r>
      <w:r w:rsidRPr="00DB0A57">
        <w:rPr>
          <w:rFonts w:eastAsia="Aptos"/>
          <w:color w:val="000000" w:themeColor="text1"/>
        </w:rPr>
        <w:t xml:space="preserve">au </w:t>
      </w:r>
      <w:r>
        <w:rPr>
          <w:rFonts w:eastAsia="Aptos"/>
          <w:color w:val="000000" w:themeColor="text1"/>
        </w:rPr>
        <w:t>moyen d</w:t>
      </w:r>
      <w:r w:rsidR="00BC7CFD">
        <w:rPr>
          <w:rFonts w:eastAsia="Aptos"/>
          <w:color w:val="000000" w:themeColor="text1"/>
        </w:rPr>
        <w:t>'</w:t>
      </w:r>
      <w:r>
        <w:rPr>
          <w:rFonts w:eastAsia="Aptos"/>
          <w:color w:val="000000" w:themeColor="text1"/>
        </w:rPr>
        <w:t xml:space="preserve">un atelier sur les procédures de </w:t>
      </w:r>
      <w:r w:rsidRPr="00985C90">
        <w:rPr>
          <w:rFonts w:eastAsia="Aptos"/>
          <w:color w:val="000000" w:themeColor="text1"/>
        </w:rPr>
        <w:t xml:space="preserve">coordination, </w:t>
      </w:r>
      <w:r>
        <w:rPr>
          <w:rFonts w:eastAsia="Aptos"/>
          <w:color w:val="000000" w:themeColor="text1"/>
        </w:rPr>
        <w:t xml:space="preserve">de </w:t>
      </w:r>
      <w:r w:rsidRPr="00985C90">
        <w:rPr>
          <w:rFonts w:eastAsia="Aptos"/>
          <w:color w:val="000000" w:themeColor="text1"/>
        </w:rPr>
        <w:t>notification</w:t>
      </w:r>
      <w:r>
        <w:rPr>
          <w:rFonts w:eastAsia="Aptos"/>
          <w:color w:val="000000" w:themeColor="text1"/>
        </w:rPr>
        <w:t xml:space="preserve"> </w:t>
      </w:r>
      <w:r>
        <w:rPr>
          <w:rFonts w:eastAsia="Aptos"/>
          <w:color w:val="000000" w:themeColor="text1"/>
        </w:rPr>
        <w:lastRenderedPageBreak/>
        <w:t>et</w:t>
      </w:r>
      <w:r w:rsidRPr="00985C90">
        <w:rPr>
          <w:rFonts w:eastAsia="Aptos"/>
          <w:color w:val="000000" w:themeColor="text1"/>
        </w:rPr>
        <w:t xml:space="preserve"> </w:t>
      </w:r>
      <w:r>
        <w:rPr>
          <w:rFonts w:eastAsia="Aptos"/>
          <w:color w:val="000000" w:themeColor="text1"/>
        </w:rPr>
        <w:t>d</w:t>
      </w:r>
      <w:r w:rsidR="00BC7CFD">
        <w:rPr>
          <w:rFonts w:eastAsia="Aptos"/>
          <w:color w:val="000000" w:themeColor="text1"/>
        </w:rPr>
        <w:t>'</w:t>
      </w:r>
      <w:r>
        <w:rPr>
          <w:rFonts w:eastAsia="Aptos"/>
          <w:color w:val="000000" w:themeColor="text1"/>
        </w:rPr>
        <w:t>inscription des assignations de fréquence à des services de Terre et à</w:t>
      </w:r>
      <w:r w:rsidR="00A427BA">
        <w:rPr>
          <w:rFonts w:eastAsia="Aptos"/>
          <w:color w:val="000000" w:themeColor="text1"/>
        </w:rPr>
        <w:t> </w:t>
      </w:r>
      <w:r>
        <w:rPr>
          <w:rFonts w:eastAsia="Aptos"/>
          <w:color w:val="000000" w:themeColor="text1"/>
        </w:rPr>
        <w:t xml:space="preserve">des réseaux à </w:t>
      </w:r>
      <w:r w:rsidRPr="00985C90">
        <w:rPr>
          <w:rFonts w:eastAsia="Aptos"/>
          <w:color w:val="000000" w:themeColor="text1"/>
        </w:rPr>
        <w:t xml:space="preserve">satellite </w:t>
      </w:r>
      <w:r>
        <w:rPr>
          <w:rFonts w:eastAsia="Aptos"/>
          <w:color w:val="000000" w:themeColor="text1"/>
        </w:rPr>
        <w:t>conformément au Règlement des radiocommunications</w:t>
      </w:r>
      <w:r w:rsidRPr="00985C90">
        <w:rPr>
          <w:rFonts w:eastAsia="Aptos"/>
          <w:color w:val="000000" w:themeColor="text1"/>
        </w:rPr>
        <w:t xml:space="preserve">. </w:t>
      </w:r>
      <w:r w:rsidRPr="00DB0A57">
        <w:rPr>
          <w:rFonts w:eastAsia="Aptos"/>
          <w:color w:val="000000" w:themeColor="text1"/>
        </w:rPr>
        <w:t>Cette</w:t>
      </w:r>
      <w:r w:rsidRPr="00C926EC">
        <w:rPr>
          <w:rFonts w:eastAsia="Aptos"/>
          <w:color w:val="000000" w:themeColor="text1"/>
        </w:rPr>
        <w:t xml:space="preserve"> assistance </w:t>
      </w:r>
      <w:r w:rsidRPr="00DB0A57">
        <w:rPr>
          <w:rFonts w:eastAsia="Aptos"/>
          <w:color w:val="000000" w:themeColor="text1"/>
        </w:rPr>
        <w:t>comprenait une formation pratique sur les outils et logiciels de l</w:t>
      </w:r>
      <w:r w:rsidR="00BC7CFD">
        <w:rPr>
          <w:rFonts w:eastAsia="Aptos"/>
          <w:color w:val="000000" w:themeColor="text1"/>
        </w:rPr>
        <w:t>'</w:t>
      </w:r>
      <w:r w:rsidRPr="00DB0A57">
        <w:rPr>
          <w:rFonts w:eastAsia="Aptos"/>
          <w:color w:val="000000" w:themeColor="text1"/>
        </w:rPr>
        <w:t xml:space="preserve">UIT </w:t>
      </w:r>
      <w:r w:rsidRPr="00C926EC">
        <w:rPr>
          <w:rFonts w:eastAsia="Aptos"/>
          <w:color w:val="000000" w:themeColor="text1"/>
        </w:rPr>
        <w:t>(</w:t>
      </w:r>
      <w:r>
        <w:rPr>
          <w:rFonts w:eastAsia="Aptos"/>
          <w:color w:val="000000" w:themeColor="text1"/>
        </w:rPr>
        <w:t>par</w:t>
      </w:r>
      <w:r w:rsidR="00A427BA">
        <w:rPr>
          <w:rFonts w:eastAsia="Aptos"/>
          <w:color w:val="000000" w:themeColor="text1"/>
        </w:rPr>
        <w:t> </w:t>
      </w:r>
      <w:r>
        <w:rPr>
          <w:rFonts w:eastAsia="Aptos"/>
          <w:color w:val="000000" w:themeColor="text1"/>
        </w:rPr>
        <w:t>exemple la</w:t>
      </w:r>
      <w:r w:rsidRPr="00C926EC">
        <w:rPr>
          <w:rFonts w:eastAsia="Aptos"/>
          <w:color w:val="000000" w:themeColor="text1"/>
        </w:rPr>
        <w:t xml:space="preserve"> BR </w:t>
      </w:r>
      <w:proofErr w:type="spellStart"/>
      <w:r w:rsidRPr="00C926EC">
        <w:rPr>
          <w:rFonts w:eastAsia="Aptos"/>
          <w:color w:val="000000" w:themeColor="text1"/>
        </w:rPr>
        <w:t>IFIC</w:t>
      </w:r>
      <w:proofErr w:type="spellEnd"/>
      <w:r w:rsidRPr="00C926EC">
        <w:rPr>
          <w:rFonts w:eastAsia="Aptos"/>
          <w:color w:val="000000" w:themeColor="text1"/>
        </w:rPr>
        <w:t xml:space="preserve">, </w:t>
      </w:r>
      <w:proofErr w:type="spellStart"/>
      <w:r w:rsidRPr="00C926EC">
        <w:rPr>
          <w:rFonts w:eastAsia="Aptos"/>
          <w:color w:val="000000" w:themeColor="text1"/>
        </w:rPr>
        <w:t>SpaceCom</w:t>
      </w:r>
      <w:proofErr w:type="spellEnd"/>
      <w:r>
        <w:rPr>
          <w:rFonts w:eastAsia="Aptos"/>
          <w:color w:val="000000" w:themeColor="text1"/>
        </w:rPr>
        <w:t xml:space="preserve"> et</w:t>
      </w:r>
      <w:r w:rsidRPr="00C926EC">
        <w:rPr>
          <w:rFonts w:eastAsia="Aptos"/>
          <w:color w:val="000000" w:themeColor="text1"/>
        </w:rPr>
        <w:t xml:space="preserve"> GIMS), </w:t>
      </w:r>
      <w:r>
        <w:rPr>
          <w:rFonts w:eastAsia="Aptos"/>
          <w:color w:val="000000" w:themeColor="text1"/>
        </w:rPr>
        <w:t>des orientations</w:t>
      </w:r>
      <w:r w:rsidRPr="00C926EC">
        <w:rPr>
          <w:rFonts w:eastAsia="Aptos"/>
          <w:color w:val="000000" w:themeColor="text1"/>
        </w:rPr>
        <w:t xml:space="preserve"> </w:t>
      </w:r>
      <w:r>
        <w:rPr>
          <w:rFonts w:eastAsia="Aptos"/>
          <w:color w:val="000000" w:themeColor="text1"/>
        </w:rPr>
        <w:t>concernant la mise en œuvre et la protection des assignations et des allotissements de fréquences nationaux</w:t>
      </w:r>
      <w:r w:rsidRPr="00C926EC">
        <w:rPr>
          <w:rFonts w:eastAsia="Aptos"/>
          <w:color w:val="000000" w:themeColor="text1"/>
        </w:rPr>
        <w:t xml:space="preserve">, </w:t>
      </w:r>
      <w:r>
        <w:rPr>
          <w:rFonts w:eastAsia="Aptos"/>
          <w:color w:val="000000" w:themeColor="text1"/>
        </w:rPr>
        <w:t>ainsi qu</w:t>
      </w:r>
      <w:r w:rsidR="00BC7CFD">
        <w:rPr>
          <w:rFonts w:eastAsia="Aptos"/>
          <w:color w:val="000000" w:themeColor="text1"/>
        </w:rPr>
        <w:t>'</w:t>
      </w:r>
      <w:r>
        <w:rPr>
          <w:rFonts w:eastAsia="Aptos"/>
          <w:color w:val="000000" w:themeColor="text1"/>
        </w:rPr>
        <w:t xml:space="preserve">un appui ciblé visant à répondre aux points de </w:t>
      </w:r>
      <w:r w:rsidRPr="00C926EC">
        <w:rPr>
          <w:rFonts w:eastAsia="Aptos"/>
          <w:color w:val="000000" w:themeColor="text1"/>
        </w:rPr>
        <w:t xml:space="preserve">coordination </w:t>
      </w:r>
      <w:r>
        <w:rPr>
          <w:rFonts w:eastAsia="Aptos"/>
          <w:color w:val="000000" w:themeColor="text1"/>
        </w:rPr>
        <w:t>et de conformité spécifiques soulevés par l</w:t>
      </w:r>
      <w:r w:rsidR="00BC7CFD">
        <w:rPr>
          <w:rFonts w:eastAsia="Aptos"/>
          <w:color w:val="000000" w:themeColor="text1"/>
        </w:rPr>
        <w:t>'</w:t>
      </w:r>
      <w:r w:rsidRPr="00C926EC">
        <w:rPr>
          <w:rFonts w:eastAsia="Aptos"/>
          <w:color w:val="000000" w:themeColor="text1"/>
        </w:rPr>
        <w:t xml:space="preserve">Administration </w:t>
      </w:r>
      <w:r>
        <w:rPr>
          <w:rFonts w:eastAsia="Aptos"/>
          <w:color w:val="000000" w:themeColor="text1"/>
        </w:rPr>
        <w:t>de l</w:t>
      </w:r>
      <w:r w:rsidR="00BC7CFD">
        <w:rPr>
          <w:rFonts w:eastAsia="Aptos"/>
          <w:color w:val="000000" w:themeColor="text1"/>
        </w:rPr>
        <w:t>'</w:t>
      </w:r>
      <w:r>
        <w:rPr>
          <w:rFonts w:eastAsia="Aptos"/>
          <w:color w:val="000000" w:themeColor="text1"/>
        </w:rPr>
        <w:t>Ou</w:t>
      </w:r>
      <w:r w:rsidRPr="00C926EC">
        <w:rPr>
          <w:rFonts w:eastAsia="Aptos"/>
          <w:color w:val="000000" w:themeColor="text1"/>
        </w:rPr>
        <w:t>zb</w:t>
      </w:r>
      <w:r>
        <w:rPr>
          <w:rFonts w:eastAsia="Aptos"/>
          <w:color w:val="000000" w:themeColor="text1"/>
        </w:rPr>
        <w:t>é</w:t>
      </w:r>
      <w:r w:rsidRPr="00C926EC">
        <w:rPr>
          <w:rFonts w:eastAsia="Aptos"/>
          <w:color w:val="000000" w:themeColor="text1"/>
        </w:rPr>
        <w:t>kistan.</w:t>
      </w:r>
    </w:p>
    <w:p w14:paraId="00A583BA" w14:textId="77777777" w:rsidR="00455256" w:rsidRPr="009E5AB1" w:rsidRDefault="00455256" w:rsidP="009835A2">
      <w:pPr>
        <w:pStyle w:val="Headingb"/>
      </w:pPr>
      <w:r w:rsidRPr="009E5AB1">
        <w:t>Activités liées au TSB</w:t>
      </w:r>
    </w:p>
    <w:p w14:paraId="68BB1C42" w14:textId="0A65A58F" w:rsidR="00455256" w:rsidRDefault="00455256" w:rsidP="0014729D">
      <w:pPr>
        <w:jc w:val="both"/>
      </w:pPr>
      <w:r>
        <w:t>En ce qui concerne les domaines d</w:t>
      </w:r>
      <w:r w:rsidR="00BC7CFD">
        <w:t>'</w:t>
      </w:r>
      <w:r>
        <w:t>action thématiques, le Bureau régional pour la CEI a travaillé en étroite collaboration avec les équipes du BDT et du TSB sur les activités suivantes:</w:t>
      </w:r>
    </w:p>
    <w:p w14:paraId="6D37F7D3" w14:textId="66F6572A" w:rsidR="00455256" w:rsidRPr="00264943" w:rsidRDefault="00455256" w:rsidP="0014729D">
      <w:pPr>
        <w:pStyle w:val="enumlev1"/>
        <w:jc w:val="both"/>
      </w:pPr>
      <w:r w:rsidRPr="00264943">
        <w:rPr>
          <w:rFonts w:asciiTheme="minorHAnsi" w:eastAsia="Aptos" w:hAnsiTheme="minorHAnsi" w:cstheme="minorHAnsi"/>
        </w:rPr>
        <w:t>–</w:t>
      </w:r>
      <w:r w:rsidRPr="00264943">
        <w:rPr>
          <w:rFonts w:asciiTheme="minorHAnsi" w:eastAsia="Aptos" w:hAnsiTheme="minorHAnsi" w:cstheme="minorHAnsi"/>
        </w:rPr>
        <w:tab/>
      </w:r>
      <w:r w:rsidRPr="00DB0A57">
        <w:rPr>
          <w:rFonts w:asciiTheme="minorHAnsi" w:hAnsiTheme="minorHAnsi" w:cstheme="minorHAnsi"/>
          <w:szCs w:val="24"/>
          <w:lang w:eastAsia="pt-BR"/>
        </w:rPr>
        <w:t xml:space="preserve">Mise en </w:t>
      </w:r>
      <w:r w:rsidRPr="00264943">
        <w:rPr>
          <w:rFonts w:asciiTheme="minorHAnsi" w:hAnsiTheme="minorHAnsi" w:cstheme="minorHAnsi"/>
          <w:szCs w:val="24"/>
          <w:lang w:eastAsia="pt-BR"/>
        </w:rPr>
        <w:t>œuvre</w:t>
      </w:r>
      <w:r w:rsidRPr="00DB0A57">
        <w:rPr>
          <w:rFonts w:asciiTheme="minorHAnsi" w:hAnsiTheme="minorHAnsi" w:cstheme="minorHAnsi"/>
          <w:szCs w:val="24"/>
          <w:lang w:eastAsia="pt-BR"/>
        </w:rPr>
        <w:t xml:space="preserve"> d</w:t>
      </w:r>
      <w:r w:rsidR="00BC7CFD">
        <w:rPr>
          <w:rFonts w:asciiTheme="minorHAnsi" w:hAnsiTheme="minorHAnsi" w:cstheme="minorHAnsi"/>
          <w:szCs w:val="24"/>
          <w:lang w:eastAsia="pt-BR"/>
        </w:rPr>
        <w:t>'</w:t>
      </w:r>
      <w:r w:rsidRPr="00DB0A57">
        <w:rPr>
          <w:rFonts w:asciiTheme="minorHAnsi" w:hAnsiTheme="minorHAnsi" w:cstheme="minorHAnsi"/>
          <w:szCs w:val="24"/>
          <w:lang w:eastAsia="pt-BR"/>
        </w:rPr>
        <w:t>un projet régional sur la conformité et l</w:t>
      </w:r>
      <w:r w:rsidR="00BC7CFD">
        <w:rPr>
          <w:rFonts w:asciiTheme="minorHAnsi" w:hAnsiTheme="minorHAnsi" w:cstheme="minorHAnsi"/>
          <w:szCs w:val="24"/>
          <w:lang w:eastAsia="pt-BR"/>
        </w:rPr>
        <w:t>'</w:t>
      </w:r>
      <w:r w:rsidRPr="00DB0A57">
        <w:rPr>
          <w:rFonts w:asciiTheme="minorHAnsi" w:hAnsiTheme="minorHAnsi" w:cstheme="minorHAnsi"/>
          <w:szCs w:val="24"/>
          <w:lang w:eastAsia="pt-BR"/>
        </w:rPr>
        <w:t xml:space="preserve">interopérabilité </w:t>
      </w:r>
      <w:r w:rsidRPr="00264943">
        <w:rPr>
          <w:rFonts w:asciiTheme="minorHAnsi" w:hAnsiTheme="minorHAnsi" w:cstheme="minorHAnsi"/>
          <w:szCs w:val="24"/>
          <w:lang w:eastAsia="pt-BR"/>
        </w:rPr>
        <w:t>intitulé</w:t>
      </w:r>
      <w:r w:rsidRPr="00DB0A57">
        <w:rPr>
          <w:rFonts w:asciiTheme="minorHAnsi" w:hAnsiTheme="minorHAnsi" w:cstheme="minorHAnsi"/>
          <w:szCs w:val="24"/>
          <w:lang w:eastAsia="pt-BR"/>
        </w:rPr>
        <w:t xml:space="preserve"> </w:t>
      </w:r>
      <w:r w:rsidR="00A427BA">
        <w:rPr>
          <w:rFonts w:asciiTheme="minorHAnsi" w:hAnsiTheme="minorHAnsi" w:cstheme="minorHAnsi"/>
          <w:szCs w:val="24"/>
          <w:lang w:eastAsia="pt-BR"/>
        </w:rPr>
        <w:t>"</w:t>
      </w:r>
      <w:r>
        <w:rPr>
          <w:rFonts w:asciiTheme="minorHAnsi" w:hAnsiTheme="minorHAnsi" w:cstheme="minorHAnsi"/>
          <w:szCs w:val="24"/>
          <w:lang w:eastAsia="pt-BR"/>
        </w:rPr>
        <w:t>Centre i</w:t>
      </w:r>
      <w:r w:rsidRPr="00264943">
        <w:rPr>
          <w:rFonts w:asciiTheme="minorHAnsi" w:hAnsiTheme="minorHAnsi" w:cstheme="minorHAnsi"/>
          <w:szCs w:val="24"/>
          <w:lang w:eastAsia="pt-BR"/>
        </w:rPr>
        <w:t xml:space="preserve">nternational </w:t>
      </w:r>
      <w:r>
        <w:rPr>
          <w:rFonts w:asciiTheme="minorHAnsi" w:hAnsiTheme="minorHAnsi" w:cstheme="minorHAnsi"/>
          <w:szCs w:val="24"/>
          <w:lang w:eastAsia="pt-BR"/>
        </w:rPr>
        <w:t>de recherche, de développement et de test pour les États</w:t>
      </w:r>
      <w:r w:rsidR="00A427BA">
        <w:rPr>
          <w:rFonts w:asciiTheme="minorHAnsi" w:hAnsiTheme="minorHAnsi" w:cstheme="minorHAnsi"/>
          <w:szCs w:val="24"/>
          <w:lang w:eastAsia="pt-BR"/>
        </w:rPr>
        <w:t> </w:t>
      </w:r>
      <w:r>
        <w:rPr>
          <w:rFonts w:asciiTheme="minorHAnsi" w:hAnsiTheme="minorHAnsi" w:cstheme="minorHAnsi"/>
          <w:szCs w:val="24"/>
          <w:lang w:eastAsia="pt-BR"/>
        </w:rPr>
        <w:t>Membres de l</w:t>
      </w:r>
      <w:r w:rsidR="00BC7CFD">
        <w:rPr>
          <w:rFonts w:asciiTheme="minorHAnsi" w:hAnsiTheme="minorHAnsi" w:cstheme="minorHAnsi"/>
          <w:szCs w:val="24"/>
          <w:lang w:eastAsia="pt-BR"/>
        </w:rPr>
        <w:t>'</w:t>
      </w:r>
      <w:r>
        <w:rPr>
          <w:rFonts w:asciiTheme="minorHAnsi" w:hAnsiTheme="minorHAnsi" w:cstheme="minorHAnsi"/>
          <w:szCs w:val="24"/>
          <w:lang w:eastAsia="pt-BR"/>
        </w:rPr>
        <w:t>UIT et les Membres de Secteur de l</w:t>
      </w:r>
      <w:r w:rsidR="00BC7CFD">
        <w:rPr>
          <w:rFonts w:asciiTheme="minorHAnsi" w:hAnsiTheme="minorHAnsi" w:cstheme="minorHAnsi"/>
          <w:szCs w:val="24"/>
          <w:lang w:eastAsia="pt-BR"/>
        </w:rPr>
        <w:t>'</w:t>
      </w:r>
      <w:r>
        <w:rPr>
          <w:rFonts w:asciiTheme="minorHAnsi" w:hAnsiTheme="minorHAnsi" w:cstheme="minorHAnsi"/>
          <w:szCs w:val="24"/>
          <w:lang w:eastAsia="pt-BR"/>
        </w:rPr>
        <w:t>UIT de la région de la</w:t>
      </w:r>
      <w:r w:rsidR="00A427BA">
        <w:rPr>
          <w:rFonts w:asciiTheme="minorHAnsi" w:hAnsiTheme="minorHAnsi" w:cstheme="minorHAnsi"/>
          <w:szCs w:val="24"/>
          <w:lang w:eastAsia="pt-BR"/>
        </w:rPr>
        <w:t> </w:t>
      </w:r>
      <w:r>
        <w:rPr>
          <w:rFonts w:asciiTheme="minorHAnsi" w:hAnsiTheme="minorHAnsi" w:cstheme="minorHAnsi"/>
          <w:szCs w:val="24"/>
          <w:lang w:eastAsia="pt-BR"/>
        </w:rPr>
        <w:t>CEI</w:t>
      </w:r>
      <w:r w:rsidR="00A427BA">
        <w:rPr>
          <w:rFonts w:asciiTheme="minorHAnsi" w:hAnsiTheme="minorHAnsi" w:cstheme="minorHAnsi"/>
          <w:szCs w:val="24"/>
          <w:lang w:eastAsia="pt-BR"/>
        </w:rPr>
        <w:t> </w:t>
      </w:r>
      <w:r w:rsidRPr="00264943">
        <w:rPr>
          <w:rFonts w:asciiTheme="minorHAnsi" w:hAnsiTheme="minorHAnsi" w:cstheme="minorHAnsi"/>
          <w:szCs w:val="24"/>
          <w:lang w:eastAsia="pt-BR"/>
        </w:rPr>
        <w:t>–</w:t>
      </w:r>
      <w:r w:rsidR="00A427BA">
        <w:rPr>
          <w:rFonts w:asciiTheme="minorHAnsi" w:hAnsiTheme="minorHAnsi" w:cstheme="minorHAnsi"/>
          <w:szCs w:val="24"/>
          <w:lang w:eastAsia="pt-BR"/>
        </w:rPr>
        <w:t> </w:t>
      </w:r>
      <w:r w:rsidRPr="00264943">
        <w:rPr>
          <w:rFonts w:asciiTheme="minorHAnsi" w:hAnsiTheme="minorHAnsi" w:cstheme="minorHAnsi"/>
          <w:szCs w:val="24"/>
          <w:lang w:eastAsia="pt-BR"/>
        </w:rPr>
        <w:t>Phase 2</w:t>
      </w:r>
      <w:r w:rsidR="00A427BA">
        <w:rPr>
          <w:rFonts w:asciiTheme="minorHAnsi" w:hAnsiTheme="minorHAnsi" w:cstheme="minorHAnsi"/>
          <w:szCs w:val="24"/>
          <w:lang w:eastAsia="pt-BR"/>
        </w:rPr>
        <w:t>"</w:t>
      </w:r>
      <w:r>
        <w:rPr>
          <w:rFonts w:asciiTheme="minorHAnsi" w:hAnsiTheme="minorHAnsi" w:cstheme="minorHAnsi"/>
          <w:szCs w:val="24"/>
          <w:lang w:eastAsia="pt-BR"/>
        </w:rPr>
        <w:t>,</w:t>
      </w:r>
      <w:r w:rsidRPr="00264943">
        <w:rPr>
          <w:rFonts w:asciiTheme="minorHAnsi" w:hAnsiTheme="minorHAnsi" w:cstheme="minorHAnsi"/>
          <w:szCs w:val="24"/>
          <w:lang w:eastAsia="pt-BR"/>
        </w:rPr>
        <w:t xml:space="preserve"> co</w:t>
      </w:r>
      <w:r>
        <w:rPr>
          <w:rFonts w:asciiTheme="minorHAnsi" w:hAnsiTheme="minorHAnsi" w:cstheme="minorHAnsi"/>
          <w:szCs w:val="24"/>
          <w:lang w:eastAsia="pt-BR"/>
        </w:rPr>
        <w:t>financé par l</w:t>
      </w:r>
      <w:r w:rsidR="00BC7CFD">
        <w:rPr>
          <w:rFonts w:asciiTheme="minorHAnsi" w:hAnsiTheme="minorHAnsi" w:cstheme="minorHAnsi"/>
          <w:szCs w:val="24"/>
          <w:lang w:eastAsia="pt-BR"/>
        </w:rPr>
        <w:t>'</w:t>
      </w:r>
      <w:r>
        <w:rPr>
          <w:rFonts w:asciiTheme="minorHAnsi" w:hAnsiTheme="minorHAnsi" w:cstheme="minorHAnsi"/>
          <w:szCs w:val="24"/>
          <w:lang w:eastAsia="pt-BR"/>
        </w:rPr>
        <w:t xml:space="preserve">UIT et </w:t>
      </w:r>
      <w:r w:rsidRPr="00264943">
        <w:rPr>
          <w:rFonts w:asciiTheme="minorHAnsi" w:hAnsiTheme="minorHAnsi" w:cstheme="minorHAnsi"/>
          <w:szCs w:val="24"/>
          <w:lang w:eastAsia="pt-BR"/>
        </w:rPr>
        <w:t>Rostelecom (</w:t>
      </w:r>
      <w:r>
        <w:rPr>
          <w:rFonts w:asciiTheme="minorHAnsi" w:hAnsiTheme="minorHAnsi" w:cstheme="minorHAnsi"/>
          <w:szCs w:val="24"/>
          <w:lang w:eastAsia="pt-BR"/>
        </w:rPr>
        <w:t>Membre du Secteur de l</w:t>
      </w:r>
      <w:r w:rsidR="00BC7CFD">
        <w:rPr>
          <w:rFonts w:asciiTheme="minorHAnsi" w:hAnsiTheme="minorHAnsi" w:cstheme="minorHAnsi"/>
          <w:szCs w:val="24"/>
          <w:lang w:eastAsia="pt-BR"/>
        </w:rPr>
        <w:t>'</w:t>
      </w:r>
      <w:r>
        <w:rPr>
          <w:rFonts w:asciiTheme="minorHAnsi" w:hAnsiTheme="minorHAnsi" w:cstheme="minorHAnsi"/>
          <w:szCs w:val="24"/>
          <w:lang w:eastAsia="pt-BR"/>
        </w:rPr>
        <w:t>UIT</w:t>
      </w:r>
      <w:r w:rsidRPr="00264943">
        <w:rPr>
          <w:rFonts w:asciiTheme="minorHAnsi" w:hAnsiTheme="minorHAnsi" w:cstheme="minorHAnsi"/>
          <w:szCs w:val="24"/>
          <w:lang w:eastAsia="pt-BR"/>
        </w:rPr>
        <w:t xml:space="preserve">-T). </w:t>
      </w:r>
      <w:r w:rsidRPr="00DB0A57">
        <w:rPr>
          <w:rFonts w:asciiTheme="minorHAnsi" w:hAnsiTheme="minorHAnsi" w:cstheme="minorHAnsi"/>
          <w:szCs w:val="24"/>
          <w:lang w:eastAsia="pt-BR"/>
        </w:rPr>
        <w:t>Dans la période à l</w:t>
      </w:r>
      <w:r w:rsidR="00BC7CFD">
        <w:rPr>
          <w:rFonts w:asciiTheme="minorHAnsi" w:hAnsiTheme="minorHAnsi" w:cstheme="minorHAnsi"/>
          <w:szCs w:val="24"/>
          <w:lang w:eastAsia="pt-BR"/>
        </w:rPr>
        <w:t>'</w:t>
      </w:r>
      <w:r w:rsidRPr="00DB0A57">
        <w:rPr>
          <w:rFonts w:asciiTheme="minorHAnsi" w:hAnsiTheme="minorHAnsi" w:cstheme="minorHAnsi"/>
          <w:szCs w:val="24"/>
          <w:lang w:eastAsia="pt-BR"/>
        </w:rPr>
        <w:t>examen, l</w:t>
      </w:r>
      <w:r w:rsidR="00BC7CFD">
        <w:rPr>
          <w:rFonts w:asciiTheme="minorHAnsi" w:hAnsiTheme="minorHAnsi" w:cstheme="minorHAnsi"/>
          <w:szCs w:val="24"/>
          <w:lang w:eastAsia="pt-BR"/>
        </w:rPr>
        <w:t>'</w:t>
      </w:r>
      <w:r w:rsidRPr="00DB0A57">
        <w:rPr>
          <w:rFonts w:asciiTheme="minorHAnsi" w:hAnsiTheme="minorHAnsi" w:cstheme="minorHAnsi"/>
          <w:szCs w:val="24"/>
          <w:lang w:eastAsia="pt-BR"/>
        </w:rPr>
        <w:t xml:space="preserve">équipe chargée du projet a </w:t>
      </w:r>
      <w:r>
        <w:rPr>
          <w:rFonts w:asciiTheme="minorHAnsi" w:hAnsiTheme="minorHAnsi" w:cstheme="minorHAnsi"/>
          <w:szCs w:val="24"/>
          <w:lang w:eastAsia="pt-BR"/>
        </w:rPr>
        <w:t>mené une série de tests sur des équipements de télécommunication pour vérifier leur conformité aux Recommandations de l</w:t>
      </w:r>
      <w:r w:rsidR="00BC7CFD">
        <w:rPr>
          <w:rFonts w:asciiTheme="minorHAnsi" w:hAnsiTheme="minorHAnsi" w:cstheme="minorHAnsi"/>
          <w:szCs w:val="24"/>
          <w:lang w:eastAsia="pt-BR"/>
        </w:rPr>
        <w:t>'</w:t>
      </w:r>
      <w:r>
        <w:rPr>
          <w:rFonts w:asciiTheme="minorHAnsi" w:hAnsiTheme="minorHAnsi" w:cstheme="minorHAnsi"/>
          <w:szCs w:val="24"/>
          <w:lang w:eastAsia="pt-BR"/>
        </w:rPr>
        <w:t>UIT</w:t>
      </w:r>
      <w:r w:rsidRPr="00264943">
        <w:rPr>
          <w:rFonts w:asciiTheme="minorHAnsi" w:hAnsiTheme="minorHAnsi" w:cstheme="minorHAnsi"/>
          <w:szCs w:val="24"/>
          <w:lang w:eastAsia="pt-BR"/>
        </w:rPr>
        <w:t>-T</w:t>
      </w:r>
      <w:r>
        <w:rPr>
          <w:rFonts w:asciiTheme="minorHAnsi" w:hAnsiTheme="minorHAnsi" w:cstheme="minorHAnsi"/>
          <w:szCs w:val="24"/>
          <w:lang w:eastAsia="pt-BR"/>
        </w:rPr>
        <w:t>.</w:t>
      </w:r>
    </w:p>
    <w:p w14:paraId="172B5BE1" w14:textId="3A499D33" w:rsidR="00455256" w:rsidRPr="009E5AB1" w:rsidRDefault="00455256" w:rsidP="0014729D">
      <w:pPr>
        <w:pStyle w:val="enumlev1"/>
        <w:jc w:val="both"/>
      </w:pPr>
      <w:r w:rsidRPr="009E5AB1">
        <w:t>–</w:t>
      </w:r>
      <w:r w:rsidRPr="009E5AB1">
        <w:tab/>
      </w:r>
      <w:r>
        <w:t>Tenue du</w:t>
      </w:r>
      <w:r w:rsidRPr="009E5AB1">
        <w:t xml:space="preserve"> Forum régional de l'UIT sur le thème </w:t>
      </w:r>
      <w:hyperlink r:id="rId50" w:history="1">
        <w:r w:rsidR="00304288">
          <w:rPr>
            <w:rStyle w:val="Hyperlink"/>
            <w:rFonts w:eastAsia="Times New Roman" w:cs="Times New Roman"/>
            <w:szCs w:val="20"/>
          </w:rPr>
          <w:t>"Technologies de demain: intelligence artificielle, métavers, communications HTC et autres applications et services TIC – Vision 2030"</w:t>
        </w:r>
      </w:hyperlink>
      <w:r w:rsidRPr="009E5AB1">
        <w:t>, du 9 au 11 juin 2025 à Saint-Pétersbourg (Fédération de Russie). Le</w:t>
      </w:r>
      <w:r w:rsidR="00A427BA">
        <w:t> </w:t>
      </w:r>
      <w:r w:rsidRPr="009E5AB1">
        <w:t xml:space="preserve">Forum </w:t>
      </w:r>
      <w:r>
        <w:t>a été organisé conjointement par l</w:t>
      </w:r>
      <w:r w:rsidR="00BC7CFD">
        <w:t>'</w:t>
      </w:r>
      <w:r>
        <w:t>UIT et la Communauté régionale des communications (RCC), avec l</w:t>
      </w:r>
      <w:r w:rsidR="00BC7CFD">
        <w:t>'</w:t>
      </w:r>
      <w:r>
        <w:t xml:space="preserve">appui du </w:t>
      </w:r>
      <w:r w:rsidRPr="00DB0A57">
        <w:t>Ministère du développement numérique, des communications et des médias de masse de la Fédération de Russie</w:t>
      </w:r>
      <w:r>
        <w:t>. Il était organisé en parallèle des réunions du Groupe régional</w:t>
      </w:r>
      <w:r w:rsidRPr="009E5AB1">
        <w:t xml:space="preserve"> </w:t>
      </w:r>
      <w:r>
        <w:t>de la</w:t>
      </w:r>
      <w:r w:rsidRPr="009E5AB1">
        <w:t xml:space="preserve"> Commission d'études 11</w:t>
      </w:r>
      <w:r>
        <w:t xml:space="preserve"> de l</w:t>
      </w:r>
      <w:r w:rsidR="00BC7CFD">
        <w:t>'</w:t>
      </w:r>
      <w:r>
        <w:t>UIT-T</w:t>
      </w:r>
      <w:r w:rsidRPr="009E5AB1">
        <w:t xml:space="preserve">, </w:t>
      </w:r>
      <w:r>
        <w:t>du Groupe régional de la Commission d</w:t>
      </w:r>
      <w:r w:rsidR="00BC7CFD">
        <w:t>'</w:t>
      </w:r>
      <w:r>
        <w:t xml:space="preserve">études </w:t>
      </w:r>
      <w:r w:rsidRPr="009E5AB1">
        <w:t xml:space="preserve">13 </w:t>
      </w:r>
      <w:r>
        <w:t>de l</w:t>
      </w:r>
      <w:r w:rsidR="00BC7CFD">
        <w:t>'</w:t>
      </w:r>
      <w:r>
        <w:t xml:space="preserve">UIT-T </w:t>
      </w:r>
      <w:r w:rsidRPr="009E5AB1">
        <w:t xml:space="preserve">et </w:t>
      </w:r>
      <w:r>
        <w:t>du Groupe régional de la Commission d</w:t>
      </w:r>
      <w:r w:rsidR="00BC7CFD">
        <w:t>'</w:t>
      </w:r>
      <w:r>
        <w:t xml:space="preserve">études </w:t>
      </w:r>
      <w:r w:rsidRPr="009E5AB1">
        <w:t>20 de l'UIT-T</w:t>
      </w:r>
      <w:r>
        <w:t xml:space="preserve"> pour l</w:t>
      </w:r>
      <w:r w:rsidR="00BC7CFD">
        <w:t>'</w:t>
      </w:r>
      <w:r>
        <w:t>Europe de l</w:t>
      </w:r>
      <w:r w:rsidR="00BC7CFD">
        <w:t>'</w:t>
      </w:r>
      <w:r>
        <w:t>Est, l</w:t>
      </w:r>
      <w:r w:rsidR="00BC7CFD">
        <w:t>'</w:t>
      </w:r>
      <w:r>
        <w:t>Asie centrale et la Transcaucasie (</w:t>
      </w:r>
      <w:proofErr w:type="spellStart"/>
      <w:r w:rsidRPr="00B52DD8">
        <w:rPr>
          <w:rFonts w:asciiTheme="minorHAnsi" w:hAnsiTheme="minorHAnsi" w:cstheme="minorHAnsi"/>
          <w:szCs w:val="24"/>
          <w:lang w:eastAsia="pt-BR"/>
        </w:rPr>
        <w:t>SG11RG-EECAT</w:t>
      </w:r>
      <w:proofErr w:type="spellEnd"/>
      <w:r w:rsidRPr="00B52DD8">
        <w:rPr>
          <w:rFonts w:asciiTheme="minorHAnsi" w:hAnsiTheme="minorHAnsi" w:cstheme="minorHAnsi"/>
          <w:szCs w:val="24"/>
          <w:lang w:eastAsia="pt-BR"/>
        </w:rPr>
        <w:t xml:space="preserve">, </w:t>
      </w:r>
      <w:proofErr w:type="spellStart"/>
      <w:r w:rsidRPr="00B52DD8">
        <w:rPr>
          <w:rFonts w:asciiTheme="minorHAnsi" w:hAnsiTheme="minorHAnsi" w:cstheme="minorHAnsi"/>
          <w:szCs w:val="24"/>
          <w:lang w:eastAsia="pt-BR"/>
        </w:rPr>
        <w:t>SG13RG-EECAT</w:t>
      </w:r>
      <w:proofErr w:type="spellEnd"/>
      <w:r w:rsidRPr="00B52DD8">
        <w:rPr>
          <w:rFonts w:asciiTheme="minorHAnsi" w:hAnsiTheme="minorHAnsi" w:cstheme="minorHAnsi"/>
          <w:szCs w:val="24"/>
          <w:lang w:eastAsia="pt-BR"/>
        </w:rPr>
        <w:t xml:space="preserve"> </w:t>
      </w:r>
      <w:r>
        <w:rPr>
          <w:rFonts w:asciiTheme="minorHAnsi" w:hAnsiTheme="minorHAnsi" w:cstheme="minorHAnsi"/>
          <w:szCs w:val="24"/>
          <w:lang w:eastAsia="pt-BR"/>
        </w:rPr>
        <w:t>et</w:t>
      </w:r>
      <w:r w:rsidRPr="00B52DD8">
        <w:rPr>
          <w:rFonts w:asciiTheme="minorHAnsi" w:hAnsiTheme="minorHAnsi" w:cstheme="minorHAnsi"/>
          <w:szCs w:val="24"/>
          <w:lang w:eastAsia="pt-BR"/>
        </w:rPr>
        <w:t xml:space="preserve"> </w:t>
      </w:r>
      <w:proofErr w:type="spellStart"/>
      <w:r w:rsidRPr="00B52DD8">
        <w:rPr>
          <w:rFonts w:asciiTheme="minorHAnsi" w:hAnsiTheme="minorHAnsi" w:cstheme="minorHAnsi"/>
          <w:szCs w:val="24"/>
          <w:lang w:eastAsia="pt-BR"/>
        </w:rPr>
        <w:t>SG20RG-EECAT</w:t>
      </w:r>
      <w:proofErr w:type="spellEnd"/>
      <w:r w:rsidRPr="00B52DD8">
        <w:rPr>
          <w:rFonts w:asciiTheme="minorHAnsi" w:hAnsiTheme="minorHAnsi" w:cstheme="minorHAnsi"/>
          <w:szCs w:val="24"/>
          <w:lang w:eastAsia="pt-BR"/>
        </w:rPr>
        <w:t>)</w:t>
      </w:r>
      <w:r w:rsidRPr="009E5AB1">
        <w:t>.</w:t>
      </w:r>
    </w:p>
    <w:p w14:paraId="757094E3" w14:textId="42CAE09F" w:rsidR="00455256" w:rsidRPr="009E5AB1" w:rsidRDefault="00455256" w:rsidP="00304288">
      <w:pPr>
        <w:pStyle w:val="Heading2"/>
      </w:pPr>
      <w:r w:rsidRPr="009E5AB1">
        <w:t>3.7</w:t>
      </w:r>
      <w:r w:rsidRPr="009E5AB1">
        <w:tab/>
        <w:t>Bureau de l'UIT pour l'Europe/</w:t>
      </w:r>
      <w:r w:rsidR="00304288">
        <w:t>a</w:t>
      </w:r>
      <w:r w:rsidRPr="009E5AB1">
        <w:t>ctivités pour la région Europe</w:t>
      </w:r>
    </w:p>
    <w:p w14:paraId="7B0CB39C" w14:textId="77777777" w:rsidR="00455256" w:rsidRPr="009E5AB1" w:rsidRDefault="00455256" w:rsidP="00304288">
      <w:pPr>
        <w:pStyle w:val="Headingb"/>
      </w:pPr>
      <w:r w:rsidRPr="009E5AB1">
        <w:t>Activités liées au BR</w:t>
      </w:r>
    </w:p>
    <w:p w14:paraId="31535E49" w14:textId="1598C993" w:rsidR="00455256" w:rsidRPr="009E5AB1" w:rsidRDefault="00455256" w:rsidP="0014729D">
      <w:pPr>
        <w:pStyle w:val="enumlev1"/>
        <w:keepNext/>
        <w:keepLines/>
        <w:jc w:val="both"/>
      </w:pPr>
      <w:r w:rsidRPr="009E5AB1">
        <w:t>–</w:t>
      </w:r>
      <w:r w:rsidRPr="009E5AB1">
        <w:tab/>
        <w:t>Une séance d'information à l'intention du Groupe de travail du Conseil de l'Union</w:t>
      </w:r>
      <w:r w:rsidR="00A427BA">
        <w:t> </w:t>
      </w:r>
      <w:r w:rsidRPr="009E5AB1">
        <w:t>européenne (UE) sur les télécommunications et la société de l'information sur les questions liées au BR a été organisée le 27 mars 2025 à Bruxelles.</w:t>
      </w:r>
    </w:p>
    <w:p w14:paraId="6654DEAC" w14:textId="41FBAF6D" w:rsidR="00455256" w:rsidRPr="009E5AB1" w:rsidRDefault="00455256" w:rsidP="0014729D">
      <w:pPr>
        <w:pStyle w:val="enumlev1"/>
        <w:jc w:val="both"/>
      </w:pPr>
      <w:r w:rsidRPr="009E5AB1">
        <w:t>–</w:t>
      </w:r>
      <w:r w:rsidRPr="009E5AB1">
        <w:tab/>
        <w:t xml:space="preserve">Des experts du BR ont contribué à fournir une assistance technique à l'Ukraine, conformément à la Résolution 1408 du Conseil de l'UIT. Il s'agissait notamment d'organiser </w:t>
      </w:r>
      <w:r>
        <w:t xml:space="preserve">des consultations </w:t>
      </w:r>
      <w:r w:rsidRPr="009E5AB1">
        <w:t xml:space="preserve">en ligne sur le spectre à l'intention des fonctionnaires ukrainiens </w:t>
      </w:r>
      <w:r>
        <w:t>et de définir l</w:t>
      </w:r>
      <w:r w:rsidR="00BC7CFD">
        <w:t>'</w:t>
      </w:r>
      <w:r>
        <w:t xml:space="preserve">ordre du jour du prochain </w:t>
      </w:r>
      <w:r w:rsidRPr="009E5AB1">
        <w:t>atelier UIT-CE sur l'assistance</w:t>
      </w:r>
      <w:r w:rsidR="00411EDB">
        <w:t> </w:t>
      </w:r>
      <w:r w:rsidRPr="009E5AB1">
        <w:t xml:space="preserve">technique et l'échange d'informations (TAIEX), qui </w:t>
      </w:r>
      <w:r>
        <w:t>doit se tenir au</w:t>
      </w:r>
      <w:r w:rsidR="00411EDB">
        <w:t> </w:t>
      </w:r>
      <w:r>
        <w:t xml:space="preserve">deuxième trimestre de </w:t>
      </w:r>
      <w:r w:rsidRPr="009E5AB1">
        <w:t>202</w:t>
      </w:r>
      <w:r>
        <w:t>6</w:t>
      </w:r>
      <w:r w:rsidRPr="009E5AB1">
        <w:t>.</w:t>
      </w:r>
    </w:p>
    <w:p w14:paraId="60EF699D" w14:textId="101270C3" w:rsidR="00455256" w:rsidRPr="001A7E3B" w:rsidRDefault="00455256" w:rsidP="0014729D">
      <w:pPr>
        <w:pStyle w:val="enumlev1"/>
        <w:jc w:val="both"/>
        <w:rPr>
          <w:spacing w:val="-3"/>
        </w:rPr>
      </w:pPr>
      <w:r w:rsidRPr="001A7E3B">
        <w:rPr>
          <w:spacing w:val="-3"/>
        </w:rPr>
        <w:t>–</w:t>
      </w:r>
      <w:r w:rsidRPr="001A7E3B">
        <w:rPr>
          <w:spacing w:val="-3"/>
        </w:rPr>
        <w:tab/>
        <w:t>Des experts du BR ont apporté leur contribution aux ateliers du Réseau des régulateurs des communications électroniques du partenariat oriental (</w:t>
      </w:r>
      <w:proofErr w:type="spellStart"/>
      <w:r w:rsidRPr="001A7E3B">
        <w:rPr>
          <w:spacing w:val="-3"/>
        </w:rPr>
        <w:t>EaPeReg</w:t>
      </w:r>
      <w:proofErr w:type="spellEnd"/>
      <w:r w:rsidRPr="001A7E3B">
        <w:rPr>
          <w:spacing w:val="-3"/>
        </w:rPr>
        <w:t xml:space="preserve">), ce qui a permis de renforcer davantage la coopération entre l'UIT et les membres du Réseau </w:t>
      </w:r>
      <w:proofErr w:type="spellStart"/>
      <w:r w:rsidRPr="001A7E3B">
        <w:rPr>
          <w:spacing w:val="-3"/>
        </w:rPr>
        <w:t>EaPeReg</w:t>
      </w:r>
      <w:proofErr w:type="spellEnd"/>
      <w:r w:rsidRPr="001A7E3B">
        <w:rPr>
          <w:spacing w:val="-3"/>
        </w:rPr>
        <w:t>. L</w:t>
      </w:r>
      <w:r w:rsidR="00BC7CFD" w:rsidRPr="001A7E3B">
        <w:rPr>
          <w:spacing w:val="-3"/>
        </w:rPr>
        <w:t>'</w:t>
      </w:r>
      <w:r w:rsidRPr="001A7E3B">
        <w:rPr>
          <w:spacing w:val="-3"/>
        </w:rPr>
        <w:t>atelier UIT-</w:t>
      </w:r>
      <w:proofErr w:type="spellStart"/>
      <w:r w:rsidRPr="001A7E3B">
        <w:rPr>
          <w:spacing w:val="-3"/>
        </w:rPr>
        <w:t>EaPeReg</w:t>
      </w:r>
      <w:proofErr w:type="spellEnd"/>
      <w:r w:rsidRPr="001A7E3B">
        <w:rPr>
          <w:spacing w:val="-3"/>
        </w:rPr>
        <w:t>-EMERG sur le renforcement des capacités liées à la qualité de service et à la résilience de l</w:t>
      </w:r>
      <w:r w:rsidR="00BC7CFD" w:rsidRPr="001A7E3B">
        <w:rPr>
          <w:spacing w:val="-3"/>
        </w:rPr>
        <w:t>'</w:t>
      </w:r>
      <w:r w:rsidRPr="001A7E3B">
        <w:rPr>
          <w:spacing w:val="-3"/>
        </w:rPr>
        <w:t>infrastructure numérique à l</w:t>
      </w:r>
      <w:r w:rsidR="00BC7CFD" w:rsidRPr="001A7E3B">
        <w:rPr>
          <w:spacing w:val="-3"/>
        </w:rPr>
        <w:t>'</w:t>
      </w:r>
      <w:r w:rsidRPr="001A7E3B">
        <w:rPr>
          <w:spacing w:val="-3"/>
        </w:rPr>
        <w:t>intention des autorités de régulation a été organisé les 14 et 15 octobre 2025 à Chypre; dans ce cadre, plus</w:t>
      </w:r>
      <w:r w:rsidR="00304288" w:rsidRPr="001A7E3B">
        <w:rPr>
          <w:spacing w:val="-3"/>
        </w:rPr>
        <w:t> </w:t>
      </w:r>
      <w:r w:rsidRPr="001A7E3B">
        <w:rPr>
          <w:spacing w:val="-3"/>
        </w:rPr>
        <w:t>de</w:t>
      </w:r>
      <w:r w:rsidR="00304288" w:rsidRPr="001A7E3B">
        <w:rPr>
          <w:spacing w:val="-3"/>
        </w:rPr>
        <w:t> </w:t>
      </w:r>
      <w:r w:rsidRPr="001A7E3B">
        <w:rPr>
          <w:spacing w:val="-3"/>
        </w:rPr>
        <w:t>60</w:t>
      </w:r>
      <w:r w:rsidR="00411EDB" w:rsidRPr="001A7E3B">
        <w:rPr>
          <w:spacing w:val="-3"/>
        </w:rPr>
        <w:t> </w:t>
      </w:r>
      <w:r w:rsidRPr="001A7E3B">
        <w:rPr>
          <w:spacing w:val="-3"/>
        </w:rPr>
        <w:t>parties prenantes issues de 14 pays ont vu leurs capacités humaines renforcées.</w:t>
      </w:r>
    </w:p>
    <w:p w14:paraId="5BB392E9" w14:textId="4EB46451" w:rsidR="00455256" w:rsidRPr="009E5AB1" w:rsidRDefault="00455256" w:rsidP="0014729D">
      <w:pPr>
        <w:pStyle w:val="enumlev1"/>
        <w:jc w:val="both"/>
      </w:pPr>
      <w:r w:rsidRPr="009E5AB1">
        <w:lastRenderedPageBreak/>
        <w:t>–</w:t>
      </w:r>
      <w:r w:rsidRPr="009E5AB1">
        <w:tab/>
      </w:r>
      <w:r>
        <w:t>Le</w:t>
      </w:r>
      <w:r w:rsidRPr="009E5AB1">
        <w:t xml:space="preserve"> </w:t>
      </w:r>
      <w:hyperlink r:id="rId51" w:history="1">
        <w:r w:rsidRPr="004B5003">
          <w:rPr>
            <w:rStyle w:val="Hyperlink"/>
            <w:rFonts w:eastAsia="Times New Roman" w:cs="Times New Roman"/>
            <w:szCs w:val="20"/>
          </w:rPr>
          <w:t>Séminaire régional des radiocommunications de l'UIT pour l'Europe</w:t>
        </w:r>
      </w:hyperlink>
      <w:r w:rsidRPr="009E5AB1">
        <w:t xml:space="preserve"> </w:t>
      </w:r>
      <w:r>
        <w:t xml:space="preserve">a été organisé du 16 au 20 </w:t>
      </w:r>
      <w:r w:rsidRPr="009E5AB1">
        <w:t xml:space="preserve">février 2026 </w:t>
      </w:r>
      <w:r>
        <w:t xml:space="preserve">à Athènes (Grèce) et a permis </w:t>
      </w:r>
      <w:r w:rsidRPr="009E5AB1">
        <w:t>de renforcer encore les capacités humaines de</w:t>
      </w:r>
      <w:r>
        <w:t xml:space="preserve"> plus de 120 experts issus de 30</w:t>
      </w:r>
      <w:r w:rsidRPr="009E5AB1">
        <w:t xml:space="preserve"> pays européens.</w:t>
      </w:r>
    </w:p>
    <w:p w14:paraId="1317DD8C" w14:textId="77777777" w:rsidR="00455256" w:rsidRPr="009E5AB1" w:rsidRDefault="00455256" w:rsidP="009835A2">
      <w:pPr>
        <w:pStyle w:val="Headingb"/>
      </w:pPr>
      <w:r w:rsidRPr="009E5AB1">
        <w:t>Activités liées au TSB</w:t>
      </w:r>
    </w:p>
    <w:p w14:paraId="159B02BA" w14:textId="05F4AE62" w:rsidR="00455256" w:rsidRDefault="00455256" w:rsidP="0014729D">
      <w:pPr>
        <w:pStyle w:val="enumlev1"/>
        <w:jc w:val="both"/>
      </w:pPr>
      <w:r w:rsidRPr="009E5AB1">
        <w:t>–</w:t>
      </w:r>
      <w:r w:rsidRPr="009E5AB1">
        <w:tab/>
      </w:r>
      <w:r>
        <w:t>Le Bureau régional pour l</w:t>
      </w:r>
      <w:r w:rsidR="00BC7CFD">
        <w:t>'</w:t>
      </w:r>
      <w:r>
        <w:t xml:space="preserve">Europe a facilité la coordination entre le </w:t>
      </w:r>
      <w:r w:rsidRPr="009E5AB1">
        <w:t xml:space="preserve">TSB et </w:t>
      </w:r>
      <w:r>
        <w:t xml:space="preserve">les organisations régionales (la </w:t>
      </w:r>
      <w:r w:rsidRPr="00DB0A57">
        <w:t>Conférence européenne des administrations des postes et des télécommunications</w:t>
      </w:r>
      <w:r w:rsidRPr="004F42D5">
        <w:t xml:space="preserve"> </w:t>
      </w:r>
      <w:r>
        <w:t>(</w:t>
      </w:r>
      <w:proofErr w:type="spellStart"/>
      <w:r>
        <w:t>CEPT</w:t>
      </w:r>
      <w:proofErr w:type="spellEnd"/>
      <w:r>
        <w:t>) et l</w:t>
      </w:r>
      <w:r w:rsidR="00BC7CFD">
        <w:t>'</w:t>
      </w:r>
      <w:r>
        <w:t>UE), a continué de suivre les travaux du Comité des politiques de l</w:t>
      </w:r>
      <w:r w:rsidR="00BC7CFD">
        <w:t>'</w:t>
      </w:r>
      <w:r>
        <w:t xml:space="preserve">UIT (Com-UIT) de la </w:t>
      </w:r>
      <w:proofErr w:type="spellStart"/>
      <w:r>
        <w:t>CEPT</w:t>
      </w:r>
      <w:proofErr w:type="spellEnd"/>
      <w:r>
        <w:t xml:space="preserve"> concernant l</w:t>
      </w:r>
      <w:r w:rsidR="00BC7CFD">
        <w:t>'</w:t>
      </w:r>
      <w:r>
        <w:t xml:space="preserve">UIT-T et a appuyé la participation du Directeur du TSB à une réunion du Com-UIT de la </w:t>
      </w:r>
      <w:proofErr w:type="spellStart"/>
      <w:r>
        <w:t>CPET</w:t>
      </w:r>
      <w:proofErr w:type="spellEnd"/>
      <w:r>
        <w:t xml:space="preserve"> à Athènes (septembre</w:t>
      </w:r>
      <w:r w:rsidR="00411EDB">
        <w:t> </w:t>
      </w:r>
      <w:r>
        <w:t>2025).</w:t>
      </w:r>
    </w:p>
    <w:p w14:paraId="76C45C41" w14:textId="71778AAC" w:rsidR="00455256" w:rsidRPr="009E5AB1" w:rsidRDefault="009835A2" w:rsidP="0014729D">
      <w:pPr>
        <w:pStyle w:val="enumlev1"/>
        <w:jc w:val="both"/>
      </w:pPr>
      <w:r w:rsidRPr="009E5AB1">
        <w:t>–</w:t>
      </w:r>
      <w:r w:rsidRPr="009E5AB1">
        <w:tab/>
      </w:r>
      <w:r w:rsidR="00455256">
        <w:t>Un atelier de synchronisation conjoint TSB-</w:t>
      </w:r>
      <w:r w:rsidR="00455256" w:rsidRPr="009E5AB1">
        <w:t>Commission européenne</w:t>
      </w:r>
      <w:r w:rsidR="00455256">
        <w:t xml:space="preserve"> (CE)</w:t>
      </w:r>
      <w:r w:rsidR="00455256" w:rsidRPr="009E5AB1">
        <w:t xml:space="preserve"> a été organisé le 19 février 2025 à Bruxelles, afin de déterminer les domaines </w:t>
      </w:r>
      <w:r w:rsidR="00455256">
        <w:t xml:space="preserve">dans lesquels </w:t>
      </w:r>
      <w:r w:rsidR="00455256" w:rsidRPr="009E5AB1">
        <w:t>renforcer la coopération.</w:t>
      </w:r>
    </w:p>
    <w:p w14:paraId="66141CC7" w14:textId="77777777" w:rsidR="00455256" w:rsidRDefault="00455256" w:rsidP="0014729D">
      <w:pPr>
        <w:pStyle w:val="enumlev1"/>
        <w:jc w:val="both"/>
      </w:pPr>
      <w:r w:rsidRPr="009E5AB1">
        <w:t>–</w:t>
      </w:r>
      <w:r w:rsidRPr="009E5AB1">
        <w:tab/>
        <w:t>Une séance d'information à l'intention du Groupe de travail du Conseil de l'UE sur les télécommunications et la société de l'information sur les questions liées au TSB a été organisée le 20 février 2025 à Bruxelles.</w:t>
      </w:r>
    </w:p>
    <w:p w14:paraId="2CA0DF2D" w14:textId="413C400C" w:rsidR="00455256" w:rsidRPr="001A7E3B" w:rsidRDefault="00455256" w:rsidP="0014729D">
      <w:pPr>
        <w:pStyle w:val="enumlev1"/>
        <w:jc w:val="both"/>
        <w:rPr>
          <w:rFonts w:eastAsia="Aptos"/>
          <w:spacing w:val="-2"/>
        </w:rPr>
      </w:pPr>
      <w:r w:rsidRPr="001A7E3B">
        <w:rPr>
          <w:rFonts w:asciiTheme="minorHAnsi" w:eastAsia="Aptos" w:hAnsiTheme="minorHAnsi" w:cstheme="minorHAnsi"/>
          <w:spacing w:val="-2"/>
        </w:rPr>
        <w:t>–</w:t>
      </w:r>
      <w:r w:rsidRPr="001A7E3B">
        <w:rPr>
          <w:rFonts w:asciiTheme="minorHAnsi" w:eastAsia="Aptos" w:hAnsiTheme="minorHAnsi" w:cstheme="minorHAnsi"/>
          <w:spacing w:val="-2"/>
        </w:rPr>
        <w:tab/>
      </w:r>
      <w:r w:rsidRPr="001A7E3B">
        <w:rPr>
          <w:rFonts w:eastAsia="Aptos"/>
          <w:spacing w:val="-2"/>
        </w:rPr>
        <w:t xml:space="preserve">En septembre 2025, à Moldova, un atelier sur le thème </w:t>
      </w:r>
      <w:r w:rsidR="009835A2" w:rsidRPr="001A7E3B">
        <w:rPr>
          <w:rFonts w:eastAsia="Aptos"/>
          <w:spacing w:val="-2"/>
        </w:rPr>
        <w:t>"</w:t>
      </w:r>
      <w:hyperlink r:id="rId52" w:history="1">
        <w:r w:rsidRPr="001A7E3B">
          <w:rPr>
            <w:rStyle w:val="Hyperlink"/>
            <w:rFonts w:eastAsia="Aptos" w:cs="Times New Roman"/>
            <w:spacing w:val="-2"/>
            <w:szCs w:val="20"/>
          </w:rPr>
          <w:t>Harmonisation des champs électromagnétiques: Politiques, stratégies et normes internationales, régionales et nationales concernant l</w:t>
        </w:r>
        <w:r w:rsidR="00BC7CFD" w:rsidRPr="001A7E3B">
          <w:rPr>
            <w:rStyle w:val="Hyperlink"/>
            <w:rFonts w:eastAsia="Aptos" w:cs="Times New Roman"/>
            <w:spacing w:val="-2"/>
            <w:szCs w:val="20"/>
          </w:rPr>
          <w:t>'</w:t>
        </w:r>
        <w:r w:rsidRPr="001A7E3B">
          <w:rPr>
            <w:rStyle w:val="Hyperlink"/>
            <w:rFonts w:eastAsia="Aptos" w:cs="Times New Roman"/>
            <w:spacing w:val="-2"/>
            <w:szCs w:val="20"/>
          </w:rPr>
          <w:t>exposition des personnes aux champs électromagnétiques</w:t>
        </w:r>
      </w:hyperlink>
      <w:r w:rsidR="009835A2" w:rsidRPr="001A7E3B">
        <w:rPr>
          <w:rFonts w:eastAsia="Aptos"/>
          <w:spacing w:val="-2"/>
        </w:rPr>
        <w:t>"</w:t>
      </w:r>
      <w:r w:rsidRPr="001A7E3B">
        <w:rPr>
          <w:rFonts w:eastAsia="Aptos"/>
          <w:spacing w:val="-2"/>
        </w:rPr>
        <w:t xml:space="preserve"> a</w:t>
      </w:r>
      <w:r w:rsidR="00411EDB" w:rsidRPr="001A7E3B">
        <w:rPr>
          <w:rFonts w:eastAsia="Aptos"/>
          <w:spacing w:val="-2"/>
        </w:rPr>
        <w:t> </w:t>
      </w:r>
      <w:r w:rsidRPr="001A7E3B">
        <w:rPr>
          <w:rFonts w:eastAsia="Aptos"/>
          <w:spacing w:val="-2"/>
        </w:rPr>
        <w:t>été organisé conjointement avec le TSB, et une assistance technique a été fournie à</w:t>
      </w:r>
      <w:r w:rsidR="00411EDB" w:rsidRPr="001A7E3B">
        <w:rPr>
          <w:rFonts w:eastAsia="Aptos"/>
          <w:spacing w:val="-2"/>
        </w:rPr>
        <w:t> </w:t>
      </w:r>
      <w:r w:rsidRPr="001A7E3B">
        <w:rPr>
          <w:rFonts w:eastAsia="Aptos"/>
          <w:spacing w:val="-2"/>
        </w:rPr>
        <w:t>Moldova.</w:t>
      </w:r>
    </w:p>
    <w:p w14:paraId="329E95DE" w14:textId="1153B049" w:rsidR="00455256" w:rsidRPr="001D588F" w:rsidRDefault="00455256" w:rsidP="0014729D">
      <w:pPr>
        <w:pStyle w:val="enumlev1"/>
        <w:jc w:val="both"/>
        <w:rPr>
          <w:rFonts w:eastAsia="Aptos"/>
        </w:rPr>
      </w:pPr>
      <w:r w:rsidRPr="001D588F">
        <w:rPr>
          <w:rFonts w:asciiTheme="minorHAnsi" w:eastAsia="Aptos" w:hAnsiTheme="minorHAnsi" w:cstheme="minorHAnsi"/>
        </w:rPr>
        <w:t>–</w:t>
      </w:r>
      <w:r w:rsidRPr="001D588F">
        <w:rPr>
          <w:rFonts w:asciiTheme="minorHAnsi" w:eastAsia="Aptos" w:hAnsiTheme="minorHAnsi" w:cstheme="minorHAnsi"/>
        </w:rPr>
        <w:tab/>
      </w:r>
      <w:r w:rsidRPr="00DB0A57">
        <w:rPr>
          <w:rFonts w:eastAsia="Aptos"/>
        </w:rPr>
        <w:t>Le Forum</w:t>
      </w:r>
      <w:r w:rsidRPr="001D588F">
        <w:rPr>
          <w:rFonts w:eastAsia="Aptos"/>
        </w:rPr>
        <w:t xml:space="preserve"> </w:t>
      </w:r>
      <w:r w:rsidRPr="00DB0A57">
        <w:rPr>
          <w:rFonts w:eastAsia="Aptos"/>
        </w:rPr>
        <w:t>UIT</w:t>
      </w:r>
      <w:r w:rsidRPr="001D588F">
        <w:rPr>
          <w:rFonts w:eastAsia="Aptos"/>
        </w:rPr>
        <w:t>-</w:t>
      </w:r>
      <w:r w:rsidRPr="00DB0A57">
        <w:rPr>
          <w:rFonts w:eastAsia="Aptos"/>
        </w:rPr>
        <w:t xml:space="preserve">CE sur le thème </w:t>
      </w:r>
      <w:r w:rsidR="009835A2">
        <w:rPr>
          <w:rFonts w:eastAsia="Aptos"/>
        </w:rPr>
        <w:t>"</w:t>
      </w:r>
      <w:r w:rsidRPr="00DB0A57">
        <w:rPr>
          <w:rFonts w:eastAsia="Aptos"/>
        </w:rPr>
        <w:t>Une Europe a</w:t>
      </w:r>
      <w:r w:rsidRPr="001D588F">
        <w:rPr>
          <w:rFonts w:eastAsia="Aptos"/>
        </w:rPr>
        <w:t xml:space="preserve">ccessible: </w:t>
      </w:r>
      <w:r w:rsidRPr="00DB0A57">
        <w:rPr>
          <w:rFonts w:eastAsia="Aptos"/>
        </w:rPr>
        <w:t>les TIC pour tous</w:t>
      </w:r>
      <w:r w:rsidR="009835A2">
        <w:rPr>
          <w:rFonts w:eastAsia="Aptos"/>
        </w:rPr>
        <w:t>"</w:t>
      </w:r>
      <w:r w:rsidRPr="00DB0A57">
        <w:rPr>
          <w:rFonts w:eastAsia="Aptos"/>
        </w:rPr>
        <w:t xml:space="preserve"> s</w:t>
      </w:r>
      <w:r w:rsidR="00BC7CFD">
        <w:rPr>
          <w:rFonts w:eastAsia="Aptos"/>
        </w:rPr>
        <w:t>'</w:t>
      </w:r>
      <w:r w:rsidRPr="00DB0A57">
        <w:rPr>
          <w:rFonts w:eastAsia="Aptos"/>
        </w:rPr>
        <w:t>est tenu les</w:t>
      </w:r>
      <w:r w:rsidR="00304288">
        <w:rPr>
          <w:rFonts w:eastAsia="Aptos"/>
        </w:rPr>
        <w:t> </w:t>
      </w:r>
      <w:r w:rsidRPr="001D588F">
        <w:rPr>
          <w:rFonts w:eastAsia="Aptos"/>
        </w:rPr>
        <w:t>2</w:t>
      </w:r>
      <w:r>
        <w:rPr>
          <w:rFonts w:eastAsia="Aptos"/>
        </w:rPr>
        <w:t xml:space="preserve"> et </w:t>
      </w:r>
      <w:r w:rsidRPr="001D588F">
        <w:rPr>
          <w:rFonts w:eastAsia="Aptos"/>
        </w:rPr>
        <w:t xml:space="preserve">3 </w:t>
      </w:r>
      <w:r>
        <w:rPr>
          <w:rFonts w:eastAsia="Aptos"/>
        </w:rPr>
        <w:t xml:space="preserve">décembre </w:t>
      </w:r>
      <w:r w:rsidRPr="001D588F">
        <w:rPr>
          <w:rFonts w:eastAsia="Aptos"/>
        </w:rPr>
        <w:t xml:space="preserve">2025 </w:t>
      </w:r>
      <w:r>
        <w:rPr>
          <w:rFonts w:eastAsia="Aptos"/>
        </w:rPr>
        <w:t>à Bruxelles</w:t>
      </w:r>
      <w:r w:rsidRPr="001D588F">
        <w:rPr>
          <w:rFonts w:eastAsia="Aptos"/>
        </w:rPr>
        <w:t xml:space="preserve">, </w:t>
      </w:r>
      <w:r>
        <w:rPr>
          <w:rFonts w:eastAsia="Aptos"/>
        </w:rPr>
        <w:t xml:space="preserve">avec un </w:t>
      </w:r>
      <w:r w:rsidRPr="001D588F">
        <w:rPr>
          <w:rFonts w:eastAsia="Aptos"/>
        </w:rPr>
        <w:t xml:space="preserve">programme </w:t>
      </w:r>
      <w:r>
        <w:rPr>
          <w:rFonts w:eastAsia="Aptos"/>
        </w:rPr>
        <w:t>créé en collaboration avec tous les Secteurs et des séances à la pointe sur l</w:t>
      </w:r>
      <w:r w:rsidR="00BC7CFD">
        <w:rPr>
          <w:rFonts w:eastAsia="Aptos"/>
        </w:rPr>
        <w:t>'</w:t>
      </w:r>
      <w:r>
        <w:rPr>
          <w:rFonts w:eastAsia="Aptos"/>
        </w:rPr>
        <w:t xml:space="preserve">IA et les villes intelligentes </w:t>
      </w:r>
      <w:r w:rsidRPr="003B55AF">
        <w:rPr>
          <w:rFonts w:eastAsia="Aptos"/>
        </w:rPr>
        <w:t xml:space="preserve">animées </w:t>
      </w:r>
      <w:r>
        <w:rPr>
          <w:rFonts w:eastAsia="Aptos"/>
        </w:rPr>
        <w:t xml:space="preserve">par le </w:t>
      </w:r>
      <w:r w:rsidRPr="001D588F">
        <w:rPr>
          <w:rFonts w:eastAsia="Aptos"/>
        </w:rPr>
        <w:t>TSB.</w:t>
      </w:r>
    </w:p>
    <w:p w14:paraId="08E83B4C" w14:textId="2D34C512" w:rsidR="00455256" w:rsidRPr="001D588F" w:rsidRDefault="00455256" w:rsidP="0014729D">
      <w:pPr>
        <w:pStyle w:val="enumlev1"/>
        <w:jc w:val="both"/>
        <w:rPr>
          <w:rFonts w:eastAsia="Aptos"/>
        </w:rPr>
      </w:pPr>
      <w:r w:rsidRPr="00C41C75">
        <w:rPr>
          <w:rFonts w:ascii="Symbol" w:eastAsia="Aptos" w:hAnsi="Symbol"/>
        </w:rPr>
        <w:t></w:t>
      </w:r>
      <w:r w:rsidRPr="001D588F">
        <w:rPr>
          <w:rFonts w:ascii="Symbol" w:eastAsia="Aptos" w:hAnsi="Symbol"/>
        </w:rPr>
        <w:tab/>
      </w:r>
      <w:r w:rsidRPr="001D588F">
        <w:t>Le Bureau régional pour l</w:t>
      </w:r>
      <w:r w:rsidR="00BC7CFD">
        <w:t>'</w:t>
      </w:r>
      <w:r w:rsidRPr="001D588F">
        <w:t>Europe a</w:t>
      </w:r>
      <w:r w:rsidRPr="00DB0A57">
        <w:t xml:space="preserve"> fourni un appui à l</w:t>
      </w:r>
      <w:r w:rsidR="00BC7CFD">
        <w:t>'</w:t>
      </w:r>
      <w:r w:rsidRPr="00DB0A57">
        <w:t xml:space="preserve">atelier </w:t>
      </w:r>
      <w:r w:rsidRPr="00DB0A57">
        <w:rPr>
          <w:rFonts w:eastAsia="Aptos"/>
        </w:rPr>
        <w:t>de l</w:t>
      </w:r>
      <w:r w:rsidR="00BC7CFD">
        <w:rPr>
          <w:rFonts w:eastAsia="Aptos"/>
        </w:rPr>
        <w:t>'</w:t>
      </w:r>
      <w:r w:rsidRPr="00DB0A57">
        <w:rPr>
          <w:rFonts w:eastAsia="Aptos"/>
        </w:rPr>
        <w:t>UIT</w:t>
      </w:r>
      <w:r w:rsidRPr="001D588F">
        <w:rPr>
          <w:rFonts w:eastAsia="Aptos"/>
        </w:rPr>
        <w:t xml:space="preserve">-T </w:t>
      </w:r>
      <w:r>
        <w:rPr>
          <w:rFonts w:eastAsia="Aptos"/>
        </w:rPr>
        <w:t>consacré à</w:t>
      </w:r>
      <w:r w:rsidR="00411EDB">
        <w:rPr>
          <w:rFonts w:eastAsia="Aptos"/>
        </w:rPr>
        <w:t> </w:t>
      </w:r>
      <w:r>
        <w:rPr>
          <w:rFonts w:eastAsia="Aptos"/>
        </w:rPr>
        <w:t>l</w:t>
      </w:r>
      <w:r w:rsidR="00BC7CFD">
        <w:rPr>
          <w:rFonts w:eastAsia="Aptos"/>
        </w:rPr>
        <w:t>'</w:t>
      </w:r>
      <w:r>
        <w:rPr>
          <w:rFonts w:eastAsia="Aptos"/>
        </w:rPr>
        <w:t>Initiative mondiale sur la résilience face aux risques naturels grâce aux solutions</w:t>
      </w:r>
      <w:r w:rsidRPr="001D588F">
        <w:rPr>
          <w:rFonts w:eastAsia="Aptos"/>
        </w:rPr>
        <w:t xml:space="preserve"> </w:t>
      </w:r>
      <w:r>
        <w:rPr>
          <w:rFonts w:eastAsia="Aptos"/>
        </w:rPr>
        <w:t>fondées sur l</w:t>
      </w:r>
      <w:r w:rsidR="00BC7CFD">
        <w:rPr>
          <w:rFonts w:eastAsia="Aptos"/>
        </w:rPr>
        <w:t>'</w:t>
      </w:r>
      <w:r>
        <w:rPr>
          <w:rFonts w:eastAsia="Aptos"/>
        </w:rPr>
        <w:t>IA</w:t>
      </w:r>
      <w:r w:rsidRPr="001D588F">
        <w:rPr>
          <w:rFonts w:eastAsia="Aptos"/>
        </w:rPr>
        <w:t xml:space="preserve"> (</w:t>
      </w:r>
      <w:r>
        <w:rPr>
          <w:rFonts w:eastAsia="Aptos"/>
        </w:rPr>
        <w:t xml:space="preserve">décembre </w:t>
      </w:r>
      <w:r w:rsidRPr="001D588F">
        <w:rPr>
          <w:rFonts w:eastAsia="Aptos"/>
        </w:rPr>
        <w:t xml:space="preserve">2025), </w:t>
      </w:r>
      <w:r>
        <w:rPr>
          <w:rFonts w:eastAsia="Aptos"/>
        </w:rPr>
        <w:t>accueilli à Bruxelles par la Commission européenne</w:t>
      </w:r>
      <w:r w:rsidRPr="001D588F">
        <w:rPr>
          <w:rFonts w:eastAsia="Aptos"/>
        </w:rPr>
        <w:t>.</w:t>
      </w:r>
    </w:p>
    <w:p w14:paraId="7AE98523" w14:textId="77777777" w:rsidR="00455256" w:rsidRPr="009E5AB1" w:rsidRDefault="00455256" w:rsidP="009835A2">
      <w:pPr>
        <w:pStyle w:val="Heading2"/>
      </w:pPr>
      <w:r w:rsidRPr="009E5AB1">
        <w:t>3.8</w:t>
      </w:r>
      <w:r w:rsidRPr="009E5AB1">
        <w:tab/>
        <w:t>Coordination interrégionale</w:t>
      </w:r>
    </w:p>
    <w:p w14:paraId="6BA595AF" w14:textId="77777777" w:rsidR="00455256" w:rsidRPr="009E5AB1" w:rsidRDefault="00455256" w:rsidP="009835A2">
      <w:pPr>
        <w:pStyle w:val="Headingb"/>
      </w:pPr>
      <w:r w:rsidRPr="009E5AB1">
        <w:t>Activités liées au BR</w:t>
      </w:r>
    </w:p>
    <w:p w14:paraId="3895E50B" w14:textId="43F9CF7E" w:rsidR="00455256" w:rsidRPr="001D588F" w:rsidRDefault="00455256" w:rsidP="0014729D">
      <w:pPr>
        <w:pStyle w:val="enumlev1"/>
        <w:jc w:val="both"/>
        <w:rPr>
          <w:rFonts w:eastAsia="Aptos"/>
        </w:rPr>
      </w:pPr>
      <w:r w:rsidRPr="001D588F">
        <w:rPr>
          <w:rFonts w:asciiTheme="minorHAnsi" w:eastAsia="Aptos" w:hAnsiTheme="minorHAnsi" w:cstheme="minorHAnsi"/>
        </w:rPr>
        <w:t>–</w:t>
      </w:r>
      <w:r w:rsidRPr="001D588F">
        <w:rPr>
          <w:rFonts w:asciiTheme="minorHAnsi" w:eastAsia="Aptos" w:hAnsiTheme="minorHAnsi" w:cstheme="minorHAnsi"/>
        </w:rPr>
        <w:tab/>
      </w:r>
      <w:r w:rsidRPr="00DB0A57">
        <w:rPr>
          <w:rFonts w:eastAsia="SimSun"/>
        </w:rPr>
        <w:t xml:space="preserve">Les travaux conjoints menés de longue date </w:t>
      </w:r>
      <w:r w:rsidRPr="00DB0A57">
        <w:rPr>
          <w:rFonts w:eastAsia="Aptos"/>
        </w:rPr>
        <w:t>pour garantir une utilisation efficace du spectre</w:t>
      </w:r>
      <w:r w:rsidRPr="001D588F">
        <w:rPr>
          <w:rFonts w:eastAsia="Aptos"/>
        </w:rPr>
        <w:t xml:space="preserve">, </w:t>
      </w:r>
      <w:r w:rsidRPr="00DB0A57">
        <w:rPr>
          <w:rFonts w:eastAsia="Aptos"/>
        </w:rPr>
        <w:t>en particulier pour les pays en développement</w:t>
      </w:r>
      <w:r w:rsidRPr="001D588F">
        <w:rPr>
          <w:rFonts w:eastAsia="Aptos"/>
        </w:rPr>
        <w:t xml:space="preserve">, </w:t>
      </w:r>
      <w:r w:rsidRPr="00DB0A57">
        <w:rPr>
          <w:rFonts w:eastAsia="Aptos"/>
        </w:rPr>
        <w:t xml:space="preserve">dont la Résolution </w:t>
      </w:r>
      <w:r>
        <w:rPr>
          <w:rFonts w:eastAsia="Aptos"/>
        </w:rPr>
        <w:t>9 de la</w:t>
      </w:r>
      <w:r w:rsidR="007A28F5">
        <w:rPr>
          <w:rFonts w:eastAsia="Aptos"/>
        </w:rPr>
        <w:t> </w:t>
      </w:r>
      <w:proofErr w:type="spellStart"/>
      <w:r>
        <w:rPr>
          <w:rFonts w:eastAsia="Aptos"/>
        </w:rPr>
        <w:t>CDMT</w:t>
      </w:r>
      <w:proofErr w:type="spellEnd"/>
      <w:r>
        <w:rPr>
          <w:rFonts w:eastAsia="Aptos"/>
        </w:rPr>
        <w:t xml:space="preserve"> se fait l</w:t>
      </w:r>
      <w:r w:rsidR="00BC7CFD">
        <w:rPr>
          <w:rFonts w:eastAsia="Aptos"/>
        </w:rPr>
        <w:t>'</w:t>
      </w:r>
      <w:r>
        <w:rPr>
          <w:rFonts w:eastAsia="Aptos"/>
        </w:rPr>
        <w:t>écho</w:t>
      </w:r>
      <w:r w:rsidRPr="001D588F">
        <w:rPr>
          <w:rFonts w:eastAsia="Aptos"/>
        </w:rPr>
        <w:t xml:space="preserve">, </w:t>
      </w:r>
      <w:r>
        <w:rPr>
          <w:rFonts w:eastAsia="Aptos"/>
        </w:rPr>
        <w:t xml:space="preserve">comprennent le déploiement du système </w:t>
      </w:r>
      <w:proofErr w:type="spellStart"/>
      <w:r w:rsidRPr="001D588F">
        <w:rPr>
          <w:rFonts w:eastAsia="Aptos"/>
        </w:rPr>
        <w:t>SMS4DC</w:t>
      </w:r>
      <w:proofErr w:type="spellEnd"/>
      <w:r w:rsidRPr="001D588F">
        <w:rPr>
          <w:rFonts w:eastAsia="Aptos"/>
        </w:rPr>
        <w:t xml:space="preserve">, </w:t>
      </w:r>
      <w:r>
        <w:rPr>
          <w:rFonts w:eastAsia="Aptos"/>
        </w:rPr>
        <w:t>qui est conforme au Règlement des radiocommunications adopté par la CMR</w:t>
      </w:r>
      <w:r w:rsidRPr="001D588F">
        <w:rPr>
          <w:rFonts w:eastAsia="Aptos"/>
        </w:rPr>
        <w:t>.</w:t>
      </w:r>
    </w:p>
    <w:p w14:paraId="6980A2AC" w14:textId="668C9D10" w:rsidR="00455256" w:rsidRPr="00DA6ED1" w:rsidRDefault="00455256" w:rsidP="0014729D">
      <w:pPr>
        <w:pStyle w:val="enumlev1"/>
        <w:jc w:val="both"/>
        <w:rPr>
          <w:rFonts w:eastAsia="Aptos"/>
        </w:rPr>
      </w:pPr>
      <w:r w:rsidRPr="00DA6ED1">
        <w:rPr>
          <w:rFonts w:asciiTheme="minorHAnsi" w:eastAsia="Aptos" w:hAnsiTheme="minorHAnsi" w:cstheme="minorHAnsi"/>
        </w:rPr>
        <w:t>–</w:t>
      </w:r>
      <w:r w:rsidRPr="00DA6ED1">
        <w:rPr>
          <w:rFonts w:asciiTheme="minorHAnsi" w:eastAsia="Aptos" w:hAnsiTheme="minorHAnsi" w:cstheme="minorHAnsi"/>
        </w:rPr>
        <w:tab/>
      </w:r>
      <w:r>
        <w:rPr>
          <w:rFonts w:eastAsia="Aptos"/>
        </w:rPr>
        <w:t>D</w:t>
      </w:r>
      <w:r w:rsidRPr="00DB0A57">
        <w:rPr>
          <w:rFonts w:eastAsia="Aptos"/>
        </w:rPr>
        <w:t>es travaux conjoints</w:t>
      </w:r>
      <w:r w:rsidRPr="00DA6ED1">
        <w:rPr>
          <w:rFonts w:eastAsia="Aptos"/>
        </w:rPr>
        <w:t xml:space="preserve"> </w:t>
      </w:r>
      <w:r w:rsidRPr="00DB0A57">
        <w:rPr>
          <w:rFonts w:eastAsia="Aptos"/>
        </w:rPr>
        <w:t>visent également à ré</w:t>
      </w:r>
      <w:r>
        <w:rPr>
          <w:rFonts w:eastAsia="Aptos"/>
        </w:rPr>
        <w:t>duire la consommation d</w:t>
      </w:r>
      <w:r w:rsidR="00BC7CFD">
        <w:rPr>
          <w:rFonts w:eastAsia="Aptos"/>
        </w:rPr>
        <w:t>'</w:t>
      </w:r>
      <w:r>
        <w:rPr>
          <w:rFonts w:eastAsia="Aptos"/>
        </w:rPr>
        <w:t>énergie et à lutter contre les changements climatiques à l</w:t>
      </w:r>
      <w:r w:rsidR="00BC7CFD">
        <w:rPr>
          <w:rFonts w:eastAsia="Aptos"/>
        </w:rPr>
        <w:t>'</w:t>
      </w:r>
      <w:r>
        <w:rPr>
          <w:rFonts w:eastAsia="Aptos"/>
        </w:rPr>
        <w:t xml:space="preserve">aide des TIC et des </w:t>
      </w:r>
      <w:r w:rsidRPr="00DA6ED1">
        <w:rPr>
          <w:rFonts w:eastAsia="Aptos"/>
        </w:rPr>
        <w:t>technologies</w:t>
      </w:r>
      <w:r>
        <w:rPr>
          <w:rFonts w:eastAsia="Aptos"/>
        </w:rPr>
        <w:t xml:space="preserve"> de </w:t>
      </w:r>
      <w:r w:rsidRPr="00DA6ED1">
        <w:rPr>
          <w:rFonts w:eastAsia="Aptos"/>
        </w:rPr>
        <w:t>radiocommunication. Le</w:t>
      </w:r>
      <w:r w:rsidRPr="00DB0A57">
        <w:rPr>
          <w:rFonts w:eastAsia="Aptos"/>
        </w:rPr>
        <w:t xml:space="preserve"> </w:t>
      </w:r>
      <w:r w:rsidRPr="00DA6ED1">
        <w:rPr>
          <w:rFonts w:eastAsia="Aptos"/>
        </w:rPr>
        <w:t xml:space="preserve">BDT continue </w:t>
      </w:r>
      <w:r w:rsidRPr="00DB0A57">
        <w:rPr>
          <w:rFonts w:eastAsia="Aptos"/>
        </w:rPr>
        <w:t>d</w:t>
      </w:r>
      <w:r w:rsidR="00BC7CFD">
        <w:rPr>
          <w:rFonts w:eastAsia="Aptos"/>
        </w:rPr>
        <w:t>'</w:t>
      </w:r>
      <w:r w:rsidRPr="00DB0A57">
        <w:rPr>
          <w:rFonts w:eastAsia="Aptos"/>
        </w:rPr>
        <w:t xml:space="preserve">aider les </w:t>
      </w:r>
      <w:r w:rsidRPr="00DB0A57">
        <w:rPr>
          <w:rFonts w:eastAsia="Aptos" w:cs="Calibri"/>
        </w:rPr>
        <w:t>É</w:t>
      </w:r>
      <w:r w:rsidRPr="00DB0A57">
        <w:rPr>
          <w:rFonts w:eastAsia="Aptos"/>
        </w:rPr>
        <w:t>tats Membres dans ce</w:t>
      </w:r>
      <w:r>
        <w:rPr>
          <w:rFonts w:eastAsia="Aptos"/>
        </w:rPr>
        <w:t>s</w:t>
      </w:r>
      <w:r w:rsidRPr="00DB0A57">
        <w:rPr>
          <w:rFonts w:eastAsia="Aptos"/>
        </w:rPr>
        <w:t xml:space="preserve"> domaine</w:t>
      </w:r>
      <w:r>
        <w:rPr>
          <w:rFonts w:eastAsia="Aptos"/>
        </w:rPr>
        <w:t>s</w:t>
      </w:r>
      <w:r w:rsidRPr="00DA6ED1">
        <w:rPr>
          <w:rFonts w:eastAsia="Aptos"/>
        </w:rPr>
        <w:t xml:space="preserve">, </w:t>
      </w:r>
      <w:r>
        <w:rPr>
          <w:rFonts w:eastAsia="Aptos"/>
        </w:rPr>
        <w:t>et des échanges d</w:t>
      </w:r>
      <w:r w:rsidR="00BC7CFD">
        <w:rPr>
          <w:rFonts w:eastAsia="Aptos"/>
        </w:rPr>
        <w:t>'</w:t>
      </w:r>
      <w:r>
        <w:rPr>
          <w:rFonts w:eastAsia="Aptos"/>
        </w:rPr>
        <w:t>informations efficaces ont lieu entre les commissions d</w:t>
      </w:r>
      <w:r w:rsidR="00BC7CFD">
        <w:rPr>
          <w:rFonts w:eastAsia="Aptos"/>
        </w:rPr>
        <w:t>'</w:t>
      </w:r>
      <w:r>
        <w:rPr>
          <w:rFonts w:eastAsia="Aptos"/>
        </w:rPr>
        <w:t>études de l</w:t>
      </w:r>
      <w:r w:rsidR="00BC7CFD">
        <w:rPr>
          <w:rFonts w:eastAsia="Aptos"/>
        </w:rPr>
        <w:t>'</w:t>
      </w:r>
      <w:r>
        <w:rPr>
          <w:rFonts w:eastAsia="Aptos"/>
        </w:rPr>
        <w:t>UIT</w:t>
      </w:r>
      <w:r w:rsidR="007A28F5">
        <w:rPr>
          <w:rFonts w:ascii="Cambria Math" w:eastAsia="Aptos" w:hAnsi="Cambria Math" w:cs="Cambria Math"/>
        </w:rPr>
        <w:noBreakHyphen/>
      </w:r>
      <w:r w:rsidRPr="00DA6ED1">
        <w:rPr>
          <w:rFonts w:eastAsia="Aptos"/>
        </w:rPr>
        <w:t xml:space="preserve">D </w:t>
      </w:r>
      <w:r>
        <w:rPr>
          <w:rFonts w:eastAsia="Aptos"/>
        </w:rPr>
        <w:t>et celles de l</w:t>
      </w:r>
      <w:r w:rsidR="00BC7CFD">
        <w:rPr>
          <w:rFonts w:eastAsia="Aptos"/>
        </w:rPr>
        <w:t>'</w:t>
      </w:r>
      <w:r>
        <w:rPr>
          <w:rFonts w:eastAsia="Aptos"/>
        </w:rPr>
        <w:t>UIT</w:t>
      </w:r>
      <w:r w:rsidRPr="00DA6ED1">
        <w:rPr>
          <w:rFonts w:ascii="Cambria Math" w:eastAsia="Aptos" w:hAnsi="Cambria Math" w:cs="Cambria Math"/>
        </w:rPr>
        <w:t>‑</w:t>
      </w:r>
      <w:r w:rsidRPr="00DA6ED1">
        <w:rPr>
          <w:rFonts w:eastAsia="Aptos"/>
        </w:rPr>
        <w:t>R.</w:t>
      </w:r>
    </w:p>
    <w:p w14:paraId="06ED8BDC" w14:textId="20ECD854" w:rsidR="00455256" w:rsidRPr="00DA6ED1" w:rsidRDefault="00455256" w:rsidP="0014729D">
      <w:pPr>
        <w:pStyle w:val="enumlev1"/>
        <w:jc w:val="both"/>
        <w:rPr>
          <w:rFonts w:eastAsia="Aptos"/>
        </w:rPr>
      </w:pPr>
      <w:r w:rsidRPr="00DA6ED1">
        <w:rPr>
          <w:rFonts w:asciiTheme="minorHAnsi" w:eastAsia="Aptos" w:hAnsiTheme="minorHAnsi" w:cstheme="minorHAnsi"/>
        </w:rPr>
        <w:t>–</w:t>
      </w:r>
      <w:r w:rsidRPr="00DA6ED1">
        <w:rPr>
          <w:rFonts w:asciiTheme="minorHAnsi" w:eastAsia="Aptos" w:hAnsiTheme="minorHAnsi" w:cstheme="minorHAnsi"/>
        </w:rPr>
        <w:tab/>
      </w:r>
      <w:r w:rsidRPr="00DB0A57">
        <w:rPr>
          <w:rFonts w:eastAsia="Aptos"/>
        </w:rPr>
        <w:t>Les</w:t>
      </w:r>
      <w:r w:rsidRPr="00DA6ED1">
        <w:rPr>
          <w:rFonts w:eastAsia="Aptos"/>
        </w:rPr>
        <w:t xml:space="preserve"> innovations </w:t>
      </w:r>
      <w:r w:rsidRPr="00DB0A57">
        <w:rPr>
          <w:rFonts w:eastAsia="Aptos"/>
        </w:rPr>
        <w:t xml:space="preserve">récentes en matière de </w:t>
      </w:r>
      <w:r w:rsidRPr="00DA6ED1">
        <w:rPr>
          <w:rFonts w:eastAsia="Aptos"/>
        </w:rPr>
        <w:t>communication</w:t>
      </w:r>
      <w:r>
        <w:rPr>
          <w:rFonts w:eastAsia="Aptos"/>
        </w:rPr>
        <w:t>s</w:t>
      </w:r>
      <w:r w:rsidRPr="00DB0A57">
        <w:rPr>
          <w:rFonts w:eastAsia="Aptos"/>
        </w:rPr>
        <w:t xml:space="preserve"> spatiale</w:t>
      </w:r>
      <w:r>
        <w:rPr>
          <w:rFonts w:eastAsia="Aptos"/>
        </w:rPr>
        <w:t>s</w:t>
      </w:r>
      <w:r w:rsidRPr="00DB0A57">
        <w:rPr>
          <w:rFonts w:eastAsia="Aptos"/>
        </w:rPr>
        <w:t xml:space="preserve"> et par satellite</w:t>
      </w:r>
      <w:r w:rsidRPr="00DA6ED1">
        <w:rPr>
          <w:rFonts w:eastAsia="Aptos"/>
        </w:rPr>
        <w:t xml:space="preserve"> </w:t>
      </w:r>
      <w:r w:rsidRPr="00DB0A57">
        <w:rPr>
          <w:rFonts w:eastAsia="Aptos"/>
        </w:rPr>
        <w:t xml:space="preserve">qui résultent des produits de la </w:t>
      </w:r>
      <w:r>
        <w:rPr>
          <w:rFonts w:eastAsia="Aptos"/>
        </w:rPr>
        <w:t>CMR</w:t>
      </w:r>
      <w:r w:rsidRPr="00DA6ED1">
        <w:rPr>
          <w:rFonts w:ascii="Cambria Math" w:eastAsia="Aptos" w:hAnsi="Cambria Math" w:cs="Cambria Math"/>
        </w:rPr>
        <w:t>‑</w:t>
      </w:r>
      <w:r w:rsidRPr="00DA6ED1">
        <w:rPr>
          <w:rFonts w:eastAsia="Aptos"/>
        </w:rPr>
        <w:t xml:space="preserve">23 </w:t>
      </w:r>
      <w:r>
        <w:rPr>
          <w:rFonts w:eastAsia="Aptos"/>
        </w:rPr>
        <w:t>coïncident étroitement avec les efforts déployés par l</w:t>
      </w:r>
      <w:r w:rsidR="00BC7CFD">
        <w:rPr>
          <w:rFonts w:eastAsia="Aptos"/>
        </w:rPr>
        <w:t>'</w:t>
      </w:r>
      <w:r>
        <w:rPr>
          <w:rFonts w:eastAsia="Aptos"/>
        </w:rPr>
        <w:t>UIT</w:t>
      </w:r>
      <w:r w:rsidR="007A28F5">
        <w:rPr>
          <w:rFonts w:ascii="Cambria Math" w:eastAsia="Aptos" w:hAnsi="Cambria Math" w:cs="Cambria Math"/>
        </w:rPr>
        <w:t>-</w:t>
      </w:r>
      <w:r w:rsidRPr="00DA6ED1">
        <w:rPr>
          <w:rFonts w:eastAsia="Aptos"/>
        </w:rPr>
        <w:t xml:space="preserve">D </w:t>
      </w:r>
      <w:r>
        <w:rPr>
          <w:rFonts w:eastAsia="Aptos"/>
        </w:rPr>
        <w:t>en matière de sensibilisation et de renforcement des capacités</w:t>
      </w:r>
      <w:r w:rsidRPr="00DA6ED1">
        <w:rPr>
          <w:rFonts w:eastAsia="Aptos"/>
        </w:rPr>
        <w:t xml:space="preserve">, </w:t>
      </w:r>
      <w:r>
        <w:rPr>
          <w:rFonts w:eastAsia="Aptos"/>
        </w:rPr>
        <w:t>y compris dans le cadre de séances conjointes à l</w:t>
      </w:r>
      <w:r w:rsidR="00BC7CFD">
        <w:rPr>
          <w:rFonts w:eastAsia="Aptos"/>
        </w:rPr>
        <w:t>'</w:t>
      </w:r>
      <w:r>
        <w:rPr>
          <w:rFonts w:eastAsia="Aptos"/>
        </w:rPr>
        <w:t xml:space="preserve">occasion du Colloque mondial des régulateurs </w:t>
      </w:r>
      <w:r w:rsidRPr="00DA6ED1">
        <w:rPr>
          <w:rFonts w:eastAsia="Aptos"/>
        </w:rPr>
        <w:t>(</w:t>
      </w:r>
      <w:proofErr w:type="spellStart"/>
      <w:r w:rsidRPr="00DA6ED1">
        <w:rPr>
          <w:rFonts w:eastAsia="Aptos"/>
        </w:rPr>
        <w:t>GSR</w:t>
      </w:r>
      <w:proofErr w:type="spellEnd"/>
      <w:r w:rsidRPr="00DA6ED1">
        <w:rPr>
          <w:rFonts w:eastAsia="Aptos"/>
        </w:rPr>
        <w:t xml:space="preserve">), </w:t>
      </w:r>
      <w:r>
        <w:rPr>
          <w:rFonts w:eastAsia="Aptos"/>
        </w:rPr>
        <w:t>d</w:t>
      </w:r>
      <w:r w:rsidR="00BC7CFD">
        <w:rPr>
          <w:rFonts w:eastAsia="Aptos"/>
        </w:rPr>
        <w:t>'</w:t>
      </w:r>
      <w:r w:rsidRPr="00DA6ED1">
        <w:rPr>
          <w:rFonts w:eastAsia="Aptos"/>
        </w:rPr>
        <w:t xml:space="preserve">articles </w:t>
      </w:r>
      <w:r>
        <w:rPr>
          <w:rFonts w:eastAsia="Aptos"/>
        </w:rPr>
        <w:t xml:space="preserve">communs publiés sur la </w:t>
      </w:r>
      <w:hyperlink r:id="rId53" w:history="1">
        <w:r w:rsidRPr="00411EDB">
          <w:rPr>
            <w:rStyle w:val="Hyperlink"/>
            <w:rFonts w:eastAsia="Aptos"/>
          </w:rPr>
          <w:t>plate-forme sur la réglementation numérique</w:t>
        </w:r>
      </w:hyperlink>
      <w:r>
        <w:rPr>
          <w:rFonts w:eastAsia="Aptos"/>
        </w:rPr>
        <w:t xml:space="preserve"> et d</w:t>
      </w:r>
      <w:r w:rsidR="00BC7CFD">
        <w:rPr>
          <w:rFonts w:eastAsia="Aptos"/>
        </w:rPr>
        <w:t>'</w:t>
      </w:r>
      <w:r>
        <w:rPr>
          <w:rFonts w:eastAsia="Aptos"/>
        </w:rPr>
        <w:t>une participation concertée</w:t>
      </w:r>
      <w:r w:rsidRPr="00DA6ED1">
        <w:rPr>
          <w:rFonts w:eastAsia="Aptos"/>
        </w:rPr>
        <w:t xml:space="preserve"> </w:t>
      </w:r>
      <w:r>
        <w:rPr>
          <w:rFonts w:eastAsia="Aptos"/>
        </w:rPr>
        <w:t>aux forums sur la connectivité spatiale</w:t>
      </w:r>
      <w:r w:rsidRPr="00DA6ED1">
        <w:rPr>
          <w:rFonts w:eastAsia="Aptos"/>
        </w:rPr>
        <w:t>.</w:t>
      </w:r>
    </w:p>
    <w:p w14:paraId="621B358F" w14:textId="77777777" w:rsidR="00455256" w:rsidRPr="009E5AB1" w:rsidRDefault="00455256" w:rsidP="009835A2">
      <w:pPr>
        <w:pStyle w:val="Headingb"/>
      </w:pPr>
      <w:r w:rsidRPr="009E5AB1">
        <w:lastRenderedPageBreak/>
        <w:t>Activités liées au TSB</w:t>
      </w:r>
    </w:p>
    <w:p w14:paraId="3A8BC6AB" w14:textId="035DD8AF" w:rsidR="00455256" w:rsidRPr="002324F4" w:rsidRDefault="00455256" w:rsidP="0014729D">
      <w:pPr>
        <w:pStyle w:val="enumlev1"/>
        <w:jc w:val="both"/>
        <w:rPr>
          <w:rFonts w:eastAsia="SimSun"/>
        </w:rPr>
      </w:pPr>
      <w:r w:rsidRPr="002324F4">
        <w:rPr>
          <w:rFonts w:asciiTheme="minorHAnsi" w:eastAsia="Aptos" w:hAnsiTheme="minorHAnsi" w:cstheme="minorHAnsi"/>
        </w:rPr>
        <w:t>–</w:t>
      </w:r>
      <w:r w:rsidRPr="002324F4">
        <w:rPr>
          <w:rFonts w:asciiTheme="minorHAnsi" w:eastAsia="Aptos" w:hAnsiTheme="minorHAnsi" w:cstheme="minorHAnsi"/>
        </w:rPr>
        <w:tab/>
      </w:r>
      <w:r w:rsidRPr="00DB0A57">
        <w:rPr>
          <w:rFonts w:asciiTheme="minorHAnsi" w:eastAsia="Aptos" w:hAnsiTheme="minorHAnsi" w:cstheme="minorHAnsi"/>
        </w:rPr>
        <w:t>La Commission d</w:t>
      </w:r>
      <w:r w:rsidR="00BC7CFD">
        <w:rPr>
          <w:rFonts w:asciiTheme="minorHAnsi" w:eastAsia="Aptos" w:hAnsiTheme="minorHAnsi" w:cstheme="minorHAnsi"/>
        </w:rPr>
        <w:t>'</w:t>
      </w:r>
      <w:r w:rsidRPr="00DB0A57">
        <w:rPr>
          <w:rFonts w:asciiTheme="minorHAnsi" w:eastAsia="Aptos" w:hAnsiTheme="minorHAnsi" w:cstheme="minorHAnsi"/>
        </w:rPr>
        <w:t>études 17 de l</w:t>
      </w:r>
      <w:r w:rsidR="00BC7CFD">
        <w:rPr>
          <w:rFonts w:asciiTheme="minorHAnsi" w:eastAsia="Aptos" w:hAnsiTheme="minorHAnsi" w:cstheme="minorHAnsi"/>
        </w:rPr>
        <w:t>'</w:t>
      </w:r>
      <w:r w:rsidRPr="00DB0A57">
        <w:rPr>
          <w:rFonts w:asciiTheme="minorHAnsi" w:eastAsia="Aptos" w:hAnsiTheme="minorHAnsi" w:cstheme="minorHAnsi"/>
        </w:rPr>
        <w:t>UIT</w:t>
      </w:r>
      <w:r w:rsidRPr="002324F4">
        <w:rPr>
          <w:rFonts w:eastAsia="SimSun"/>
        </w:rPr>
        <w:t xml:space="preserve">-T </w:t>
      </w:r>
      <w:r w:rsidRPr="00DB0A57">
        <w:rPr>
          <w:rFonts w:eastAsia="SimSun"/>
        </w:rPr>
        <w:t xml:space="preserve">et les responsables de la </w:t>
      </w:r>
      <w:r>
        <w:rPr>
          <w:rFonts w:eastAsia="SimSun"/>
        </w:rPr>
        <w:t>Question 3 confiée à la Commission d</w:t>
      </w:r>
      <w:r w:rsidR="00BC7CFD">
        <w:rPr>
          <w:rFonts w:eastAsia="SimSun"/>
        </w:rPr>
        <w:t>'</w:t>
      </w:r>
      <w:r>
        <w:rPr>
          <w:rFonts w:eastAsia="SimSun"/>
        </w:rPr>
        <w:t>études 2 de l</w:t>
      </w:r>
      <w:r w:rsidR="00BC7CFD">
        <w:rPr>
          <w:rFonts w:eastAsia="SimSun"/>
        </w:rPr>
        <w:t>'</w:t>
      </w:r>
      <w:r>
        <w:rPr>
          <w:rFonts w:eastAsia="SimSun"/>
        </w:rPr>
        <w:t>UIT</w:t>
      </w:r>
      <w:r w:rsidRPr="002324F4">
        <w:rPr>
          <w:rFonts w:eastAsia="SimSun"/>
        </w:rPr>
        <w:t xml:space="preserve">-D </w:t>
      </w:r>
      <w:r>
        <w:rPr>
          <w:rFonts w:eastAsia="SimSun"/>
        </w:rPr>
        <w:t>mènent une coordination concernant l</w:t>
      </w:r>
      <w:r w:rsidR="00BC7CFD">
        <w:rPr>
          <w:rFonts w:eastAsia="SimSun"/>
        </w:rPr>
        <w:t>'</w:t>
      </w:r>
      <w:r w:rsidRPr="002324F4">
        <w:rPr>
          <w:rFonts w:eastAsia="SimSun"/>
        </w:rPr>
        <w:t xml:space="preserve">adoption </w:t>
      </w:r>
      <w:r>
        <w:rPr>
          <w:rFonts w:eastAsia="SimSun"/>
        </w:rPr>
        <w:t xml:space="preserve">de normes liées à la </w:t>
      </w:r>
      <w:r w:rsidRPr="002324F4">
        <w:rPr>
          <w:rFonts w:eastAsia="SimSun"/>
        </w:rPr>
        <w:t>cyber</w:t>
      </w:r>
      <w:r>
        <w:rPr>
          <w:rFonts w:eastAsia="SimSun"/>
        </w:rPr>
        <w:t>sécurité</w:t>
      </w:r>
      <w:r w:rsidRPr="002324F4">
        <w:rPr>
          <w:rFonts w:eastAsia="SimSun"/>
        </w:rPr>
        <w:t xml:space="preserve"> </w:t>
      </w:r>
      <w:r>
        <w:rPr>
          <w:rFonts w:eastAsia="SimSun"/>
        </w:rPr>
        <w:t xml:space="preserve">et les </w:t>
      </w:r>
      <w:r w:rsidRPr="002324F4">
        <w:rPr>
          <w:rFonts w:eastAsia="Aptos"/>
        </w:rPr>
        <w:t>interventions</w:t>
      </w:r>
      <w:r w:rsidRPr="002324F4">
        <w:rPr>
          <w:rFonts w:eastAsia="SimSun"/>
        </w:rPr>
        <w:t xml:space="preserve"> </w:t>
      </w:r>
      <w:r>
        <w:rPr>
          <w:rFonts w:eastAsia="SimSun"/>
        </w:rPr>
        <w:t>sur le terrain</w:t>
      </w:r>
      <w:r w:rsidRPr="002324F4">
        <w:rPr>
          <w:rFonts w:eastAsia="SimSun"/>
        </w:rPr>
        <w:t xml:space="preserve">, </w:t>
      </w:r>
      <w:r>
        <w:rPr>
          <w:rFonts w:eastAsia="SimSun"/>
        </w:rPr>
        <w:t>comme la création d</w:t>
      </w:r>
      <w:r w:rsidR="00BC7CFD">
        <w:rPr>
          <w:rFonts w:eastAsia="SimSun"/>
        </w:rPr>
        <w:t>'</w:t>
      </w:r>
      <w:r>
        <w:rPr>
          <w:rFonts w:eastAsia="SimSun"/>
        </w:rPr>
        <w:t xml:space="preserve">équipes </w:t>
      </w:r>
      <w:r w:rsidRPr="00DB0A57">
        <w:rPr>
          <w:rFonts w:eastAsia="SimSun"/>
        </w:rPr>
        <w:t>d'intervention en cas d'incident informatique</w:t>
      </w:r>
      <w:r>
        <w:rPr>
          <w:rFonts w:eastAsia="SimSun"/>
        </w:rPr>
        <w:t xml:space="preserve"> (</w:t>
      </w:r>
      <w:r w:rsidRPr="002324F4">
        <w:rPr>
          <w:rFonts w:eastAsia="SimSun"/>
        </w:rPr>
        <w:t>CIRT</w:t>
      </w:r>
      <w:r>
        <w:rPr>
          <w:rFonts w:eastAsia="SimSun"/>
        </w:rPr>
        <w:t>)</w:t>
      </w:r>
      <w:r w:rsidRPr="002324F4">
        <w:rPr>
          <w:rFonts w:eastAsia="SimSun"/>
        </w:rPr>
        <w:t>.</w:t>
      </w:r>
    </w:p>
    <w:p w14:paraId="1F516DCF" w14:textId="4D9C0EB9" w:rsidR="00455256" w:rsidRPr="002324F4" w:rsidRDefault="00455256" w:rsidP="0014729D">
      <w:pPr>
        <w:pStyle w:val="enumlev1"/>
        <w:jc w:val="both"/>
        <w:rPr>
          <w:rFonts w:eastAsia="SimSun"/>
        </w:rPr>
      </w:pPr>
      <w:r w:rsidRPr="002324F4">
        <w:rPr>
          <w:rFonts w:asciiTheme="minorHAnsi" w:eastAsia="Aptos" w:hAnsiTheme="minorHAnsi" w:cstheme="minorHAnsi"/>
        </w:rPr>
        <w:t>–</w:t>
      </w:r>
      <w:r w:rsidRPr="002324F4">
        <w:rPr>
          <w:rFonts w:asciiTheme="minorHAnsi" w:eastAsia="Aptos" w:hAnsiTheme="minorHAnsi" w:cstheme="minorHAnsi"/>
        </w:rPr>
        <w:tab/>
      </w:r>
      <w:r w:rsidRPr="00DB0A57">
        <w:rPr>
          <w:rFonts w:asciiTheme="minorHAnsi" w:eastAsia="Aptos" w:hAnsiTheme="minorHAnsi" w:cstheme="minorHAnsi"/>
        </w:rPr>
        <w:t xml:space="preserve">Le </w:t>
      </w:r>
      <w:r w:rsidRPr="002324F4">
        <w:rPr>
          <w:rFonts w:eastAsia="SimSun"/>
        </w:rPr>
        <w:t xml:space="preserve">BDT </w:t>
      </w:r>
      <w:r w:rsidRPr="00DB0A57">
        <w:rPr>
          <w:rFonts w:eastAsia="SimSun"/>
        </w:rPr>
        <w:t>continue d</w:t>
      </w:r>
      <w:r w:rsidR="00BC7CFD">
        <w:rPr>
          <w:rFonts w:eastAsia="SimSun"/>
        </w:rPr>
        <w:t>'</w:t>
      </w:r>
      <w:r w:rsidRPr="00DB0A57">
        <w:rPr>
          <w:rFonts w:eastAsia="SimSun"/>
        </w:rPr>
        <w:t xml:space="preserve">aider les pays en développement à passer du </w:t>
      </w:r>
      <w:r w:rsidR="007A28F5">
        <w:rPr>
          <w:rFonts w:eastAsia="SimSun"/>
        </w:rPr>
        <w:t>P</w:t>
      </w:r>
      <w:r w:rsidRPr="00DB0A57">
        <w:rPr>
          <w:rFonts w:eastAsia="SimSun"/>
        </w:rPr>
        <w:t xml:space="preserve">rotocole </w:t>
      </w:r>
      <w:proofErr w:type="spellStart"/>
      <w:r w:rsidRPr="002324F4">
        <w:rPr>
          <w:rFonts w:eastAsia="SimSun"/>
        </w:rPr>
        <w:t>IPv4</w:t>
      </w:r>
      <w:proofErr w:type="spellEnd"/>
      <w:r w:rsidRPr="002324F4">
        <w:rPr>
          <w:rFonts w:eastAsia="SimSun"/>
        </w:rPr>
        <w:t xml:space="preserve"> </w:t>
      </w:r>
      <w:r>
        <w:rPr>
          <w:rFonts w:eastAsia="SimSun"/>
        </w:rPr>
        <w:t xml:space="preserve">au </w:t>
      </w:r>
      <w:r w:rsidR="007A28F5">
        <w:rPr>
          <w:rFonts w:eastAsia="SimSun"/>
        </w:rPr>
        <w:t>P</w:t>
      </w:r>
      <w:r>
        <w:rPr>
          <w:rFonts w:eastAsia="SimSun"/>
        </w:rPr>
        <w:t xml:space="preserve">rotocole </w:t>
      </w:r>
      <w:proofErr w:type="spellStart"/>
      <w:r w:rsidRPr="002324F4">
        <w:rPr>
          <w:rFonts w:eastAsia="SimSun"/>
        </w:rPr>
        <w:t>IPv6</w:t>
      </w:r>
      <w:proofErr w:type="spellEnd"/>
      <w:r w:rsidRPr="002324F4">
        <w:rPr>
          <w:rFonts w:eastAsia="SimSun"/>
        </w:rPr>
        <w:t xml:space="preserve">, </w:t>
      </w:r>
      <w:r>
        <w:rPr>
          <w:rFonts w:eastAsia="SimSun"/>
        </w:rPr>
        <w:t xml:space="preserve">y compris par un renforcement des capacités </w:t>
      </w:r>
      <w:r w:rsidRPr="002324F4">
        <w:rPr>
          <w:rFonts w:eastAsia="SimSun"/>
        </w:rPr>
        <w:t>huma</w:t>
      </w:r>
      <w:r>
        <w:rPr>
          <w:rFonts w:eastAsia="SimSun"/>
        </w:rPr>
        <w:t>ines</w:t>
      </w:r>
      <w:r w:rsidRPr="002324F4">
        <w:rPr>
          <w:rFonts w:eastAsia="SimSun"/>
        </w:rPr>
        <w:t xml:space="preserve"> </w:t>
      </w:r>
      <w:r>
        <w:rPr>
          <w:rFonts w:eastAsia="SimSun"/>
        </w:rPr>
        <w:t>et institutionnelles</w:t>
      </w:r>
      <w:r w:rsidRPr="002324F4">
        <w:rPr>
          <w:rFonts w:eastAsia="SimSun"/>
        </w:rPr>
        <w:t>.</w:t>
      </w:r>
    </w:p>
    <w:p w14:paraId="11EE4FF4" w14:textId="3B8A651E" w:rsidR="00455256" w:rsidRPr="002324F4" w:rsidRDefault="00455256" w:rsidP="0014729D">
      <w:pPr>
        <w:pStyle w:val="enumlev1"/>
        <w:jc w:val="both"/>
        <w:rPr>
          <w:rFonts w:eastAsia="SimSun"/>
        </w:rPr>
      </w:pPr>
      <w:r w:rsidRPr="002324F4">
        <w:rPr>
          <w:rFonts w:asciiTheme="minorHAnsi" w:eastAsia="Aptos" w:hAnsiTheme="minorHAnsi" w:cstheme="minorHAnsi"/>
        </w:rPr>
        <w:t>–</w:t>
      </w:r>
      <w:r w:rsidRPr="002324F4">
        <w:rPr>
          <w:rFonts w:asciiTheme="minorHAnsi" w:eastAsia="Aptos" w:hAnsiTheme="minorHAnsi" w:cstheme="minorHAnsi"/>
        </w:rPr>
        <w:tab/>
      </w:r>
      <w:r w:rsidRPr="00DB0A57">
        <w:rPr>
          <w:rFonts w:asciiTheme="minorHAnsi" w:eastAsia="Aptos" w:hAnsiTheme="minorHAnsi" w:cstheme="minorHAnsi"/>
        </w:rPr>
        <w:t>Le programme visant à réduire l</w:t>
      </w:r>
      <w:r w:rsidR="00BC7CFD">
        <w:rPr>
          <w:rFonts w:asciiTheme="minorHAnsi" w:eastAsia="Aptos" w:hAnsiTheme="minorHAnsi" w:cstheme="minorHAnsi"/>
        </w:rPr>
        <w:t>'</w:t>
      </w:r>
      <w:r w:rsidRPr="00DB0A57">
        <w:rPr>
          <w:rFonts w:asciiTheme="minorHAnsi" w:eastAsia="Aptos" w:hAnsiTheme="minorHAnsi" w:cstheme="minorHAnsi"/>
        </w:rPr>
        <w:t xml:space="preserve">écart en matière de normalisation </w:t>
      </w:r>
      <w:r w:rsidRPr="00DB0A57">
        <w:rPr>
          <w:rFonts w:eastAsia="SimSun"/>
        </w:rPr>
        <w:t xml:space="preserve">demeure une </w:t>
      </w:r>
      <w:r>
        <w:rPr>
          <w:rFonts w:eastAsia="SimSun"/>
        </w:rPr>
        <w:t xml:space="preserve">des actions </w:t>
      </w:r>
      <w:r w:rsidRPr="00DB0A57">
        <w:rPr>
          <w:rFonts w:eastAsia="SimSun"/>
        </w:rPr>
        <w:t>essentielle</w:t>
      </w:r>
      <w:r>
        <w:rPr>
          <w:rFonts w:eastAsia="SimSun"/>
        </w:rPr>
        <w:t>s</w:t>
      </w:r>
      <w:r w:rsidRPr="00DB0A57">
        <w:rPr>
          <w:rFonts w:eastAsia="SimSun"/>
        </w:rPr>
        <w:t xml:space="preserve"> </w:t>
      </w:r>
      <w:r>
        <w:rPr>
          <w:rFonts w:eastAsia="SimSun"/>
        </w:rPr>
        <w:t xml:space="preserve">menées par le </w:t>
      </w:r>
      <w:r w:rsidRPr="002324F4">
        <w:rPr>
          <w:rFonts w:eastAsia="SimSun"/>
        </w:rPr>
        <w:t xml:space="preserve">BDT </w:t>
      </w:r>
      <w:r>
        <w:rPr>
          <w:rFonts w:eastAsia="SimSun"/>
        </w:rPr>
        <w:t xml:space="preserve">et le </w:t>
      </w:r>
      <w:r w:rsidRPr="002324F4">
        <w:rPr>
          <w:rFonts w:eastAsia="SimSun"/>
        </w:rPr>
        <w:t xml:space="preserve">TSB </w:t>
      </w:r>
      <w:r>
        <w:rPr>
          <w:rFonts w:eastAsia="SimSun"/>
        </w:rPr>
        <w:t>pour faire mieux connaître et contribuer à mettre en œuvre les normes de l</w:t>
      </w:r>
      <w:r w:rsidR="00BC7CFD">
        <w:rPr>
          <w:rFonts w:eastAsia="SimSun"/>
        </w:rPr>
        <w:t>'</w:t>
      </w:r>
      <w:r>
        <w:rPr>
          <w:rFonts w:eastAsia="SimSun"/>
        </w:rPr>
        <w:t>UIT-T dans les pays en développement, compte tenu des besoins spécifiques de ces pays</w:t>
      </w:r>
      <w:r w:rsidRPr="002324F4">
        <w:rPr>
          <w:rFonts w:eastAsia="SimSun"/>
        </w:rPr>
        <w:t>.</w:t>
      </w:r>
    </w:p>
    <w:p w14:paraId="7E7E0E7E" w14:textId="4832D69C" w:rsidR="00455256" w:rsidRPr="00473B36" w:rsidRDefault="00455256" w:rsidP="0014729D">
      <w:pPr>
        <w:pStyle w:val="enumlev1"/>
        <w:jc w:val="both"/>
        <w:rPr>
          <w:rFonts w:eastAsia="SimSun"/>
        </w:rPr>
      </w:pPr>
      <w:r w:rsidRPr="00473B36">
        <w:rPr>
          <w:rFonts w:asciiTheme="minorHAnsi" w:eastAsia="Aptos" w:hAnsiTheme="minorHAnsi" w:cstheme="minorHAnsi"/>
        </w:rPr>
        <w:t>–</w:t>
      </w:r>
      <w:r w:rsidRPr="00473B36">
        <w:rPr>
          <w:rFonts w:asciiTheme="minorHAnsi" w:eastAsia="Aptos" w:hAnsiTheme="minorHAnsi" w:cstheme="minorHAnsi"/>
        </w:rPr>
        <w:tab/>
      </w:r>
      <w:r w:rsidRPr="00DB0A57">
        <w:rPr>
          <w:rFonts w:asciiTheme="minorHAnsi" w:eastAsia="Aptos" w:hAnsiTheme="minorHAnsi" w:cstheme="minorHAnsi"/>
        </w:rPr>
        <w:t xml:space="preserve">Le </w:t>
      </w:r>
      <w:r w:rsidRPr="00473B36">
        <w:rPr>
          <w:rFonts w:eastAsia="SimSun"/>
        </w:rPr>
        <w:t xml:space="preserve">TSB </w:t>
      </w:r>
      <w:r w:rsidRPr="00DB0A57">
        <w:rPr>
          <w:rFonts w:eastAsia="SimSun"/>
        </w:rPr>
        <w:t xml:space="preserve">et le </w:t>
      </w:r>
      <w:r w:rsidRPr="00473B36">
        <w:rPr>
          <w:rFonts w:eastAsia="SimSun"/>
        </w:rPr>
        <w:t xml:space="preserve">BDT </w:t>
      </w:r>
      <w:r w:rsidRPr="00DB0A57">
        <w:rPr>
          <w:rFonts w:eastAsia="SimSun"/>
        </w:rPr>
        <w:t>mènent une coordination sur les questions liées aux télécommunications d</w:t>
      </w:r>
      <w:r w:rsidR="00BC7CFD">
        <w:rPr>
          <w:rFonts w:eastAsia="SimSun"/>
        </w:rPr>
        <w:t>'</w:t>
      </w:r>
      <w:r w:rsidRPr="00DB0A57">
        <w:rPr>
          <w:rFonts w:eastAsia="SimSun"/>
        </w:rPr>
        <w:t>urgence et aux changements climatiques</w:t>
      </w:r>
      <w:r w:rsidRPr="00473B36">
        <w:rPr>
          <w:rFonts w:eastAsia="SimSun"/>
        </w:rPr>
        <w:t xml:space="preserve">, </w:t>
      </w:r>
      <w:r>
        <w:rPr>
          <w:rFonts w:eastAsia="SimSun"/>
        </w:rPr>
        <w:t>de façon à garantir un alignement avec l</w:t>
      </w:r>
      <w:r w:rsidR="00BC7CFD">
        <w:rPr>
          <w:rFonts w:eastAsia="SimSun"/>
        </w:rPr>
        <w:t>'</w:t>
      </w:r>
      <w:r w:rsidR="006232B2">
        <w:rPr>
          <w:rFonts w:eastAsia="SimSun"/>
        </w:rPr>
        <w:t>I</w:t>
      </w:r>
      <w:r>
        <w:rPr>
          <w:rFonts w:eastAsia="SimSun"/>
        </w:rPr>
        <w:t xml:space="preserve">nitiative </w:t>
      </w:r>
      <w:proofErr w:type="spellStart"/>
      <w:r w:rsidRPr="00473B36">
        <w:rPr>
          <w:rFonts w:eastAsia="SimSun"/>
        </w:rPr>
        <w:t>EW4ALL</w:t>
      </w:r>
      <w:proofErr w:type="spellEnd"/>
      <w:r w:rsidRPr="00473B36">
        <w:rPr>
          <w:rFonts w:eastAsia="SimSun"/>
        </w:rPr>
        <w:t xml:space="preserve"> </w:t>
      </w:r>
      <w:r>
        <w:rPr>
          <w:rFonts w:eastAsia="SimSun"/>
        </w:rPr>
        <w:t>de l</w:t>
      </w:r>
      <w:r w:rsidR="00BC7CFD">
        <w:rPr>
          <w:rFonts w:eastAsia="SimSun"/>
        </w:rPr>
        <w:t>'</w:t>
      </w:r>
      <w:r>
        <w:rPr>
          <w:rFonts w:eastAsia="SimSun"/>
        </w:rPr>
        <w:t>ONU</w:t>
      </w:r>
      <w:r w:rsidRPr="00473B36">
        <w:rPr>
          <w:rFonts w:eastAsia="SimSun"/>
        </w:rPr>
        <w:t xml:space="preserve">, </w:t>
      </w:r>
      <w:r>
        <w:rPr>
          <w:rFonts w:eastAsia="SimSun"/>
        </w:rPr>
        <w:t xml:space="preserve">dans le cadre de laquelle le </w:t>
      </w:r>
      <w:r w:rsidRPr="00473B36">
        <w:rPr>
          <w:rFonts w:eastAsia="SimSun"/>
        </w:rPr>
        <w:t xml:space="preserve">BDT </w:t>
      </w:r>
      <w:r>
        <w:rPr>
          <w:rFonts w:eastAsia="SimSun"/>
        </w:rPr>
        <w:t>dirige le pilier Diffusion et communication des alertes</w:t>
      </w:r>
      <w:r w:rsidRPr="00473B36">
        <w:rPr>
          <w:rFonts w:eastAsia="SimSun"/>
        </w:rPr>
        <w:t>.</w:t>
      </w:r>
    </w:p>
    <w:p w14:paraId="44FEE338" w14:textId="766B4484" w:rsidR="00455256" w:rsidRDefault="00455256" w:rsidP="0014729D">
      <w:pPr>
        <w:pStyle w:val="enumlev1"/>
        <w:jc w:val="both"/>
        <w:rPr>
          <w:rFonts w:eastAsia="SimSun"/>
        </w:rPr>
      </w:pPr>
      <w:r w:rsidRPr="00473B36">
        <w:rPr>
          <w:rFonts w:asciiTheme="minorHAnsi" w:eastAsia="Aptos" w:hAnsiTheme="minorHAnsi" w:cstheme="minorHAnsi"/>
        </w:rPr>
        <w:t>–</w:t>
      </w:r>
      <w:r w:rsidRPr="00473B36">
        <w:rPr>
          <w:rFonts w:asciiTheme="minorHAnsi" w:eastAsia="Aptos" w:hAnsiTheme="minorHAnsi" w:cstheme="minorHAnsi"/>
        </w:rPr>
        <w:tab/>
      </w:r>
      <w:r w:rsidRPr="00DB0A57">
        <w:rPr>
          <w:rFonts w:eastAsia="SimSun"/>
        </w:rPr>
        <w:t>D</w:t>
      </w:r>
      <w:r w:rsidR="00BC7CFD">
        <w:rPr>
          <w:rFonts w:eastAsia="SimSun"/>
        </w:rPr>
        <w:t>'</w:t>
      </w:r>
      <w:r w:rsidRPr="00DB0A57">
        <w:rPr>
          <w:rFonts w:eastAsia="SimSun"/>
        </w:rPr>
        <w:t>autres exemples notables concernent</w:t>
      </w:r>
      <w:r w:rsidRPr="00473B36">
        <w:rPr>
          <w:rFonts w:eastAsia="SimSun"/>
        </w:rPr>
        <w:t xml:space="preserve"> </w:t>
      </w:r>
      <w:r w:rsidRPr="00DB0A57">
        <w:rPr>
          <w:rFonts w:eastAsia="SimSun"/>
        </w:rPr>
        <w:t>les villes intelligentes et les villages intelligent</w:t>
      </w:r>
      <w:r>
        <w:rPr>
          <w:rFonts w:eastAsia="SimSun"/>
        </w:rPr>
        <w:t>s</w:t>
      </w:r>
      <w:r w:rsidRPr="00473B36">
        <w:rPr>
          <w:rFonts w:eastAsia="SimSun"/>
        </w:rPr>
        <w:t xml:space="preserve">, </w:t>
      </w:r>
      <w:r>
        <w:rPr>
          <w:rFonts w:eastAsia="SimSun"/>
        </w:rPr>
        <w:t>les infrastructures publiques numériques</w:t>
      </w:r>
      <w:r w:rsidRPr="00473B36">
        <w:rPr>
          <w:rFonts w:eastAsia="SimSun"/>
        </w:rPr>
        <w:t xml:space="preserve">, </w:t>
      </w:r>
      <w:r>
        <w:rPr>
          <w:rFonts w:eastAsia="SimSun"/>
        </w:rPr>
        <w:t>la t</w:t>
      </w:r>
      <w:r w:rsidRPr="00473B36">
        <w:rPr>
          <w:rFonts w:eastAsia="SimSun"/>
        </w:rPr>
        <w:t xml:space="preserve">ransformation </w:t>
      </w:r>
      <w:r>
        <w:rPr>
          <w:rFonts w:eastAsia="SimSun"/>
        </w:rPr>
        <w:t>numérique et les technologies émergentes, comme l</w:t>
      </w:r>
      <w:r w:rsidR="00BC7CFD">
        <w:rPr>
          <w:rFonts w:eastAsia="SimSun"/>
        </w:rPr>
        <w:t>'</w:t>
      </w:r>
      <w:r>
        <w:rPr>
          <w:rFonts w:eastAsia="SimSun"/>
        </w:rPr>
        <w:t>IA, thèmes qui font l</w:t>
      </w:r>
      <w:r w:rsidR="00BC7CFD">
        <w:rPr>
          <w:rFonts w:eastAsia="SimSun"/>
        </w:rPr>
        <w:t>'</w:t>
      </w:r>
      <w:r>
        <w:rPr>
          <w:rFonts w:eastAsia="SimSun"/>
        </w:rPr>
        <w:t xml:space="preserve">objet de séances conjointes dans le cadre du </w:t>
      </w:r>
      <w:proofErr w:type="spellStart"/>
      <w:r w:rsidRPr="00473B36">
        <w:rPr>
          <w:rFonts w:eastAsia="SimSun"/>
        </w:rPr>
        <w:t>GSR</w:t>
      </w:r>
      <w:proofErr w:type="spellEnd"/>
      <w:r w:rsidRPr="00473B36">
        <w:rPr>
          <w:rFonts w:eastAsia="SimSun"/>
        </w:rPr>
        <w:t xml:space="preserve"> </w:t>
      </w:r>
      <w:r>
        <w:rPr>
          <w:rFonts w:eastAsia="SimSun"/>
        </w:rPr>
        <w:t>et du Sommet sur l</w:t>
      </w:r>
      <w:r w:rsidR="00BC7CFD">
        <w:rPr>
          <w:rFonts w:eastAsia="SimSun"/>
        </w:rPr>
        <w:t>'</w:t>
      </w:r>
      <w:r>
        <w:rPr>
          <w:rFonts w:eastAsia="SimSun"/>
        </w:rPr>
        <w:t>intelligence artificielle au service du bien social, entre autres manifestations</w:t>
      </w:r>
      <w:r w:rsidRPr="00473B36">
        <w:rPr>
          <w:rFonts w:eastAsia="SimSun"/>
        </w:rPr>
        <w:t>.</w:t>
      </w:r>
    </w:p>
    <w:p w14:paraId="6D190B92" w14:textId="77777777" w:rsidR="0014729D" w:rsidRPr="00473B36" w:rsidRDefault="0014729D" w:rsidP="0014729D">
      <w:pPr>
        <w:pStyle w:val="enumlev1"/>
        <w:jc w:val="both"/>
        <w:rPr>
          <w:rFonts w:eastAsia="SimSun"/>
        </w:rPr>
      </w:pPr>
    </w:p>
    <w:p w14:paraId="69560ED0" w14:textId="77777777" w:rsidR="00897553" w:rsidRDefault="006A11AE" w:rsidP="002D2336">
      <w:pPr>
        <w:jc w:val="center"/>
      </w:pPr>
      <w:r>
        <w:t>______________</w:t>
      </w:r>
    </w:p>
    <w:sectPr w:rsidR="00897553" w:rsidSect="00D72F49">
      <w:headerReference w:type="even" r:id="rId54"/>
      <w:footerReference w:type="even" r:id="rId55"/>
      <w:footerReference w:type="default" r:id="rId56"/>
      <w:headerReference w:type="first" r:id="rId57"/>
      <w:footerReference w:type="first" r:id="rId5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776D" w14:textId="77777777" w:rsidR="00BE2A4E" w:rsidRDefault="00BE2A4E">
      <w:r>
        <w:separator/>
      </w:r>
    </w:p>
  </w:endnote>
  <w:endnote w:type="continuationSeparator" w:id="0">
    <w:p w14:paraId="7E345A8C" w14:textId="77777777" w:rsidR="00BE2A4E" w:rsidRDefault="00BE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0902" w14:textId="0FBD3181" w:rsidR="00732045" w:rsidRDefault="00055ECC">
    <w:pPr>
      <w:pStyle w:val="Footer"/>
    </w:pPr>
    <w:fldSimple w:instr=" FILENAME \p \* MERGEFORMAT ">
      <w:r>
        <w:t>P:\FRA\gDoc\SG\C26\2600752F.docx</w:t>
      </w:r>
    </w:fldSimple>
    <w:r w:rsidR="00732045">
      <w:tab/>
    </w:r>
    <w:r w:rsidR="002F1B76">
      <w:fldChar w:fldCharType="begin"/>
    </w:r>
    <w:r w:rsidR="00732045">
      <w:instrText xml:space="preserve"> savedate \@ dd.MM.yy </w:instrText>
    </w:r>
    <w:r w:rsidR="002F1B76">
      <w:fldChar w:fldCharType="separate"/>
    </w:r>
    <w:r w:rsidR="004A13FD">
      <w:t>13.04.26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9182467" w14:textId="77777777" w:rsidTr="00E31DCE">
      <w:trPr>
        <w:jc w:val="center"/>
      </w:trPr>
      <w:tc>
        <w:tcPr>
          <w:tcW w:w="1803" w:type="dxa"/>
          <w:vAlign w:val="center"/>
        </w:tcPr>
        <w:p w14:paraId="0F5837D4" w14:textId="089D0398" w:rsidR="00A51849" w:rsidRDefault="00411EDB" w:rsidP="00A51849">
          <w:pPr>
            <w:pStyle w:val="Header"/>
            <w:jc w:val="left"/>
            <w:rPr>
              <w:noProof/>
            </w:rPr>
          </w:pPr>
          <w:r>
            <w:rPr>
              <w:noProof/>
            </w:rPr>
            <w:t>2600752</w:t>
          </w:r>
        </w:p>
      </w:tc>
      <w:tc>
        <w:tcPr>
          <w:tcW w:w="8261" w:type="dxa"/>
        </w:tcPr>
        <w:p w14:paraId="46626DB9" w14:textId="2F9065A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11EDB">
            <w:rPr>
              <w:bCs/>
            </w:rPr>
            <w:t>25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E39673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844984F" w14:textId="77777777" w:rsidTr="00E31DCE">
      <w:trPr>
        <w:jc w:val="center"/>
      </w:trPr>
      <w:tc>
        <w:tcPr>
          <w:tcW w:w="1803" w:type="dxa"/>
          <w:vAlign w:val="center"/>
        </w:tcPr>
        <w:p w14:paraId="6C7EE3A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AF085A9" w14:textId="0F34215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715C5F">
            <w:rPr>
              <w:bCs/>
            </w:rPr>
            <w:t>25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A93E87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54BC" w14:textId="77777777" w:rsidR="00BE2A4E" w:rsidRDefault="00BE2A4E">
      <w:r>
        <w:t>____________________</w:t>
      </w:r>
    </w:p>
  </w:footnote>
  <w:footnote w:type="continuationSeparator" w:id="0">
    <w:p w14:paraId="5D883BB2" w14:textId="77777777" w:rsidR="00BE2A4E" w:rsidRDefault="00BE2A4E">
      <w:r>
        <w:continuationSeparator/>
      </w:r>
    </w:p>
  </w:footnote>
  <w:footnote w:id="1">
    <w:p w14:paraId="015FC778" w14:textId="099C1012" w:rsidR="00455256" w:rsidRPr="00B10871" w:rsidRDefault="00455256" w:rsidP="00455256">
      <w:pPr>
        <w:pStyle w:val="FootnoteText"/>
      </w:pPr>
      <w:r>
        <w:rPr>
          <w:rStyle w:val="FootnoteReference"/>
        </w:rPr>
        <w:footnoteRef/>
      </w:r>
      <w:r w:rsidRPr="00B10871">
        <w:tab/>
        <w:t xml:space="preserve">Document </w:t>
      </w:r>
      <w:r w:rsidRPr="00DB0A57">
        <w:t xml:space="preserve">du Conseil </w:t>
      </w:r>
      <w:hyperlink r:id="rId1" w:history="1">
        <w:proofErr w:type="spellStart"/>
        <w:r w:rsidRPr="00B10871">
          <w:rPr>
            <w:rStyle w:val="Hyperlink"/>
          </w:rPr>
          <w:t>C25</w:t>
        </w:r>
        <w:proofErr w:type="spellEnd"/>
        <w:r w:rsidRPr="00B10871">
          <w:rPr>
            <w:rStyle w:val="Hyperlink"/>
          </w:rPr>
          <w:t>/105</w:t>
        </w:r>
      </w:hyperlink>
      <w:r w:rsidRPr="00B10871">
        <w:t>:</w:t>
      </w:r>
    </w:p>
    <w:p w14:paraId="5273FE31" w14:textId="3BC174B9" w:rsidR="00455256" w:rsidRPr="009835A2" w:rsidRDefault="00455256" w:rsidP="0014729D">
      <w:pPr>
        <w:pStyle w:val="enumlev1"/>
        <w:jc w:val="both"/>
        <w:rPr>
          <w:sz w:val="22"/>
          <w:szCs w:val="18"/>
        </w:rPr>
      </w:pPr>
      <w:r w:rsidRPr="009835A2">
        <w:rPr>
          <w:sz w:val="22"/>
          <w:szCs w:val="18"/>
        </w:rPr>
        <w:t>–</w:t>
      </w:r>
      <w:r w:rsidRPr="009835A2">
        <w:rPr>
          <w:sz w:val="22"/>
          <w:szCs w:val="18"/>
        </w:rPr>
        <w:tab/>
        <w:t>L</w:t>
      </w:r>
      <w:r w:rsidR="00BC7CFD">
        <w:rPr>
          <w:sz w:val="22"/>
          <w:szCs w:val="18"/>
        </w:rPr>
        <w:t>'</w:t>
      </w:r>
      <w:r w:rsidRPr="009835A2">
        <w:rPr>
          <w:sz w:val="22"/>
          <w:szCs w:val="18"/>
        </w:rPr>
        <w:t xml:space="preserve">Annexe H contient une </w:t>
      </w:r>
      <w:r w:rsidR="009835A2">
        <w:rPr>
          <w:sz w:val="22"/>
          <w:szCs w:val="18"/>
        </w:rPr>
        <w:t>"</w:t>
      </w:r>
      <w:r w:rsidRPr="009835A2">
        <w:rPr>
          <w:sz w:val="22"/>
          <w:szCs w:val="18"/>
        </w:rPr>
        <w:t>Recommandation relative à la présence régionale</w:t>
      </w:r>
      <w:r w:rsidR="009835A2">
        <w:rPr>
          <w:sz w:val="22"/>
          <w:szCs w:val="18"/>
        </w:rPr>
        <w:t>".</w:t>
      </w:r>
    </w:p>
    <w:p w14:paraId="46EB6F19" w14:textId="5D7231F3" w:rsidR="00455256" w:rsidRPr="009835A2" w:rsidRDefault="00455256" w:rsidP="0014729D">
      <w:pPr>
        <w:pStyle w:val="enumlev1"/>
        <w:jc w:val="both"/>
        <w:rPr>
          <w:sz w:val="22"/>
          <w:szCs w:val="18"/>
        </w:rPr>
      </w:pPr>
      <w:r w:rsidRPr="009835A2">
        <w:rPr>
          <w:sz w:val="22"/>
          <w:szCs w:val="18"/>
        </w:rPr>
        <w:t>–</w:t>
      </w:r>
      <w:r w:rsidRPr="009835A2">
        <w:rPr>
          <w:sz w:val="22"/>
          <w:szCs w:val="18"/>
        </w:rPr>
        <w:tab/>
        <w:t>L</w:t>
      </w:r>
      <w:r w:rsidR="00BC7CFD">
        <w:rPr>
          <w:sz w:val="22"/>
          <w:szCs w:val="18"/>
        </w:rPr>
        <w:t>'</w:t>
      </w:r>
      <w:r w:rsidRPr="009835A2">
        <w:rPr>
          <w:sz w:val="22"/>
          <w:szCs w:val="18"/>
        </w:rPr>
        <w:t xml:space="preserve">Annexe A contient le </w:t>
      </w:r>
      <w:r w:rsidR="009835A2">
        <w:rPr>
          <w:sz w:val="22"/>
          <w:szCs w:val="18"/>
        </w:rPr>
        <w:t>"</w:t>
      </w:r>
      <w:r w:rsidRPr="009835A2">
        <w:rPr>
          <w:sz w:val="22"/>
          <w:szCs w:val="18"/>
        </w:rPr>
        <w:t>Mandat pour l</w:t>
      </w:r>
      <w:r w:rsidR="00AC1558">
        <w:rPr>
          <w:sz w:val="22"/>
          <w:szCs w:val="18"/>
        </w:rPr>
        <w:t>'</w:t>
      </w:r>
      <w:r w:rsidRPr="009835A2">
        <w:rPr>
          <w:sz w:val="22"/>
          <w:szCs w:val="18"/>
        </w:rPr>
        <w:t>examen de la présence régionale de l</w:t>
      </w:r>
      <w:r w:rsidR="00AC1558">
        <w:rPr>
          <w:sz w:val="22"/>
          <w:szCs w:val="18"/>
        </w:rPr>
        <w:t>'</w:t>
      </w:r>
      <w:r w:rsidRPr="009835A2">
        <w:rPr>
          <w:sz w:val="22"/>
          <w:szCs w:val="18"/>
        </w:rPr>
        <w:t>UIT</w:t>
      </w:r>
      <w:r w:rsidR="009835A2">
        <w:rPr>
          <w:sz w:val="22"/>
          <w:szCs w:val="18"/>
        </w:rPr>
        <w:t>"</w:t>
      </w:r>
      <w:r w:rsidRPr="009835A2">
        <w:rPr>
          <w:sz w:val="22"/>
          <w:szCs w:val="18"/>
        </w:rPr>
        <w:t xml:space="preserve"> et en définit la portée</w:t>
      </w:r>
      <w:r w:rsidR="009835A2">
        <w:rPr>
          <w:sz w:val="22"/>
          <w:szCs w:val="18"/>
        </w:rPr>
        <w:t>.</w:t>
      </w:r>
    </w:p>
    <w:p w14:paraId="5111FA75" w14:textId="281CB090" w:rsidR="00455256" w:rsidRPr="009835A2" w:rsidRDefault="00455256" w:rsidP="0014729D">
      <w:pPr>
        <w:pStyle w:val="enumlev1"/>
        <w:jc w:val="both"/>
        <w:rPr>
          <w:sz w:val="22"/>
          <w:szCs w:val="18"/>
        </w:rPr>
      </w:pPr>
      <w:r w:rsidRPr="009835A2">
        <w:rPr>
          <w:sz w:val="22"/>
          <w:szCs w:val="18"/>
        </w:rPr>
        <w:t>–</w:t>
      </w:r>
      <w:r w:rsidRPr="009835A2">
        <w:rPr>
          <w:sz w:val="22"/>
          <w:szCs w:val="18"/>
        </w:rPr>
        <w:tab/>
        <w:t>L</w:t>
      </w:r>
      <w:r w:rsidR="00BC7CFD">
        <w:rPr>
          <w:sz w:val="22"/>
          <w:szCs w:val="18"/>
        </w:rPr>
        <w:t>'</w:t>
      </w:r>
      <w:r w:rsidRPr="009835A2">
        <w:rPr>
          <w:sz w:val="22"/>
          <w:szCs w:val="18"/>
        </w:rPr>
        <w:t xml:space="preserve">Annexe 1 contient les </w:t>
      </w:r>
      <w:r w:rsidR="009835A2">
        <w:rPr>
          <w:sz w:val="22"/>
          <w:szCs w:val="18"/>
        </w:rPr>
        <w:t>"</w:t>
      </w:r>
      <w:r w:rsidRPr="009835A2">
        <w:rPr>
          <w:sz w:val="22"/>
          <w:szCs w:val="18"/>
        </w:rPr>
        <w:t>Indicateurs fondamentaux de performance et critères d</w:t>
      </w:r>
      <w:r w:rsidR="002961EF">
        <w:rPr>
          <w:sz w:val="22"/>
          <w:szCs w:val="18"/>
        </w:rPr>
        <w:t>'</w:t>
      </w:r>
      <w:r w:rsidRPr="009835A2">
        <w:rPr>
          <w:sz w:val="22"/>
          <w:szCs w:val="18"/>
        </w:rPr>
        <w:t>évaluation à</w:t>
      </w:r>
      <w:r w:rsidR="00BC7CFD">
        <w:rPr>
          <w:sz w:val="22"/>
          <w:szCs w:val="18"/>
        </w:rPr>
        <w:t> </w:t>
      </w:r>
      <w:r w:rsidRPr="009835A2">
        <w:rPr>
          <w:sz w:val="22"/>
          <w:szCs w:val="18"/>
        </w:rPr>
        <w:t>prendre en considération lors de l</w:t>
      </w:r>
      <w:r w:rsidR="002961EF">
        <w:rPr>
          <w:sz w:val="22"/>
          <w:szCs w:val="18"/>
        </w:rPr>
        <w:t>'</w:t>
      </w:r>
      <w:r w:rsidRPr="009835A2">
        <w:rPr>
          <w:sz w:val="22"/>
          <w:szCs w:val="18"/>
        </w:rPr>
        <w:t>examen de la présence régionale de l</w:t>
      </w:r>
      <w:r w:rsidR="002961EF">
        <w:rPr>
          <w:sz w:val="22"/>
          <w:szCs w:val="18"/>
        </w:rPr>
        <w:t>'</w:t>
      </w:r>
      <w:r w:rsidRPr="009835A2">
        <w:rPr>
          <w:sz w:val="22"/>
          <w:szCs w:val="18"/>
        </w:rPr>
        <w:t>UIT</w:t>
      </w:r>
      <w:r w:rsidR="009835A2">
        <w:rPr>
          <w:sz w:val="22"/>
          <w:szCs w:val="18"/>
        </w:rPr>
        <w:t>"</w:t>
      </w:r>
      <w:r w:rsidRPr="009835A2">
        <w:rPr>
          <w:sz w:val="22"/>
          <w:szCs w:val="18"/>
        </w:rPr>
        <w:t>, au nombre de</w:t>
      </w:r>
      <w:r w:rsidR="009835A2">
        <w:rPr>
          <w:sz w:val="22"/>
          <w:szCs w:val="18"/>
        </w:rPr>
        <w:t> </w:t>
      </w:r>
      <w:r w:rsidRPr="009835A2">
        <w:rPr>
          <w:sz w:val="22"/>
          <w:szCs w:val="18"/>
        </w:rPr>
        <w:t>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32B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D88EB2C"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8327"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908E4"/>
    <w:multiLevelType w:val="hybridMultilevel"/>
    <w:tmpl w:val="7A8A826C"/>
    <w:lvl w:ilvl="0" w:tplc="A1D4C4D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010720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4E"/>
    <w:rsid w:val="00050ED0"/>
    <w:rsid w:val="00055ECC"/>
    <w:rsid w:val="00076A2C"/>
    <w:rsid w:val="000D0D0A"/>
    <w:rsid w:val="000E0B5E"/>
    <w:rsid w:val="00102342"/>
    <w:rsid w:val="00103163"/>
    <w:rsid w:val="00106B19"/>
    <w:rsid w:val="001133EF"/>
    <w:rsid w:val="00115D93"/>
    <w:rsid w:val="001247A8"/>
    <w:rsid w:val="001342E0"/>
    <w:rsid w:val="001370B2"/>
    <w:rsid w:val="001378C0"/>
    <w:rsid w:val="0014729D"/>
    <w:rsid w:val="001658F9"/>
    <w:rsid w:val="0018694A"/>
    <w:rsid w:val="0019129B"/>
    <w:rsid w:val="001A3287"/>
    <w:rsid w:val="001A6508"/>
    <w:rsid w:val="001A7E3B"/>
    <w:rsid w:val="001B6F6C"/>
    <w:rsid w:val="001D4C31"/>
    <w:rsid w:val="001E4D21"/>
    <w:rsid w:val="00207CD1"/>
    <w:rsid w:val="00221C87"/>
    <w:rsid w:val="00226657"/>
    <w:rsid w:val="002477A2"/>
    <w:rsid w:val="00263A51"/>
    <w:rsid w:val="00267E02"/>
    <w:rsid w:val="00271321"/>
    <w:rsid w:val="00277DEA"/>
    <w:rsid w:val="002961EF"/>
    <w:rsid w:val="002A5D44"/>
    <w:rsid w:val="002C3F32"/>
    <w:rsid w:val="002C4E3D"/>
    <w:rsid w:val="002D2336"/>
    <w:rsid w:val="002E0BC4"/>
    <w:rsid w:val="002F1B76"/>
    <w:rsid w:val="002F29A9"/>
    <w:rsid w:val="00304288"/>
    <w:rsid w:val="0033568E"/>
    <w:rsid w:val="00355FF5"/>
    <w:rsid w:val="00361350"/>
    <w:rsid w:val="003C3FAE"/>
    <w:rsid w:val="003E4F06"/>
    <w:rsid w:val="004038CB"/>
    <w:rsid w:val="0040546F"/>
    <w:rsid w:val="00411EDB"/>
    <w:rsid w:val="004177BD"/>
    <w:rsid w:val="004218C5"/>
    <w:rsid w:val="0042404A"/>
    <w:rsid w:val="0044618F"/>
    <w:rsid w:val="00455256"/>
    <w:rsid w:val="00465C35"/>
    <w:rsid w:val="0046769A"/>
    <w:rsid w:val="00475FB3"/>
    <w:rsid w:val="004A13FD"/>
    <w:rsid w:val="004B5003"/>
    <w:rsid w:val="004C37A9"/>
    <w:rsid w:val="004D1D50"/>
    <w:rsid w:val="004F259E"/>
    <w:rsid w:val="004F633A"/>
    <w:rsid w:val="00504C7F"/>
    <w:rsid w:val="00511F1D"/>
    <w:rsid w:val="00520F36"/>
    <w:rsid w:val="00524E8D"/>
    <w:rsid w:val="00534E13"/>
    <w:rsid w:val="00540615"/>
    <w:rsid w:val="00540A6D"/>
    <w:rsid w:val="00553536"/>
    <w:rsid w:val="00566679"/>
    <w:rsid w:val="00571B91"/>
    <w:rsid w:val="00571EEA"/>
    <w:rsid w:val="00575417"/>
    <w:rsid w:val="005768E1"/>
    <w:rsid w:val="005B1938"/>
    <w:rsid w:val="005C3890"/>
    <w:rsid w:val="005F7BFE"/>
    <w:rsid w:val="00600017"/>
    <w:rsid w:val="00602682"/>
    <w:rsid w:val="006232B2"/>
    <w:rsid w:val="006235CA"/>
    <w:rsid w:val="0062366E"/>
    <w:rsid w:val="006643AB"/>
    <w:rsid w:val="006A11AE"/>
    <w:rsid w:val="006B224B"/>
    <w:rsid w:val="006F0A53"/>
    <w:rsid w:val="0071402E"/>
    <w:rsid w:val="00715C5F"/>
    <w:rsid w:val="00716DEC"/>
    <w:rsid w:val="007210CD"/>
    <w:rsid w:val="00732045"/>
    <w:rsid w:val="0073275D"/>
    <w:rsid w:val="007369DB"/>
    <w:rsid w:val="0077110E"/>
    <w:rsid w:val="00792A15"/>
    <w:rsid w:val="007956C2"/>
    <w:rsid w:val="00796BDB"/>
    <w:rsid w:val="007A187E"/>
    <w:rsid w:val="007A28F5"/>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01BB"/>
    <w:rsid w:val="0093234A"/>
    <w:rsid w:val="00956A78"/>
    <w:rsid w:val="0097363B"/>
    <w:rsid w:val="00973F53"/>
    <w:rsid w:val="0098348E"/>
    <w:rsid w:val="009835A2"/>
    <w:rsid w:val="009A6BAA"/>
    <w:rsid w:val="009A76A8"/>
    <w:rsid w:val="009C307F"/>
    <w:rsid w:val="009C353C"/>
    <w:rsid w:val="009D5955"/>
    <w:rsid w:val="009F0FB8"/>
    <w:rsid w:val="00A01F4F"/>
    <w:rsid w:val="00A109AF"/>
    <w:rsid w:val="00A125FB"/>
    <w:rsid w:val="00A2113E"/>
    <w:rsid w:val="00A23A51"/>
    <w:rsid w:val="00A24607"/>
    <w:rsid w:val="00A25CD3"/>
    <w:rsid w:val="00A427BA"/>
    <w:rsid w:val="00A51849"/>
    <w:rsid w:val="00A709FE"/>
    <w:rsid w:val="00A73C60"/>
    <w:rsid w:val="00A82767"/>
    <w:rsid w:val="00AA332F"/>
    <w:rsid w:val="00AA7BBB"/>
    <w:rsid w:val="00AB64A8"/>
    <w:rsid w:val="00AC0266"/>
    <w:rsid w:val="00AC0F1D"/>
    <w:rsid w:val="00AC1558"/>
    <w:rsid w:val="00AD24EC"/>
    <w:rsid w:val="00B27B00"/>
    <w:rsid w:val="00B309F9"/>
    <w:rsid w:val="00B32B60"/>
    <w:rsid w:val="00B4412B"/>
    <w:rsid w:val="00B51005"/>
    <w:rsid w:val="00B61619"/>
    <w:rsid w:val="00BB38C1"/>
    <w:rsid w:val="00BB4545"/>
    <w:rsid w:val="00BC131D"/>
    <w:rsid w:val="00BC7CFD"/>
    <w:rsid w:val="00BD5873"/>
    <w:rsid w:val="00BE2A4E"/>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1BE9"/>
    <w:rsid w:val="00D72F49"/>
    <w:rsid w:val="00D774D3"/>
    <w:rsid w:val="00D86C79"/>
    <w:rsid w:val="00D904E8"/>
    <w:rsid w:val="00D9085D"/>
    <w:rsid w:val="00DA08C3"/>
    <w:rsid w:val="00DB5A3E"/>
    <w:rsid w:val="00DC22AA"/>
    <w:rsid w:val="00DD1A99"/>
    <w:rsid w:val="00DE62C6"/>
    <w:rsid w:val="00DF74DD"/>
    <w:rsid w:val="00E25AD0"/>
    <w:rsid w:val="00E4428F"/>
    <w:rsid w:val="00E4448E"/>
    <w:rsid w:val="00E47427"/>
    <w:rsid w:val="00E93668"/>
    <w:rsid w:val="00E95647"/>
    <w:rsid w:val="00EB6350"/>
    <w:rsid w:val="00ED799B"/>
    <w:rsid w:val="00EF5C6E"/>
    <w:rsid w:val="00F15B57"/>
    <w:rsid w:val="00F35EF4"/>
    <w:rsid w:val="00F37FE5"/>
    <w:rsid w:val="00F427DB"/>
    <w:rsid w:val="00F963B9"/>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21D90"/>
  <w15:docId w15:val="{9BB537FD-79C3-4FA7-AD12-BDB97906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9301BB"/>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455256"/>
    <w:rPr>
      <w:sz w:val="16"/>
      <w:szCs w:val="16"/>
    </w:rPr>
  </w:style>
  <w:style w:type="paragraph" w:styleId="CommentText">
    <w:name w:val="annotation text"/>
    <w:basedOn w:val="Normal"/>
    <w:link w:val="CommentTextChar"/>
    <w:unhideWhenUsed/>
    <w:rsid w:val="00455256"/>
    <w:rPr>
      <w:sz w:val="20"/>
    </w:rPr>
  </w:style>
  <w:style w:type="character" w:customStyle="1" w:styleId="CommentTextChar">
    <w:name w:val="Comment Text Char"/>
    <w:basedOn w:val="DefaultParagraphFont"/>
    <w:link w:val="CommentText"/>
    <w:rsid w:val="00455256"/>
    <w:rPr>
      <w:rFonts w:ascii="Calibri" w:hAnsi="Calibri"/>
      <w:lang w:val="fr-FR" w:eastAsia="en-US"/>
    </w:rPr>
  </w:style>
  <w:style w:type="paragraph" w:styleId="CommentSubject">
    <w:name w:val="annotation subject"/>
    <w:basedOn w:val="CommentText"/>
    <w:next w:val="CommentText"/>
    <w:link w:val="CommentSubjectChar"/>
    <w:semiHidden/>
    <w:unhideWhenUsed/>
    <w:rsid w:val="00455256"/>
    <w:rPr>
      <w:b/>
      <w:bCs/>
    </w:rPr>
  </w:style>
  <w:style w:type="character" w:customStyle="1" w:styleId="CommentSubjectChar">
    <w:name w:val="Comment Subject Char"/>
    <w:basedOn w:val="CommentTextChar"/>
    <w:link w:val="CommentSubject"/>
    <w:semiHidden/>
    <w:rsid w:val="00455256"/>
    <w:rPr>
      <w:rFonts w:ascii="Calibri" w:hAnsi="Calibri"/>
      <w:b/>
      <w:bCs/>
      <w:lang w:val="fr-FR" w:eastAsia="en-US"/>
    </w:rPr>
  </w:style>
  <w:style w:type="character" w:customStyle="1" w:styleId="FootnoteTextChar">
    <w:name w:val="Footnote Text Char"/>
    <w:basedOn w:val="DefaultParagraphFont"/>
    <w:link w:val="FootnoteText"/>
    <w:rsid w:val="00455256"/>
    <w:rPr>
      <w:rFonts w:ascii="Calibri" w:hAnsi="Calibri"/>
      <w:sz w:val="22"/>
      <w:lang w:val="fr-FR" w:eastAsia="en-US"/>
    </w:rPr>
  </w:style>
  <w:style w:type="paragraph" w:customStyle="1" w:styleId="Tablefin">
    <w:name w:val="Table_fin"/>
    <w:basedOn w:val="Tabletext"/>
    <w:rsid w:val="002F29A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TDC-WTDC-2025/fr" TargetMode="External"/><Relationship Id="rId18" Type="http://schemas.openxmlformats.org/officeDocument/2006/relationships/hyperlink" Target="https://www.itu.int/md/D26-TDAG33-C-0016/fr" TargetMode="External"/><Relationship Id="rId26" Type="http://schemas.openxmlformats.org/officeDocument/2006/relationships/hyperlink" Target="https://www.itu.int/itu-d/meetings/rdf/asp/home/" TargetMode="External"/><Relationship Id="rId39" Type="http://schemas.openxmlformats.org/officeDocument/2006/relationships/hyperlink" Target="https://www.itu.int/md/D22-TDAG32-INF-0004/fr" TargetMode="External"/><Relationship Id="rId21" Type="http://schemas.openxmlformats.org/officeDocument/2006/relationships/hyperlink" Target="https://www.itu.int/md/D22-WTDC25-C-0002/fr" TargetMode="External"/><Relationship Id="rId34" Type="http://schemas.openxmlformats.org/officeDocument/2006/relationships/hyperlink" Target="https://www.itu.int/md/D22-TDAG32-C-0024/fr" TargetMode="External"/><Relationship Id="rId42" Type="http://schemas.openxmlformats.org/officeDocument/2006/relationships/hyperlink" Target="https://www.itu.int/en/ITU-R/seminars/rrs/rrs-25-africa/Pages/default.aspx" TargetMode="External"/><Relationship Id="rId47" Type="http://schemas.openxmlformats.org/officeDocument/2006/relationships/hyperlink" Target="https://www.itu.int/en/ITU-D/Regional-Presence/AsiaPacific/Pages/Events/2025/ITTLLDC%202025/main.aspx" TargetMode="External"/><Relationship Id="rId50" Type="http://schemas.openxmlformats.org/officeDocument/2006/relationships/hyperlink" Target="https://www.itu.int/en/ITU-D/Regional-Presence/CIS/Pages/EVENTS/2025/FoCForum.aspx" TargetMode="External"/><Relationship Id="rId55" Type="http://schemas.openxmlformats.org/officeDocument/2006/relationships/footer" Target="footer1.xml"/><Relationship Id="rId7" Type="http://schemas.openxmlformats.org/officeDocument/2006/relationships/hyperlink" Target="https://www.itu.int/en/council/Documents/basic-texts-2023/RES-025-F.pdf" TargetMode="External"/><Relationship Id="rId2" Type="http://schemas.openxmlformats.org/officeDocument/2006/relationships/styles" Target="styles.xml"/><Relationship Id="rId16" Type="http://schemas.openxmlformats.org/officeDocument/2006/relationships/hyperlink" Target="https://www.itu.int/md/D22-WTDC25-C-0002/fr" TargetMode="External"/><Relationship Id="rId29" Type="http://schemas.openxmlformats.org/officeDocument/2006/relationships/hyperlink" Target="https://www.itu.int/itu-d/meetings/rdf/ams/home/" TargetMode="External"/><Relationship Id="rId11" Type="http://schemas.openxmlformats.org/officeDocument/2006/relationships/hyperlink" Target="https://www.itu.int/en/ITU-D/Documents/BAP/D22-WTDC25-C-0090%21%21PDF-F.pdf" TargetMode="External"/><Relationship Id="rId24" Type="http://schemas.openxmlformats.org/officeDocument/2006/relationships/hyperlink" Target="https://www.itu.int/itu-d/meetings/rdf/eur/home/" TargetMode="External"/><Relationship Id="rId32" Type="http://schemas.openxmlformats.org/officeDocument/2006/relationships/hyperlink" Target="https://www.itu.int/itu-d/meetings/rdf/cis/home/" TargetMode="External"/><Relationship Id="rId37" Type="http://schemas.openxmlformats.org/officeDocument/2006/relationships/hyperlink" Target="https://www.itu.int/md/T25-TSAG-260126-TD-GEN-0313/fr" TargetMode="External"/><Relationship Id="rId40" Type="http://schemas.openxmlformats.org/officeDocument/2006/relationships/hyperlink" Target="https://www.itu.int/md/D26-TDAG33-C-0004/fr" TargetMode="External"/><Relationship Id="rId45" Type="http://schemas.openxmlformats.org/officeDocument/2006/relationships/hyperlink" Target="https://www.itu.int/en/ITU-R/seminars/rrs/rrs-25-asia&amp;pacific/Pages/default.aspx" TargetMode="External"/><Relationship Id="rId53" Type="http://schemas.openxmlformats.org/officeDocument/2006/relationships/hyperlink" Target="https://digitalregulation.org/category/spectrum-management/" TargetMode="Externa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www.itu.int/md/D26-TDAG33-C-0008/fr" TargetMode="External"/><Relationship Id="rId4" Type="http://schemas.openxmlformats.org/officeDocument/2006/relationships/webSettings" Target="webSettings.xml"/><Relationship Id="rId9" Type="http://schemas.openxmlformats.org/officeDocument/2006/relationships/hyperlink" Target="https://www.itu.int/en/council/Documents/basic-texts-2023/RES-157-F.pdf" TargetMode="External"/><Relationship Id="rId14" Type="http://schemas.openxmlformats.org/officeDocument/2006/relationships/hyperlink" Target="https://www.itu.int/md/S25-CL-C-0025/fr" TargetMode="External"/><Relationship Id="rId22" Type="http://schemas.openxmlformats.org/officeDocument/2006/relationships/hyperlink" Target="https://www.itu.int/itu-d/meetings/rdf/arb/home/" TargetMode="External"/><Relationship Id="rId27" Type="http://schemas.openxmlformats.org/officeDocument/2006/relationships/hyperlink" Target="https://www.itu.int/itu-d/meetings/rdf/asp/home/" TargetMode="External"/><Relationship Id="rId30" Type="http://schemas.openxmlformats.org/officeDocument/2006/relationships/hyperlink" Target="https://www.itu.int/itu-d/meetings/rdf/afr/home/" TargetMode="External"/><Relationship Id="rId35" Type="http://schemas.openxmlformats.org/officeDocument/2006/relationships/hyperlink" Target="https://www.itu.int/md/S25-CL-C-0105/fr" TargetMode="External"/><Relationship Id="rId43" Type="http://schemas.openxmlformats.org/officeDocument/2006/relationships/hyperlink" Target="https://www.itu.int/en/ITU-D/Regional-Presence/Africa/Pages/EVENTS/2025/GSMA-.aspx" TargetMode="External"/><Relationship Id="rId48" Type="http://schemas.openxmlformats.org/officeDocument/2006/relationships/hyperlink" Target="https://www.itu.int/en/ITU-D/Regional-Presence/AsiaPacific/Pages/Projects/EW4All/EW4ALL.aspx" TargetMode="External"/><Relationship Id="rId56" Type="http://schemas.openxmlformats.org/officeDocument/2006/relationships/footer" Target="footer2.xml"/><Relationship Id="rId8" Type="http://schemas.openxmlformats.org/officeDocument/2006/relationships/hyperlink" Target="https://www.itu.int/en/council/Documents/basic-texts-2023/RES-135-F.pdf" TargetMode="External"/><Relationship Id="rId51" Type="http://schemas.openxmlformats.org/officeDocument/2006/relationships/hyperlink" Target="https://www.itu.int/en/ITU-R/seminars/rrs/RRS-26-Europe/Pages/default.aspx" TargetMode="External"/><Relationship Id="rId3" Type="http://schemas.openxmlformats.org/officeDocument/2006/relationships/settings" Target="settings.xml"/><Relationship Id="rId12" Type="http://schemas.openxmlformats.org/officeDocument/2006/relationships/hyperlink" Target="https://www.itu.int/pub/D-TDC-WTDC-2025/fr" TargetMode="External"/><Relationship Id="rId17" Type="http://schemas.openxmlformats.org/officeDocument/2006/relationships/hyperlink" Target="https://www.itu.int/md/D26-TDAG33-C-0019/fr" TargetMode="External"/><Relationship Id="rId25" Type="http://schemas.openxmlformats.org/officeDocument/2006/relationships/hyperlink" Target="https://www.itu.int/itu-d/meetings/rdf/eur/home/" TargetMode="External"/><Relationship Id="rId33" Type="http://schemas.openxmlformats.org/officeDocument/2006/relationships/hyperlink" Target="https://www.itu.int/itu-d/meetings/rdf/cis/home/" TargetMode="External"/><Relationship Id="rId38" Type="http://schemas.openxmlformats.org/officeDocument/2006/relationships/hyperlink" Target="https://www.itu.int/md/R23-RAG-C-0066/fr" TargetMode="External"/><Relationship Id="rId46" Type="http://schemas.openxmlformats.org/officeDocument/2006/relationships/hyperlink" Target="https://www.itu.int/en/ITU-R/seminars/rrs/rrs-25-asia&amp;pacific/Pages/default.aspx" TargetMode="External"/><Relationship Id="rId59" Type="http://schemas.openxmlformats.org/officeDocument/2006/relationships/fontTable" Target="fontTable.xml"/><Relationship Id="rId20" Type="http://schemas.openxmlformats.org/officeDocument/2006/relationships/hyperlink" Target="https://www.itu.int/md/D26-TDAG33-C-0004/fr" TargetMode="External"/><Relationship Id="rId41" Type="http://schemas.openxmlformats.org/officeDocument/2006/relationships/hyperlink" Target="https://www.itu.int/md/D26-TDAG33-C-0008/fr"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D22-TDAG32-C-0024/fr" TargetMode="External"/><Relationship Id="rId23" Type="http://schemas.openxmlformats.org/officeDocument/2006/relationships/hyperlink" Target="https://www.itu.int/itu-d/meetings/rdf/arb/home/" TargetMode="External"/><Relationship Id="rId28" Type="http://schemas.openxmlformats.org/officeDocument/2006/relationships/hyperlink" Target="https://www.itu.int/itu-d/meetings/rdf/ams/home/" TargetMode="External"/><Relationship Id="rId36" Type="http://schemas.openxmlformats.org/officeDocument/2006/relationships/hyperlink" Target="https://www.itu.int/md/S26-CWGFHR22-INF-0001/fr" TargetMode="External"/><Relationship Id="rId49" Type="http://schemas.openxmlformats.org/officeDocument/2006/relationships/hyperlink" Target="https://u4ssc.itu.int/" TargetMode="External"/><Relationship Id="rId57" Type="http://schemas.openxmlformats.org/officeDocument/2006/relationships/header" Target="header2.xml"/><Relationship Id="rId10" Type="http://schemas.openxmlformats.org/officeDocument/2006/relationships/hyperlink" Target="https://www.itu.int/fr/publications/ITU-D/Pages/publications.aspx?parent=D-TDC-WTDC-2022&amp;media=electronic" TargetMode="External"/><Relationship Id="rId31" Type="http://schemas.openxmlformats.org/officeDocument/2006/relationships/hyperlink" Target="https://www.itu.int/itu-d/meetings/rdf/afr/home/" TargetMode="External"/><Relationship Id="rId44" Type="http://schemas.openxmlformats.org/officeDocument/2006/relationships/hyperlink" Target="https://www.itu.int/en/ITU-R/seminars/rrs/RRS-25-Americas/Pages/default.aspx" TargetMode="External"/><Relationship Id="rId52" Type="http://schemas.openxmlformats.org/officeDocument/2006/relationships/hyperlink" Target="https://www.itu.int/en/ITU-D/Regional-Presence/Europe/Pages/Events/2025/09.23_EMF%20Harmony/National-Workshop.aspx" TargetMode="External"/><Relationship Id="rId6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105/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15</TotalTime>
  <Pages>14</Pages>
  <Words>6248</Words>
  <Characters>38034</Characters>
  <Application>Microsoft Office Word</Application>
  <DocSecurity>0</DocSecurity>
  <Lines>655</Lines>
  <Paragraphs>278</Paragraphs>
  <ScaleCrop>false</ScaleCrop>
  <HeadingPairs>
    <vt:vector size="2" baseType="variant">
      <vt:variant>
        <vt:lpstr>Title</vt:lpstr>
      </vt:variant>
      <vt:variant>
        <vt:i4>1</vt:i4>
      </vt:variant>
    </vt:vector>
  </HeadingPairs>
  <TitlesOfParts>
    <vt:vector size="1" baseType="lpstr">
      <vt:lpstr>Renforcer la présence régionale de l'UIT</vt:lpstr>
    </vt:vector>
  </TitlesOfParts>
  <Manager>Secrétariat général - Pool</Manager>
  <Company>Union internationale des télécommunications (UIT)</Company>
  <LinksUpToDate>false</LinksUpToDate>
  <CharactersWithSpaces>44004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Renforcer la présence régionale de l'UIT</dc:title>
  <dc:subject>Conseil 2026 de l'UIT</dc:subject>
  <cp:keywords>C26; C2026; Council 2026; PP26</cp:keywords>
  <dc:description/>
  <cp:lastPrinted>2000-07-18T08:55:00Z</cp:lastPrinted>
  <dcterms:created xsi:type="dcterms:W3CDTF">2026-04-13T08:03:00Z</dcterms:created>
  <dcterms:modified xsi:type="dcterms:W3CDTF">2026-04-13T08:45:00Z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