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723249B6" w14:textId="77777777" w:rsidTr="2FE0C373">
        <w:trPr>
          <w:cantSplit/>
          <w:trHeight w:val="23"/>
        </w:trPr>
        <w:tc>
          <w:tcPr>
            <w:tcW w:w="3969" w:type="dxa"/>
            <w:vMerge w:val="restart"/>
            <w:tcMar>
              <w:left w:w="0" w:type="dxa"/>
            </w:tcMar>
          </w:tcPr>
          <w:p w14:paraId="49F41377" w14:textId="2712A197"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7E093A">
              <w:rPr>
                <w:b/>
              </w:rPr>
              <w:t>PL-2</w:t>
            </w:r>
          </w:p>
        </w:tc>
        <w:tc>
          <w:tcPr>
            <w:tcW w:w="5245" w:type="dxa"/>
          </w:tcPr>
          <w:p w14:paraId="339B91BA" w14:textId="095932E7"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7E093A">
              <w:rPr>
                <w:b/>
              </w:rPr>
              <w:t>25</w:t>
            </w:r>
            <w:r w:rsidRPr="00C0458D">
              <w:rPr>
                <w:b/>
              </w:rPr>
              <w:t>-E</w:t>
            </w:r>
          </w:p>
        </w:tc>
      </w:tr>
      <w:tr w:rsidR="00AD3606" w:rsidRPr="00C0458D" w14:paraId="568D25DC" w14:textId="77777777" w:rsidTr="2FE0C373">
        <w:trPr>
          <w:cantSplit/>
        </w:trPr>
        <w:tc>
          <w:tcPr>
            <w:tcW w:w="3969" w:type="dxa"/>
            <w:vMerge/>
          </w:tcPr>
          <w:p w14:paraId="0E42AD5A"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2F010E44" w14:textId="6241E620" w:rsidR="00AD3606" w:rsidRPr="00C0458D" w:rsidRDefault="002F49CE" w:rsidP="00954C49">
            <w:pPr>
              <w:tabs>
                <w:tab w:val="left" w:pos="851"/>
              </w:tabs>
              <w:spacing w:before="0"/>
              <w:jc w:val="right"/>
              <w:rPr>
                <w:b/>
              </w:rPr>
            </w:pPr>
            <w:r>
              <w:rPr>
                <w:b/>
              </w:rPr>
              <w:t>30</w:t>
            </w:r>
            <w:r w:rsidR="007E093A">
              <w:rPr>
                <w:b/>
              </w:rPr>
              <w:t xml:space="preserve"> March 2026</w:t>
            </w:r>
          </w:p>
        </w:tc>
      </w:tr>
      <w:tr w:rsidR="00AD3606" w:rsidRPr="00C0458D" w14:paraId="0916B4B7" w14:textId="77777777" w:rsidTr="2FE0C373">
        <w:trPr>
          <w:cantSplit/>
          <w:trHeight w:val="23"/>
        </w:trPr>
        <w:tc>
          <w:tcPr>
            <w:tcW w:w="3969" w:type="dxa"/>
            <w:vMerge/>
          </w:tcPr>
          <w:p w14:paraId="7FF25CFB"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0FE61740"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190470CA" w14:textId="77777777" w:rsidTr="2FE0C373">
        <w:trPr>
          <w:cantSplit/>
          <w:trHeight w:val="23"/>
        </w:trPr>
        <w:tc>
          <w:tcPr>
            <w:tcW w:w="3969" w:type="dxa"/>
          </w:tcPr>
          <w:p w14:paraId="471F8860" w14:textId="77777777" w:rsidR="00472BAD" w:rsidRPr="00C0458D" w:rsidRDefault="00472BAD" w:rsidP="00954C49">
            <w:pPr>
              <w:tabs>
                <w:tab w:val="left" w:pos="851"/>
              </w:tabs>
              <w:spacing w:line="240" w:lineRule="atLeast"/>
              <w:rPr>
                <w:b/>
              </w:rPr>
            </w:pPr>
          </w:p>
        </w:tc>
        <w:tc>
          <w:tcPr>
            <w:tcW w:w="5245" w:type="dxa"/>
          </w:tcPr>
          <w:p w14:paraId="1FBFB80C" w14:textId="77777777" w:rsidR="00472BAD" w:rsidRPr="00C0458D" w:rsidRDefault="00472BAD" w:rsidP="00954C49">
            <w:pPr>
              <w:tabs>
                <w:tab w:val="left" w:pos="851"/>
              </w:tabs>
              <w:spacing w:before="0" w:line="240" w:lineRule="atLeast"/>
              <w:jc w:val="right"/>
              <w:rPr>
                <w:b/>
              </w:rPr>
            </w:pPr>
          </w:p>
        </w:tc>
      </w:tr>
      <w:tr w:rsidR="00AD3606" w:rsidRPr="00C0458D" w14:paraId="57583F7D" w14:textId="77777777" w:rsidTr="2FE0C373">
        <w:trPr>
          <w:cantSplit/>
        </w:trPr>
        <w:tc>
          <w:tcPr>
            <w:tcW w:w="9214" w:type="dxa"/>
            <w:gridSpan w:val="2"/>
            <w:tcMar>
              <w:left w:w="0" w:type="dxa"/>
            </w:tcMar>
          </w:tcPr>
          <w:p w14:paraId="5A67B359"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612F4448" w14:textId="77777777" w:rsidTr="2FE0C373">
        <w:trPr>
          <w:cantSplit/>
        </w:trPr>
        <w:tc>
          <w:tcPr>
            <w:tcW w:w="9214" w:type="dxa"/>
            <w:gridSpan w:val="2"/>
            <w:tcMar>
              <w:left w:w="0" w:type="dxa"/>
            </w:tcMar>
          </w:tcPr>
          <w:p w14:paraId="6F88764C" w14:textId="1C92530A" w:rsidR="00AD3606" w:rsidRPr="00176F47" w:rsidRDefault="008974B1" w:rsidP="00954C49">
            <w:pPr>
              <w:pStyle w:val="Subtitle"/>
              <w:framePr w:hSpace="0" w:wrap="auto" w:hAnchor="text" w:xAlign="left" w:yAlign="inline"/>
            </w:pPr>
            <w:bookmarkStart w:id="9" w:name="dtitle1" w:colFirst="0" w:colLast="0"/>
            <w:bookmarkEnd w:id="8"/>
            <w:r w:rsidRPr="00922311">
              <w:t>STRENGTHENING ITU’S REGIONAL PRESENCE</w:t>
            </w:r>
          </w:p>
        </w:tc>
      </w:tr>
      <w:tr w:rsidR="00AD3606" w:rsidRPr="00C0458D" w14:paraId="0603F03A" w14:textId="77777777" w:rsidTr="2FE0C373">
        <w:trPr>
          <w:cantSplit/>
        </w:trPr>
        <w:tc>
          <w:tcPr>
            <w:tcW w:w="9214" w:type="dxa"/>
            <w:gridSpan w:val="2"/>
            <w:tcBorders>
              <w:top w:val="single" w:sz="4" w:space="0" w:color="auto"/>
              <w:bottom w:val="single" w:sz="4" w:space="0" w:color="auto"/>
            </w:tcBorders>
            <w:tcMar>
              <w:left w:w="0" w:type="dxa"/>
            </w:tcMar>
          </w:tcPr>
          <w:p w14:paraId="6D5B75F7" w14:textId="77777777" w:rsidR="00AD3606" w:rsidRPr="00C0458D" w:rsidRDefault="00F16BAB" w:rsidP="00954C49">
            <w:pPr>
              <w:spacing w:before="160"/>
              <w:rPr>
                <w:b/>
                <w:bCs/>
                <w:sz w:val="26"/>
                <w:szCs w:val="26"/>
              </w:rPr>
            </w:pPr>
            <w:r w:rsidRPr="00C0458D">
              <w:rPr>
                <w:b/>
                <w:bCs/>
                <w:sz w:val="26"/>
                <w:szCs w:val="26"/>
              </w:rPr>
              <w:t>Purpose</w:t>
            </w:r>
          </w:p>
          <w:p w14:paraId="68C96F93" w14:textId="191DE4E4" w:rsidR="00AD3606" w:rsidRPr="00C0458D" w:rsidRDefault="00714B94" w:rsidP="00714B94">
            <w:pPr>
              <w:jc w:val="both"/>
            </w:pPr>
            <w:r w:rsidRPr="00ED4065">
              <w:t>This document reports on the contribution of the Regional Presence to the fulfilment of the mandate of ITU. It provides information on the regional work towards the implementation of the ITU Strategic Plan, the WTDC-22 Kigali Action Plan, the recently adopted WTDC-25 Baku Action Plan and Regional Initiatives.</w:t>
            </w:r>
          </w:p>
          <w:p w14:paraId="12CA5B82"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78253C6D" w14:textId="07795CFE" w:rsidR="00722551" w:rsidRDefault="00714B94" w:rsidP="00714B94">
            <w:pPr>
              <w:jc w:val="both"/>
            </w:pPr>
            <w:r w:rsidRPr="00185924">
              <w:t xml:space="preserve">The Council is invited to </w:t>
            </w:r>
            <w:r w:rsidRPr="00711200">
              <w:rPr>
                <w:b/>
                <w:bCs/>
              </w:rPr>
              <w:t xml:space="preserve">note </w:t>
            </w:r>
            <w:r w:rsidRPr="00185924">
              <w:t>this document.</w:t>
            </w:r>
          </w:p>
          <w:p w14:paraId="478C1643"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43EDB22" w14:textId="70A07CDB" w:rsidR="00722551" w:rsidRPr="00F16BAB" w:rsidRDefault="1D444C24" w:rsidP="00954C49">
            <w:r>
              <w:t>Regional Presence</w:t>
            </w:r>
          </w:p>
          <w:p w14:paraId="5A699C8A" w14:textId="77777777" w:rsidR="00722551" w:rsidRDefault="00722551" w:rsidP="00954C49">
            <w:pPr>
              <w:spacing w:before="160"/>
              <w:rPr>
                <w:b/>
                <w:bCs/>
                <w:sz w:val="26"/>
                <w:szCs w:val="26"/>
              </w:rPr>
            </w:pPr>
            <w:r>
              <w:rPr>
                <w:b/>
                <w:bCs/>
                <w:sz w:val="26"/>
                <w:szCs w:val="26"/>
              </w:rPr>
              <w:t>Financial implications</w:t>
            </w:r>
          </w:p>
          <w:p w14:paraId="20A73745" w14:textId="3213CE10" w:rsidR="00453079" w:rsidRPr="00453079" w:rsidRDefault="00714B94" w:rsidP="00714B94">
            <w:pPr>
              <w:spacing w:before="160"/>
              <w:jc w:val="both"/>
            </w:pPr>
            <w:r>
              <w:t xml:space="preserve">Within the allocated budget for </w:t>
            </w:r>
            <w:r w:rsidR="3E1E4AFF">
              <w:t>2024-</w:t>
            </w:r>
            <w:r>
              <w:t>2025. Financing for the WTDC-25 Regional Initiatives from 2026-2029.</w:t>
            </w:r>
          </w:p>
          <w:p w14:paraId="4A002370" w14:textId="77777777" w:rsidR="00C0458D" w:rsidRDefault="00C0458D" w:rsidP="00954C49">
            <w:r>
              <w:t>_______________</w:t>
            </w:r>
          </w:p>
          <w:p w14:paraId="025C6392" w14:textId="77777777" w:rsidR="00AD3606" w:rsidRPr="00C0458D" w:rsidRDefault="00AD3606" w:rsidP="00954C49">
            <w:pPr>
              <w:spacing w:before="160"/>
              <w:rPr>
                <w:b/>
                <w:bCs/>
                <w:sz w:val="26"/>
                <w:szCs w:val="26"/>
              </w:rPr>
            </w:pPr>
            <w:r w:rsidRPr="00C0458D">
              <w:rPr>
                <w:b/>
                <w:bCs/>
                <w:sz w:val="26"/>
                <w:szCs w:val="26"/>
              </w:rPr>
              <w:t>References</w:t>
            </w:r>
          </w:p>
          <w:p w14:paraId="2D649063" w14:textId="2001B4B0" w:rsidR="00AD3606" w:rsidRPr="002F49CE" w:rsidRDefault="00714B94" w:rsidP="2FE0C373">
            <w:pPr>
              <w:spacing w:after="160"/>
              <w:jc w:val="both"/>
              <w:rPr>
                <w:i/>
                <w:iCs/>
                <w:sz w:val="22"/>
                <w:szCs w:val="22"/>
              </w:rPr>
            </w:pPr>
            <w:r w:rsidRPr="002F49CE">
              <w:rPr>
                <w:i/>
                <w:iCs/>
                <w:sz w:val="22"/>
                <w:szCs w:val="22"/>
              </w:rPr>
              <w:t xml:space="preserve">Resolutions </w:t>
            </w:r>
            <w:hyperlink r:id="rId11">
              <w:r w:rsidRPr="002F49CE">
                <w:rPr>
                  <w:rStyle w:val="Hyperlink"/>
                  <w:i/>
                  <w:iCs/>
                  <w:sz w:val="22"/>
                  <w:szCs w:val="22"/>
                </w:rPr>
                <w:t>25 (Rev. Bucharest, 2022)</w:t>
              </w:r>
            </w:hyperlink>
            <w:r w:rsidRPr="002F49CE">
              <w:rPr>
                <w:i/>
                <w:iCs/>
                <w:sz w:val="22"/>
                <w:szCs w:val="22"/>
              </w:rPr>
              <w:t xml:space="preserve">, </w:t>
            </w:r>
            <w:hyperlink r:id="rId12">
              <w:r w:rsidRPr="002F49CE">
                <w:rPr>
                  <w:rStyle w:val="Hyperlink"/>
                  <w:i/>
                  <w:iCs/>
                  <w:sz w:val="22"/>
                  <w:szCs w:val="22"/>
                </w:rPr>
                <w:t>135 (Rev. Bucharest, 2022)</w:t>
              </w:r>
            </w:hyperlink>
            <w:r w:rsidRPr="002F49CE">
              <w:rPr>
                <w:i/>
                <w:iCs/>
                <w:sz w:val="22"/>
                <w:szCs w:val="22"/>
              </w:rPr>
              <w:t xml:space="preserve"> and </w:t>
            </w:r>
            <w:hyperlink r:id="rId13">
              <w:r w:rsidRPr="002F49CE">
                <w:rPr>
                  <w:rStyle w:val="Hyperlink"/>
                  <w:i/>
                  <w:iCs/>
                  <w:sz w:val="22"/>
                  <w:szCs w:val="22"/>
                </w:rPr>
                <w:t>157 (Rev. Bucharest, 2022)</w:t>
              </w:r>
            </w:hyperlink>
            <w:r w:rsidR="00117EFD" w:rsidRPr="002F49CE">
              <w:rPr>
                <w:i/>
                <w:iCs/>
                <w:sz w:val="22"/>
                <w:szCs w:val="22"/>
              </w:rPr>
              <w:t xml:space="preserve"> of the Plenipotentiary Conference</w:t>
            </w:r>
            <w:r w:rsidRPr="002F49CE">
              <w:rPr>
                <w:i/>
                <w:iCs/>
                <w:sz w:val="22"/>
                <w:szCs w:val="22"/>
              </w:rPr>
              <w:t>; Final Reports</w:t>
            </w:r>
            <w:r w:rsidR="004523E2" w:rsidRPr="002F49CE">
              <w:rPr>
                <w:i/>
                <w:iCs/>
                <w:sz w:val="22"/>
                <w:szCs w:val="22"/>
              </w:rPr>
              <w:t xml:space="preserve"> of the</w:t>
            </w:r>
            <w:r w:rsidRPr="002F49CE">
              <w:rPr>
                <w:i/>
                <w:iCs/>
                <w:sz w:val="22"/>
                <w:szCs w:val="22"/>
              </w:rPr>
              <w:t xml:space="preserve"> </w:t>
            </w:r>
            <w:hyperlink r:id="rId14">
              <w:r w:rsidRPr="002F49CE">
                <w:rPr>
                  <w:rStyle w:val="Hyperlink"/>
                  <w:i/>
                  <w:iCs/>
                  <w:sz w:val="22"/>
                  <w:szCs w:val="22"/>
                </w:rPr>
                <w:t>WTDC-22 (Kigali Action Plan)</w:t>
              </w:r>
            </w:hyperlink>
            <w:r w:rsidRPr="002F49CE">
              <w:rPr>
                <w:rStyle w:val="Hyperlink"/>
                <w:i/>
                <w:iCs/>
                <w:sz w:val="22"/>
                <w:szCs w:val="22"/>
                <w:u w:val="none"/>
              </w:rPr>
              <w:t xml:space="preserve"> </w:t>
            </w:r>
            <w:r w:rsidRPr="002F49CE">
              <w:rPr>
                <w:rStyle w:val="Hyperlink"/>
                <w:i/>
                <w:iCs/>
                <w:color w:val="auto"/>
                <w:sz w:val="22"/>
                <w:szCs w:val="22"/>
                <w:u w:val="none"/>
              </w:rPr>
              <w:t xml:space="preserve">and </w:t>
            </w:r>
            <w:hyperlink r:id="rId15">
              <w:r w:rsidRPr="002F49CE">
                <w:rPr>
                  <w:rStyle w:val="Hyperlink"/>
                  <w:i/>
                  <w:iCs/>
                  <w:sz w:val="22"/>
                  <w:szCs w:val="22"/>
                </w:rPr>
                <w:t>WTDC-25 (Baku Action Plan)</w:t>
              </w:r>
            </w:hyperlink>
            <w:r w:rsidRPr="002F49CE">
              <w:rPr>
                <w:rStyle w:val="Hyperlink"/>
                <w:i/>
                <w:iCs/>
                <w:color w:val="auto"/>
                <w:sz w:val="22"/>
                <w:szCs w:val="22"/>
                <w:u w:val="none"/>
              </w:rPr>
              <w:t xml:space="preserve">; Resolutions </w:t>
            </w:r>
            <w:hyperlink r:id="rId16">
              <w:r w:rsidRPr="002F49CE">
                <w:rPr>
                  <w:rStyle w:val="Hyperlink"/>
                  <w:i/>
                  <w:iCs/>
                  <w:sz w:val="22"/>
                  <w:szCs w:val="22"/>
                </w:rPr>
                <w:t>17 (Rev. Baku, 2025) and 31 (Rev. Baku, 2025)</w:t>
              </w:r>
            </w:hyperlink>
            <w:r w:rsidR="004523E2" w:rsidRPr="002F49CE">
              <w:rPr>
                <w:i/>
                <w:iCs/>
                <w:sz w:val="22"/>
                <w:szCs w:val="22"/>
              </w:rPr>
              <w:t xml:space="preserve"> of the </w:t>
            </w:r>
            <w:r w:rsidR="009962C2" w:rsidRPr="002F49CE">
              <w:rPr>
                <w:rStyle w:val="Hyperlink"/>
                <w:i/>
                <w:iCs/>
                <w:color w:val="auto"/>
                <w:sz w:val="22"/>
                <w:szCs w:val="22"/>
                <w:u w:val="none"/>
              </w:rPr>
              <w:t>World Telecommunication Development Conference</w:t>
            </w:r>
            <w:r w:rsidRPr="002F49CE">
              <w:rPr>
                <w:rStyle w:val="Hyperlink"/>
                <w:i/>
                <w:iCs/>
                <w:color w:val="auto"/>
                <w:sz w:val="22"/>
                <w:szCs w:val="22"/>
                <w:u w:val="none"/>
              </w:rPr>
              <w:t xml:space="preserve">; Documents </w:t>
            </w:r>
            <w:hyperlink r:id="rId17">
              <w:r w:rsidR="5D5AD941" w:rsidRPr="002F49CE">
                <w:rPr>
                  <w:rStyle w:val="Hyperlink"/>
                  <w:i/>
                  <w:iCs/>
                  <w:sz w:val="22"/>
                  <w:szCs w:val="22"/>
                </w:rPr>
                <w:t>C25/25</w:t>
              </w:r>
            </w:hyperlink>
            <w:r w:rsidR="5D5AD941" w:rsidRPr="002F49CE">
              <w:rPr>
                <w:rStyle w:val="Hyperlink"/>
                <w:i/>
                <w:iCs/>
                <w:color w:val="auto"/>
                <w:sz w:val="22"/>
                <w:szCs w:val="22"/>
                <w:u w:val="none"/>
              </w:rPr>
              <w:t xml:space="preserve">, </w:t>
            </w:r>
            <w:hyperlink r:id="rId18">
              <w:r w:rsidR="2EA79D7A" w:rsidRPr="002F49CE">
                <w:rPr>
                  <w:rStyle w:val="Hyperlink"/>
                  <w:rFonts w:eastAsia="Calibri" w:cs="Calibri"/>
                  <w:i/>
                  <w:iCs/>
                  <w:sz w:val="22"/>
                  <w:szCs w:val="22"/>
                </w:rPr>
                <w:t>TDAG-25/24</w:t>
              </w:r>
            </w:hyperlink>
            <w:r w:rsidR="2EA79D7A" w:rsidRPr="002F49CE">
              <w:rPr>
                <w:rFonts w:eastAsia="Calibri" w:cs="Calibri"/>
                <w:i/>
                <w:iCs/>
                <w:sz w:val="22"/>
                <w:szCs w:val="22"/>
              </w:rPr>
              <w:t>,</w:t>
            </w:r>
            <w:r w:rsidR="2EA79D7A" w:rsidRPr="002F49CE">
              <w:rPr>
                <w:rFonts w:eastAsia="Calibri" w:cs="Calibri"/>
                <w:sz w:val="22"/>
                <w:szCs w:val="22"/>
              </w:rPr>
              <w:t xml:space="preserve"> </w:t>
            </w:r>
            <w:hyperlink r:id="rId19">
              <w:r w:rsidRPr="002F49CE">
                <w:rPr>
                  <w:rStyle w:val="Hyperlink"/>
                  <w:i/>
                  <w:iCs/>
                  <w:sz w:val="22"/>
                  <w:szCs w:val="22"/>
                </w:rPr>
                <w:t>WTDC-25/2</w:t>
              </w:r>
            </w:hyperlink>
            <w:r w:rsidR="004523E2" w:rsidRPr="002F49CE">
              <w:rPr>
                <w:rStyle w:val="Hyperlink"/>
                <w:i/>
                <w:iCs/>
                <w:color w:val="auto"/>
                <w:sz w:val="22"/>
                <w:szCs w:val="22"/>
                <w:u w:val="none"/>
              </w:rPr>
              <w:t>,</w:t>
            </w:r>
            <w:r w:rsidRPr="002F49CE">
              <w:rPr>
                <w:rStyle w:val="Hyperlink"/>
                <w:i/>
                <w:iCs/>
                <w:color w:val="auto"/>
                <w:sz w:val="22"/>
                <w:szCs w:val="22"/>
                <w:u w:val="none"/>
              </w:rPr>
              <w:t xml:space="preserve"> </w:t>
            </w:r>
            <w:hyperlink r:id="rId20">
              <w:r w:rsidRPr="002F49CE">
                <w:rPr>
                  <w:rStyle w:val="Hyperlink"/>
                  <w:i/>
                  <w:iCs/>
                  <w:sz w:val="22"/>
                  <w:szCs w:val="22"/>
                </w:rPr>
                <w:t>TDAG-26/19</w:t>
              </w:r>
              <w:r w:rsidR="004523E2" w:rsidRPr="002F49CE">
                <w:rPr>
                  <w:rStyle w:val="Hyperlink"/>
                  <w:i/>
                  <w:iCs/>
                  <w:color w:val="000000" w:themeColor="text1"/>
                  <w:sz w:val="22"/>
                  <w:szCs w:val="22"/>
                  <w:u w:val="none"/>
                </w:rPr>
                <w:t>,</w:t>
              </w:r>
              <w:r w:rsidRPr="002F49CE">
                <w:rPr>
                  <w:rStyle w:val="Hyperlink"/>
                  <w:i/>
                  <w:iCs/>
                  <w:sz w:val="22"/>
                  <w:szCs w:val="22"/>
                  <w:u w:val="none"/>
                </w:rPr>
                <w:t xml:space="preserve"> </w:t>
              </w:r>
            </w:hyperlink>
            <w:hyperlink r:id="rId21">
              <w:r w:rsidRPr="002F49CE">
                <w:rPr>
                  <w:rStyle w:val="Hyperlink"/>
                  <w:i/>
                  <w:iCs/>
                  <w:sz w:val="22"/>
                  <w:szCs w:val="22"/>
                </w:rPr>
                <w:t>TDAG-26/16</w:t>
              </w:r>
            </w:hyperlink>
            <w:r w:rsidR="004523E2" w:rsidRPr="002F49CE">
              <w:rPr>
                <w:rStyle w:val="Hyperlink"/>
                <w:i/>
                <w:iCs/>
                <w:color w:val="auto"/>
                <w:sz w:val="22"/>
                <w:szCs w:val="22"/>
                <w:u w:val="none"/>
              </w:rPr>
              <w:t>,</w:t>
            </w:r>
            <w:r w:rsidRPr="002F49CE">
              <w:rPr>
                <w:rStyle w:val="Hyperlink"/>
                <w:i/>
                <w:iCs/>
                <w:color w:val="auto"/>
                <w:sz w:val="22"/>
                <w:szCs w:val="22"/>
                <w:u w:val="none"/>
              </w:rPr>
              <w:t xml:space="preserve"> </w:t>
            </w:r>
            <w:hyperlink r:id="rId22">
              <w:r w:rsidRPr="002F49CE">
                <w:rPr>
                  <w:rStyle w:val="Hyperlink"/>
                  <w:i/>
                  <w:iCs/>
                  <w:sz w:val="22"/>
                  <w:szCs w:val="22"/>
                </w:rPr>
                <w:t>TDAG-26/8</w:t>
              </w:r>
            </w:hyperlink>
            <w:r w:rsidR="004523E2" w:rsidRPr="002F49CE">
              <w:rPr>
                <w:rStyle w:val="Hyperlink"/>
                <w:i/>
                <w:iCs/>
                <w:color w:val="auto"/>
                <w:sz w:val="22"/>
                <w:szCs w:val="22"/>
                <w:u w:val="none"/>
              </w:rPr>
              <w:t>, and</w:t>
            </w:r>
            <w:r w:rsidRPr="002F49CE">
              <w:rPr>
                <w:rStyle w:val="Hyperlink"/>
                <w:i/>
                <w:iCs/>
                <w:color w:val="auto"/>
                <w:sz w:val="22"/>
                <w:szCs w:val="22"/>
                <w:u w:val="none"/>
              </w:rPr>
              <w:t xml:space="preserve"> </w:t>
            </w:r>
            <w:hyperlink r:id="rId23">
              <w:r w:rsidRPr="002F49CE">
                <w:rPr>
                  <w:rStyle w:val="Hyperlink"/>
                  <w:i/>
                  <w:iCs/>
                  <w:sz w:val="22"/>
                  <w:szCs w:val="22"/>
                </w:rPr>
                <w:t>TDAG-26/4</w:t>
              </w:r>
            </w:hyperlink>
            <w:r w:rsidRPr="002F49CE">
              <w:rPr>
                <w:rStyle w:val="Hyperlink"/>
                <w:i/>
                <w:iCs/>
                <w:color w:val="auto"/>
                <w:sz w:val="22"/>
                <w:szCs w:val="22"/>
                <w:u w:val="none"/>
              </w:rPr>
              <w:t>.</w:t>
            </w:r>
          </w:p>
        </w:tc>
      </w:tr>
    </w:tbl>
    <w:p w14:paraId="60238569"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DC1EAA8"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53E459EF" w14:textId="77777777" w:rsidR="00FF4B90" w:rsidRPr="00922311" w:rsidRDefault="00FF4B90" w:rsidP="00396697">
      <w:pPr>
        <w:pStyle w:val="Heading1"/>
        <w:tabs>
          <w:tab w:val="clear" w:pos="567"/>
          <w:tab w:val="clear" w:pos="1134"/>
          <w:tab w:val="clear" w:pos="1701"/>
          <w:tab w:val="clear" w:pos="2268"/>
          <w:tab w:val="clear" w:pos="2835"/>
        </w:tabs>
        <w:ind w:left="0" w:firstLine="0"/>
        <w:rPr>
          <w:rFonts w:eastAsia="SimSun"/>
        </w:rPr>
      </w:pPr>
      <w:r w:rsidRPr="00922311">
        <w:rPr>
          <w:rFonts w:eastAsia="SimSun"/>
        </w:rPr>
        <w:lastRenderedPageBreak/>
        <w:t>1</w:t>
      </w:r>
      <w:r w:rsidRPr="00922311">
        <w:rPr>
          <w:rFonts w:eastAsia="SimSun"/>
        </w:rPr>
        <w:tab/>
        <w:t>Background</w:t>
      </w:r>
    </w:p>
    <w:p w14:paraId="7A5B141E" w14:textId="75FCD996" w:rsidR="00FF4B90" w:rsidRPr="00C30350" w:rsidRDefault="00FF4B90" w:rsidP="00396697">
      <w:pPr>
        <w:tabs>
          <w:tab w:val="clear" w:pos="567"/>
          <w:tab w:val="clear" w:pos="1134"/>
          <w:tab w:val="clear" w:pos="1701"/>
          <w:tab w:val="clear" w:pos="2268"/>
          <w:tab w:val="clear" w:pos="2835"/>
        </w:tabs>
        <w:jc w:val="both"/>
        <w:rPr>
          <w:rFonts w:eastAsia="Arial Unicode MS" w:cstheme="minorBidi"/>
        </w:rPr>
      </w:pPr>
      <w:r w:rsidRPr="00922311">
        <w:rPr>
          <w:rFonts w:eastAsia="SimSun"/>
        </w:rPr>
        <w:t>1.1</w:t>
      </w:r>
      <w:r w:rsidRPr="00922311">
        <w:rPr>
          <w:rFonts w:eastAsia="SimSun"/>
        </w:rPr>
        <w:tab/>
        <w:t>In recognition of Article</w:t>
      </w:r>
      <w:r w:rsidR="00CD024B">
        <w:rPr>
          <w:rFonts w:eastAsia="SimSun"/>
        </w:rPr>
        <w:t>s</w:t>
      </w:r>
      <w:r w:rsidRPr="00922311">
        <w:rPr>
          <w:rFonts w:eastAsia="SimSun"/>
        </w:rPr>
        <w:t xml:space="preserve"> 1 and 21 of the ITU Constitution as well as Article</w:t>
      </w:r>
      <w:r w:rsidR="00CD024B">
        <w:rPr>
          <w:rFonts w:eastAsia="SimSun"/>
        </w:rPr>
        <w:t>s</w:t>
      </w:r>
      <w:r w:rsidRPr="00922311">
        <w:rPr>
          <w:rFonts w:eastAsia="SimSun"/>
        </w:rPr>
        <w:t xml:space="preserve"> 5 and 14 of </w:t>
      </w:r>
      <w:r>
        <w:rPr>
          <w:rFonts w:eastAsia="SimSun"/>
        </w:rPr>
        <w:t xml:space="preserve">the </w:t>
      </w:r>
      <w:r w:rsidRPr="00922311">
        <w:rPr>
          <w:rFonts w:eastAsia="SimSun"/>
        </w:rPr>
        <w:t xml:space="preserve">ITU Convention, </w:t>
      </w:r>
      <w:r w:rsidRPr="0C1981DC">
        <w:rPr>
          <w:rFonts w:eastAsia="Arial Unicode MS" w:cstheme="minorBidi"/>
        </w:rPr>
        <w:t xml:space="preserve">Resolution 25 (Rev. Bucharest, 2022) of the Plenipotentiary Conference </w:t>
      </w:r>
      <w:r w:rsidRPr="00922311">
        <w:rPr>
          <w:rFonts w:eastAsia="SimSun"/>
        </w:rPr>
        <w:t>calls upon ITU</w:t>
      </w:r>
      <w:r>
        <w:rPr>
          <w:rFonts w:eastAsia="SimSun"/>
        </w:rPr>
        <w:t xml:space="preserve"> </w:t>
      </w:r>
      <w:r w:rsidRPr="00922311">
        <w:rPr>
          <w:rFonts w:eastAsia="SimSun"/>
        </w:rPr>
        <w:t xml:space="preserve">to </w:t>
      </w:r>
      <w:r w:rsidRPr="0C1981DC">
        <w:rPr>
          <w:rFonts w:eastAsia="Arial Unicode MS" w:cstheme="minorBidi"/>
        </w:rPr>
        <w:t>“</w:t>
      </w:r>
      <w:r w:rsidRPr="0C1981DC">
        <w:rPr>
          <w:rFonts w:eastAsia="Arial Unicode MS" w:cstheme="minorBidi"/>
          <w:spacing w:val="4"/>
        </w:rPr>
        <w:t>continue to strengthen the functions of the regional and area offices so that they can play an important role in implementation of the ITU strategic plan, programmes</w:t>
      </w:r>
      <w:r w:rsidRPr="0C1981DC">
        <w:rPr>
          <w:rFonts w:eastAsia="Arial Unicode MS" w:cstheme="minorBidi"/>
        </w:rPr>
        <w:t xml:space="preserve"> and projects, and the regional initiatives set out in the Kigali Action Plan, pursuant to Resolution 17 (Rev. Kigali, 2022) of the World Telecommunication Development Conference (WTDC), within available resources, including those allocated by the financial plan and from other relevant sources such as voluntary contributions and sponsorships”</w:t>
      </w:r>
      <w:r w:rsidR="00CD024B" w:rsidRPr="0C1981DC">
        <w:rPr>
          <w:rFonts w:eastAsia="Arial Unicode MS" w:cstheme="minorBidi"/>
        </w:rPr>
        <w:t>.</w:t>
      </w:r>
      <w:r w:rsidRPr="0C1981DC">
        <w:rPr>
          <w:rFonts w:eastAsia="Arial Unicode MS" w:cstheme="minorBidi"/>
          <w:i/>
          <w:iCs/>
        </w:rPr>
        <w:t xml:space="preserve"> </w:t>
      </w:r>
      <w:r w:rsidRPr="0C1981DC">
        <w:rPr>
          <w:rFonts w:eastAsia="Arial Unicode MS" w:cstheme="minorBidi"/>
        </w:rPr>
        <w:t>At the WTDC</w:t>
      </w:r>
      <w:r w:rsidRPr="0C1981DC">
        <w:rPr>
          <w:rFonts w:eastAsia="Arial Unicode MS" w:cstheme="minorBidi"/>
        </w:rPr>
        <w:noBreakHyphen/>
        <w:t>25, held from 17 to 28 November 2025 in Baku, Azerbaijan</w:t>
      </w:r>
      <w:r w:rsidR="00CD024B" w:rsidRPr="0C1981DC">
        <w:rPr>
          <w:rFonts w:eastAsia="Arial Unicode MS" w:cstheme="minorBidi"/>
        </w:rPr>
        <w:t>,</w:t>
      </w:r>
      <w:r w:rsidRPr="0C1981DC">
        <w:rPr>
          <w:rFonts w:eastAsia="Arial Unicode MS" w:cstheme="minorBidi"/>
        </w:rPr>
        <w:t xml:space="preserve"> under the theme “Universal, meaningful, and affordable connectivity for an inclusive and sustainable digital future”, the ITU membership adopted the Baku Action Plan, and endorsed WTDC Resolution 17 (Rev.</w:t>
      </w:r>
      <w:r w:rsidR="00CD024B" w:rsidRPr="0C1981DC">
        <w:rPr>
          <w:rFonts w:eastAsia="Arial Unicode MS" w:cstheme="minorBidi"/>
        </w:rPr>
        <w:t xml:space="preserve"> </w:t>
      </w:r>
      <w:r w:rsidRPr="0C1981DC">
        <w:rPr>
          <w:rFonts w:eastAsia="Arial Unicode MS" w:cstheme="minorBidi"/>
        </w:rPr>
        <w:t>Baku, 2025) defining the Regional Initiatives for implementation from 2026</w:t>
      </w:r>
      <w:r w:rsidR="00CD024B">
        <w:rPr>
          <w:rFonts w:eastAsia="Arial Unicode MS" w:cstheme="minorBidi"/>
        </w:rPr>
        <w:noBreakHyphen/>
      </w:r>
      <w:r w:rsidRPr="0C1981DC">
        <w:rPr>
          <w:rFonts w:eastAsia="Arial Unicode MS" w:cstheme="minorBidi"/>
        </w:rPr>
        <w:t>2029 in all six regions.</w:t>
      </w:r>
    </w:p>
    <w:p w14:paraId="131FAB20" w14:textId="783AFA01" w:rsidR="00FF4B90" w:rsidRPr="00922311" w:rsidRDefault="00FF4B90" w:rsidP="00396697">
      <w:pPr>
        <w:tabs>
          <w:tab w:val="clear" w:pos="567"/>
          <w:tab w:val="clear" w:pos="1134"/>
          <w:tab w:val="clear" w:pos="1701"/>
          <w:tab w:val="clear" w:pos="2268"/>
          <w:tab w:val="clear" w:pos="2835"/>
        </w:tabs>
        <w:jc w:val="both"/>
        <w:rPr>
          <w:rFonts w:eastAsia="SimSun"/>
        </w:rPr>
      </w:pPr>
      <w:r w:rsidRPr="00922311">
        <w:rPr>
          <w:rFonts w:eastAsia="SimSun"/>
        </w:rPr>
        <w:t>1.2</w:t>
      </w:r>
      <w:r w:rsidRPr="00922311">
        <w:rPr>
          <w:rFonts w:eastAsia="SimSun"/>
        </w:rPr>
        <w:tab/>
      </w:r>
      <w:r w:rsidRPr="00BF71C3">
        <w:rPr>
          <w:rFonts w:eastAsia="SimSun"/>
        </w:rPr>
        <w:t>Resolution 25 (Rev. Bucharest, 2022) underscores the essential role of ITU’s Regional and Area Offices in strengthening the Union’s engagement with its members. These offices</w:t>
      </w:r>
      <w:r w:rsidRPr="00922311">
        <w:rPr>
          <w:rFonts w:eastAsia="SimSun"/>
        </w:rPr>
        <w:t xml:space="preserve"> serv</w:t>
      </w:r>
      <w:r>
        <w:rPr>
          <w:rFonts w:eastAsia="SimSun"/>
        </w:rPr>
        <w:t>e</w:t>
      </w:r>
      <w:r w:rsidRPr="00922311">
        <w:rPr>
          <w:rFonts w:eastAsia="SimSun"/>
        </w:rPr>
        <w:t xml:space="preserve"> as a channel for executing programmes, projects, and activities, disseminating information on the Union’s activities, developing closer ties with regional and subregional telecommunication organizations and the United Nations organizations, and providing technical assistance to countries, including </w:t>
      </w:r>
      <w:r>
        <w:rPr>
          <w:rFonts w:eastAsia="SimSun"/>
        </w:rPr>
        <w:t xml:space="preserve">least developed countries (LDCs), landlocked developing countries (LLDCs), small island developing </w:t>
      </w:r>
      <w:r w:rsidR="00CD024B">
        <w:rPr>
          <w:rFonts w:eastAsia="SimSun"/>
        </w:rPr>
        <w:t xml:space="preserve">States </w:t>
      </w:r>
      <w:r>
        <w:rPr>
          <w:rFonts w:eastAsia="SimSun"/>
        </w:rPr>
        <w:t>(SIDS)</w:t>
      </w:r>
      <w:r w:rsidRPr="00922311">
        <w:rPr>
          <w:rFonts w:eastAsia="SimSun"/>
        </w:rPr>
        <w:t xml:space="preserve">, with specific needs. </w:t>
      </w:r>
    </w:p>
    <w:p w14:paraId="40F4B794" w14:textId="77777777" w:rsidR="00FF4B90" w:rsidRPr="00922311" w:rsidRDefault="00FF4B90" w:rsidP="00396697">
      <w:pPr>
        <w:tabs>
          <w:tab w:val="clear" w:pos="567"/>
          <w:tab w:val="clear" w:pos="1134"/>
          <w:tab w:val="clear" w:pos="1701"/>
          <w:tab w:val="clear" w:pos="2268"/>
          <w:tab w:val="clear" w:pos="2835"/>
        </w:tabs>
        <w:jc w:val="both"/>
        <w:rPr>
          <w:rFonts w:eastAsia="SimSun"/>
        </w:rPr>
      </w:pPr>
      <w:r w:rsidRPr="00922311">
        <w:rPr>
          <w:rFonts w:eastAsia="SimSun"/>
        </w:rPr>
        <w:t>1.</w:t>
      </w:r>
      <w:r>
        <w:rPr>
          <w:rFonts w:eastAsia="SimSun"/>
        </w:rPr>
        <w:t>3</w:t>
      </w:r>
      <w:r w:rsidRPr="00922311">
        <w:rPr>
          <w:rFonts w:eastAsia="SimSun"/>
        </w:rPr>
        <w:tab/>
        <w:t xml:space="preserve">This report provides information on the implementation of activities on the ground by the ITU </w:t>
      </w:r>
      <w:r>
        <w:rPr>
          <w:rFonts w:eastAsia="SimSun"/>
        </w:rPr>
        <w:t>Regional and Area Offices</w:t>
      </w:r>
      <w:r w:rsidRPr="00922311">
        <w:rPr>
          <w:rFonts w:eastAsia="SimSun"/>
        </w:rPr>
        <w:t xml:space="preserve"> related to the three sectors of the Union.</w:t>
      </w:r>
    </w:p>
    <w:p w14:paraId="07337126" w14:textId="77777777" w:rsidR="00FF4B90" w:rsidRDefault="00FF4B90" w:rsidP="00396697">
      <w:pPr>
        <w:pStyle w:val="Heading1"/>
        <w:tabs>
          <w:tab w:val="clear" w:pos="567"/>
          <w:tab w:val="clear" w:pos="1134"/>
          <w:tab w:val="clear" w:pos="1701"/>
          <w:tab w:val="clear" w:pos="2268"/>
          <w:tab w:val="clear" w:pos="2835"/>
        </w:tabs>
        <w:ind w:left="0" w:firstLine="0"/>
        <w:rPr>
          <w:rFonts w:eastAsia="SimSun"/>
        </w:rPr>
      </w:pPr>
      <w:r w:rsidRPr="00922311">
        <w:rPr>
          <w:rFonts w:eastAsia="SimSun"/>
        </w:rPr>
        <w:t>2</w:t>
      </w:r>
      <w:r w:rsidRPr="00922311">
        <w:rPr>
          <w:rFonts w:eastAsia="SimSun"/>
        </w:rPr>
        <w:tab/>
        <w:t>Activities related to ITU’s Development Sector and BDT</w:t>
      </w:r>
    </w:p>
    <w:p w14:paraId="5B88841D" w14:textId="77777777" w:rsidR="00FF4B90" w:rsidRPr="00091C29" w:rsidRDefault="00FF4B90" w:rsidP="00396697">
      <w:pPr>
        <w:tabs>
          <w:tab w:val="clear" w:pos="567"/>
          <w:tab w:val="clear" w:pos="1134"/>
          <w:tab w:val="clear" w:pos="1701"/>
          <w:tab w:val="clear" w:pos="2268"/>
          <w:tab w:val="clear" w:pos="2835"/>
        </w:tabs>
        <w:jc w:val="both"/>
        <w:rPr>
          <w:rFonts w:eastAsiaTheme="minorEastAsia" w:cstheme="minorBidi"/>
        </w:rPr>
      </w:pPr>
      <w:r w:rsidRPr="00D07B85">
        <w:rPr>
          <w:rFonts w:eastAsiaTheme="minorEastAsia" w:cstheme="minorBidi"/>
        </w:rPr>
        <w:t>The Telecommunication Development Bureau (BDT), in close collaboration with the Radiocommunication Bureau (BR), the Standardization Bureau (TSB), and the General Secretariat, continues to actively strengthen</w:t>
      </w:r>
      <w:r>
        <w:rPr>
          <w:rFonts w:eastAsiaTheme="minorEastAsia" w:cstheme="minorBidi"/>
        </w:rPr>
        <w:t xml:space="preserve"> the</w:t>
      </w:r>
      <w:r w:rsidRPr="00D07B85">
        <w:rPr>
          <w:rFonts w:eastAsiaTheme="minorEastAsia" w:cstheme="minorBidi"/>
        </w:rPr>
        <w:t xml:space="preserve"> IT</w:t>
      </w:r>
      <w:r>
        <w:rPr>
          <w:rFonts w:eastAsiaTheme="minorEastAsia" w:cstheme="minorBidi"/>
        </w:rPr>
        <w:t>U</w:t>
      </w:r>
      <w:r w:rsidRPr="00D07B85">
        <w:rPr>
          <w:rFonts w:eastAsiaTheme="minorEastAsia" w:cstheme="minorBidi"/>
        </w:rPr>
        <w:t xml:space="preserve"> Regional Presence. </w:t>
      </w:r>
      <w:r w:rsidRPr="4767967C">
        <w:rPr>
          <w:rFonts w:eastAsiaTheme="minorEastAsia" w:cstheme="minorBidi"/>
        </w:rPr>
        <w:t xml:space="preserve">Regional and Area Offices continue to play a vital role, serving as the frontline for ITU’s engagement with local stakeholders and governments. A detailed report on the implementation of the Kigali Action Plan (KAP), ITU-D’s contribution to the ITU </w:t>
      </w:r>
      <w:r>
        <w:rPr>
          <w:rFonts w:eastAsiaTheme="minorEastAsia" w:cstheme="minorBidi"/>
        </w:rPr>
        <w:t>S</w:t>
      </w:r>
      <w:r w:rsidRPr="4767967C">
        <w:rPr>
          <w:rFonts w:eastAsiaTheme="minorEastAsia" w:cstheme="minorBidi"/>
        </w:rPr>
        <w:t xml:space="preserve">trategic </w:t>
      </w:r>
      <w:r>
        <w:rPr>
          <w:rFonts w:eastAsiaTheme="minorEastAsia" w:cstheme="minorBidi"/>
        </w:rPr>
        <w:t>P</w:t>
      </w:r>
      <w:r w:rsidRPr="4767967C">
        <w:rPr>
          <w:rFonts w:eastAsiaTheme="minorEastAsia" w:cstheme="minorBidi"/>
        </w:rPr>
        <w:t xml:space="preserve">lan </w:t>
      </w:r>
      <w:r>
        <w:rPr>
          <w:rFonts w:eastAsiaTheme="minorEastAsia" w:cstheme="minorBidi"/>
        </w:rPr>
        <w:t>and</w:t>
      </w:r>
      <w:r w:rsidRPr="4767967C">
        <w:rPr>
          <w:rFonts w:eastAsiaTheme="minorEastAsia" w:cstheme="minorBidi"/>
        </w:rPr>
        <w:t xml:space="preserve"> the implementation of Regional Initiatives </w:t>
      </w:r>
      <w:r>
        <w:rPr>
          <w:rFonts w:eastAsiaTheme="minorEastAsia" w:cstheme="minorBidi"/>
        </w:rPr>
        <w:t>is available</w:t>
      </w:r>
      <w:r w:rsidRPr="4767967C">
        <w:rPr>
          <w:rFonts w:eastAsiaTheme="minorEastAsia" w:cstheme="minorBidi"/>
        </w:rPr>
        <w:t xml:space="preserve"> in Document </w:t>
      </w:r>
      <w:hyperlink r:id="rId24">
        <w:r w:rsidRPr="4767967C">
          <w:rPr>
            <w:rStyle w:val="Hyperlink"/>
            <w:rFonts w:eastAsiaTheme="minorEastAsia" w:cstheme="minorBidi"/>
          </w:rPr>
          <w:t>WTDC-25/2</w:t>
        </w:r>
      </w:hyperlink>
      <w:r w:rsidRPr="4767967C">
        <w:rPr>
          <w:rFonts w:eastAsiaTheme="minorEastAsia" w:cstheme="minorBidi"/>
        </w:rPr>
        <w:t xml:space="preserve">. </w:t>
      </w:r>
    </w:p>
    <w:p w14:paraId="1F41270D" w14:textId="5FD92EE7" w:rsidR="00FF4B90" w:rsidRPr="00922311" w:rsidRDefault="00FF4B90" w:rsidP="00396697">
      <w:pPr>
        <w:pStyle w:val="Heading2"/>
        <w:tabs>
          <w:tab w:val="clear" w:pos="567"/>
          <w:tab w:val="clear" w:pos="1134"/>
          <w:tab w:val="clear" w:pos="1701"/>
          <w:tab w:val="clear" w:pos="2268"/>
          <w:tab w:val="clear" w:pos="2835"/>
        </w:tabs>
        <w:ind w:left="0" w:firstLine="0"/>
        <w:rPr>
          <w:rFonts w:eastAsia="SimSun"/>
        </w:rPr>
      </w:pPr>
      <w:r w:rsidRPr="00922311">
        <w:rPr>
          <w:rFonts w:eastAsia="SimSun"/>
        </w:rPr>
        <w:t>2.1</w:t>
      </w:r>
      <w:r>
        <w:rPr>
          <w:rFonts w:eastAsia="SimSun"/>
        </w:rPr>
        <w:tab/>
      </w:r>
      <w:r w:rsidRPr="00922311">
        <w:rPr>
          <w:rFonts w:eastAsia="SimSun"/>
        </w:rPr>
        <w:t>Regional Development Forums (RDFs)</w:t>
      </w:r>
    </w:p>
    <w:p w14:paraId="2183E163" w14:textId="497579E8" w:rsidR="00FF4B90" w:rsidRDefault="00FF4B90" w:rsidP="00396697">
      <w:pPr>
        <w:tabs>
          <w:tab w:val="clear" w:pos="567"/>
          <w:tab w:val="clear" w:pos="1134"/>
          <w:tab w:val="clear" w:pos="1701"/>
          <w:tab w:val="clear" w:pos="2268"/>
          <w:tab w:val="clear" w:pos="2835"/>
        </w:tabs>
        <w:jc w:val="both"/>
        <w:rPr>
          <w:rFonts w:eastAsia="SimSun"/>
        </w:rPr>
      </w:pPr>
      <w:r w:rsidRPr="004773A4">
        <w:rPr>
          <w:rFonts w:eastAsia="SimSun"/>
        </w:rPr>
        <w:t>2.1.1</w:t>
      </w:r>
      <w:r w:rsidR="004F798A">
        <w:rPr>
          <w:rFonts w:eastAsia="SimSun"/>
        </w:rPr>
        <w:tab/>
      </w:r>
      <w:r>
        <w:rPr>
          <w:rFonts w:cstheme="minorBidi"/>
        </w:rPr>
        <w:t>B</w:t>
      </w:r>
      <w:r w:rsidRPr="639DB8AD">
        <w:rPr>
          <w:rFonts w:cstheme="minorBidi"/>
        </w:rPr>
        <w:t>etween February and April</w:t>
      </w:r>
      <w:r>
        <w:rPr>
          <w:rFonts w:cstheme="minorBidi"/>
        </w:rPr>
        <w:t xml:space="preserve"> 2025</w:t>
      </w:r>
      <w:r w:rsidRPr="639DB8AD">
        <w:rPr>
          <w:rFonts w:cstheme="minorBidi"/>
        </w:rPr>
        <w:t xml:space="preserve">, BDT organized a series of six RDFs back-to-back with the ITU Regional Preparatory Meetings </w:t>
      </w:r>
      <w:r>
        <w:rPr>
          <w:rFonts w:cstheme="minorBidi"/>
        </w:rPr>
        <w:t xml:space="preserve">(RPMs) </w:t>
      </w:r>
      <w:r w:rsidRPr="639DB8AD">
        <w:rPr>
          <w:rFonts w:cstheme="minorBidi"/>
        </w:rPr>
        <w:t>for WTDC-25</w:t>
      </w:r>
      <w:r>
        <w:rPr>
          <w:rFonts w:cstheme="minorBidi"/>
        </w:rPr>
        <w:t>,</w:t>
      </w:r>
      <w:r w:rsidRPr="00922311">
        <w:rPr>
          <w:rFonts w:eastAsia="SimSun"/>
        </w:rPr>
        <w:t xml:space="preserve"> as shown in </w:t>
      </w:r>
      <w:r w:rsidR="004F798A" w:rsidRPr="00922311">
        <w:rPr>
          <w:rFonts w:eastAsia="SimSun"/>
        </w:rPr>
        <w:t>Table</w:t>
      </w:r>
      <w:r w:rsidR="004F798A">
        <w:rPr>
          <w:rFonts w:eastAsia="SimSun"/>
        </w:rPr>
        <w:t xml:space="preserve"> </w:t>
      </w:r>
      <w:r>
        <w:rPr>
          <w:rFonts w:eastAsia="SimSun"/>
        </w:rPr>
        <w:t>1</w:t>
      </w:r>
      <w:r w:rsidRPr="00922311">
        <w:rPr>
          <w:rFonts w:eastAsia="SimSun"/>
        </w:rPr>
        <w:t xml:space="preserve"> below: </w:t>
      </w:r>
    </w:p>
    <w:p w14:paraId="437F6981" w14:textId="77777777" w:rsidR="00FF4B90" w:rsidRPr="004F798A" w:rsidRDefault="00FF4B90" w:rsidP="004F798A">
      <w:pPr>
        <w:pStyle w:val="TableNo"/>
      </w:pPr>
      <w:r w:rsidRPr="004F798A">
        <w:t>Table 1</w:t>
      </w:r>
    </w:p>
    <w:p w14:paraId="09FF5894" w14:textId="7B6B3755" w:rsidR="00FF4B90" w:rsidRPr="00922311" w:rsidRDefault="00FF4B90" w:rsidP="004F798A">
      <w:pPr>
        <w:pStyle w:val="Tabletitle"/>
      </w:pPr>
      <w:r w:rsidRPr="00922311">
        <w:t xml:space="preserve">Dates and </w:t>
      </w:r>
      <w:r w:rsidRPr="004F798A">
        <w:t>locations</w:t>
      </w:r>
      <w:r w:rsidRPr="00922311">
        <w:t xml:space="preserve"> of RDFs organized in 2025</w:t>
      </w:r>
    </w:p>
    <w:tbl>
      <w:tblPr>
        <w:tblStyle w:val="TableGrid"/>
        <w:tblW w:w="0" w:type="auto"/>
        <w:jc w:val="center"/>
        <w:tblLayout w:type="fixed"/>
        <w:tblCellMar>
          <w:left w:w="28" w:type="dxa"/>
          <w:right w:w="28" w:type="dxa"/>
        </w:tblCellMar>
        <w:tblLook w:val="04A0" w:firstRow="1" w:lastRow="0" w:firstColumn="1" w:lastColumn="0" w:noHBand="0" w:noVBand="1"/>
      </w:tblPr>
      <w:tblGrid>
        <w:gridCol w:w="1849"/>
        <w:gridCol w:w="1849"/>
        <w:gridCol w:w="1939"/>
        <w:gridCol w:w="1759"/>
      </w:tblGrid>
      <w:tr w:rsidR="00FF4B90" w:rsidRPr="00814F4D" w14:paraId="1A839F91" w14:textId="77777777" w:rsidTr="002A2054">
        <w:trPr>
          <w:cantSplit/>
          <w:tblHeader/>
          <w:jc w:val="center"/>
        </w:trPr>
        <w:tc>
          <w:tcPr>
            <w:tcW w:w="1849" w:type="dxa"/>
            <w:vAlign w:val="center"/>
          </w:tcPr>
          <w:p w14:paraId="23F5C9A9" w14:textId="77777777" w:rsidR="00FF4B90" w:rsidRPr="004F798A" w:rsidRDefault="00FF4B90" w:rsidP="002A2054">
            <w:pPr>
              <w:pStyle w:val="Tablehead"/>
            </w:pPr>
            <w:r w:rsidRPr="004F798A">
              <w:t>Region</w:t>
            </w:r>
          </w:p>
        </w:tc>
        <w:tc>
          <w:tcPr>
            <w:tcW w:w="1849" w:type="dxa"/>
            <w:vAlign w:val="center"/>
          </w:tcPr>
          <w:p w14:paraId="27460C19" w14:textId="77777777" w:rsidR="00FF4B90" w:rsidRPr="004F798A" w:rsidRDefault="00FF4B90" w:rsidP="002A2054">
            <w:pPr>
              <w:pStyle w:val="Tablehead"/>
            </w:pPr>
            <w:r w:rsidRPr="004F798A">
              <w:t>Dates</w:t>
            </w:r>
          </w:p>
        </w:tc>
        <w:tc>
          <w:tcPr>
            <w:tcW w:w="1939" w:type="dxa"/>
            <w:vAlign w:val="center"/>
          </w:tcPr>
          <w:p w14:paraId="454ADB4C" w14:textId="1B9E7EDC" w:rsidR="00FF4B90" w:rsidRPr="004F798A" w:rsidRDefault="00FF4B90" w:rsidP="002A2054">
            <w:pPr>
              <w:pStyle w:val="Tablehead"/>
            </w:pPr>
            <w:r w:rsidRPr="004F798A">
              <w:t xml:space="preserve">City and </w:t>
            </w:r>
            <w:r w:rsidR="004F798A" w:rsidRPr="004F798A">
              <w:t>host country</w:t>
            </w:r>
          </w:p>
        </w:tc>
        <w:tc>
          <w:tcPr>
            <w:tcW w:w="1759" w:type="dxa"/>
            <w:vAlign w:val="center"/>
          </w:tcPr>
          <w:p w14:paraId="63CBBFA2" w14:textId="77777777" w:rsidR="00FF4B90" w:rsidRPr="004F798A" w:rsidRDefault="00FF4B90" w:rsidP="002A2054">
            <w:pPr>
              <w:pStyle w:val="Tablehead"/>
            </w:pPr>
            <w:r w:rsidRPr="004F798A">
              <w:t>Website</w:t>
            </w:r>
          </w:p>
        </w:tc>
      </w:tr>
      <w:tr w:rsidR="00FF4B90" w:rsidRPr="002A2054" w14:paraId="25BA1511" w14:textId="77777777" w:rsidTr="002A2054">
        <w:trPr>
          <w:cantSplit/>
          <w:jc w:val="center"/>
        </w:trPr>
        <w:tc>
          <w:tcPr>
            <w:tcW w:w="1849" w:type="dxa"/>
          </w:tcPr>
          <w:p w14:paraId="468D3EDD" w14:textId="77777777" w:rsidR="00FF4B90" w:rsidRPr="002A2054" w:rsidRDefault="00FF4B90" w:rsidP="005B687E">
            <w:pPr>
              <w:pStyle w:val="Tabletext"/>
              <w:jc w:val="center"/>
            </w:pPr>
            <w:r w:rsidRPr="002A2054">
              <w:t>RDF-ARB</w:t>
            </w:r>
          </w:p>
        </w:tc>
        <w:tc>
          <w:tcPr>
            <w:tcW w:w="1849" w:type="dxa"/>
          </w:tcPr>
          <w:p w14:paraId="33B17F2D" w14:textId="42205879" w:rsidR="00FF4B90" w:rsidRPr="002A2054" w:rsidRDefault="00FF4B90" w:rsidP="005B687E">
            <w:pPr>
              <w:pStyle w:val="Tabletext"/>
              <w:jc w:val="center"/>
            </w:pPr>
            <w:r w:rsidRPr="002A2054">
              <w:t>3 February 2025</w:t>
            </w:r>
          </w:p>
        </w:tc>
        <w:tc>
          <w:tcPr>
            <w:tcW w:w="1939" w:type="dxa"/>
          </w:tcPr>
          <w:p w14:paraId="3B68A17D" w14:textId="77777777" w:rsidR="00FF4B90" w:rsidRPr="002A2054" w:rsidRDefault="00FF4B90" w:rsidP="002A2054">
            <w:pPr>
              <w:pStyle w:val="Tabletext"/>
            </w:pPr>
            <w:r w:rsidRPr="002A2054">
              <w:t>Amman, Jordan</w:t>
            </w:r>
          </w:p>
        </w:tc>
        <w:tc>
          <w:tcPr>
            <w:tcW w:w="1759" w:type="dxa"/>
          </w:tcPr>
          <w:p w14:paraId="3807FE78" w14:textId="77777777" w:rsidR="00FF4B90" w:rsidRPr="002A2054" w:rsidRDefault="00FF4B90" w:rsidP="002A2054">
            <w:pPr>
              <w:pStyle w:val="Tabletext"/>
              <w:rPr>
                <w:rStyle w:val="Hyperlink"/>
              </w:rPr>
            </w:pPr>
            <w:hyperlink r:id="rId25" w:history="1">
              <w:r w:rsidRPr="002A2054">
                <w:rPr>
                  <w:rStyle w:val="Hyperlink"/>
                </w:rPr>
                <w:t>Event page</w:t>
              </w:r>
            </w:hyperlink>
          </w:p>
        </w:tc>
      </w:tr>
      <w:tr w:rsidR="00FF4B90" w:rsidRPr="002A2054" w14:paraId="414AA7B8" w14:textId="77777777" w:rsidTr="002A2054">
        <w:trPr>
          <w:cantSplit/>
          <w:jc w:val="center"/>
        </w:trPr>
        <w:tc>
          <w:tcPr>
            <w:tcW w:w="1849" w:type="dxa"/>
          </w:tcPr>
          <w:p w14:paraId="6EC6EDFC" w14:textId="77777777" w:rsidR="00FF4B90" w:rsidRPr="002A2054" w:rsidRDefault="00FF4B90" w:rsidP="005B687E">
            <w:pPr>
              <w:pStyle w:val="Tabletext"/>
              <w:jc w:val="center"/>
            </w:pPr>
            <w:r w:rsidRPr="002A2054">
              <w:lastRenderedPageBreak/>
              <w:t>RDF-EUR</w:t>
            </w:r>
          </w:p>
        </w:tc>
        <w:tc>
          <w:tcPr>
            <w:tcW w:w="1849" w:type="dxa"/>
          </w:tcPr>
          <w:p w14:paraId="60A4E151" w14:textId="6DEEF717" w:rsidR="00FF4B90" w:rsidRPr="002A2054" w:rsidRDefault="00FF4B90" w:rsidP="005B687E">
            <w:pPr>
              <w:pStyle w:val="Tabletext"/>
              <w:jc w:val="center"/>
            </w:pPr>
            <w:r w:rsidRPr="002A2054">
              <w:t>24 February 2025</w:t>
            </w:r>
          </w:p>
        </w:tc>
        <w:tc>
          <w:tcPr>
            <w:tcW w:w="1939" w:type="dxa"/>
          </w:tcPr>
          <w:p w14:paraId="3064DB89" w14:textId="77777777" w:rsidR="00FF4B90" w:rsidRPr="002A2054" w:rsidRDefault="00FF4B90" w:rsidP="002A2054">
            <w:pPr>
              <w:pStyle w:val="Tabletext"/>
            </w:pPr>
            <w:r w:rsidRPr="002A2054">
              <w:t>Budapest, Hungary</w:t>
            </w:r>
          </w:p>
        </w:tc>
        <w:tc>
          <w:tcPr>
            <w:tcW w:w="1759" w:type="dxa"/>
          </w:tcPr>
          <w:p w14:paraId="2846DAF5" w14:textId="77777777" w:rsidR="00FF4B90" w:rsidRPr="002A2054" w:rsidRDefault="00FF4B90" w:rsidP="002A2054">
            <w:pPr>
              <w:pStyle w:val="Tabletext"/>
              <w:rPr>
                <w:rStyle w:val="Hyperlink"/>
              </w:rPr>
            </w:pPr>
            <w:hyperlink r:id="rId26" w:history="1">
              <w:r w:rsidRPr="002A2054">
                <w:rPr>
                  <w:rStyle w:val="Hyperlink"/>
                </w:rPr>
                <w:t>Event page</w:t>
              </w:r>
            </w:hyperlink>
          </w:p>
        </w:tc>
      </w:tr>
      <w:tr w:rsidR="00FF4B90" w:rsidRPr="002A2054" w14:paraId="1CE41A96" w14:textId="77777777" w:rsidTr="002A2054">
        <w:trPr>
          <w:cantSplit/>
          <w:jc w:val="center"/>
        </w:trPr>
        <w:tc>
          <w:tcPr>
            <w:tcW w:w="1849" w:type="dxa"/>
          </w:tcPr>
          <w:p w14:paraId="681118F4" w14:textId="77777777" w:rsidR="00FF4B90" w:rsidRPr="002A2054" w:rsidRDefault="00FF4B90" w:rsidP="005B687E">
            <w:pPr>
              <w:pStyle w:val="Tabletext"/>
              <w:jc w:val="center"/>
            </w:pPr>
            <w:r w:rsidRPr="002A2054">
              <w:t>RDF-ASP</w:t>
            </w:r>
          </w:p>
        </w:tc>
        <w:tc>
          <w:tcPr>
            <w:tcW w:w="1849" w:type="dxa"/>
          </w:tcPr>
          <w:p w14:paraId="72F7440B" w14:textId="038A2518" w:rsidR="00FF4B90" w:rsidRPr="002A2054" w:rsidRDefault="00FF4B90" w:rsidP="005B687E">
            <w:pPr>
              <w:pStyle w:val="Tabletext"/>
              <w:jc w:val="center"/>
            </w:pPr>
            <w:r w:rsidRPr="002A2054">
              <w:t>19 March 2025</w:t>
            </w:r>
          </w:p>
        </w:tc>
        <w:tc>
          <w:tcPr>
            <w:tcW w:w="1939" w:type="dxa"/>
          </w:tcPr>
          <w:p w14:paraId="12FA606C" w14:textId="77777777" w:rsidR="00FF4B90" w:rsidRPr="002A2054" w:rsidRDefault="00FF4B90" w:rsidP="002A2054">
            <w:pPr>
              <w:pStyle w:val="Tabletext"/>
            </w:pPr>
            <w:r w:rsidRPr="002A2054">
              <w:t>Bangkok, Thailand</w:t>
            </w:r>
          </w:p>
        </w:tc>
        <w:tc>
          <w:tcPr>
            <w:tcW w:w="1759" w:type="dxa"/>
          </w:tcPr>
          <w:p w14:paraId="2A51BD9E" w14:textId="77777777" w:rsidR="00FF4B90" w:rsidRPr="002A2054" w:rsidRDefault="00FF4B90" w:rsidP="002A2054">
            <w:pPr>
              <w:pStyle w:val="Tabletext"/>
              <w:rPr>
                <w:rStyle w:val="Hyperlink"/>
              </w:rPr>
            </w:pPr>
            <w:hyperlink r:id="rId27" w:history="1">
              <w:r w:rsidRPr="002A2054">
                <w:rPr>
                  <w:rStyle w:val="Hyperlink"/>
                </w:rPr>
                <w:t>Event page</w:t>
              </w:r>
            </w:hyperlink>
          </w:p>
        </w:tc>
      </w:tr>
      <w:tr w:rsidR="00FF4B90" w:rsidRPr="002A2054" w14:paraId="3B0DE184" w14:textId="77777777" w:rsidTr="002A2054">
        <w:trPr>
          <w:cantSplit/>
          <w:jc w:val="center"/>
        </w:trPr>
        <w:tc>
          <w:tcPr>
            <w:tcW w:w="1849" w:type="dxa"/>
          </w:tcPr>
          <w:p w14:paraId="75DCAB34" w14:textId="77777777" w:rsidR="00FF4B90" w:rsidRPr="002A2054" w:rsidRDefault="00FF4B90" w:rsidP="005B687E">
            <w:pPr>
              <w:pStyle w:val="Tabletext"/>
              <w:jc w:val="center"/>
            </w:pPr>
            <w:r w:rsidRPr="002A2054">
              <w:t>RDF-AMS</w:t>
            </w:r>
          </w:p>
        </w:tc>
        <w:tc>
          <w:tcPr>
            <w:tcW w:w="1849" w:type="dxa"/>
          </w:tcPr>
          <w:p w14:paraId="2DA0EB5E" w14:textId="65BDC762" w:rsidR="00FF4B90" w:rsidRPr="002A2054" w:rsidRDefault="00FF4B90" w:rsidP="005B687E">
            <w:pPr>
              <w:pStyle w:val="Tabletext"/>
              <w:jc w:val="center"/>
            </w:pPr>
            <w:r w:rsidRPr="002A2054">
              <w:t>31 March 2025</w:t>
            </w:r>
          </w:p>
        </w:tc>
        <w:tc>
          <w:tcPr>
            <w:tcW w:w="1939" w:type="dxa"/>
          </w:tcPr>
          <w:p w14:paraId="11724A32" w14:textId="77777777" w:rsidR="00FF4B90" w:rsidRPr="002A2054" w:rsidRDefault="00FF4B90" w:rsidP="002A2054">
            <w:pPr>
              <w:pStyle w:val="Tabletext"/>
            </w:pPr>
            <w:r w:rsidRPr="002A2054">
              <w:t>Asuncion, Paraguay</w:t>
            </w:r>
          </w:p>
        </w:tc>
        <w:tc>
          <w:tcPr>
            <w:tcW w:w="1759" w:type="dxa"/>
          </w:tcPr>
          <w:p w14:paraId="689519DB" w14:textId="77777777" w:rsidR="00FF4B90" w:rsidRPr="002A2054" w:rsidRDefault="00FF4B90" w:rsidP="002A2054">
            <w:pPr>
              <w:pStyle w:val="Tabletext"/>
              <w:rPr>
                <w:rStyle w:val="Hyperlink"/>
              </w:rPr>
            </w:pPr>
            <w:hyperlink r:id="rId28" w:history="1">
              <w:r w:rsidRPr="002A2054">
                <w:rPr>
                  <w:rStyle w:val="Hyperlink"/>
                </w:rPr>
                <w:t>Event page</w:t>
              </w:r>
            </w:hyperlink>
          </w:p>
        </w:tc>
      </w:tr>
      <w:tr w:rsidR="00FF4B90" w:rsidRPr="002A2054" w14:paraId="4E458015" w14:textId="77777777" w:rsidTr="002A2054">
        <w:trPr>
          <w:cantSplit/>
          <w:jc w:val="center"/>
        </w:trPr>
        <w:tc>
          <w:tcPr>
            <w:tcW w:w="1849" w:type="dxa"/>
          </w:tcPr>
          <w:p w14:paraId="1E916191" w14:textId="77777777" w:rsidR="00FF4B90" w:rsidRPr="002A2054" w:rsidRDefault="00FF4B90" w:rsidP="005B687E">
            <w:pPr>
              <w:pStyle w:val="Tabletext"/>
              <w:jc w:val="center"/>
            </w:pPr>
            <w:r w:rsidRPr="002A2054">
              <w:t>RDF-AFR</w:t>
            </w:r>
          </w:p>
        </w:tc>
        <w:tc>
          <w:tcPr>
            <w:tcW w:w="1849" w:type="dxa"/>
          </w:tcPr>
          <w:p w14:paraId="4A58BEA2" w14:textId="3C96E740" w:rsidR="00FF4B90" w:rsidRPr="002A2054" w:rsidRDefault="00FF4B90" w:rsidP="005B687E">
            <w:pPr>
              <w:pStyle w:val="Tabletext"/>
              <w:jc w:val="center"/>
            </w:pPr>
            <w:r w:rsidRPr="002A2054">
              <w:t>7 April 2025</w:t>
            </w:r>
          </w:p>
        </w:tc>
        <w:tc>
          <w:tcPr>
            <w:tcW w:w="1939" w:type="dxa"/>
          </w:tcPr>
          <w:p w14:paraId="49962737" w14:textId="77777777" w:rsidR="00FF4B90" w:rsidRPr="002A2054" w:rsidRDefault="00FF4B90" w:rsidP="002A2054">
            <w:pPr>
              <w:pStyle w:val="Tabletext"/>
            </w:pPr>
            <w:r w:rsidRPr="002A2054">
              <w:t>Nairobi, Kenya</w:t>
            </w:r>
          </w:p>
        </w:tc>
        <w:tc>
          <w:tcPr>
            <w:tcW w:w="1759" w:type="dxa"/>
          </w:tcPr>
          <w:p w14:paraId="206B4512" w14:textId="77777777" w:rsidR="00FF4B90" w:rsidRPr="002A2054" w:rsidRDefault="00FF4B90" w:rsidP="002A2054">
            <w:pPr>
              <w:pStyle w:val="Tabletext"/>
              <w:rPr>
                <w:rStyle w:val="Hyperlink"/>
              </w:rPr>
            </w:pPr>
            <w:hyperlink r:id="rId29" w:history="1">
              <w:r w:rsidRPr="002A2054">
                <w:rPr>
                  <w:rStyle w:val="Hyperlink"/>
                </w:rPr>
                <w:t>Event page</w:t>
              </w:r>
            </w:hyperlink>
          </w:p>
        </w:tc>
      </w:tr>
      <w:tr w:rsidR="00FF4B90" w:rsidRPr="002A2054" w14:paraId="781FB362" w14:textId="77777777" w:rsidTr="002A2054">
        <w:trPr>
          <w:cantSplit/>
          <w:jc w:val="center"/>
        </w:trPr>
        <w:tc>
          <w:tcPr>
            <w:tcW w:w="1849" w:type="dxa"/>
          </w:tcPr>
          <w:p w14:paraId="5B4F767A" w14:textId="77777777" w:rsidR="00FF4B90" w:rsidRPr="002A2054" w:rsidRDefault="00FF4B90" w:rsidP="005B687E">
            <w:pPr>
              <w:pStyle w:val="Tabletext"/>
              <w:jc w:val="center"/>
            </w:pPr>
            <w:r w:rsidRPr="002A2054">
              <w:t>RDF-CIS</w:t>
            </w:r>
          </w:p>
        </w:tc>
        <w:tc>
          <w:tcPr>
            <w:tcW w:w="1849" w:type="dxa"/>
          </w:tcPr>
          <w:p w14:paraId="1280FFCA" w14:textId="19397774" w:rsidR="00FF4B90" w:rsidRPr="002A2054" w:rsidRDefault="00FF4B90" w:rsidP="005B687E">
            <w:pPr>
              <w:pStyle w:val="Tabletext"/>
              <w:jc w:val="center"/>
            </w:pPr>
            <w:r w:rsidRPr="002A2054">
              <w:t>23 April 2025</w:t>
            </w:r>
          </w:p>
        </w:tc>
        <w:tc>
          <w:tcPr>
            <w:tcW w:w="1939" w:type="dxa"/>
          </w:tcPr>
          <w:p w14:paraId="79E19736" w14:textId="77777777" w:rsidR="00FF4B90" w:rsidRPr="002A2054" w:rsidRDefault="00FF4B90" w:rsidP="002A2054">
            <w:pPr>
              <w:pStyle w:val="Tabletext"/>
            </w:pPr>
            <w:r w:rsidRPr="002A2054">
              <w:t>Bishkek, Kyrgyzstan</w:t>
            </w:r>
          </w:p>
        </w:tc>
        <w:tc>
          <w:tcPr>
            <w:tcW w:w="1759" w:type="dxa"/>
          </w:tcPr>
          <w:p w14:paraId="5E72E09C" w14:textId="77777777" w:rsidR="00FF4B90" w:rsidRPr="002A2054" w:rsidRDefault="00FF4B90" w:rsidP="002A2054">
            <w:pPr>
              <w:pStyle w:val="Tabletext"/>
              <w:rPr>
                <w:rStyle w:val="Hyperlink"/>
              </w:rPr>
            </w:pPr>
            <w:hyperlink r:id="rId30" w:history="1">
              <w:r w:rsidRPr="002A2054">
                <w:rPr>
                  <w:rStyle w:val="Hyperlink"/>
                </w:rPr>
                <w:t>Event page</w:t>
              </w:r>
            </w:hyperlink>
          </w:p>
        </w:tc>
      </w:tr>
    </w:tbl>
    <w:p w14:paraId="7331BA53" w14:textId="77777777" w:rsidR="00FF4B90" w:rsidRPr="007B684C" w:rsidRDefault="00FF4B90" w:rsidP="000A226D">
      <w:pPr>
        <w:pStyle w:val="Tablefin"/>
      </w:pPr>
    </w:p>
    <w:p w14:paraId="41C1BA1B" w14:textId="6CCEB138" w:rsidR="00FF4B90" w:rsidRPr="002A2054" w:rsidRDefault="00FF4B90" w:rsidP="000A226D">
      <w:pPr>
        <w:tabs>
          <w:tab w:val="clear" w:pos="567"/>
          <w:tab w:val="clear" w:pos="1134"/>
          <w:tab w:val="clear" w:pos="1701"/>
          <w:tab w:val="clear" w:pos="2268"/>
          <w:tab w:val="clear" w:pos="2835"/>
        </w:tabs>
        <w:overflowPunct/>
        <w:autoSpaceDE/>
        <w:autoSpaceDN/>
        <w:adjustRightInd/>
        <w:jc w:val="both"/>
        <w:textAlignment w:val="auto"/>
        <w:rPr>
          <w:rFonts w:asciiTheme="minorHAnsi" w:eastAsia="Aptos" w:hAnsiTheme="minorHAnsi" w:cstheme="minorBidi"/>
          <w:spacing w:val="-2"/>
        </w:rPr>
      </w:pPr>
      <w:r w:rsidRPr="2FE0C373">
        <w:rPr>
          <w:rFonts w:asciiTheme="minorHAnsi" w:eastAsia="Aptos" w:hAnsiTheme="minorHAnsi" w:cstheme="minorBidi"/>
          <w:spacing w:val="-2"/>
        </w:rPr>
        <w:t>2.1.2</w:t>
      </w:r>
      <w:r w:rsidRPr="002A2054">
        <w:rPr>
          <w:rFonts w:asciiTheme="minorHAnsi" w:eastAsia="Aptos" w:hAnsiTheme="minorHAnsi" w:cstheme="minorHAnsi"/>
          <w:spacing w:val="-2"/>
        </w:rPr>
        <w:tab/>
      </w:r>
      <w:r w:rsidRPr="2FE0C373">
        <w:rPr>
          <w:rFonts w:asciiTheme="minorHAnsi" w:eastAsia="Aptos" w:hAnsiTheme="minorHAnsi" w:cstheme="minorBidi"/>
          <w:spacing w:val="-2"/>
        </w:rPr>
        <w:t xml:space="preserve">The RDFs promote multi-stakeholder partnerships among Member States, industry, academia, civil society, the UN system as well as regional and international development agencies and organizations, on specific regional telecommunication and ICT matters. These fora provided an opportunity for high-level dialogue between the BDT, Member States and ITU-D Sector Members, primarily on the implementation of the Regional Initiatives and the KAP. </w:t>
      </w:r>
    </w:p>
    <w:p w14:paraId="400D728E" w14:textId="5071A03D" w:rsidR="00FF4B90" w:rsidRDefault="00FF4B90" w:rsidP="000A226D">
      <w:pPr>
        <w:tabs>
          <w:tab w:val="clear" w:pos="567"/>
          <w:tab w:val="clear" w:pos="1134"/>
          <w:tab w:val="clear" w:pos="1701"/>
          <w:tab w:val="clear" w:pos="2268"/>
          <w:tab w:val="clear" w:pos="2835"/>
        </w:tabs>
        <w:overflowPunct/>
        <w:autoSpaceDE/>
        <w:autoSpaceDN/>
        <w:adjustRightInd/>
        <w:jc w:val="both"/>
        <w:textAlignment w:val="auto"/>
      </w:pPr>
      <w:r w:rsidRPr="2FE0C373">
        <w:rPr>
          <w:rFonts w:asciiTheme="minorHAnsi" w:eastAsia="Aptos" w:hAnsiTheme="minorHAnsi" w:cstheme="minorBidi"/>
        </w:rPr>
        <w:t>2.1.3</w:t>
      </w:r>
      <w:r>
        <w:tab/>
      </w:r>
      <w:r w:rsidRPr="2FE0C373">
        <w:rPr>
          <w:rFonts w:asciiTheme="minorHAnsi" w:eastAsia="Aptos" w:hAnsiTheme="minorHAnsi" w:cstheme="minorBidi"/>
        </w:rPr>
        <w:t xml:space="preserve">The upcoming RDFs scheduled for 2026 are as shown in </w:t>
      </w:r>
      <w:r w:rsidR="002A2054" w:rsidRPr="2FE0C373">
        <w:rPr>
          <w:rFonts w:asciiTheme="minorHAnsi" w:eastAsia="Aptos" w:hAnsiTheme="minorHAnsi" w:cstheme="minorBidi"/>
        </w:rPr>
        <w:t xml:space="preserve">Table </w:t>
      </w:r>
      <w:r w:rsidRPr="2FE0C373">
        <w:rPr>
          <w:rFonts w:asciiTheme="minorHAnsi" w:eastAsia="Aptos" w:hAnsiTheme="minorHAnsi" w:cstheme="minorBidi"/>
        </w:rPr>
        <w:t>2 below. The RDFs are instrumental in implementing the WTDC-25 Baku Action Plan (BAP) and offer a platform for strategic dialogue and collaboration. Moreover, the inclusion of matchmaking roundtables is important for forging sustainable projects, connecting partners and resources to advance meaningful development activities in the region. By fostering these partnerships, the RDFs help ensure that initiatives are aligned with regional priorities and support the long-term growth and transformation of the ICT sector.</w:t>
      </w:r>
    </w:p>
    <w:p w14:paraId="590BBB5C" w14:textId="77777777" w:rsidR="00692468" w:rsidRPr="00922311" w:rsidRDefault="00692468" w:rsidP="004F798A">
      <w:pPr>
        <w:pStyle w:val="TableNo"/>
      </w:pPr>
      <w:r w:rsidRPr="00922311">
        <w:t xml:space="preserve">Table </w:t>
      </w:r>
      <w:r>
        <w:t>2</w:t>
      </w:r>
    </w:p>
    <w:p w14:paraId="321F8CCB" w14:textId="77777777" w:rsidR="00692468" w:rsidRPr="00922311" w:rsidRDefault="00692468" w:rsidP="005B687E">
      <w:pPr>
        <w:pStyle w:val="Tabletitle"/>
      </w:pPr>
      <w:r w:rsidRPr="00922311">
        <w:t xml:space="preserve">Dates and locations </w:t>
      </w:r>
      <w:r w:rsidRPr="005B687E">
        <w:t>of</w:t>
      </w:r>
      <w:r w:rsidRPr="00922311">
        <w:t xml:space="preserve"> RDFs </w:t>
      </w:r>
      <w:r>
        <w:t xml:space="preserve">in </w:t>
      </w:r>
      <w:r w:rsidRPr="00922311">
        <w:t>202</w:t>
      </w:r>
      <w:r>
        <w:t>6</w:t>
      </w:r>
    </w:p>
    <w:tbl>
      <w:tblPr>
        <w:tblStyle w:val="TableGrid"/>
        <w:tblW w:w="0" w:type="auto"/>
        <w:jc w:val="center"/>
        <w:tblLayout w:type="fixed"/>
        <w:tblCellMar>
          <w:left w:w="28" w:type="dxa"/>
          <w:right w:w="28" w:type="dxa"/>
        </w:tblCellMar>
        <w:tblLook w:val="04A0" w:firstRow="1" w:lastRow="0" w:firstColumn="1" w:lastColumn="0" w:noHBand="0" w:noVBand="1"/>
      </w:tblPr>
      <w:tblGrid>
        <w:gridCol w:w="1980"/>
        <w:gridCol w:w="2906"/>
        <w:gridCol w:w="2906"/>
      </w:tblGrid>
      <w:tr w:rsidR="00692468" w:rsidRPr="00814F4D" w14:paraId="0DF6428A" w14:textId="77777777" w:rsidTr="0038639D">
        <w:trPr>
          <w:cantSplit/>
          <w:tblHeader/>
          <w:jc w:val="center"/>
        </w:trPr>
        <w:tc>
          <w:tcPr>
            <w:tcW w:w="1980" w:type="dxa"/>
            <w:vAlign w:val="center"/>
          </w:tcPr>
          <w:p w14:paraId="7F690F73" w14:textId="77777777" w:rsidR="00692468" w:rsidRPr="00814F4D" w:rsidRDefault="00692468" w:rsidP="005B687E">
            <w:pPr>
              <w:pStyle w:val="Tablehead"/>
              <w:rPr>
                <w:rFonts w:eastAsia="SimSun"/>
              </w:rPr>
            </w:pPr>
            <w:r w:rsidRPr="00814F4D">
              <w:t>Region</w:t>
            </w:r>
          </w:p>
        </w:tc>
        <w:tc>
          <w:tcPr>
            <w:tcW w:w="2906" w:type="dxa"/>
            <w:vAlign w:val="center"/>
          </w:tcPr>
          <w:p w14:paraId="7C82A875" w14:textId="77777777" w:rsidR="00692468" w:rsidRPr="00814F4D" w:rsidRDefault="00692468" w:rsidP="005B687E">
            <w:pPr>
              <w:pStyle w:val="Tablehead"/>
              <w:rPr>
                <w:rFonts w:eastAsia="SimSun"/>
              </w:rPr>
            </w:pPr>
            <w:r w:rsidRPr="00814F4D">
              <w:t>Dates</w:t>
            </w:r>
          </w:p>
        </w:tc>
        <w:tc>
          <w:tcPr>
            <w:tcW w:w="2906" w:type="dxa"/>
            <w:vAlign w:val="center"/>
          </w:tcPr>
          <w:p w14:paraId="3B85901B" w14:textId="36F8BF97" w:rsidR="00692468" w:rsidRPr="00814F4D" w:rsidRDefault="00692468" w:rsidP="005B687E">
            <w:pPr>
              <w:pStyle w:val="Tablehead"/>
              <w:rPr>
                <w:rFonts w:eastAsia="SimSun"/>
              </w:rPr>
            </w:pPr>
            <w:r w:rsidRPr="00814F4D">
              <w:t xml:space="preserve">City and </w:t>
            </w:r>
            <w:r w:rsidR="005B687E" w:rsidRPr="00814F4D">
              <w:t>host country</w:t>
            </w:r>
          </w:p>
        </w:tc>
      </w:tr>
      <w:tr w:rsidR="00692468" w:rsidRPr="00814F4D" w14:paraId="21BC98B1" w14:textId="77777777" w:rsidTr="0038639D">
        <w:trPr>
          <w:cantSplit/>
          <w:jc w:val="center"/>
        </w:trPr>
        <w:tc>
          <w:tcPr>
            <w:tcW w:w="1980" w:type="dxa"/>
          </w:tcPr>
          <w:p w14:paraId="3B635CBC" w14:textId="7C16D457" w:rsidR="00692468" w:rsidRPr="00541954" w:rsidRDefault="00692468" w:rsidP="005B687E">
            <w:pPr>
              <w:pStyle w:val="Tabletext"/>
              <w:jc w:val="center"/>
              <w:rPr>
                <w:rFonts w:eastAsia="SimSun"/>
                <w:lang w:val="fr-FR"/>
              </w:rPr>
            </w:pPr>
            <w:r w:rsidRPr="00541954">
              <w:rPr>
                <w:lang w:val="fr-FR"/>
              </w:rPr>
              <w:t>RDF-EUR</w:t>
            </w:r>
          </w:p>
        </w:tc>
        <w:tc>
          <w:tcPr>
            <w:tcW w:w="2906" w:type="dxa"/>
          </w:tcPr>
          <w:p w14:paraId="6DE95F67" w14:textId="7FDAC38A" w:rsidR="00692468" w:rsidRPr="00814F4D" w:rsidRDefault="00692468" w:rsidP="005B687E">
            <w:pPr>
              <w:pStyle w:val="Tabletext"/>
              <w:jc w:val="center"/>
              <w:rPr>
                <w:rFonts w:eastAsia="SimSun"/>
              </w:rPr>
            </w:pPr>
            <w:r w:rsidRPr="00814F4D">
              <w:t>24 March 2026</w:t>
            </w:r>
          </w:p>
        </w:tc>
        <w:tc>
          <w:tcPr>
            <w:tcW w:w="2906" w:type="dxa"/>
          </w:tcPr>
          <w:p w14:paraId="2CFDDAB8" w14:textId="77777777" w:rsidR="00692468" w:rsidRPr="00814F4D" w:rsidRDefault="00692468" w:rsidP="005B687E">
            <w:pPr>
              <w:pStyle w:val="Tabletext"/>
              <w:rPr>
                <w:rFonts w:eastAsia="SimSun"/>
              </w:rPr>
            </w:pPr>
            <w:r w:rsidRPr="00814F4D">
              <w:t>Prague, Czech Republic</w:t>
            </w:r>
          </w:p>
        </w:tc>
      </w:tr>
      <w:tr w:rsidR="00692468" w:rsidRPr="00814F4D" w14:paraId="1246F70D" w14:textId="77777777" w:rsidTr="0038639D">
        <w:trPr>
          <w:cantSplit/>
          <w:jc w:val="center"/>
        </w:trPr>
        <w:tc>
          <w:tcPr>
            <w:tcW w:w="1980" w:type="dxa"/>
          </w:tcPr>
          <w:p w14:paraId="5B3A7B97" w14:textId="77777777" w:rsidR="00692468" w:rsidRPr="00814F4D" w:rsidRDefault="00692468" w:rsidP="005B687E">
            <w:pPr>
              <w:pStyle w:val="Tabletext"/>
              <w:jc w:val="center"/>
              <w:rPr>
                <w:rFonts w:eastAsia="SimSun"/>
              </w:rPr>
            </w:pPr>
            <w:r w:rsidRPr="00814F4D">
              <w:t>RDF-AFR</w:t>
            </w:r>
          </w:p>
        </w:tc>
        <w:tc>
          <w:tcPr>
            <w:tcW w:w="2906" w:type="dxa"/>
          </w:tcPr>
          <w:p w14:paraId="6DA44005" w14:textId="024F98E8" w:rsidR="00692468" w:rsidRPr="00814F4D" w:rsidRDefault="00692468" w:rsidP="005B687E">
            <w:pPr>
              <w:pStyle w:val="Tabletext"/>
              <w:jc w:val="center"/>
              <w:rPr>
                <w:rFonts w:eastAsia="SimSun"/>
              </w:rPr>
            </w:pPr>
            <w:r w:rsidRPr="00814F4D">
              <w:t>25</w:t>
            </w:r>
            <w:r w:rsidR="005B687E">
              <w:t>-</w:t>
            </w:r>
            <w:r w:rsidRPr="00814F4D">
              <w:t>26 May 2026</w:t>
            </w:r>
          </w:p>
        </w:tc>
        <w:tc>
          <w:tcPr>
            <w:tcW w:w="2906" w:type="dxa"/>
          </w:tcPr>
          <w:p w14:paraId="5138FCCC" w14:textId="77777777" w:rsidR="00692468" w:rsidRPr="00814F4D" w:rsidRDefault="00692468" w:rsidP="005B687E">
            <w:pPr>
              <w:pStyle w:val="Tabletext"/>
              <w:rPr>
                <w:rFonts w:eastAsia="SimSun"/>
              </w:rPr>
            </w:pPr>
            <w:r w:rsidRPr="00814F4D">
              <w:t>Victoria Falls, Zimbabwe</w:t>
            </w:r>
          </w:p>
        </w:tc>
      </w:tr>
      <w:tr w:rsidR="00692468" w:rsidRPr="00814F4D" w14:paraId="3C84D218" w14:textId="77777777" w:rsidTr="0038639D">
        <w:trPr>
          <w:cantSplit/>
          <w:jc w:val="center"/>
        </w:trPr>
        <w:tc>
          <w:tcPr>
            <w:tcW w:w="1980" w:type="dxa"/>
          </w:tcPr>
          <w:p w14:paraId="47807880" w14:textId="77777777" w:rsidR="00692468" w:rsidRPr="00814F4D" w:rsidRDefault="00692468" w:rsidP="005B687E">
            <w:pPr>
              <w:pStyle w:val="Tabletext"/>
              <w:jc w:val="center"/>
              <w:rPr>
                <w:rFonts w:eastAsia="SimSun"/>
              </w:rPr>
            </w:pPr>
            <w:r w:rsidRPr="00814F4D">
              <w:t>RDF-AMS</w:t>
            </w:r>
          </w:p>
        </w:tc>
        <w:tc>
          <w:tcPr>
            <w:tcW w:w="2906" w:type="dxa"/>
          </w:tcPr>
          <w:p w14:paraId="3CFB28EA" w14:textId="00FF6BB8" w:rsidR="00692468" w:rsidRPr="00814F4D" w:rsidRDefault="00692468" w:rsidP="005B687E">
            <w:pPr>
              <w:pStyle w:val="Tabletext"/>
              <w:jc w:val="center"/>
            </w:pPr>
            <w:r w:rsidRPr="00814F4D">
              <w:t>16</w:t>
            </w:r>
            <w:r w:rsidR="005B687E">
              <w:t>-</w:t>
            </w:r>
            <w:r w:rsidRPr="00814F4D">
              <w:t>17 June 2026</w:t>
            </w:r>
          </w:p>
        </w:tc>
        <w:tc>
          <w:tcPr>
            <w:tcW w:w="2906" w:type="dxa"/>
          </w:tcPr>
          <w:p w14:paraId="0A5D68A9" w14:textId="77777777" w:rsidR="00692468" w:rsidRPr="00814F4D" w:rsidRDefault="00692468" w:rsidP="005B687E">
            <w:pPr>
              <w:pStyle w:val="Tabletext"/>
              <w:rPr>
                <w:rFonts w:eastAsia="SimSun"/>
              </w:rPr>
            </w:pPr>
            <w:r w:rsidRPr="00814F4D">
              <w:t>Cartagena de Indias, Colombia</w:t>
            </w:r>
          </w:p>
        </w:tc>
      </w:tr>
      <w:tr w:rsidR="00692468" w:rsidRPr="00814F4D" w14:paraId="4861189F" w14:textId="77777777" w:rsidTr="0038639D">
        <w:trPr>
          <w:cantSplit/>
          <w:jc w:val="center"/>
        </w:trPr>
        <w:tc>
          <w:tcPr>
            <w:tcW w:w="1980" w:type="dxa"/>
          </w:tcPr>
          <w:p w14:paraId="4E7CAD1F" w14:textId="77777777" w:rsidR="00692468" w:rsidRPr="00814F4D" w:rsidRDefault="00692468" w:rsidP="005B687E">
            <w:pPr>
              <w:pStyle w:val="Tabletext"/>
              <w:jc w:val="center"/>
              <w:rPr>
                <w:rFonts w:eastAsia="SimSun"/>
              </w:rPr>
            </w:pPr>
            <w:r w:rsidRPr="00814F4D">
              <w:t>RDF-ARB</w:t>
            </w:r>
          </w:p>
        </w:tc>
        <w:tc>
          <w:tcPr>
            <w:tcW w:w="2906" w:type="dxa"/>
          </w:tcPr>
          <w:p w14:paraId="200A6644" w14:textId="20BFE273" w:rsidR="00692468" w:rsidRPr="00814F4D" w:rsidRDefault="00692468" w:rsidP="005B687E">
            <w:pPr>
              <w:pStyle w:val="Tabletext"/>
              <w:jc w:val="center"/>
              <w:rPr>
                <w:rFonts w:eastAsia="SimSun"/>
              </w:rPr>
            </w:pPr>
            <w:r w:rsidRPr="00814F4D">
              <w:t>1</w:t>
            </w:r>
            <w:r w:rsidR="005B687E">
              <w:t>-</w:t>
            </w:r>
            <w:r w:rsidRPr="00814F4D">
              <w:t>2 July 2026</w:t>
            </w:r>
          </w:p>
        </w:tc>
        <w:tc>
          <w:tcPr>
            <w:tcW w:w="2906" w:type="dxa"/>
          </w:tcPr>
          <w:p w14:paraId="4A01F6AD" w14:textId="77777777" w:rsidR="00692468" w:rsidRPr="00814F4D" w:rsidRDefault="00692468" w:rsidP="005B687E">
            <w:pPr>
              <w:pStyle w:val="Tabletext"/>
              <w:rPr>
                <w:rFonts w:eastAsia="SimSun"/>
              </w:rPr>
            </w:pPr>
            <w:r w:rsidRPr="005B687E">
              <w:rPr>
                <w:i/>
                <w:iCs/>
              </w:rPr>
              <w:t>TBD</w:t>
            </w:r>
          </w:p>
        </w:tc>
      </w:tr>
      <w:tr w:rsidR="00692468" w:rsidRPr="00814F4D" w14:paraId="103E9FFB" w14:textId="77777777" w:rsidTr="0038639D">
        <w:trPr>
          <w:cantSplit/>
          <w:jc w:val="center"/>
        </w:trPr>
        <w:tc>
          <w:tcPr>
            <w:tcW w:w="1980" w:type="dxa"/>
          </w:tcPr>
          <w:p w14:paraId="4FFA7A6E" w14:textId="77777777" w:rsidR="00692468" w:rsidRPr="00814F4D" w:rsidRDefault="00692468" w:rsidP="005B687E">
            <w:pPr>
              <w:pStyle w:val="Tabletext"/>
              <w:jc w:val="center"/>
            </w:pPr>
            <w:r w:rsidRPr="00814F4D">
              <w:t>RDF-ASP</w:t>
            </w:r>
          </w:p>
        </w:tc>
        <w:tc>
          <w:tcPr>
            <w:tcW w:w="2906" w:type="dxa"/>
          </w:tcPr>
          <w:p w14:paraId="5737B2AA" w14:textId="681A8FF1" w:rsidR="00692468" w:rsidRPr="00814F4D" w:rsidRDefault="00692468" w:rsidP="005B687E">
            <w:pPr>
              <w:pStyle w:val="Tabletext"/>
              <w:jc w:val="center"/>
              <w:rPr>
                <w:rFonts w:eastAsia="SimSun"/>
              </w:rPr>
            </w:pPr>
            <w:r w:rsidRPr="00814F4D">
              <w:t>16</w:t>
            </w:r>
            <w:r w:rsidR="005B687E">
              <w:t>-</w:t>
            </w:r>
            <w:r w:rsidRPr="00814F4D">
              <w:t>17 July 2026</w:t>
            </w:r>
          </w:p>
        </w:tc>
        <w:tc>
          <w:tcPr>
            <w:tcW w:w="2906" w:type="dxa"/>
          </w:tcPr>
          <w:p w14:paraId="0ECE0265" w14:textId="77777777" w:rsidR="00692468" w:rsidRPr="00814F4D" w:rsidRDefault="00692468" w:rsidP="005B687E">
            <w:pPr>
              <w:pStyle w:val="Tabletext"/>
              <w:rPr>
                <w:rFonts w:eastAsia="SimSun"/>
              </w:rPr>
            </w:pPr>
            <w:r w:rsidRPr="00814F4D">
              <w:t>Bangkok, Thailand</w:t>
            </w:r>
          </w:p>
        </w:tc>
      </w:tr>
      <w:tr w:rsidR="00692468" w:rsidRPr="00814F4D" w14:paraId="28DAD1AA" w14:textId="77777777" w:rsidTr="0038639D">
        <w:trPr>
          <w:cantSplit/>
          <w:jc w:val="center"/>
        </w:trPr>
        <w:tc>
          <w:tcPr>
            <w:tcW w:w="1980" w:type="dxa"/>
          </w:tcPr>
          <w:p w14:paraId="4D8C1801" w14:textId="77777777" w:rsidR="00692468" w:rsidRPr="00814F4D" w:rsidRDefault="00692468" w:rsidP="005B687E">
            <w:pPr>
              <w:pStyle w:val="Tabletext"/>
              <w:jc w:val="center"/>
            </w:pPr>
            <w:r w:rsidRPr="00814F4D">
              <w:t>RDF-CIS</w:t>
            </w:r>
          </w:p>
        </w:tc>
        <w:tc>
          <w:tcPr>
            <w:tcW w:w="2906" w:type="dxa"/>
          </w:tcPr>
          <w:p w14:paraId="1281C492" w14:textId="4E9D1AB8" w:rsidR="00692468" w:rsidRPr="00814F4D" w:rsidRDefault="00692468" w:rsidP="005B687E">
            <w:pPr>
              <w:pStyle w:val="Tabletext"/>
              <w:jc w:val="center"/>
              <w:rPr>
                <w:rFonts w:eastAsia="SimSun"/>
              </w:rPr>
            </w:pPr>
            <w:r w:rsidRPr="00814F4D">
              <w:t>29</w:t>
            </w:r>
            <w:r w:rsidR="005B687E">
              <w:t>-</w:t>
            </w:r>
            <w:r w:rsidRPr="00814F4D">
              <w:t>30 September 2026</w:t>
            </w:r>
          </w:p>
        </w:tc>
        <w:tc>
          <w:tcPr>
            <w:tcW w:w="2906" w:type="dxa"/>
          </w:tcPr>
          <w:p w14:paraId="175EBF3A" w14:textId="77777777" w:rsidR="00692468" w:rsidRPr="00814F4D" w:rsidRDefault="00692468" w:rsidP="005B687E">
            <w:pPr>
              <w:pStyle w:val="Tabletext"/>
              <w:rPr>
                <w:rFonts w:eastAsia="SimSun"/>
              </w:rPr>
            </w:pPr>
            <w:r w:rsidRPr="00814F4D">
              <w:t>Dushanbe, Tajikistan</w:t>
            </w:r>
          </w:p>
        </w:tc>
      </w:tr>
    </w:tbl>
    <w:p w14:paraId="393CDD9D" w14:textId="77777777" w:rsidR="00FF4B90" w:rsidRDefault="00FF4B90" w:rsidP="000A226D">
      <w:pPr>
        <w:pStyle w:val="Tablefin"/>
      </w:pPr>
    </w:p>
    <w:p w14:paraId="02D0F054" w14:textId="77777777" w:rsidR="00692468" w:rsidRPr="00922311" w:rsidRDefault="00692468" w:rsidP="000A226D">
      <w:pPr>
        <w:pStyle w:val="Heading2"/>
        <w:tabs>
          <w:tab w:val="clear" w:pos="567"/>
          <w:tab w:val="clear" w:pos="1134"/>
          <w:tab w:val="clear" w:pos="1701"/>
          <w:tab w:val="clear" w:pos="2268"/>
          <w:tab w:val="clear" w:pos="2835"/>
        </w:tabs>
        <w:ind w:left="0" w:firstLine="0"/>
        <w:jc w:val="both"/>
        <w:rPr>
          <w:rFonts w:eastAsia="SimSun"/>
        </w:rPr>
      </w:pPr>
      <w:r w:rsidRPr="00922311">
        <w:rPr>
          <w:rFonts w:eastAsia="SimSun"/>
        </w:rPr>
        <w:t>2.</w:t>
      </w:r>
      <w:r>
        <w:rPr>
          <w:rFonts w:eastAsia="SimSun"/>
        </w:rPr>
        <w:t>2</w:t>
      </w:r>
      <w:r w:rsidRPr="00922311">
        <w:rPr>
          <w:rFonts w:eastAsia="SimSun"/>
        </w:rPr>
        <w:tab/>
        <w:t>Implementation of ITU-D Operational Plan</w:t>
      </w:r>
    </w:p>
    <w:p w14:paraId="24A06F34" w14:textId="77777777" w:rsidR="00692468" w:rsidRPr="0048098C" w:rsidRDefault="00692468" w:rsidP="000A226D">
      <w:pPr>
        <w:tabs>
          <w:tab w:val="clear" w:pos="567"/>
          <w:tab w:val="clear" w:pos="1134"/>
          <w:tab w:val="clear" w:pos="1701"/>
          <w:tab w:val="clear" w:pos="2268"/>
          <w:tab w:val="clear" w:pos="2835"/>
        </w:tabs>
        <w:jc w:val="both"/>
        <w:rPr>
          <w:rFonts w:asciiTheme="minorHAnsi" w:eastAsia="Aptos" w:hAnsiTheme="minorHAnsi" w:cstheme="minorHAnsi"/>
        </w:rPr>
      </w:pPr>
      <w:r w:rsidRPr="0048098C">
        <w:rPr>
          <w:rFonts w:asciiTheme="minorHAnsi" w:eastAsia="Aptos" w:hAnsiTheme="minorHAnsi" w:cstheme="minorHAnsi"/>
        </w:rPr>
        <w:t>2.2.1</w:t>
      </w:r>
      <w:r w:rsidRPr="0048098C">
        <w:rPr>
          <w:rFonts w:asciiTheme="minorHAnsi" w:eastAsia="Aptos" w:hAnsiTheme="minorHAnsi" w:cstheme="minorHAnsi"/>
        </w:rPr>
        <w:tab/>
        <w:t xml:space="preserve">The effectiveness of ITU’s regional activities significantly contributes </w:t>
      </w:r>
      <w:r>
        <w:rPr>
          <w:rFonts w:asciiTheme="minorHAnsi" w:eastAsia="Aptos" w:hAnsiTheme="minorHAnsi" w:cstheme="minorHAnsi"/>
        </w:rPr>
        <w:t>to</w:t>
      </w:r>
      <w:r w:rsidRPr="00B44F42">
        <w:t xml:space="preserve"> advancing its global mission to connect the world, foster sustainable digital transformation, and deliver tangible development impact across Member States through BDT’s work.</w:t>
      </w:r>
      <w:r>
        <w:t xml:space="preserve"> </w:t>
      </w:r>
      <w:r w:rsidRPr="0048098C">
        <w:rPr>
          <w:rFonts w:asciiTheme="minorHAnsi" w:eastAsia="Aptos" w:hAnsiTheme="minorHAnsi" w:cstheme="minorHAnsi"/>
        </w:rPr>
        <w:t xml:space="preserve">These efforts are strategically designed to ensure that ITU remains responsive to the fast-evolving needs of digital economies and societies worldwide. </w:t>
      </w:r>
    </w:p>
    <w:p w14:paraId="39D6E992" w14:textId="7973DA16" w:rsidR="00692468" w:rsidRPr="0048098C" w:rsidRDefault="00692468" w:rsidP="000A226D">
      <w:pPr>
        <w:tabs>
          <w:tab w:val="clear" w:pos="567"/>
          <w:tab w:val="clear" w:pos="1134"/>
          <w:tab w:val="clear" w:pos="1701"/>
          <w:tab w:val="clear" w:pos="2268"/>
          <w:tab w:val="clear" w:pos="2835"/>
        </w:tabs>
        <w:jc w:val="both"/>
        <w:rPr>
          <w:rFonts w:asciiTheme="minorHAnsi" w:eastAsia="Aptos" w:hAnsiTheme="minorHAnsi" w:cstheme="minorBidi"/>
        </w:rPr>
      </w:pPr>
      <w:r w:rsidRPr="0C1981DC">
        <w:rPr>
          <w:rFonts w:asciiTheme="minorHAnsi" w:eastAsia="Aptos" w:hAnsiTheme="minorHAnsi" w:cstheme="minorBidi"/>
        </w:rPr>
        <w:t>2.2.2</w:t>
      </w:r>
      <w:r w:rsidRPr="0048098C">
        <w:rPr>
          <w:rFonts w:asciiTheme="minorHAnsi" w:eastAsia="Aptos" w:hAnsiTheme="minorHAnsi" w:cstheme="minorHAnsi"/>
        </w:rPr>
        <w:tab/>
      </w:r>
      <w:r w:rsidRPr="0C1981DC">
        <w:rPr>
          <w:rFonts w:asciiTheme="minorHAnsi" w:eastAsia="Aptos" w:hAnsiTheme="minorHAnsi" w:cstheme="minorBidi"/>
        </w:rPr>
        <w:t>Following the WTDC-25 which adopted the BAP, the 2026 ITU-D Operational Plan (OP) was developed in alignment with the structure of the Strategic Plan of the Union for 2024</w:t>
      </w:r>
      <w:r w:rsidR="18E2ECB5" w:rsidRPr="0C1981DC">
        <w:rPr>
          <w:rFonts w:asciiTheme="minorHAnsi" w:eastAsia="Aptos" w:hAnsiTheme="minorHAnsi" w:cstheme="minorBidi"/>
        </w:rPr>
        <w:t>-</w:t>
      </w:r>
      <w:r w:rsidRPr="0C1981DC">
        <w:rPr>
          <w:rFonts w:asciiTheme="minorHAnsi" w:eastAsia="Aptos" w:hAnsiTheme="minorHAnsi" w:cstheme="minorBidi"/>
        </w:rPr>
        <w:t xml:space="preserve">2027. The structure is consistent with the BAP, outlining the ITU-D Priorities and Enabler, along </w:t>
      </w:r>
      <w:r w:rsidRPr="0C1981DC">
        <w:rPr>
          <w:rFonts w:asciiTheme="minorHAnsi" w:eastAsia="Aptos" w:hAnsiTheme="minorHAnsi" w:cstheme="minorBidi"/>
        </w:rPr>
        <w:lastRenderedPageBreak/>
        <w:t>with corresponding outcomes, products and services as well as the indicators used to measure the achievement level produced by the activities of the Sector. Currently, 130 actions are being implemented globally and across regions. To strengthen delivery, synergies are actively pursued among regional outputs and between regional and global initiatives, in close collaboration with the ITU Bureaux and the General Secretariat.</w:t>
      </w:r>
    </w:p>
    <w:p w14:paraId="04CB620E" w14:textId="2F81D9D4" w:rsidR="00692468" w:rsidRPr="00E957BD" w:rsidRDefault="00692468" w:rsidP="000A226D">
      <w:pPr>
        <w:tabs>
          <w:tab w:val="clear" w:pos="567"/>
          <w:tab w:val="clear" w:pos="1134"/>
          <w:tab w:val="clear" w:pos="1701"/>
          <w:tab w:val="clear" w:pos="2268"/>
          <w:tab w:val="clear" w:pos="2835"/>
        </w:tabs>
        <w:jc w:val="both"/>
        <w:rPr>
          <w:rFonts w:asciiTheme="minorHAnsi" w:eastAsia="Aptos" w:hAnsiTheme="minorHAnsi" w:cstheme="minorHAnsi"/>
        </w:rPr>
      </w:pPr>
      <w:r w:rsidRPr="0048098C">
        <w:rPr>
          <w:rFonts w:asciiTheme="minorHAnsi" w:eastAsia="Aptos" w:hAnsiTheme="minorHAnsi" w:cstheme="minorHAnsi"/>
        </w:rPr>
        <w:t>2.2.3</w:t>
      </w:r>
      <w:r w:rsidRPr="0048098C">
        <w:rPr>
          <w:rFonts w:asciiTheme="minorHAnsi" w:eastAsia="Aptos" w:hAnsiTheme="minorHAnsi" w:cstheme="minorHAnsi"/>
        </w:rPr>
        <w:tab/>
        <w:t>Regional</w:t>
      </w:r>
      <w:r>
        <w:rPr>
          <w:rFonts w:asciiTheme="minorHAnsi" w:eastAsia="Aptos" w:hAnsiTheme="minorHAnsi" w:cstheme="minorHAnsi"/>
        </w:rPr>
        <w:t xml:space="preserve"> and Area </w:t>
      </w:r>
      <w:r w:rsidRPr="0048098C">
        <w:rPr>
          <w:rFonts w:asciiTheme="minorHAnsi" w:eastAsia="Aptos" w:hAnsiTheme="minorHAnsi" w:cstheme="minorHAnsi"/>
        </w:rPr>
        <w:t xml:space="preserve">Offices are an integral part of the operational planning process, demonstrated by the BDT dashboards for OP and projects. ITU’s Regional and Area Offices work closely with Headquarters on the identification, implementation and monitoring of the </w:t>
      </w:r>
      <w:r>
        <w:rPr>
          <w:rFonts w:asciiTheme="minorHAnsi" w:eastAsia="Aptos" w:hAnsiTheme="minorHAnsi" w:cstheme="minorHAnsi"/>
        </w:rPr>
        <w:t>OP.</w:t>
      </w:r>
      <w:r w:rsidRPr="0048098C">
        <w:rPr>
          <w:rFonts w:asciiTheme="minorHAnsi" w:eastAsia="Aptos" w:hAnsiTheme="minorHAnsi" w:cstheme="minorHAnsi"/>
        </w:rPr>
        <w:t xml:space="preserve"> Budget allocation and performance evaluation are carried out jointly. This includes the delivery of outputs (ITU-D products and services) and outcomes (results) to Member States as well as addressing country specific needs, in alignment with the ITU-D Priorit</w:t>
      </w:r>
      <w:r>
        <w:rPr>
          <w:rFonts w:asciiTheme="minorHAnsi" w:eastAsia="Aptos" w:hAnsiTheme="minorHAnsi" w:cstheme="minorHAnsi"/>
        </w:rPr>
        <w:t>ies</w:t>
      </w:r>
      <w:r w:rsidRPr="0048098C">
        <w:rPr>
          <w:rFonts w:asciiTheme="minorHAnsi" w:eastAsia="Aptos" w:hAnsiTheme="minorHAnsi" w:cstheme="minorHAnsi"/>
        </w:rPr>
        <w:t xml:space="preserve"> and Enabler</w:t>
      </w:r>
      <w:r w:rsidR="00660596">
        <w:rPr>
          <w:rFonts w:asciiTheme="minorHAnsi" w:eastAsia="Aptos" w:hAnsiTheme="minorHAnsi" w:cstheme="minorHAnsi"/>
        </w:rPr>
        <w:t>, Re</w:t>
      </w:r>
      <w:r w:rsidR="00FC1433">
        <w:rPr>
          <w:rFonts w:asciiTheme="minorHAnsi" w:eastAsia="Aptos" w:hAnsiTheme="minorHAnsi" w:cstheme="minorHAnsi"/>
        </w:rPr>
        <w:t>solutions</w:t>
      </w:r>
      <w:r w:rsidRPr="0048098C">
        <w:rPr>
          <w:rFonts w:asciiTheme="minorHAnsi" w:eastAsia="Aptos" w:hAnsiTheme="minorHAnsi" w:cstheme="minorHAnsi"/>
        </w:rPr>
        <w:t xml:space="preserve"> and Regional Initiatives adopted at the WTDC-25.</w:t>
      </w:r>
      <w:r>
        <w:rPr>
          <w:rFonts w:asciiTheme="minorHAnsi" w:eastAsia="Aptos" w:hAnsiTheme="minorHAnsi" w:cstheme="minorHAnsi"/>
        </w:rPr>
        <w:t xml:space="preserve"> </w:t>
      </w:r>
      <w:r w:rsidRPr="00E957BD">
        <w:rPr>
          <w:rFonts w:asciiTheme="minorHAnsi" w:eastAsia="Aptos" w:hAnsiTheme="minorHAnsi" w:cstheme="minorHAnsi"/>
        </w:rPr>
        <w:t>This integrated approach strengthens impact and maximizes synergies between regular and extrabudgetary activities.</w:t>
      </w:r>
    </w:p>
    <w:p w14:paraId="097D68AA" w14:textId="77777777" w:rsidR="00692468" w:rsidRPr="0048098C" w:rsidRDefault="00692468" w:rsidP="000A226D">
      <w:pPr>
        <w:tabs>
          <w:tab w:val="clear" w:pos="567"/>
          <w:tab w:val="clear" w:pos="1134"/>
          <w:tab w:val="clear" w:pos="1701"/>
          <w:tab w:val="clear" w:pos="2268"/>
          <w:tab w:val="clear" w:pos="2835"/>
        </w:tabs>
        <w:jc w:val="both"/>
        <w:rPr>
          <w:rFonts w:asciiTheme="minorHAnsi" w:eastAsia="Aptos" w:hAnsiTheme="minorHAnsi" w:cstheme="minorHAnsi"/>
        </w:rPr>
      </w:pPr>
      <w:r w:rsidRPr="0048098C">
        <w:rPr>
          <w:rFonts w:asciiTheme="minorHAnsi" w:eastAsia="Aptos" w:hAnsiTheme="minorHAnsi" w:cstheme="minorHAnsi"/>
        </w:rPr>
        <w:t>2.2.4</w:t>
      </w:r>
      <w:r w:rsidRPr="0048098C">
        <w:rPr>
          <w:rFonts w:asciiTheme="minorHAnsi" w:eastAsia="Aptos" w:hAnsiTheme="minorHAnsi" w:cstheme="minorHAnsi"/>
        </w:rPr>
        <w:tab/>
        <w:t xml:space="preserve">The OP, based on output and outcome indicators, is seamlessly developed, managed, and reported jointly by the Regional and Area Offices with Headquarters. </w:t>
      </w:r>
    </w:p>
    <w:p w14:paraId="2B24F05D" w14:textId="77777777" w:rsidR="00692468" w:rsidRPr="0048098C" w:rsidRDefault="00692468" w:rsidP="000A226D">
      <w:pPr>
        <w:tabs>
          <w:tab w:val="clear" w:pos="567"/>
          <w:tab w:val="clear" w:pos="1134"/>
          <w:tab w:val="clear" w:pos="1701"/>
          <w:tab w:val="clear" w:pos="2268"/>
          <w:tab w:val="clear" w:pos="2835"/>
        </w:tabs>
        <w:jc w:val="both"/>
        <w:rPr>
          <w:rFonts w:asciiTheme="minorHAnsi" w:eastAsia="Aptos" w:hAnsiTheme="minorHAnsi" w:cstheme="minorHAnsi"/>
        </w:rPr>
      </w:pPr>
      <w:r w:rsidRPr="0048098C">
        <w:rPr>
          <w:rFonts w:asciiTheme="minorHAnsi" w:eastAsia="Aptos" w:hAnsiTheme="minorHAnsi" w:cstheme="minorHAnsi"/>
        </w:rPr>
        <w:t>2.2.5</w:t>
      </w:r>
      <w:r w:rsidRPr="0048098C">
        <w:rPr>
          <w:rFonts w:asciiTheme="minorHAnsi" w:eastAsia="Aptos" w:hAnsiTheme="minorHAnsi" w:cstheme="minorHAnsi"/>
        </w:rPr>
        <w:tab/>
        <w:t xml:space="preserve">For OP actions, Regional and Area Offices are responsible for the service delivery to Member States while BDT services at Headquarters ensure </w:t>
      </w:r>
      <w:r>
        <w:rPr>
          <w:rFonts w:asciiTheme="minorHAnsi" w:eastAsia="Aptos" w:hAnsiTheme="minorHAnsi" w:cstheme="minorHAnsi"/>
        </w:rPr>
        <w:t xml:space="preserve">the </w:t>
      </w:r>
      <w:r w:rsidRPr="0048098C">
        <w:rPr>
          <w:rFonts w:asciiTheme="minorHAnsi" w:eastAsia="Aptos" w:hAnsiTheme="minorHAnsi" w:cstheme="minorHAnsi"/>
        </w:rPr>
        <w:t>development of new products and manage</w:t>
      </w:r>
      <w:r>
        <w:rPr>
          <w:rFonts w:asciiTheme="minorHAnsi" w:eastAsia="Aptos" w:hAnsiTheme="minorHAnsi" w:cstheme="minorHAnsi"/>
        </w:rPr>
        <w:t>ment of</w:t>
      </w:r>
      <w:r w:rsidRPr="0048098C">
        <w:rPr>
          <w:rFonts w:asciiTheme="minorHAnsi" w:eastAsia="Aptos" w:hAnsiTheme="minorHAnsi" w:cstheme="minorHAnsi"/>
        </w:rPr>
        <w:t xml:space="preserve"> multi-regional activities. </w:t>
      </w:r>
      <w:r w:rsidRPr="001C5D70">
        <w:rPr>
          <w:rFonts w:asciiTheme="minorHAnsi" w:eastAsia="Aptos" w:hAnsiTheme="minorHAnsi" w:cstheme="minorHAnsi"/>
        </w:rPr>
        <w:t>For projects that are region or country specific, project managers are based in the Regional or Area Offices. Implementation of OP actions and ITU-D projects are measured through indicators adopted by WTDC-25.</w:t>
      </w:r>
    </w:p>
    <w:p w14:paraId="4325F8E0" w14:textId="20B86387" w:rsidR="00692468" w:rsidRPr="00C00362" w:rsidRDefault="00692468" w:rsidP="000A226D">
      <w:pPr>
        <w:tabs>
          <w:tab w:val="clear" w:pos="567"/>
          <w:tab w:val="clear" w:pos="1134"/>
          <w:tab w:val="clear" w:pos="1701"/>
          <w:tab w:val="clear" w:pos="2268"/>
          <w:tab w:val="clear" w:pos="2835"/>
        </w:tabs>
        <w:spacing w:line="259" w:lineRule="auto"/>
        <w:jc w:val="both"/>
        <w:rPr>
          <w:rFonts w:asciiTheme="minorHAnsi" w:eastAsia="Aptos" w:hAnsiTheme="minorHAnsi" w:cstheme="minorBidi"/>
        </w:rPr>
      </w:pPr>
      <w:r w:rsidRPr="0C1981DC">
        <w:rPr>
          <w:rFonts w:asciiTheme="minorHAnsi" w:eastAsia="Aptos" w:hAnsiTheme="minorHAnsi" w:cstheme="minorBidi"/>
        </w:rPr>
        <w:t>2.2.6</w:t>
      </w:r>
      <w:r>
        <w:tab/>
      </w:r>
      <w:r w:rsidRPr="0C1981DC">
        <w:rPr>
          <w:rFonts w:asciiTheme="minorHAnsi" w:eastAsia="Aptos" w:hAnsiTheme="minorHAnsi" w:cstheme="minorBidi"/>
        </w:rPr>
        <w:t>At its 32</w:t>
      </w:r>
      <w:r w:rsidRPr="0C1981DC">
        <w:rPr>
          <w:rFonts w:asciiTheme="minorHAnsi" w:eastAsia="Aptos" w:hAnsiTheme="minorHAnsi" w:cstheme="minorBidi"/>
          <w:vertAlign w:val="superscript"/>
        </w:rPr>
        <w:t>nd</w:t>
      </w:r>
      <w:r w:rsidRPr="0C1981DC">
        <w:rPr>
          <w:rFonts w:asciiTheme="minorHAnsi" w:eastAsia="Aptos" w:hAnsiTheme="minorHAnsi" w:cstheme="minorBidi"/>
        </w:rPr>
        <w:t xml:space="preserve"> session on 12-16 May 2025, TDAG reviewed the report on Regional Presence contained in Document </w:t>
      </w:r>
      <w:hyperlink r:id="rId31">
        <w:r w:rsidRPr="0C1981DC">
          <w:rPr>
            <w:rFonts w:asciiTheme="minorHAnsi" w:eastAsia="Aptos" w:hAnsiTheme="minorHAnsi" w:cstheme="minorBidi"/>
            <w:color w:val="4F81BD" w:themeColor="accent1"/>
            <w:u w:val="single"/>
          </w:rPr>
          <w:t>TDAG-25/24</w:t>
        </w:r>
      </w:hyperlink>
      <w:r w:rsidRPr="0C1981DC">
        <w:rPr>
          <w:rFonts w:asciiTheme="minorHAnsi" w:eastAsia="Aptos" w:hAnsiTheme="minorHAnsi" w:cstheme="minorBidi"/>
        </w:rPr>
        <w:t xml:space="preserve">. TDAG noted the report and recognized the critical importance of Regional and Area Offices in implementing Regional Initiatives and the KAP and confirmed their complementary role for development-related activities as well as ITU-T and ITU-R activities. TDAG acknowledged and praised the close collaboration between the Regional Offices </w:t>
      </w:r>
      <w:r w:rsidR="3FE9C511" w:rsidRPr="0C1981DC">
        <w:rPr>
          <w:rFonts w:asciiTheme="minorHAnsi" w:eastAsia="Aptos" w:hAnsiTheme="minorHAnsi" w:cstheme="minorBidi"/>
        </w:rPr>
        <w:t>and</w:t>
      </w:r>
      <w:r w:rsidRPr="0C1981DC">
        <w:rPr>
          <w:rFonts w:asciiTheme="minorHAnsi" w:eastAsia="Aptos" w:hAnsiTheme="minorHAnsi" w:cstheme="minorBidi"/>
        </w:rPr>
        <w:t xml:space="preserve"> BDT as was demonstrated during the session highlighting the Regional Directors and impactful actions in the regions. TDAG noted with appreciation the synergies between the Regional Offices </w:t>
      </w:r>
      <w:r w:rsidR="0C10D157" w:rsidRPr="0C1981DC">
        <w:rPr>
          <w:rFonts w:asciiTheme="minorHAnsi" w:eastAsia="Aptos" w:hAnsiTheme="minorHAnsi" w:cstheme="minorBidi"/>
        </w:rPr>
        <w:t>and</w:t>
      </w:r>
      <w:r w:rsidRPr="0C1981DC">
        <w:rPr>
          <w:rFonts w:asciiTheme="minorHAnsi" w:eastAsia="Aptos" w:hAnsiTheme="minorHAnsi" w:cstheme="minorBidi"/>
        </w:rPr>
        <w:t xml:space="preserve"> BDT in terms of planning, implementation, monitoring and evaluation of activities and projects as was evidenced by the positive acknowledgement in the interventions made by many members. Review actions on strengthening Regional Presence should take full account of Resolution 25 (Rev. Bucharest, 2022). </w:t>
      </w:r>
    </w:p>
    <w:p w14:paraId="22C98218" w14:textId="77777777" w:rsidR="00692468" w:rsidRDefault="00692468" w:rsidP="000A226D">
      <w:pPr>
        <w:pStyle w:val="Heading2"/>
        <w:tabs>
          <w:tab w:val="clear" w:pos="567"/>
          <w:tab w:val="clear" w:pos="1134"/>
          <w:tab w:val="clear" w:pos="1701"/>
          <w:tab w:val="clear" w:pos="2268"/>
          <w:tab w:val="clear" w:pos="2835"/>
        </w:tabs>
        <w:ind w:left="0" w:firstLine="0"/>
        <w:jc w:val="both"/>
        <w:rPr>
          <w:rFonts w:eastAsia="Aptos"/>
          <w:lang w:val="en-US"/>
        </w:rPr>
      </w:pPr>
      <w:r w:rsidRPr="00EA4713">
        <w:rPr>
          <w:rFonts w:eastAsia="Aptos"/>
          <w:lang w:val="en-US"/>
        </w:rPr>
        <w:t>2.3</w:t>
      </w:r>
      <w:r>
        <w:rPr>
          <w:rFonts w:eastAsia="Aptos"/>
          <w:lang w:val="en-US"/>
        </w:rPr>
        <w:tab/>
        <w:t>R</w:t>
      </w:r>
      <w:r w:rsidRPr="00EA4713">
        <w:rPr>
          <w:rFonts w:eastAsia="Aptos"/>
          <w:lang w:val="en-US"/>
        </w:rPr>
        <w:t xml:space="preserve">eview of the ITU Regional Presence </w:t>
      </w:r>
    </w:p>
    <w:p w14:paraId="27908898" w14:textId="7CA67ED0" w:rsidR="00692468" w:rsidRPr="00EA4713" w:rsidRDefault="00692468" w:rsidP="000A226D">
      <w:pPr>
        <w:tabs>
          <w:tab w:val="clear" w:pos="567"/>
          <w:tab w:val="clear" w:pos="1134"/>
          <w:tab w:val="clear" w:pos="1701"/>
          <w:tab w:val="clear" w:pos="2268"/>
          <w:tab w:val="clear" w:pos="2835"/>
        </w:tabs>
        <w:jc w:val="both"/>
        <w:rPr>
          <w:rFonts w:eastAsia="Aptos"/>
          <w:b/>
          <w:bCs/>
          <w:lang w:val="en-US"/>
        </w:rPr>
      </w:pPr>
      <w:r w:rsidRPr="002578F0">
        <w:rPr>
          <w:rFonts w:eastAsia="Aptos"/>
          <w:lang w:val="en-US"/>
        </w:rPr>
        <w:t>2.3.1</w:t>
      </w:r>
      <w:r>
        <w:rPr>
          <w:rFonts w:eastAsia="Aptos"/>
          <w:b/>
          <w:bCs/>
          <w:lang w:val="en-US"/>
        </w:rPr>
        <w:tab/>
      </w:r>
      <w:r>
        <w:rPr>
          <w:rFonts w:eastAsia="Aptos"/>
          <w:lang w:val="en-US"/>
        </w:rPr>
        <w:t>P</w:t>
      </w:r>
      <w:r w:rsidRPr="00807105">
        <w:rPr>
          <w:rFonts w:eastAsia="Aptos"/>
          <w:lang w:val="en-US"/>
        </w:rPr>
        <w:t xml:space="preserve">er the recommendations of Council-25 (Report by the Chair of the Standing Committee on Administration and Management, Document </w:t>
      </w:r>
      <w:hyperlink r:id="rId32">
        <w:r w:rsidRPr="00807105">
          <w:rPr>
            <w:rStyle w:val="Hyperlink"/>
            <w:rFonts w:asciiTheme="minorHAnsi" w:eastAsia="Aptos" w:hAnsiTheme="minorHAnsi" w:cstheme="minorHAnsi"/>
            <w:color w:val="467886"/>
            <w:szCs w:val="24"/>
            <w:lang w:val="en-US"/>
          </w:rPr>
          <w:t>C25/105</w:t>
        </w:r>
      </w:hyperlink>
      <w:r w:rsidRPr="00807105">
        <w:rPr>
          <w:rFonts w:eastAsia="Aptos"/>
          <w:lang w:val="en-US"/>
        </w:rPr>
        <w:t xml:space="preserve">, </w:t>
      </w:r>
      <w:r w:rsidR="00DF63BF">
        <w:rPr>
          <w:rFonts w:eastAsia="Aptos" w:cs="Calibri"/>
          <w:lang w:val="en-US"/>
        </w:rPr>
        <w:t>§</w:t>
      </w:r>
      <w:r w:rsidR="00DF63BF">
        <w:rPr>
          <w:rFonts w:eastAsia="Aptos"/>
          <w:lang w:val="en-US"/>
        </w:rPr>
        <w:t> </w:t>
      </w:r>
      <w:r w:rsidRPr="00807105">
        <w:rPr>
          <w:rFonts w:eastAsia="Aptos"/>
          <w:lang w:val="en-US"/>
        </w:rPr>
        <w:t>26, Annex H, Annex A and Annex</w:t>
      </w:r>
      <w:r w:rsidR="00DF63BF">
        <w:rPr>
          <w:rFonts w:eastAsia="Aptos"/>
          <w:lang w:val="en-US"/>
        </w:rPr>
        <w:t> </w:t>
      </w:r>
      <w:r w:rsidRPr="00807105">
        <w:rPr>
          <w:rFonts w:eastAsia="Aptos"/>
          <w:lang w:val="en-US"/>
        </w:rPr>
        <w:t>1</w:t>
      </w:r>
      <w:r w:rsidRPr="00DF63BF">
        <w:rPr>
          <w:rStyle w:val="FootnoteReference"/>
          <w:rFonts w:eastAsia="Aptos"/>
        </w:rPr>
        <w:footnoteReference w:id="1"/>
      </w:r>
      <w:r w:rsidRPr="00807105">
        <w:rPr>
          <w:rFonts w:eastAsia="Aptos"/>
          <w:lang w:val="en-US"/>
        </w:rPr>
        <w:t>)</w:t>
      </w:r>
      <w:r>
        <w:rPr>
          <w:rFonts w:eastAsia="Aptos"/>
          <w:lang w:val="en-US"/>
        </w:rPr>
        <w:t xml:space="preserve">, </w:t>
      </w:r>
      <w:r w:rsidRPr="00232DAB">
        <w:rPr>
          <w:rFonts w:eastAsia="Aptos"/>
          <w:b/>
          <w:bCs/>
          <w:lang w:val="en-US"/>
        </w:rPr>
        <w:t>the review of the ITU Regional Presence has been undertaken</w:t>
      </w:r>
      <w:r w:rsidRPr="00DF63BF">
        <w:rPr>
          <w:rFonts w:eastAsia="Aptos"/>
          <w:lang w:val="en-US"/>
        </w:rPr>
        <w:t>.</w:t>
      </w:r>
    </w:p>
    <w:p w14:paraId="6ED4F9B2" w14:textId="77777777" w:rsidR="00692468" w:rsidRPr="00AA1CB3" w:rsidRDefault="00692468" w:rsidP="000A226D">
      <w:pPr>
        <w:keepNext/>
        <w:tabs>
          <w:tab w:val="clear" w:pos="567"/>
          <w:tab w:val="clear" w:pos="1134"/>
          <w:tab w:val="clear" w:pos="1701"/>
          <w:tab w:val="clear" w:pos="2268"/>
          <w:tab w:val="clear" w:pos="2835"/>
        </w:tabs>
        <w:rPr>
          <w:rFonts w:eastAsia="Aptos"/>
          <w:lang w:val="en-US"/>
        </w:rPr>
      </w:pPr>
      <w:r>
        <w:rPr>
          <w:rFonts w:eastAsia="Aptos"/>
          <w:lang w:val="en-US"/>
        </w:rPr>
        <w:lastRenderedPageBreak/>
        <w:t>2.3.2</w:t>
      </w:r>
      <w:r>
        <w:rPr>
          <w:rFonts w:eastAsia="Aptos"/>
          <w:lang w:val="en-US"/>
        </w:rPr>
        <w:tab/>
      </w:r>
      <w:r w:rsidRPr="00AA1CB3">
        <w:rPr>
          <w:rFonts w:eastAsia="Aptos"/>
          <w:lang w:val="en-US"/>
        </w:rPr>
        <w:t xml:space="preserve">BDT has undertaken the following activities since July 2025: </w:t>
      </w:r>
    </w:p>
    <w:p w14:paraId="7B7C10A1" w14:textId="3ADEEDDB" w:rsidR="00692468" w:rsidRPr="00F45C4E" w:rsidRDefault="00692468" w:rsidP="000A226D">
      <w:pPr>
        <w:pStyle w:val="enumlev1"/>
        <w:tabs>
          <w:tab w:val="clear" w:pos="567"/>
          <w:tab w:val="clear" w:pos="1134"/>
          <w:tab w:val="clear" w:pos="1701"/>
          <w:tab w:val="clear" w:pos="2268"/>
          <w:tab w:val="clear" w:pos="2835"/>
        </w:tabs>
        <w:ind w:left="709"/>
        <w:jc w:val="both"/>
        <w:rPr>
          <w:rFonts w:eastAsia="Aptos"/>
          <w:lang w:val="en-US"/>
        </w:rPr>
      </w:pPr>
      <w:r w:rsidRPr="00DF63BF">
        <w:rPr>
          <w:rFonts w:eastAsia="Aptos"/>
          <w:i/>
          <w:iCs/>
          <w:lang w:val="en-US"/>
        </w:rPr>
        <w:t>a)</w:t>
      </w:r>
      <w:r w:rsidRPr="00AA1CB3">
        <w:rPr>
          <w:rFonts w:eastAsia="Aptos"/>
          <w:lang w:val="en-US"/>
        </w:rPr>
        <w:tab/>
      </w:r>
      <w:r w:rsidRPr="00F45C4E">
        <w:rPr>
          <w:rFonts w:eastAsia="Aptos"/>
          <w:lang w:val="en-US"/>
        </w:rPr>
        <w:t xml:space="preserve">Design and Launch of the ITU </w:t>
      </w:r>
      <w:r w:rsidR="00086D54">
        <w:rPr>
          <w:rFonts w:eastAsia="Aptos"/>
          <w:lang w:val="en-US"/>
        </w:rPr>
        <w:t>m</w:t>
      </w:r>
      <w:r w:rsidRPr="00F45C4E">
        <w:rPr>
          <w:rFonts w:eastAsia="Aptos"/>
          <w:lang w:val="en-US"/>
        </w:rPr>
        <w:t xml:space="preserve">embership </w:t>
      </w:r>
      <w:r w:rsidR="00086D54">
        <w:rPr>
          <w:rFonts w:eastAsia="Aptos"/>
          <w:lang w:val="en-US"/>
        </w:rPr>
        <w:t>s</w:t>
      </w:r>
      <w:r w:rsidRPr="00F45C4E">
        <w:rPr>
          <w:rFonts w:eastAsia="Aptos"/>
          <w:lang w:val="en-US"/>
        </w:rPr>
        <w:t>urvey</w:t>
      </w:r>
    </w:p>
    <w:p w14:paraId="6196F123" w14:textId="77777777" w:rsidR="00692468" w:rsidRPr="00F45C4E" w:rsidRDefault="00692468" w:rsidP="000A226D">
      <w:pPr>
        <w:pStyle w:val="enumlev1"/>
        <w:tabs>
          <w:tab w:val="clear" w:pos="567"/>
          <w:tab w:val="clear" w:pos="1134"/>
          <w:tab w:val="clear" w:pos="1701"/>
          <w:tab w:val="clear" w:pos="2268"/>
          <w:tab w:val="clear" w:pos="2835"/>
        </w:tabs>
        <w:ind w:left="709"/>
        <w:jc w:val="both"/>
        <w:rPr>
          <w:rFonts w:eastAsia="Aptos"/>
          <w:lang w:val="en-US"/>
        </w:rPr>
      </w:pPr>
      <w:r w:rsidRPr="00DF63BF">
        <w:rPr>
          <w:rFonts w:eastAsia="Aptos"/>
          <w:i/>
          <w:iCs/>
          <w:lang w:val="en-US"/>
        </w:rPr>
        <w:t>b)</w:t>
      </w:r>
      <w:r w:rsidRPr="00AA1CB3">
        <w:rPr>
          <w:rFonts w:eastAsia="Aptos"/>
          <w:lang w:val="en-US"/>
        </w:rPr>
        <w:tab/>
      </w:r>
      <w:r w:rsidRPr="00F45C4E">
        <w:rPr>
          <w:rFonts w:eastAsia="Aptos"/>
          <w:lang w:val="en-US"/>
        </w:rPr>
        <w:t>Desk Review</w:t>
      </w:r>
    </w:p>
    <w:p w14:paraId="76ADC745" w14:textId="77777777" w:rsidR="00692468" w:rsidRPr="00F45C4E" w:rsidRDefault="00692468" w:rsidP="000A226D">
      <w:pPr>
        <w:pStyle w:val="enumlev1"/>
        <w:tabs>
          <w:tab w:val="clear" w:pos="567"/>
          <w:tab w:val="clear" w:pos="1134"/>
          <w:tab w:val="clear" w:pos="1701"/>
          <w:tab w:val="clear" w:pos="2268"/>
          <w:tab w:val="clear" w:pos="2835"/>
        </w:tabs>
        <w:ind w:left="709"/>
        <w:jc w:val="both"/>
        <w:rPr>
          <w:rFonts w:eastAsia="Aptos"/>
          <w:lang w:val="en-US"/>
        </w:rPr>
      </w:pPr>
      <w:r w:rsidRPr="00DF63BF">
        <w:rPr>
          <w:rFonts w:eastAsia="Aptos"/>
          <w:i/>
          <w:iCs/>
          <w:lang w:val="en-US"/>
        </w:rPr>
        <w:t>c)</w:t>
      </w:r>
      <w:r>
        <w:rPr>
          <w:rFonts w:eastAsia="Aptos"/>
          <w:lang w:val="en-US"/>
        </w:rPr>
        <w:tab/>
      </w:r>
      <w:r w:rsidRPr="00F45C4E">
        <w:rPr>
          <w:rFonts w:eastAsia="Aptos"/>
          <w:lang w:val="en-US"/>
        </w:rPr>
        <w:t xml:space="preserve">Stakeholder Consultation including the Design and Launch of the Internal Assessment Survey, and interviews of Regional Telecommunication Organizations </w:t>
      </w:r>
    </w:p>
    <w:p w14:paraId="03C29011" w14:textId="74A476A9" w:rsidR="00692468" w:rsidRPr="00F45C4E" w:rsidRDefault="00692468" w:rsidP="000A226D">
      <w:pPr>
        <w:pStyle w:val="enumlev1"/>
        <w:tabs>
          <w:tab w:val="clear" w:pos="567"/>
          <w:tab w:val="clear" w:pos="1134"/>
          <w:tab w:val="clear" w:pos="1701"/>
          <w:tab w:val="clear" w:pos="2268"/>
          <w:tab w:val="clear" w:pos="2835"/>
        </w:tabs>
        <w:ind w:left="709"/>
        <w:jc w:val="both"/>
        <w:rPr>
          <w:rFonts w:eastAsia="Aptos"/>
          <w:lang w:val="en-US"/>
        </w:rPr>
      </w:pPr>
      <w:r w:rsidRPr="00DF63BF">
        <w:rPr>
          <w:rFonts w:eastAsia="Aptos"/>
          <w:i/>
          <w:iCs/>
          <w:lang w:val="en-US"/>
        </w:rPr>
        <w:t>d)</w:t>
      </w:r>
      <w:r w:rsidRPr="006361C0">
        <w:rPr>
          <w:rFonts w:eastAsia="Aptos"/>
          <w:lang w:val="en-US"/>
        </w:rPr>
        <w:tab/>
      </w:r>
      <w:r w:rsidRPr="00F45C4E">
        <w:rPr>
          <w:rFonts w:asciiTheme="minorHAnsi" w:eastAsia="Aptos" w:hAnsiTheme="minorHAnsi" w:cstheme="minorHAnsi"/>
          <w:lang w:val="en-US"/>
        </w:rPr>
        <w:t>Periodic reporting as per the instructions of Council Working Group on Financial and Human Resources (CWG-FHR) and Council</w:t>
      </w:r>
      <w:r w:rsidR="00DF63BF">
        <w:rPr>
          <w:rFonts w:asciiTheme="minorHAnsi" w:eastAsia="Aptos" w:hAnsiTheme="minorHAnsi" w:cstheme="minorHAnsi"/>
          <w:lang w:val="en-US"/>
        </w:rPr>
        <w:t>.</w:t>
      </w:r>
    </w:p>
    <w:p w14:paraId="5A1D822A" w14:textId="15D64DE1" w:rsidR="00692468" w:rsidRPr="00F05ED9" w:rsidRDefault="00692468" w:rsidP="000A226D">
      <w:pPr>
        <w:tabs>
          <w:tab w:val="clear" w:pos="567"/>
          <w:tab w:val="clear" w:pos="1134"/>
          <w:tab w:val="clear" w:pos="1701"/>
          <w:tab w:val="clear" w:pos="2268"/>
          <w:tab w:val="clear" w:pos="2835"/>
        </w:tabs>
        <w:jc w:val="both"/>
        <w:rPr>
          <w:rFonts w:eastAsia="Aptos" w:cs="Calibri"/>
          <w:spacing w:val="-2"/>
        </w:rPr>
      </w:pPr>
      <w:r w:rsidRPr="00F05ED9">
        <w:rPr>
          <w:rFonts w:asciiTheme="minorHAnsi" w:eastAsia="Aptos" w:hAnsiTheme="minorHAnsi" w:cstheme="minorBidi"/>
          <w:spacing w:val="-2"/>
        </w:rPr>
        <w:t>2.</w:t>
      </w:r>
      <w:r w:rsidRPr="00F05ED9">
        <w:rPr>
          <w:rFonts w:eastAsia="Aptos" w:cs="Calibri"/>
          <w:spacing w:val="-2"/>
        </w:rPr>
        <w:t>3.3</w:t>
      </w:r>
      <w:r w:rsidRPr="00F05ED9">
        <w:rPr>
          <w:rFonts w:eastAsia="Aptos"/>
          <w:spacing w:val="-2"/>
        </w:rPr>
        <w:tab/>
        <w:t>The Interim Report on the review of the ITU Regional Presence (</w:t>
      </w:r>
      <w:r w:rsidR="00DF63BF" w:rsidRPr="00F05ED9">
        <w:rPr>
          <w:rFonts w:eastAsia="Aptos"/>
          <w:spacing w:val="-2"/>
        </w:rPr>
        <w:t>Doc</w:t>
      </w:r>
      <w:r w:rsidR="00F05ED9">
        <w:rPr>
          <w:rFonts w:eastAsia="Aptos"/>
          <w:spacing w:val="-2"/>
        </w:rPr>
        <w:t>. </w:t>
      </w:r>
      <w:hyperlink r:id="rId33">
        <w:r w:rsidRPr="00F05ED9">
          <w:rPr>
            <w:rStyle w:val="Hyperlink"/>
            <w:rFonts w:eastAsia="Aptos" w:cs="Calibri"/>
            <w:spacing w:val="-2"/>
          </w:rPr>
          <w:t>CWG-FHR-22/4</w:t>
        </w:r>
      </w:hyperlink>
      <w:r w:rsidRPr="00F05ED9">
        <w:rPr>
          <w:rFonts w:eastAsia="Aptos"/>
          <w:spacing w:val="-2"/>
        </w:rPr>
        <w:t>) was presented at the 22</w:t>
      </w:r>
      <w:r w:rsidRPr="00F05ED9">
        <w:rPr>
          <w:rFonts w:eastAsia="Aptos"/>
          <w:spacing w:val="-2"/>
          <w:vertAlign w:val="superscript"/>
        </w:rPr>
        <w:t>nd</w:t>
      </w:r>
      <w:r w:rsidRPr="00F05ED9">
        <w:rPr>
          <w:rFonts w:eastAsia="Aptos"/>
          <w:spacing w:val="-2"/>
        </w:rPr>
        <w:t xml:space="preserve"> meeting of the CWG</w:t>
      </w:r>
      <w:r w:rsidRPr="00F05ED9">
        <w:rPr>
          <w:rFonts w:ascii="Cambria Math" w:eastAsia="Aptos" w:hAnsi="Cambria Math" w:cs="Cambria Math"/>
          <w:spacing w:val="-2"/>
        </w:rPr>
        <w:t>‑</w:t>
      </w:r>
      <w:r w:rsidRPr="00F05ED9">
        <w:rPr>
          <w:rFonts w:eastAsia="Aptos"/>
          <w:spacing w:val="-2"/>
        </w:rPr>
        <w:t xml:space="preserve">FHR on 16 January 2026, accompanied by Information Document </w:t>
      </w:r>
      <w:hyperlink r:id="rId34">
        <w:r w:rsidRPr="00F05ED9">
          <w:rPr>
            <w:rStyle w:val="Hyperlink"/>
            <w:rFonts w:eastAsia="Aptos" w:cs="Calibri"/>
            <w:spacing w:val="-2"/>
            <w:szCs w:val="24"/>
            <w:lang w:val="en-US"/>
          </w:rPr>
          <w:t>CWG-FHR-22/INF/1</w:t>
        </w:r>
      </w:hyperlink>
      <w:r w:rsidRPr="00F05ED9">
        <w:rPr>
          <w:rFonts w:eastAsia="Aptos"/>
          <w:spacing w:val="-2"/>
        </w:rPr>
        <w:t xml:space="preserve">, which details specific BDT initiatives that further support the Regional Presence. </w:t>
      </w:r>
      <w:r w:rsidRPr="00F05ED9">
        <w:rPr>
          <w:rFonts w:asciiTheme="minorHAnsi" w:eastAsia="Aptos" w:hAnsiTheme="minorHAnsi" w:cstheme="minorBidi"/>
          <w:spacing w:val="-2"/>
        </w:rPr>
        <w:t xml:space="preserve">A Special Session on the preliminary findings of the </w:t>
      </w:r>
      <w:r w:rsidR="00086D54">
        <w:rPr>
          <w:rFonts w:asciiTheme="minorHAnsi" w:eastAsia="Aptos" w:hAnsiTheme="minorHAnsi" w:cstheme="minorBidi"/>
          <w:spacing w:val="-2"/>
        </w:rPr>
        <w:t>m</w:t>
      </w:r>
      <w:r w:rsidRPr="00F05ED9">
        <w:rPr>
          <w:rFonts w:asciiTheme="minorHAnsi" w:eastAsia="Aptos" w:hAnsiTheme="minorHAnsi" w:cstheme="minorBidi"/>
          <w:spacing w:val="-2"/>
        </w:rPr>
        <w:t xml:space="preserve">embership </w:t>
      </w:r>
      <w:r w:rsidR="00A57706">
        <w:rPr>
          <w:rFonts w:asciiTheme="minorHAnsi" w:eastAsia="Aptos" w:hAnsiTheme="minorHAnsi" w:cstheme="minorBidi"/>
          <w:spacing w:val="-2"/>
        </w:rPr>
        <w:t>s</w:t>
      </w:r>
      <w:r w:rsidRPr="00F05ED9">
        <w:rPr>
          <w:rFonts w:asciiTheme="minorHAnsi" w:eastAsia="Aptos" w:hAnsiTheme="minorHAnsi" w:cstheme="minorBidi"/>
          <w:spacing w:val="-2"/>
        </w:rPr>
        <w:t>urvey (</w:t>
      </w:r>
      <w:r w:rsidR="00F05ED9" w:rsidRPr="00F05ED9">
        <w:rPr>
          <w:rFonts w:eastAsia="Aptos"/>
          <w:spacing w:val="-2"/>
        </w:rPr>
        <w:t>Doc</w:t>
      </w:r>
      <w:r w:rsidR="00F05ED9">
        <w:rPr>
          <w:rFonts w:eastAsia="Aptos"/>
          <w:spacing w:val="-2"/>
        </w:rPr>
        <w:t>. </w:t>
      </w:r>
      <w:hyperlink r:id="rId35" w:history="1">
        <w:r w:rsidRPr="00F05ED9">
          <w:rPr>
            <w:rStyle w:val="Hyperlink"/>
            <w:rFonts w:eastAsia="Aptos" w:cs="Calibri"/>
            <w:spacing w:val="-2"/>
          </w:rPr>
          <w:t>CWG-FHR-22/4</w:t>
        </w:r>
      </w:hyperlink>
      <w:r w:rsidR="00DF63BF" w:rsidRPr="00F05ED9">
        <w:rPr>
          <w:rFonts w:eastAsia="Aptos" w:cs="Calibri"/>
          <w:spacing w:val="-2"/>
        </w:rPr>
        <w:t>,</w:t>
      </w:r>
      <w:r w:rsidRPr="00F05ED9">
        <w:rPr>
          <w:spacing w:val="-2"/>
        </w:rPr>
        <w:t xml:space="preserve"> Annex 2)</w:t>
      </w:r>
      <w:r w:rsidRPr="00F05ED9">
        <w:rPr>
          <w:rFonts w:eastAsia="Aptos"/>
          <w:spacing w:val="-2"/>
        </w:rPr>
        <w:t xml:space="preserve"> </w:t>
      </w:r>
      <w:r w:rsidRPr="00F05ED9">
        <w:rPr>
          <w:rFonts w:asciiTheme="minorHAnsi" w:eastAsia="Aptos" w:hAnsiTheme="minorHAnsi" w:cstheme="minorBidi"/>
          <w:spacing w:val="-2"/>
        </w:rPr>
        <w:t xml:space="preserve">was held during the WTDC-25 on 24 November 2025. </w:t>
      </w:r>
      <w:r w:rsidRPr="00F05ED9">
        <w:rPr>
          <w:rFonts w:eastAsia="Aptos" w:cs="Calibri"/>
          <w:spacing w:val="-2"/>
        </w:rPr>
        <w:t>To</w:t>
      </w:r>
      <w:r w:rsidRPr="00F05ED9">
        <w:rPr>
          <w:rFonts w:asciiTheme="minorHAnsi" w:eastAsia="Aptos" w:hAnsiTheme="minorHAnsi" w:cstheme="minorBidi"/>
          <w:spacing w:val="-2"/>
        </w:rPr>
        <w:t xml:space="preserve"> gain more insights and strategic guidance on shaping the future direction of the ITU Regional Presence through consultations with ITU Advisory Groups, the Interim Report was presented by BDT at the 2026 TSAG (</w:t>
      </w:r>
      <w:r w:rsidR="00F05ED9" w:rsidRPr="00F05ED9">
        <w:rPr>
          <w:rFonts w:eastAsia="Aptos"/>
          <w:spacing w:val="-2"/>
        </w:rPr>
        <w:t>Doc</w:t>
      </w:r>
      <w:r w:rsidR="00F05ED9">
        <w:rPr>
          <w:rFonts w:eastAsia="Aptos"/>
          <w:spacing w:val="-2"/>
        </w:rPr>
        <w:t>. </w:t>
      </w:r>
      <w:hyperlink r:id="rId36">
        <w:r w:rsidRPr="00F05ED9">
          <w:rPr>
            <w:rStyle w:val="Hyperlink"/>
            <w:rFonts w:asciiTheme="minorHAnsi" w:eastAsia="Aptos" w:hAnsiTheme="minorHAnsi" w:cstheme="minorBidi"/>
            <w:spacing w:val="-2"/>
            <w:lang w:val="en-US"/>
          </w:rPr>
          <w:t>TSAG-TD314</w:t>
        </w:r>
      </w:hyperlink>
      <w:r w:rsidRPr="00F05ED9">
        <w:rPr>
          <w:rFonts w:asciiTheme="minorHAnsi" w:eastAsia="Aptos" w:hAnsiTheme="minorHAnsi" w:cstheme="minorBidi"/>
          <w:spacing w:val="-2"/>
        </w:rPr>
        <w:t>), TDAG (</w:t>
      </w:r>
      <w:r w:rsidR="00F05ED9" w:rsidRPr="00F05ED9">
        <w:rPr>
          <w:rFonts w:eastAsia="Aptos"/>
          <w:spacing w:val="-2"/>
        </w:rPr>
        <w:t>Doc</w:t>
      </w:r>
      <w:r w:rsidR="00F05ED9">
        <w:rPr>
          <w:rFonts w:eastAsia="Aptos"/>
          <w:spacing w:val="-2"/>
        </w:rPr>
        <w:t>. </w:t>
      </w:r>
      <w:hyperlink r:id="rId37">
        <w:r w:rsidRPr="00F05ED9">
          <w:rPr>
            <w:rStyle w:val="Hyperlink"/>
            <w:spacing w:val="-2"/>
          </w:rPr>
          <w:t>TDAG-26/16</w:t>
        </w:r>
      </w:hyperlink>
      <w:r w:rsidRPr="00F05ED9">
        <w:rPr>
          <w:rFonts w:asciiTheme="minorHAnsi" w:eastAsia="Aptos" w:hAnsiTheme="minorHAnsi" w:cstheme="minorBidi"/>
          <w:spacing w:val="-2"/>
        </w:rPr>
        <w:t>) and RAG (</w:t>
      </w:r>
      <w:r w:rsidR="00F05ED9" w:rsidRPr="00F05ED9">
        <w:rPr>
          <w:rFonts w:eastAsia="Aptos"/>
          <w:spacing w:val="-2"/>
        </w:rPr>
        <w:t>Doc</w:t>
      </w:r>
      <w:r w:rsidR="00F05ED9">
        <w:rPr>
          <w:rFonts w:eastAsia="Aptos"/>
          <w:spacing w:val="-2"/>
        </w:rPr>
        <w:t>. </w:t>
      </w:r>
      <w:hyperlink r:id="rId38">
        <w:r w:rsidRPr="00F05ED9">
          <w:rPr>
            <w:rStyle w:val="Hyperlink"/>
            <w:rFonts w:eastAsia="Aptos"/>
            <w:spacing w:val="-2"/>
          </w:rPr>
          <w:t>RAG/66</w:t>
        </w:r>
      </w:hyperlink>
      <w:r w:rsidRPr="00F05ED9">
        <w:rPr>
          <w:rFonts w:asciiTheme="minorHAnsi" w:eastAsia="Aptos" w:hAnsiTheme="minorHAnsi" w:cstheme="minorBidi"/>
          <w:spacing w:val="-2"/>
        </w:rPr>
        <w:t>). As requested at the 22</w:t>
      </w:r>
      <w:r w:rsidRPr="00F05ED9">
        <w:rPr>
          <w:rFonts w:asciiTheme="minorHAnsi" w:eastAsia="Aptos" w:hAnsiTheme="minorHAnsi" w:cstheme="minorBidi"/>
          <w:spacing w:val="-2"/>
          <w:vertAlign w:val="superscript"/>
        </w:rPr>
        <w:t>nd</w:t>
      </w:r>
      <w:r w:rsidRPr="00F05ED9">
        <w:rPr>
          <w:rFonts w:asciiTheme="minorHAnsi" w:eastAsia="Aptos" w:hAnsiTheme="minorHAnsi" w:cstheme="minorBidi"/>
          <w:spacing w:val="-2"/>
        </w:rPr>
        <w:t xml:space="preserve"> CWG-FHR meeting, an Information Session on Regional Presence prior to Council-26 was held on</w:t>
      </w:r>
      <w:r w:rsidR="00F05ED9" w:rsidRPr="00F05ED9">
        <w:rPr>
          <w:rFonts w:asciiTheme="minorHAnsi" w:eastAsia="Aptos" w:hAnsiTheme="minorHAnsi" w:cstheme="minorBidi"/>
          <w:spacing w:val="-2"/>
        </w:rPr>
        <w:t> </w:t>
      </w:r>
      <w:r w:rsidRPr="00F05ED9">
        <w:rPr>
          <w:rFonts w:asciiTheme="minorHAnsi" w:eastAsia="Aptos" w:hAnsiTheme="minorHAnsi" w:cstheme="minorBidi"/>
          <w:spacing w:val="-2"/>
        </w:rPr>
        <w:t>5</w:t>
      </w:r>
      <w:r w:rsidR="00F05ED9" w:rsidRPr="00F05ED9">
        <w:rPr>
          <w:rFonts w:asciiTheme="minorHAnsi" w:eastAsia="Aptos" w:hAnsiTheme="minorHAnsi" w:cstheme="minorBidi"/>
          <w:spacing w:val="-2"/>
        </w:rPr>
        <w:t> </w:t>
      </w:r>
      <w:r w:rsidRPr="00F05ED9">
        <w:rPr>
          <w:rFonts w:asciiTheme="minorHAnsi" w:eastAsia="Aptos" w:hAnsiTheme="minorHAnsi" w:cstheme="minorBidi"/>
          <w:spacing w:val="-2"/>
        </w:rPr>
        <w:t xml:space="preserve">March 2026. All these </w:t>
      </w:r>
      <w:r w:rsidRPr="00F05ED9">
        <w:rPr>
          <w:rFonts w:asciiTheme="minorHAnsi" w:eastAsia="Aptos" w:hAnsiTheme="minorHAnsi" w:cstheme="minorBidi"/>
          <w:spacing w:val="-2"/>
          <w:lang w:val="en-US"/>
        </w:rPr>
        <w:t>efforts culminated in the final report on the review of the ITU Regional Presence, which will be presented at Council-26.</w:t>
      </w:r>
    </w:p>
    <w:p w14:paraId="3917629F" w14:textId="61B18121" w:rsidR="00692468" w:rsidRPr="00922311" w:rsidRDefault="00692468" w:rsidP="0024521F">
      <w:pPr>
        <w:pStyle w:val="Heading2"/>
        <w:tabs>
          <w:tab w:val="clear" w:pos="567"/>
          <w:tab w:val="clear" w:pos="1134"/>
          <w:tab w:val="clear" w:pos="1701"/>
          <w:tab w:val="clear" w:pos="2268"/>
          <w:tab w:val="clear" w:pos="2835"/>
        </w:tabs>
        <w:ind w:left="0" w:firstLine="0"/>
      </w:pPr>
      <w:r w:rsidRPr="00922311">
        <w:rPr>
          <w:rFonts w:eastAsia="Aptos"/>
        </w:rPr>
        <w:t>2.</w:t>
      </w:r>
      <w:r>
        <w:rPr>
          <w:rFonts w:eastAsia="Aptos"/>
        </w:rPr>
        <w:t>4</w:t>
      </w:r>
      <w:r w:rsidRPr="00922311">
        <w:rPr>
          <w:rFonts w:eastAsia="Aptos"/>
        </w:rPr>
        <w:tab/>
      </w:r>
      <w:r w:rsidRPr="00922311">
        <w:t xml:space="preserve">Regional </w:t>
      </w:r>
      <w:r>
        <w:t xml:space="preserve">and Area </w:t>
      </w:r>
      <w:r w:rsidRPr="00922311">
        <w:t>Offices’ engagement in ITU-D Project Implementation</w:t>
      </w:r>
    </w:p>
    <w:p w14:paraId="512F2DAD" w14:textId="77777777" w:rsidR="00692468" w:rsidRPr="00922311" w:rsidRDefault="00692468" w:rsidP="000A226D">
      <w:pPr>
        <w:tabs>
          <w:tab w:val="clear" w:pos="567"/>
          <w:tab w:val="clear" w:pos="1134"/>
          <w:tab w:val="clear" w:pos="1701"/>
          <w:tab w:val="clear" w:pos="2268"/>
          <w:tab w:val="clear" w:pos="2835"/>
        </w:tabs>
        <w:jc w:val="both"/>
      </w:pPr>
      <w:r w:rsidRPr="00922311">
        <w:t>2.</w:t>
      </w:r>
      <w:r>
        <w:t>4</w:t>
      </w:r>
      <w:r w:rsidRPr="00922311">
        <w:t>.1</w:t>
      </w:r>
      <w:r w:rsidRPr="00922311">
        <w:tab/>
        <w:t>ITU-D projects, designed to facilitate and enhance telecommunication/ICT development through technical cooperation and assistance, are implemented across all six regions</w:t>
      </w:r>
      <w:r>
        <w:t xml:space="preserve">. </w:t>
      </w:r>
      <w:r w:rsidRPr="00922311">
        <w:t>BDT is responsible for project design, development, implementation, and assessmen</w:t>
      </w:r>
      <w:r>
        <w:t>t</w:t>
      </w:r>
      <w:r w:rsidRPr="00922311">
        <w:t>.</w:t>
      </w:r>
    </w:p>
    <w:p w14:paraId="19F81D5E" w14:textId="77777777" w:rsidR="00692468" w:rsidRPr="00922311" w:rsidRDefault="00692468" w:rsidP="000A226D">
      <w:pPr>
        <w:tabs>
          <w:tab w:val="clear" w:pos="567"/>
          <w:tab w:val="clear" w:pos="1134"/>
          <w:tab w:val="clear" w:pos="1701"/>
          <w:tab w:val="clear" w:pos="2268"/>
          <w:tab w:val="clear" w:pos="2835"/>
        </w:tabs>
        <w:jc w:val="both"/>
      </w:pPr>
      <w:r w:rsidRPr="00922311">
        <w:t>2.</w:t>
      </w:r>
      <w:r>
        <w:t>4</w:t>
      </w:r>
      <w:r w:rsidRPr="00922311">
        <w:t>.2</w:t>
      </w:r>
      <w:r w:rsidRPr="00922311">
        <w:tab/>
        <w:t xml:space="preserve">Regional and Area Offices play a </w:t>
      </w:r>
      <w:r>
        <w:t>key</w:t>
      </w:r>
      <w:r w:rsidRPr="00922311">
        <w:t xml:space="preserve"> role </w:t>
      </w:r>
      <w:r>
        <w:t>in</w:t>
      </w:r>
      <w:r w:rsidRPr="00922311">
        <w:t xml:space="preserve"> ITU’s engagement with local stakeholders and governments</w:t>
      </w:r>
      <w:r>
        <w:t>, working</w:t>
      </w:r>
      <w:r w:rsidRPr="00922311">
        <w:t xml:space="preserve"> in close coordination with Headquarters on the identification, implementation, and monitoring of projects delivering technical assistance, ITU-D products, and services, and addressing country-specific needs aligned with the Action Plan and Regional Initiatives.</w:t>
      </w:r>
      <w:r>
        <w:t xml:space="preserve"> </w:t>
      </w:r>
      <w:r w:rsidRPr="00922311">
        <w:t xml:space="preserve">This integrated approach, leveraging synergies between regular and extrabudgetary activities, </w:t>
      </w:r>
      <w:r>
        <w:t>enables</w:t>
      </w:r>
      <w:r w:rsidRPr="00922311">
        <w:t xml:space="preserve"> BDT to provide better services to Member States.</w:t>
      </w:r>
      <w:r>
        <w:t xml:space="preserve"> </w:t>
      </w:r>
    </w:p>
    <w:p w14:paraId="5E8B589E" w14:textId="77777777" w:rsidR="00692468" w:rsidRPr="00922311" w:rsidRDefault="00692468" w:rsidP="000A226D">
      <w:pPr>
        <w:tabs>
          <w:tab w:val="clear" w:pos="567"/>
          <w:tab w:val="clear" w:pos="1134"/>
          <w:tab w:val="clear" w:pos="1701"/>
          <w:tab w:val="clear" w:pos="2268"/>
          <w:tab w:val="clear" w:pos="2835"/>
        </w:tabs>
        <w:jc w:val="both"/>
        <w:rPr>
          <w:rFonts w:eastAsia="Aptos"/>
        </w:rPr>
      </w:pPr>
      <w:r w:rsidRPr="00922311">
        <w:rPr>
          <w:rFonts w:eastAsia="Aptos"/>
        </w:rPr>
        <w:t>2.</w:t>
      </w:r>
      <w:r>
        <w:rPr>
          <w:rFonts w:eastAsia="Aptos"/>
        </w:rPr>
        <w:t>4</w:t>
      </w:r>
      <w:r w:rsidRPr="00922311">
        <w:rPr>
          <w:rFonts w:eastAsia="Aptos"/>
        </w:rPr>
        <w:t>.3</w:t>
      </w:r>
      <w:r w:rsidRPr="00922311">
        <w:rPr>
          <w:rFonts w:eastAsia="Aptos"/>
        </w:rPr>
        <w:tab/>
      </w:r>
      <w:r w:rsidRPr="0084541B">
        <w:t>BDT has strengthened project management by training project managers, establishing clear governance through the BDT Projects Board, improving reporting</w:t>
      </w:r>
      <w:r>
        <w:t xml:space="preserve"> to funding partners</w:t>
      </w:r>
      <w:r w:rsidRPr="0084541B">
        <w:t>, and enhancing monitoring systems. Projects are continuously monitored and reported quarterly via dashboards and assessment reports to support data-driven decision-making. The Projects Board ensures alignment with the Action Plan and proper governance of the project portfolio.</w:t>
      </w:r>
      <w:r>
        <w:t xml:space="preserve"> </w:t>
      </w:r>
      <w:r w:rsidRPr="00922311">
        <w:rPr>
          <w:rFonts w:eastAsia="Aptos"/>
        </w:rPr>
        <w:t xml:space="preserve">Quarterly reports are reviewed and assessed by independent teams (Project Support) not involved in implementation </w:t>
      </w:r>
      <w:r>
        <w:rPr>
          <w:rFonts w:eastAsia="Aptos"/>
        </w:rPr>
        <w:t>for</w:t>
      </w:r>
      <w:r w:rsidRPr="00922311">
        <w:rPr>
          <w:rFonts w:eastAsia="Aptos"/>
        </w:rPr>
        <w:t xml:space="preserve"> an unbiased assessment of progress.</w:t>
      </w:r>
    </w:p>
    <w:p w14:paraId="22D38B74" w14:textId="053DDFC3" w:rsidR="00692468" w:rsidRPr="00F05ED9" w:rsidRDefault="00692468" w:rsidP="000A226D">
      <w:pPr>
        <w:tabs>
          <w:tab w:val="clear" w:pos="567"/>
          <w:tab w:val="clear" w:pos="1134"/>
          <w:tab w:val="clear" w:pos="1701"/>
          <w:tab w:val="clear" w:pos="2268"/>
          <w:tab w:val="clear" w:pos="2835"/>
        </w:tabs>
        <w:jc w:val="both"/>
        <w:rPr>
          <w:rFonts w:eastAsia="Aptos"/>
          <w:spacing w:val="-2"/>
        </w:rPr>
      </w:pPr>
      <w:r w:rsidRPr="00F05ED9">
        <w:rPr>
          <w:rFonts w:eastAsia="Aptos"/>
          <w:spacing w:val="-2"/>
        </w:rPr>
        <w:t>2.4.4</w:t>
      </w:r>
      <w:r w:rsidRPr="00F05ED9">
        <w:rPr>
          <w:rFonts w:eastAsia="Aptos"/>
          <w:spacing w:val="-2"/>
        </w:rPr>
        <w:tab/>
        <w:t>Following WTDC-22, BDT mobilized extrabudgetary resources and developed and implemented 91 projects generating CHF 51 million over the three-year KAP period, which contributed to the implementation of Priorities and Regional Initiatives to meet the regions’ particular needs. For each region, BDT projects contribute to the development of a variety of products and services in alignment with the ITU-D Priorities and Enablers defined by the KAP, as well as in alignment with the ITU Strategic Plan. BDT projects implemented or ongoing under each Regional Initiative for 2023</w:t>
      </w:r>
      <w:r w:rsidR="00F05ED9" w:rsidRPr="00F05ED9">
        <w:rPr>
          <w:rFonts w:eastAsia="Aptos"/>
          <w:spacing w:val="-2"/>
        </w:rPr>
        <w:t>-</w:t>
      </w:r>
      <w:r w:rsidRPr="00F05ED9">
        <w:rPr>
          <w:rFonts w:eastAsia="Aptos"/>
          <w:spacing w:val="-2"/>
        </w:rPr>
        <w:t xml:space="preserve">2025 are mapped in Information Document </w:t>
      </w:r>
      <w:hyperlink r:id="rId39" w:history="1">
        <w:r w:rsidRPr="00F05ED9">
          <w:rPr>
            <w:rStyle w:val="Hyperlink"/>
            <w:rFonts w:eastAsia="Aptos"/>
            <w:spacing w:val="-2"/>
          </w:rPr>
          <w:t>TDAG-25/INF/4</w:t>
        </w:r>
      </w:hyperlink>
      <w:r w:rsidRPr="00F05ED9">
        <w:rPr>
          <w:rFonts w:eastAsia="Aptos"/>
          <w:spacing w:val="-2"/>
        </w:rPr>
        <w:t>.</w:t>
      </w:r>
    </w:p>
    <w:p w14:paraId="2899A3C1" w14:textId="04517C20" w:rsidR="00692468" w:rsidRPr="00922311" w:rsidRDefault="00692468" w:rsidP="000A226D">
      <w:pPr>
        <w:tabs>
          <w:tab w:val="clear" w:pos="567"/>
          <w:tab w:val="clear" w:pos="1134"/>
          <w:tab w:val="clear" w:pos="1701"/>
          <w:tab w:val="clear" w:pos="2268"/>
          <w:tab w:val="clear" w:pos="2835"/>
        </w:tabs>
        <w:jc w:val="both"/>
        <w:rPr>
          <w:rFonts w:eastAsia="Aptos"/>
        </w:rPr>
      </w:pPr>
      <w:r>
        <w:rPr>
          <w:rFonts w:eastAsia="Aptos"/>
        </w:rPr>
        <w:lastRenderedPageBreak/>
        <w:t>2.4.5</w:t>
      </w:r>
      <w:r>
        <w:rPr>
          <w:rFonts w:eastAsia="Aptos"/>
        </w:rPr>
        <w:tab/>
        <w:t xml:space="preserve">Following the adoption of the BAP, new and modified Resolutions and Regional Initiatives have been adopted for implementation from 2026-2029. Document </w:t>
      </w:r>
      <w:hyperlink r:id="rId40" w:history="1">
        <w:r w:rsidRPr="00565F51">
          <w:rPr>
            <w:rStyle w:val="Hyperlink"/>
            <w:szCs w:val="24"/>
          </w:rPr>
          <w:t>TDAG-26/4</w:t>
        </w:r>
      </w:hyperlink>
      <w:r w:rsidRPr="00565F51">
        <w:rPr>
          <w:rFonts w:eastAsia="Aptos"/>
          <w:szCs w:val="24"/>
        </w:rPr>
        <w:t xml:space="preserve"> </w:t>
      </w:r>
      <w:r>
        <w:rPr>
          <w:rFonts w:eastAsia="Aptos"/>
        </w:rPr>
        <w:t>presents the</w:t>
      </w:r>
      <w:r w:rsidRPr="00130700">
        <w:t xml:space="preserve"> </w:t>
      </w:r>
      <w:r w:rsidRPr="00130700">
        <w:rPr>
          <w:rFonts w:eastAsia="Aptos"/>
        </w:rPr>
        <w:t>financial implications of</w:t>
      </w:r>
      <w:r>
        <w:rPr>
          <w:rFonts w:eastAsia="Aptos"/>
        </w:rPr>
        <w:t xml:space="preserve"> </w:t>
      </w:r>
      <w:r w:rsidRPr="00130700">
        <w:rPr>
          <w:rFonts w:eastAsia="Aptos"/>
        </w:rPr>
        <w:t>Resolutions adopted by WTDC-25</w:t>
      </w:r>
      <w:r>
        <w:rPr>
          <w:rFonts w:eastAsia="Aptos"/>
        </w:rPr>
        <w:t>, while Document</w:t>
      </w:r>
      <w:r w:rsidR="00F05ED9">
        <w:rPr>
          <w:rFonts w:eastAsia="Aptos"/>
        </w:rPr>
        <w:t> </w:t>
      </w:r>
      <w:hyperlink r:id="rId41" w:history="1">
        <w:r w:rsidRPr="00565F51">
          <w:rPr>
            <w:rStyle w:val="Hyperlink"/>
            <w:rFonts w:eastAsia="Aptos"/>
          </w:rPr>
          <w:t>TDAG-26/19</w:t>
        </w:r>
      </w:hyperlink>
      <w:r w:rsidRPr="00565F51">
        <w:rPr>
          <w:rFonts w:eastAsia="Aptos"/>
        </w:rPr>
        <w:t xml:space="preserve"> p</w:t>
      </w:r>
      <w:r>
        <w:rPr>
          <w:rFonts w:eastAsia="Aptos"/>
        </w:rPr>
        <w:t xml:space="preserve">resents the financial implications of the newly adopted Regional Initiatives. </w:t>
      </w:r>
      <w:r w:rsidRPr="00922311">
        <w:rPr>
          <w:rFonts w:eastAsia="Aptos"/>
        </w:rPr>
        <w:t>Further details of ITU-D projects are available in Document</w:t>
      </w:r>
      <w:r>
        <w:rPr>
          <w:rFonts w:eastAsia="Aptos"/>
        </w:rPr>
        <w:t>s</w:t>
      </w:r>
      <w:r w:rsidRPr="00922311">
        <w:rPr>
          <w:rFonts w:eastAsia="Aptos"/>
        </w:rPr>
        <w:t xml:space="preserve"> </w:t>
      </w:r>
      <w:hyperlink r:id="rId42" w:history="1">
        <w:r w:rsidRPr="00922311">
          <w:rPr>
            <w:rStyle w:val="Hyperlink"/>
            <w:rFonts w:eastAsia="Aptos"/>
          </w:rPr>
          <w:t>TDAG-25/5</w:t>
        </w:r>
      </w:hyperlink>
      <w:r>
        <w:t xml:space="preserve"> and </w:t>
      </w:r>
      <w:hyperlink r:id="rId43" w:history="1">
        <w:r w:rsidRPr="00604391">
          <w:rPr>
            <w:rStyle w:val="Hyperlink"/>
          </w:rPr>
          <w:t>TDAG</w:t>
        </w:r>
        <w:r w:rsidR="00F05ED9">
          <w:rPr>
            <w:rStyle w:val="Hyperlink"/>
          </w:rPr>
          <w:noBreakHyphen/>
        </w:r>
        <w:r w:rsidRPr="00604391">
          <w:rPr>
            <w:rStyle w:val="Hyperlink"/>
          </w:rPr>
          <w:t>26/8</w:t>
        </w:r>
      </w:hyperlink>
      <w:r w:rsidRPr="00604391">
        <w:rPr>
          <w:rFonts w:eastAsia="Aptos"/>
        </w:rPr>
        <w:t>.</w:t>
      </w:r>
      <w:r>
        <w:rPr>
          <w:rFonts w:eastAsia="Aptos"/>
        </w:rPr>
        <w:t xml:space="preserve"> </w:t>
      </w:r>
    </w:p>
    <w:p w14:paraId="292BE8F3" w14:textId="77777777" w:rsidR="00692468" w:rsidRPr="00922311" w:rsidRDefault="00692468" w:rsidP="0024521F">
      <w:pPr>
        <w:pStyle w:val="Heading1"/>
        <w:tabs>
          <w:tab w:val="clear" w:pos="567"/>
          <w:tab w:val="clear" w:pos="1134"/>
          <w:tab w:val="clear" w:pos="1701"/>
          <w:tab w:val="clear" w:pos="2268"/>
          <w:tab w:val="clear" w:pos="2835"/>
        </w:tabs>
        <w:ind w:left="0" w:firstLine="0"/>
        <w:rPr>
          <w:rFonts w:eastAsia="SimSun"/>
        </w:rPr>
      </w:pPr>
      <w:r w:rsidRPr="00922311">
        <w:rPr>
          <w:rFonts w:eastAsia="SimSun"/>
        </w:rPr>
        <w:t>3</w:t>
      </w:r>
      <w:r w:rsidRPr="00922311">
        <w:rPr>
          <w:rFonts w:eastAsia="SimSun"/>
        </w:rPr>
        <w:tab/>
        <w:t xml:space="preserve">Activities related to ITU’s other </w:t>
      </w:r>
      <w:r>
        <w:rPr>
          <w:rFonts w:eastAsia="SimSun"/>
        </w:rPr>
        <w:t>S</w:t>
      </w:r>
      <w:r w:rsidRPr="00922311">
        <w:rPr>
          <w:rFonts w:eastAsia="SimSun"/>
        </w:rPr>
        <w:t>ectors and Bureaux</w:t>
      </w:r>
    </w:p>
    <w:p w14:paraId="149470D8" w14:textId="77777777" w:rsidR="00692468" w:rsidRPr="00922311" w:rsidRDefault="00692468" w:rsidP="0024521F">
      <w:pPr>
        <w:pStyle w:val="Heading2"/>
        <w:tabs>
          <w:tab w:val="clear" w:pos="567"/>
          <w:tab w:val="clear" w:pos="1134"/>
          <w:tab w:val="clear" w:pos="1701"/>
          <w:tab w:val="clear" w:pos="2268"/>
          <w:tab w:val="clear" w:pos="2835"/>
        </w:tabs>
        <w:ind w:left="0" w:firstLine="0"/>
        <w:rPr>
          <w:rFonts w:eastAsia="Aptos"/>
        </w:rPr>
      </w:pPr>
      <w:r w:rsidRPr="00922311">
        <w:rPr>
          <w:rFonts w:eastAsia="Aptos"/>
        </w:rPr>
        <w:t>3.1</w:t>
      </w:r>
      <w:r w:rsidRPr="00922311">
        <w:rPr>
          <w:rFonts w:eastAsia="Aptos"/>
        </w:rPr>
        <w:tab/>
        <w:t>General collaboration</w:t>
      </w:r>
    </w:p>
    <w:p w14:paraId="1DB9DBA6" w14:textId="77777777" w:rsidR="00692468" w:rsidRPr="004141BF" w:rsidRDefault="00692468" w:rsidP="000A226D">
      <w:pPr>
        <w:tabs>
          <w:tab w:val="clear" w:pos="567"/>
          <w:tab w:val="clear" w:pos="1134"/>
          <w:tab w:val="clear" w:pos="1701"/>
          <w:tab w:val="clear" w:pos="2268"/>
          <w:tab w:val="clear" w:pos="2835"/>
        </w:tabs>
        <w:jc w:val="both"/>
        <w:rPr>
          <w:rFonts w:eastAsia="Aptos"/>
        </w:rPr>
      </w:pPr>
      <w:r w:rsidRPr="004141BF">
        <w:rPr>
          <w:rFonts w:eastAsia="Aptos"/>
        </w:rPr>
        <w:t>BDT, in collaboration and close coordination with BR, TSB, and the General Secretariat, continuously works to strengthen the ITU Regional Presence and enhance service delivery to Member States. </w:t>
      </w:r>
    </w:p>
    <w:p w14:paraId="7E2C2639" w14:textId="77777777" w:rsidR="00692468" w:rsidRPr="00922311" w:rsidRDefault="00692468" w:rsidP="0024521F">
      <w:pPr>
        <w:pStyle w:val="Heading2"/>
        <w:tabs>
          <w:tab w:val="clear" w:pos="567"/>
          <w:tab w:val="clear" w:pos="1134"/>
          <w:tab w:val="clear" w:pos="1701"/>
          <w:tab w:val="clear" w:pos="2268"/>
          <w:tab w:val="clear" w:pos="2835"/>
        </w:tabs>
        <w:ind w:left="0" w:firstLine="0"/>
        <w:rPr>
          <w:rFonts w:eastAsia="Aptos"/>
        </w:rPr>
      </w:pPr>
      <w:r w:rsidRPr="004141BF">
        <w:rPr>
          <w:rFonts w:eastAsia="Aptos"/>
        </w:rPr>
        <w:t>3.2</w:t>
      </w:r>
      <w:r w:rsidRPr="004141BF">
        <w:rPr>
          <w:rFonts w:eastAsia="Aptos"/>
        </w:rPr>
        <w:tab/>
        <w:t>Regional Office for Africa (RO-AFR) / Africa activities</w:t>
      </w:r>
    </w:p>
    <w:p w14:paraId="7EC35E60" w14:textId="77777777" w:rsidR="00692468" w:rsidRPr="003C6510" w:rsidRDefault="00692468" w:rsidP="000A226D">
      <w:pPr>
        <w:pStyle w:val="Headingb"/>
        <w:tabs>
          <w:tab w:val="clear" w:pos="567"/>
          <w:tab w:val="clear" w:pos="1134"/>
          <w:tab w:val="clear" w:pos="1701"/>
          <w:tab w:val="clear" w:pos="2268"/>
          <w:tab w:val="clear" w:pos="2835"/>
        </w:tabs>
        <w:rPr>
          <w:rFonts w:eastAsia="Aptos"/>
        </w:rPr>
      </w:pPr>
      <w:r w:rsidRPr="003C6510">
        <w:rPr>
          <w:rFonts w:eastAsia="Aptos"/>
        </w:rPr>
        <w:t xml:space="preserve">BR-related activities </w:t>
      </w:r>
    </w:p>
    <w:p w14:paraId="28088AE1" w14:textId="0DDBB83D" w:rsidR="00692468"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0B5D6C">
        <w:rPr>
          <w:rFonts w:eastAsia="Aptos"/>
        </w:rPr>
        <w:t xml:space="preserve">RO-AFR </w:t>
      </w:r>
      <w:r w:rsidR="00692468" w:rsidRPr="00F05ED9">
        <w:rPr>
          <w:rFonts w:eastAsia="Aptos"/>
        </w:rPr>
        <w:t>supported</w:t>
      </w:r>
      <w:r w:rsidR="00692468">
        <w:rPr>
          <w:rFonts w:eastAsia="Aptos"/>
        </w:rPr>
        <w:t xml:space="preserve"> the</w:t>
      </w:r>
      <w:r w:rsidR="00692468" w:rsidRPr="000B5D6C">
        <w:rPr>
          <w:rFonts w:eastAsia="Aptos"/>
        </w:rPr>
        <w:t xml:space="preserve"> organization of the ITU </w:t>
      </w:r>
      <w:hyperlink r:id="rId44" w:history="1">
        <w:r w:rsidR="00692468" w:rsidRPr="00A07FC9">
          <w:rPr>
            <w:rStyle w:val="Hyperlink"/>
            <w:rFonts w:eastAsia="Aptos"/>
          </w:rPr>
          <w:t>Regional Radiocommunication Seminar for Africa</w:t>
        </w:r>
      </w:hyperlink>
      <w:r w:rsidR="00692468" w:rsidRPr="000B5D6C">
        <w:rPr>
          <w:rFonts w:eastAsia="Aptos"/>
        </w:rPr>
        <w:t>, 5-8 May 2025, Djibouti.</w:t>
      </w:r>
    </w:p>
    <w:p w14:paraId="6AC492E8" w14:textId="6E582EF6" w:rsidR="00692468"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RO-AFR</w:t>
      </w:r>
      <w:r w:rsidR="00692468" w:rsidRPr="00807C30">
        <w:rPr>
          <w:rFonts w:eastAsia="Aptos"/>
        </w:rPr>
        <w:t xml:space="preserve"> in collaboration with GSMA, the East African Community (EAC) and the Intergovernmental Authority on Development (IGAD), supported by the World Bank through the Eastern Africa Regional Digital Integration Project (EARDIP), held a </w:t>
      </w:r>
      <w:hyperlink r:id="rId45" w:history="1">
        <w:r w:rsidR="00692468" w:rsidRPr="00684070">
          <w:rPr>
            <w:rStyle w:val="Hyperlink"/>
            <w:rFonts w:eastAsia="Aptos"/>
          </w:rPr>
          <w:t>Spectrum Management Workshop on Regional Harmonization to Advance Cross-Border Connectivity in Eastern Africa</w:t>
        </w:r>
      </w:hyperlink>
      <w:r w:rsidR="00692468" w:rsidRPr="00807C30">
        <w:rPr>
          <w:rFonts w:eastAsia="Aptos"/>
        </w:rPr>
        <w:t> on 20 October 2025 in Kigali, Rwanda. Drawing 42</w:t>
      </w:r>
      <w:r w:rsidR="00494562">
        <w:rPr>
          <w:rFonts w:eastAsia="Aptos"/>
        </w:rPr>
        <w:t> </w:t>
      </w:r>
      <w:r w:rsidR="00692468" w:rsidRPr="00807C30">
        <w:rPr>
          <w:rFonts w:eastAsia="Aptos"/>
        </w:rPr>
        <w:t>participants from Burundi, Democratic Republic of Congo, Djibout</w:t>
      </w:r>
      <w:r w:rsidR="00692468">
        <w:rPr>
          <w:rFonts w:eastAsia="Aptos"/>
        </w:rPr>
        <w:t>i</w:t>
      </w:r>
      <w:r w:rsidR="00692468" w:rsidRPr="00807C30">
        <w:rPr>
          <w:rFonts w:eastAsia="Aptos"/>
        </w:rPr>
        <w:t>, Ethiopia,</w:t>
      </w:r>
      <w:r>
        <w:rPr>
          <w:rFonts w:eastAsia="Aptos"/>
        </w:rPr>
        <w:t xml:space="preserve"> </w:t>
      </w:r>
      <w:r w:rsidR="00692468" w:rsidRPr="00807C30">
        <w:rPr>
          <w:rFonts w:eastAsia="Aptos"/>
        </w:rPr>
        <w:t>Kenya,</w:t>
      </w:r>
      <w:r>
        <w:rPr>
          <w:rFonts w:eastAsia="Aptos"/>
        </w:rPr>
        <w:t xml:space="preserve"> </w:t>
      </w:r>
      <w:r w:rsidR="00692468" w:rsidRPr="00807C30">
        <w:rPr>
          <w:rFonts w:eastAsia="Aptos"/>
        </w:rPr>
        <w:t>Rwanda, Somalia, Sudan,</w:t>
      </w:r>
      <w:r>
        <w:rPr>
          <w:rFonts w:eastAsia="Aptos"/>
        </w:rPr>
        <w:t xml:space="preserve"> </w:t>
      </w:r>
      <w:r w:rsidR="00692468" w:rsidRPr="00807C30">
        <w:rPr>
          <w:rFonts w:eastAsia="Aptos"/>
        </w:rPr>
        <w:t>South</w:t>
      </w:r>
      <w:r>
        <w:rPr>
          <w:rFonts w:eastAsia="Aptos"/>
        </w:rPr>
        <w:t> </w:t>
      </w:r>
      <w:r w:rsidR="00692468" w:rsidRPr="00807C30">
        <w:rPr>
          <w:rFonts w:eastAsia="Aptos"/>
        </w:rPr>
        <w:t>Sudan, Tanzania and Uganda,</w:t>
      </w:r>
      <w:r>
        <w:rPr>
          <w:rFonts w:eastAsia="Aptos"/>
        </w:rPr>
        <w:t xml:space="preserve"> </w:t>
      </w:r>
      <w:r w:rsidR="00692468" w:rsidRPr="00807C30">
        <w:rPr>
          <w:rFonts w:eastAsia="Aptos"/>
        </w:rPr>
        <w:t>training on spectrum management emphasiz</w:t>
      </w:r>
      <w:r w:rsidR="00692468">
        <w:rPr>
          <w:rFonts w:eastAsia="Aptos"/>
        </w:rPr>
        <w:t>ed</w:t>
      </w:r>
      <w:r w:rsidR="00692468" w:rsidRPr="00807C30">
        <w:rPr>
          <w:rFonts w:eastAsia="Aptos"/>
        </w:rPr>
        <w:t xml:space="preserve"> regional integration and cross border coordination within Eastern Africa</w:t>
      </w:r>
      <w:r w:rsidR="00692468">
        <w:rPr>
          <w:rFonts w:eastAsia="Aptos"/>
        </w:rPr>
        <w:t>,</w:t>
      </w:r>
      <w:r w:rsidR="00692468" w:rsidRPr="00807C30">
        <w:rPr>
          <w:rFonts w:eastAsia="Aptos"/>
        </w:rPr>
        <w:t xml:space="preserve"> empowered regulators and policymakers to be able to implement interoperable, resilient and future-ready spectrum governance models that transcend national boundaries. </w:t>
      </w:r>
      <w:r w:rsidR="00692468">
        <w:rPr>
          <w:rFonts w:eastAsia="Aptos"/>
        </w:rPr>
        <w:t>With</w:t>
      </w:r>
      <w:r w:rsidR="00692468" w:rsidRPr="00807C30">
        <w:rPr>
          <w:rFonts w:eastAsia="Aptos"/>
        </w:rPr>
        <w:t xml:space="preserve"> BR, delivered training on regulatory aspects of IMT coordination and notification to the ITU; regional harmonization of frequency bands and technical conditions; and ITU’s Experience in cross border spectrum coordination role in standardisation of terrestrial broadband technologies.</w:t>
      </w:r>
    </w:p>
    <w:p w14:paraId="1244BED4" w14:textId="77777777" w:rsidR="00692468" w:rsidRPr="00922311" w:rsidRDefault="00692468" w:rsidP="000A226D">
      <w:pPr>
        <w:pStyle w:val="Headingb"/>
        <w:tabs>
          <w:tab w:val="clear" w:pos="567"/>
          <w:tab w:val="clear" w:pos="1134"/>
          <w:tab w:val="clear" w:pos="1701"/>
          <w:tab w:val="clear" w:pos="2268"/>
          <w:tab w:val="clear" w:pos="2835"/>
        </w:tabs>
        <w:rPr>
          <w:rFonts w:eastAsia="Aptos"/>
        </w:rPr>
      </w:pPr>
      <w:r w:rsidRPr="00922311">
        <w:rPr>
          <w:rFonts w:eastAsia="Aptos"/>
        </w:rPr>
        <w:t>TSB</w:t>
      </w:r>
      <w:r>
        <w:rPr>
          <w:rFonts w:eastAsia="Aptos"/>
        </w:rPr>
        <w:t>-</w:t>
      </w:r>
      <w:r w:rsidRPr="00922311">
        <w:rPr>
          <w:rFonts w:eastAsia="Aptos"/>
        </w:rPr>
        <w:t>related activities</w:t>
      </w:r>
    </w:p>
    <w:p w14:paraId="725977BF" w14:textId="47F52FFD" w:rsidR="00692468" w:rsidRPr="00922311"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922311">
        <w:rPr>
          <w:rFonts w:eastAsia="Aptos"/>
        </w:rPr>
        <w:t>In collaboration with TSB, a series of Digital Financial Services (DFS) Security Clinics were held for The Gambia, South Sudan, Ghana, Zimbabwe, Malawi, Lesotho, Ethiopia, Eswatini, Sierra Leone, Burkina Faso, and Gabon.</w:t>
      </w:r>
    </w:p>
    <w:p w14:paraId="6D53C515" w14:textId="4F01FC23" w:rsidR="00692468" w:rsidRPr="00547C35" w:rsidRDefault="00547C35" w:rsidP="0024521F">
      <w:pPr>
        <w:pStyle w:val="enumlev1"/>
        <w:tabs>
          <w:tab w:val="clear" w:pos="567"/>
          <w:tab w:val="clear" w:pos="1134"/>
          <w:tab w:val="clear" w:pos="1701"/>
          <w:tab w:val="clear" w:pos="2268"/>
          <w:tab w:val="clear" w:pos="2835"/>
        </w:tabs>
        <w:ind w:left="709" w:hanging="425"/>
        <w:jc w:val="both"/>
        <w:rPr>
          <w:rFonts w:asciiTheme="minorHAnsi" w:eastAsia="Aptos" w:hAnsiTheme="minorHAnsi" w:cstheme="minorHAnsi"/>
        </w:rPr>
      </w:pPr>
      <w:r>
        <w:rPr>
          <w:rFonts w:asciiTheme="minorHAnsi" w:eastAsia="Aptos" w:hAnsiTheme="minorHAnsi" w:cstheme="minorHAnsi"/>
        </w:rPr>
        <w:t>–</w:t>
      </w:r>
      <w:r>
        <w:rPr>
          <w:rFonts w:asciiTheme="minorHAnsi" w:eastAsia="Aptos" w:hAnsiTheme="minorHAnsi" w:cstheme="minorHAnsi"/>
        </w:rPr>
        <w:tab/>
      </w:r>
      <w:r w:rsidR="00692468" w:rsidRPr="00547C35">
        <w:rPr>
          <w:rFonts w:asciiTheme="minorHAnsi" w:eastAsia="Aptos" w:hAnsiTheme="minorHAnsi" w:cstheme="minorHAnsi"/>
        </w:rPr>
        <w:t>RO-AFR in collaboration with GSMA, coordinated a workshop in Benin on 5 September 2025, where TSB delivered a training on Quality of Service and the relevant recommendations adopted by ITU.</w:t>
      </w:r>
    </w:p>
    <w:p w14:paraId="41BCA9A5" w14:textId="5714A3DD" w:rsidR="00692468" w:rsidRPr="00F45C4E" w:rsidRDefault="00547C35" w:rsidP="0024521F">
      <w:pPr>
        <w:pStyle w:val="enumlev1"/>
        <w:tabs>
          <w:tab w:val="clear" w:pos="567"/>
          <w:tab w:val="clear" w:pos="1134"/>
          <w:tab w:val="clear" w:pos="1701"/>
          <w:tab w:val="clear" w:pos="2268"/>
          <w:tab w:val="clear" w:pos="2835"/>
        </w:tabs>
        <w:ind w:left="709" w:hanging="425"/>
        <w:jc w:val="both"/>
        <w:rPr>
          <w:rFonts w:eastAsia="Aptos"/>
        </w:rPr>
      </w:pPr>
      <w:r w:rsidRPr="2470FECA">
        <w:rPr>
          <w:rFonts w:asciiTheme="minorHAnsi" w:eastAsia="Aptos" w:hAnsiTheme="minorHAnsi" w:cstheme="minorBidi"/>
        </w:rPr>
        <w:t>–</w:t>
      </w:r>
      <w:r>
        <w:tab/>
      </w:r>
      <w:r w:rsidR="00692468" w:rsidRPr="2470FECA">
        <w:rPr>
          <w:rFonts w:eastAsia="Aptos"/>
        </w:rPr>
        <w:t xml:space="preserve">Three staff from TSB </w:t>
      </w:r>
      <w:r w:rsidR="00562B81">
        <w:rPr>
          <w:rFonts w:eastAsia="Aptos"/>
        </w:rPr>
        <w:t>are assigned t</w:t>
      </w:r>
      <w:r w:rsidR="00692468" w:rsidRPr="2470FECA">
        <w:rPr>
          <w:rFonts w:eastAsia="Aptos"/>
        </w:rPr>
        <w:t xml:space="preserve">o </w:t>
      </w:r>
      <w:r w:rsidR="00227A36">
        <w:rPr>
          <w:rFonts w:eastAsia="Aptos"/>
        </w:rPr>
        <w:t>R</w:t>
      </w:r>
      <w:r w:rsidR="00692468" w:rsidRPr="2470FECA">
        <w:rPr>
          <w:rFonts w:eastAsia="Aptos"/>
        </w:rPr>
        <w:t>O-AFR</w:t>
      </w:r>
      <w:r w:rsidR="00562B81">
        <w:rPr>
          <w:rFonts w:eastAsia="Aptos"/>
        </w:rPr>
        <w:t xml:space="preserve"> </w:t>
      </w:r>
      <w:r w:rsidR="000724A4">
        <w:rPr>
          <w:rFonts w:eastAsia="Aptos"/>
        </w:rPr>
        <w:t xml:space="preserve">to assist the membership on </w:t>
      </w:r>
      <w:r w:rsidR="000724A4" w:rsidRPr="1CDD5138">
        <w:rPr>
          <w:rFonts w:eastAsia="Aptos"/>
        </w:rPr>
        <w:t>standardi</w:t>
      </w:r>
      <w:r w:rsidR="10EBCA07" w:rsidRPr="1CDD5138">
        <w:rPr>
          <w:rFonts w:eastAsia="Aptos"/>
        </w:rPr>
        <w:t>z</w:t>
      </w:r>
      <w:r w:rsidR="000724A4" w:rsidRPr="1CDD5138">
        <w:rPr>
          <w:rFonts w:eastAsia="Aptos"/>
        </w:rPr>
        <w:t>ation</w:t>
      </w:r>
      <w:r w:rsidR="000724A4">
        <w:rPr>
          <w:rFonts w:eastAsia="Aptos"/>
        </w:rPr>
        <w:t xml:space="preserve"> related work.</w:t>
      </w:r>
    </w:p>
    <w:p w14:paraId="7DC4F1E2" w14:textId="77777777" w:rsidR="00692468" w:rsidRPr="003C6510" w:rsidRDefault="00692468" w:rsidP="0024521F">
      <w:pPr>
        <w:pStyle w:val="Heading2"/>
        <w:tabs>
          <w:tab w:val="clear" w:pos="567"/>
          <w:tab w:val="clear" w:pos="1134"/>
          <w:tab w:val="clear" w:pos="1701"/>
          <w:tab w:val="clear" w:pos="2268"/>
          <w:tab w:val="clear" w:pos="2835"/>
        </w:tabs>
        <w:ind w:left="0" w:firstLine="0"/>
        <w:rPr>
          <w:rFonts w:eastAsia="Aptos"/>
        </w:rPr>
      </w:pPr>
      <w:r w:rsidRPr="003C6510">
        <w:rPr>
          <w:rFonts w:eastAsia="Aptos"/>
        </w:rPr>
        <w:lastRenderedPageBreak/>
        <w:t>3.3</w:t>
      </w:r>
      <w:r w:rsidRPr="003C6510">
        <w:rPr>
          <w:rFonts w:eastAsia="Aptos"/>
        </w:rPr>
        <w:tab/>
        <w:t>Regional Office for Americas (RO-AMS) / Americas activities</w:t>
      </w:r>
    </w:p>
    <w:p w14:paraId="07806E3B" w14:textId="77777777" w:rsidR="00692468" w:rsidRDefault="00692468" w:rsidP="000A226D">
      <w:pPr>
        <w:pStyle w:val="Headingb"/>
        <w:tabs>
          <w:tab w:val="clear" w:pos="567"/>
          <w:tab w:val="clear" w:pos="1134"/>
          <w:tab w:val="clear" w:pos="1701"/>
          <w:tab w:val="clear" w:pos="2268"/>
          <w:tab w:val="clear" w:pos="2835"/>
        </w:tabs>
        <w:rPr>
          <w:rFonts w:eastAsia="Aptos"/>
        </w:rPr>
      </w:pPr>
      <w:r w:rsidRPr="00922311">
        <w:rPr>
          <w:rFonts w:eastAsia="Aptos"/>
        </w:rPr>
        <w:t>BR-related activities</w:t>
      </w:r>
    </w:p>
    <w:p w14:paraId="65117C1D" w14:textId="24D915D5" w:rsidR="00692468"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 xml:space="preserve">Satellite </w:t>
      </w:r>
      <w:r w:rsidR="00692468" w:rsidRPr="0046001D">
        <w:rPr>
          <w:rFonts w:eastAsia="Aptos"/>
        </w:rPr>
        <w:t xml:space="preserve">equipment was </w:t>
      </w:r>
      <w:r w:rsidR="00692468">
        <w:rPr>
          <w:rFonts w:eastAsia="Aptos"/>
        </w:rPr>
        <w:t xml:space="preserve">deployed </w:t>
      </w:r>
      <w:r w:rsidR="00692468" w:rsidRPr="0046001D">
        <w:rPr>
          <w:rFonts w:eastAsia="Aptos"/>
        </w:rPr>
        <w:t xml:space="preserve">to Jamaica </w:t>
      </w:r>
      <w:r w:rsidR="00692468">
        <w:rPr>
          <w:rFonts w:eastAsia="Aptos"/>
        </w:rPr>
        <w:t>(</w:t>
      </w:r>
      <w:r w:rsidR="00692468" w:rsidRPr="0046001D">
        <w:rPr>
          <w:rFonts w:eastAsia="Aptos"/>
        </w:rPr>
        <w:t>2025</w:t>
      </w:r>
      <w:r w:rsidR="00692468">
        <w:rPr>
          <w:rFonts w:eastAsia="Aptos"/>
        </w:rPr>
        <w:t>)</w:t>
      </w:r>
      <w:r w:rsidR="00692468" w:rsidRPr="0046001D">
        <w:rPr>
          <w:rFonts w:eastAsia="Aptos"/>
        </w:rPr>
        <w:t xml:space="preserve"> to support hurricane response efforts</w:t>
      </w:r>
      <w:r w:rsidR="00692468">
        <w:rPr>
          <w:rFonts w:eastAsia="Aptos"/>
        </w:rPr>
        <w:t xml:space="preserve">. </w:t>
      </w:r>
      <w:r w:rsidR="00692468" w:rsidRPr="0046001D">
        <w:rPr>
          <w:rFonts w:eastAsia="Aptos"/>
        </w:rPr>
        <w:t>Pre</w:t>
      </w:r>
      <w:r w:rsidR="00692468" w:rsidRPr="0046001D">
        <w:rPr>
          <w:rFonts w:ascii="Cambria Math" w:eastAsia="Aptos" w:hAnsi="Cambria Math" w:cs="Cambria Math"/>
        </w:rPr>
        <w:t>‑</w:t>
      </w:r>
      <w:r w:rsidR="00692468" w:rsidRPr="0046001D">
        <w:rPr>
          <w:rFonts w:eastAsia="Aptos"/>
        </w:rPr>
        <w:t xml:space="preserve">positioned satellite equipment </w:t>
      </w:r>
      <w:r w:rsidR="00692468">
        <w:rPr>
          <w:rFonts w:eastAsia="Aptos"/>
        </w:rPr>
        <w:t xml:space="preserve">had previously been </w:t>
      </w:r>
      <w:r w:rsidR="00692468" w:rsidRPr="0046001D">
        <w:rPr>
          <w:rFonts w:eastAsia="Aptos"/>
        </w:rPr>
        <w:t>deployed in Barbados ahead of the 2024 hurricane seaso</w:t>
      </w:r>
      <w:r w:rsidR="00692468">
        <w:rPr>
          <w:rFonts w:eastAsia="Aptos"/>
        </w:rPr>
        <w:t>n.</w:t>
      </w:r>
    </w:p>
    <w:p w14:paraId="6AD34497" w14:textId="7967739B" w:rsidR="00692468" w:rsidRPr="00C005A2"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RO-AMS</w:t>
      </w:r>
      <w:r w:rsidR="00692468" w:rsidRPr="00C005A2">
        <w:rPr>
          <w:rFonts w:eastAsia="Aptos"/>
        </w:rPr>
        <w:t xml:space="preserve"> collaborated in organizing </w:t>
      </w:r>
      <w:r w:rsidR="00692468">
        <w:rPr>
          <w:rFonts w:eastAsia="Aptos"/>
        </w:rPr>
        <w:t xml:space="preserve">the </w:t>
      </w:r>
      <w:hyperlink r:id="rId46" w:history="1">
        <w:r w:rsidR="00692468" w:rsidRPr="00D10C27">
          <w:rPr>
            <w:rStyle w:val="Hyperlink"/>
            <w:rFonts w:eastAsia="Aptos"/>
          </w:rPr>
          <w:t>Regional Radiocommunication Semina</w:t>
        </w:r>
        <w:r w:rsidR="00692468">
          <w:rPr>
            <w:rStyle w:val="Hyperlink"/>
            <w:rFonts w:eastAsia="Aptos"/>
          </w:rPr>
          <w:t>r for the Americas</w:t>
        </w:r>
      </w:hyperlink>
      <w:r w:rsidR="00692468">
        <w:rPr>
          <w:rFonts w:eastAsia="Aptos"/>
        </w:rPr>
        <w:t xml:space="preserve"> on</w:t>
      </w:r>
      <w:r w:rsidR="00692468" w:rsidRPr="00C005A2">
        <w:rPr>
          <w:rFonts w:eastAsia="Aptos"/>
        </w:rPr>
        <w:t xml:space="preserve"> 12</w:t>
      </w:r>
      <w:r w:rsidR="00692468">
        <w:rPr>
          <w:rFonts w:eastAsia="Aptos"/>
        </w:rPr>
        <w:t>-</w:t>
      </w:r>
      <w:r w:rsidR="00692468" w:rsidRPr="00C005A2">
        <w:rPr>
          <w:rFonts w:eastAsia="Aptos"/>
        </w:rPr>
        <w:t>16 June 2025 in Tegucigalpa, Honduras</w:t>
      </w:r>
      <w:r w:rsidR="00692468">
        <w:rPr>
          <w:rFonts w:eastAsia="Aptos"/>
        </w:rPr>
        <w:t xml:space="preserve">, </w:t>
      </w:r>
      <w:r w:rsidR="00692468" w:rsidRPr="00C005A2">
        <w:rPr>
          <w:rFonts w:eastAsia="Aptos"/>
        </w:rPr>
        <w:t>supporting Member States in integrating satellite technology into national broadband strategies.</w:t>
      </w:r>
    </w:p>
    <w:p w14:paraId="45FB4FD0" w14:textId="5442B026" w:rsidR="00692468" w:rsidRPr="003B51EA"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BDT collaborated on various</w:t>
      </w:r>
      <w:r w:rsidR="00692468" w:rsidRPr="003B51EA">
        <w:rPr>
          <w:rFonts w:eastAsia="Aptos"/>
        </w:rPr>
        <w:t xml:space="preserve"> capacity</w:t>
      </w:r>
      <w:r w:rsidR="00692468">
        <w:rPr>
          <w:rFonts w:eastAsia="Aptos"/>
        </w:rPr>
        <w:t xml:space="preserve"> </w:t>
      </w:r>
      <w:r w:rsidR="00692468" w:rsidRPr="003B51EA">
        <w:rPr>
          <w:rFonts w:eastAsia="Aptos"/>
        </w:rPr>
        <w:t>building</w:t>
      </w:r>
      <w:r w:rsidR="00692468">
        <w:rPr>
          <w:rFonts w:eastAsia="Aptos"/>
        </w:rPr>
        <w:t xml:space="preserve"> programmes</w:t>
      </w:r>
      <w:r w:rsidR="00692468" w:rsidRPr="003B51EA">
        <w:rPr>
          <w:rFonts w:eastAsia="Aptos"/>
        </w:rPr>
        <w:t xml:space="preserve"> on </w:t>
      </w:r>
      <w:r w:rsidR="00692468">
        <w:rPr>
          <w:rFonts w:eastAsia="Aptos"/>
        </w:rPr>
        <w:t>R</w:t>
      </w:r>
      <w:r w:rsidR="00692468" w:rsidRPr="003B51EA">
        <w:rPr>
          <w:rFonts w:eastAsia="Aptos"/>
        </w:rPr>
        <w:t xml:space="preserve">adio </w:t>
      </w:r>
      <w:r w:rsidR="00692468">
        <w:rPr>
          <w:rFonts w:eastAsia="Aptos"/>
        </w:rPr>
        <w:t>S</w:t>
      </w:r>
      <w:r w:rsidR="00692468" w:rsidRPr="003B51EA">
        <w:rPr>
          <w:rFonts w:eastAsia="Aptos"/>
        </w:rPr>
        <w:t xml:space="preserve">pectrum </w:t>
      </w:r>
      <w:r w:rsidR="00692468">
        <w:rPr>
          <w:rFonts w:eastAsia="Aptos"/>
        </w:rPr>
        <w:t>M</w:t>
      </w:r>
      <w:r w:rsidR="00692468" w:rsidRPr="003B51EA">
        <w:rPr>
          <w:rFonts w:eastAsia="Aptos"/>
        </w:rPr>
        <w:t>anagement</w:t>
      </w:r>
      <w:r w:rsidR="00692468">
        <w:rPr>
          <w:rFonts w:eastAsia="Aptos"/>
        </w:rPr>
        <w:t>,</w:t>
      </w:r>
      <w:r w:rsidR="00692468" w:rsidRPr="003B51EA">
        <w:rPr>
          <w:rFonts w:eastAsia="Aptos"/>
        </w:rPr>
        <w:t xml:space="preserve"> </w:t>
      </w:r>
      <w:r w:rsidR="00692468">
        <w:rPr>
          <w:rFonts w:eastAsia="Aptos"/>
        </w:rPr>
        <w:t>with</w:t>
      </w:r>
      <w:r w:rsidR="00692468" w:rsidRPr="003B51EA">
        <w:rPr>
          <w:rFonts w:eastAsia="Aptos"/>
        </w:rPr>
        <w:t xml:space="preserve"> the </w:t>
      </w:r>
      <w:r w:rsidR="00692468">
        <w:rPr>
          <w:rFonts w:eastAsia="Aptos"/>
        </w:rPr>
        <w:t xml:space="preserve">ITU </w:t>
      </w:r>
      <w:r w:rsidR="00692468" w:rsidRPr="003B51EA">
        <w:rPr>
          <w:rFonts w:eastAsia="Aptos"/>
        </w:rPr>
        <w:t xml:space="preserve">Academy </w:t>
      </w:r>
      <w:r w:rsidR="00692468">
        <w:rPr>
          <w:rFonts w:eastAsia="Aptos"/>
        </w:rPr>
        <w:t xml:space="preserve">Training </w:t>
      </w:r>
      <w:r w:rsidR="00692468" w:rsidRPr="003B51EA">
        <w:rPr>
          <w:rFonts w:eastAsia="Aptos"/>
        </w:rPr>
        <w:t>Centres in Peru and Brazil, including eight 5G</w:t>
      </w:r>
      <w:r w:rsidR="00692468" w:rsidRPr="003B51EA">
        <w:rPr>
          <w:rFonts w:eastAsia="Aptos"/>
        </w:rPr>
        <w:noBreakHyphen/>
        <w:t>related courses held in Costa Rica from September to October 2025.</w:t>
      </w:r>
    </w:p>
    <w:p w14:paraId="5531BB3F" w14:textId="693CF32B" w:rsidR="00692468" w:rsidRPr="00C005A2"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I</w:t>
      </w:r>
      <w:r w:rsidR="00692468" w:rsidRPr="00C005A2">
        <w:rPr>
          <w:rFonts w:eastAsia="Aptos"/>
        </w:rPr>
        <w:t>n December 2025, BDT delivered to Colombia the General Plan for the Cessation of Analog Television Broadcasts (PGCEA).</w:t>
      </w:r>
    </w:p>
    <w:p w14:paraId="6FE9542C" w14:textId="3CCF1BAB" w:rsidR="00692468" w:rsidRPr="000B3E38"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C005A2">
        <w:rPr>
          <w:rFonts w:eastAsia="Aptos"/>
        </w:rPr>
        <w:t xml:space="preserve">Technical assistance was provided to the Dominican Republic (2025) to establish a roadmap </w:t>
      </w:r>
      <w:r w:rsidR="00692468">
        <w:rPr>
          <w:rFonts w:eastAsia="Aptos"/>
        </w:rPr>
        <w:t xml:space="preserve">for </w:t>
      </w:r>
      <w:r w:rsidR="00692468" w:rsidRPr="000B3E38">
        <w:rPr>
          <w:rFonts w:eastAsia="Aptos"/>
        </w:rPr>
        <w:t>implementing a mapping system</w:t>
      </w:r>
      <w:r w:rsidR="00692468">
        <w:rPr>
          <w:rFonts w:eastAsia="Aptos"/>
        </w:rPr>
        <w:t>.</w:t>
      </w:r>
    </w:p>
    <w:p w14:paraId="654F1897" w14:textId="77777777" w:rsidR="00692468" w:rsidRPr="00922311" w:rsidRDefault="00692468" w:rsidP="000A226D">
      <w:pPr>
        <w:pStyle w:val="Headingb"/>
        <w:tabs>
          <w:tab w:val="clear" w:pos="567"/>
          <w:tab w:val="clear" w:pos="1134"/>
          <w:tab w:val="clear" w:pos="1701"/>
          <w:tab w:val="clear" w:pos="2268"/>
          <w:tab w:val="clear" w:pos="2835"/>
        </w:tabs>
        <w:rPr>
          <w:rFonts w:eastAsia="Aptos"/>
        </w:rPr>
      </w:pPr>
      <w:r w:rsidRPr="00922311">
        <w:rPr>
          <w:rFonts w:eastAsia="Aptos"/>
        </w:rPr>
        <w:t xml:space="preserve">TSB-related activities </w:t>
      </w:r>
    </w:p>
    <w:p w14:paraId="266F3565" w14:textId="76934F38" w:rsidR="00692468" w:rsidRPr="00922311"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922311">
        <w:rPr>
          <w:rFonts w:eastAsia="Aptos"/>
        </w:rPr>
        <w:t xml:space="preserve">Through </w:t>
      </w:r>
      <w:r w:rsidR="00692468">
        <w:rPr>
          <w:rFonts w:eastAsia="Aptos"/>
        </w:rPr>
        <w:t>RO-AMS</w:t>
      </w:r>
      <w:r w:rsidR="00692468" w:rsidRPr="00922311">
        <w:rPr>
          <w:rFonts w:eastAsia="Aptos"/>
        </w:rPr>
        <w:t xml:space="preserve">, BDT has promoted the active participation of Member States of the Americas and industry members in TSB </w:t>
      </w:r>
      <w:r w:rsidR="00692468">
        <w:rPr>
          <w:rFonts w:eastAsia="Aptos"/>
        </w:rPr>
        <w:t>S</w:t>
      </w:r>
      <w:r w:rsidR="00692468" w:rsidRPr="00922311">
        <w:rPr>
          <w:rFonts w:eastAsia="Aptos"/>
        </w:rPr>
        <w:t xml:space="preserve">tudy </w:t>
      </w:r>
      <w:r w:rsidR="00692468">
        <w:rPr>
          <w:rFonts w:eastAsia="Aptos"/>
        </w:rPr>
        <w:t>G</w:t>
      </w:r>
      <w:r w:rsidR="00692468" w:rsidRPr="00922311">
        <w:rPr>
          <w:rFonts w:eastAsia="Aptos"/>
        </w:rPr>
        <w:t>roups at various meetings.</w:t>
      </w:r>
    </w:p>
    <w:p w14:paraId="136023AF" w14:textId="6B2E226E" w:rsidR="00692468" w:rsidRPr="004B3ED3"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4B3ED3">
        <w:rPr>
          <w:rFonts w:eastAsia="Aptos"/>
        </w:rPr>
        <w:t>Periodical coordination calls with the TSB Director and TSB Management team have been held</w:t>
      </w:r>
      <w:r w:rsidR="00692468">
        <w:rPr>
          <w:rFonts w:eastAsia="Aptos"/>
        </w:rPr>
        <w:t xml:space="preserve">, </w:t>
      </w:r>
      <w:r w:rsidR="00692468" w:rsidRPr="004B3ED3">
        <w:rPr>
          <w:rFonts w:eastAsia="Aptos"/>
        </w:rPr>
        <w:t>supplemented by consultations at</w:t>
      </w:r>
      <w:r w:rsidR="00692468">
        <w:rPr>
          <w:rFonts w:eastAsia="Aptos"/>
        </w:rPr>
        <w:t xml:space="preserve"> </w:t>
      </w:r>
      <w:r w:rsidR="00692468" w:rsidRPr="004B3ED3">
        <w:rPr>
          <w:rFonts w:eastAsia="Aptos"/>
        </w:rPr>
        <w:t>operational level</w:t>
      </w:r>
      <w:r w:rsidR="00692468">
        <w:rPr>
          <w:rFonts w:eastAsia="Aptos"/>
        </w:rPr>
        <w:t xml:space="preserve"> as</w:t>
      </w:r>
      <w:r w:rsidR="00692468" w:rsidRPr="004B3ED3">
        <w:rPr>
          <w:rFonts w:eastAsia="Aptos"/>
        </w:rPr>
        <w:t xml:space="preserve"> needed.</w:t>
      </w:r>
    </w:p>
    <w:p w14:paraId="6A45A8B1" w14:textId="68C9037C" w:rsidR="00692468"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RO-AMS</w:t>
      </w:r>
      <w:r w:rsidR="00692468" w:rsidRPr="00EF53D8">
        <w:rPr>
          <w:rFonts w:eastAsia="Aptos"/>
        </w:rPr>
        <w:t xml:space="preserve"> facilitated coordination between TSB and regional organizations (CITEL, mainly in PCC.I) and </w:t>
      </w:r>
      <w:proofErr w:type="gramStart"/>
      <w:r w:rsidR="00692468" w:rsidRPr="00EF53D8">
        <w:rPr>
          <w:rFonts w:eastAsia="Aptos"/>
        </w:rPr>
        <w:t>provided</w:t>
      </w:r>
      <w:r w:rsidR="00692468">
        <w:rPr>
          <w:rFonts w:eastAsia="Aptos"/>
        </w:rPr>
        <w:t xml:space="preserve"> assistance to</w:t>
      </w:r>
      <w:proofErr w:type="gramEnd"/>
      <w:r w:rsidR="00692468" w:rsidRPr="00EF53D8">
        <w:rPr>
          <w:rFonts w:eastAsia="Aptos"/>
        </w:rPr>
        <w:t xml:space="preserve"> ensure regional engagement. On Bridging the Standardization Gap (BSG), RO</w:t>
      </w:r>
      <w:r w:rsidR="00692468">
        <w:rPr>
          <w:rFonts w:eastAsia="Aptos"/>
        </w:rPr>
        <w:t>-AMS</w:t>
      </w:r>
      <w:r w:rsidR="00692468" w:rsidRPr="00EF53D8">
        <w:rPr>
          <w:rFonts w:eastAsia="Aptos"/>
        </w:rPr>
        <w:t xml:space="preserve"> is supporting TSB at the highest level in relevant events or platforms through revamped products and services of </w:t>
      </w:r>
      <w:r w:rsidR="00692468">
        <w:rPr>
          <w:rFonts w:eastAsia="Aptos"/>
        </w:rPr>
        <w:t>BSG</w:t>
      </w:r>
      <w:r w:rsidR="00692468" w:rsidRPr="00EF53D8">
        <w:rPr>
          <w:rFonts w:eastAsia="Aptos"/>
        </w:rPr>
        <w:t xml:space="preserve"> (</w:t>
      </w:r>
      <w:r w:rsidR="00692468">
        <w:rPr>
          <w:rFonts w:eastAsia="Aptos"/>
        </w:rPr>
        <w:t>in reference to</w:t>
      </w:r>
      <w:r w:rsidR="00692468" w:rsidRPr="00EF53D8">
        <w:rPr>
          <w:rFonts w:eastAsia="Aptos"/>
        </w:rPr>
        <w:t xml:space="preserve"> Resolutions 123 of PP-22 and 44 of WTSA-24). </w:t>
      </w:r>
    </w:p>
    <w:p w14:paraId="0D659061" w14:textId="0BE3B107" w:rsidR="00692468" w:rsidRPr="00EF53D8"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EF53D8">
        <w:rPr>
          <w:rFonts w:eastAsia="Aptos"/>
        </w:rPr>
        <w:t xml:space="preserve">Active participation of TSB in the Regional Economic Dialogue (RED-AMS) in October 2025 in Montevideo, Uruguay, by sharing knowledge and expertise in the field of </w:t>
      </w:r>
      <w:r w:rsidR="00692468">
        <w:rPr>
          <w:rFonts w:eastAsia="Aptos"/>
        </w:rPr>
        <w:t>o</w:t>
      </w:r>
      <w:r w:rsidR="00692468" w:rsidRPr="00EF53D8">
        <w:rPr>
          <w:rFonts w:eastAsia="Aptos"/>
        </w:rPr>
        <w:t>ngoing work of ITU-T Study Group 3 and Focus Group on Cost of Data (FG-CD), also on regulations applicable to telecommunication network</w:t>
      </w:r>
      <w:r w:rsidR="00692468">
        <w:rPr>
          <w:rFonts w:eastAsia="Aptos"/>
        </w:rPr>
        <w:t>s</w:t>
      </w:r>
      <w:r w:rsidR="00692468" w:rsidRPr="00EF53D8">
        <w:rPr>
          <w:rFonts w:eastAsia="Aptos"/>
        </w:rPr>
        <w:t>.</w:t>
      </w:r>
    </w:p>
    <w:p w14:paraId="0C60994E" w14:textId="268B2EF8" w:rsidR="00692468" w:rsidRPr="00EF53D8"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RO-AMS</w:t>
      </w:r>
      <w:r w:rsidR="00692468" w:rsidRPr="00EF53D8">
        <w:rPr>
          <w:rFonts w:eastAsia="Aptos"/>
        </w:rPr>
        <w:t xml:space="preserve"> supported the implementation of the ITU-T Meeting of </w:t>
      </w:r>
      <w:r w:rsidR="00692468">
        <w:rPr>
          <w:rFonts w:eastAsia="Aptos"/>
        </w:rPr>
        <w:t>Study Group</w:t>
      </w:r>
      <w:r w:rsidR="0024521F">
        <w:rPr>
          <w:rFonts w:eastAsia="Aptos"/>
        </w:rPr>
        <w:t> </w:t>
      </w:r>
      <w:r w:rsidR="00692468" w:rsidRPr="00EF53D8">
        <w:rPr>
          <w:rFonts w:eastAsia="Aptos"/>
        </w:rPr>
        <w:t>3 Regional Group for Latin America and the Caribbean (SG3RG-LAC) and the Meeting of ITU-T Study Group 2 Regional Group for the Americas (SG2RG-AMR), held in Montevideo, Uruguay, in October 2025.</w:t>
      </w:r>
    </w:p>
    <w:p w14:paraId="70E6046C" w14:textId="259FE148" w:rsidR="00692468" w:rsidRPr="00EF53D8" w:rsidRDefault="00547C35" w:rsidP="0024521F">
      <w:pPr>
        <w:pStyle w:val="enumlev1"/>
        <w:tabs>
          <w:tab w:val="clear" w:pos="567"/>
          <w:tab w:val="clear" w:pos="1134"/>
          <w:tab w:val="clear" w:pos="1701"/>
          <w:tab w:val="clear" w:pos="2268"/>
          <w:tab w:val="clear" w:pos="2835"/>
        </w:tabs>
        <w:ind w:left="709" w:hanging="425"/>
        <w:jc w:val="both"/>
        <w:rPr>
          <w:rFonts w:eastAsia="Aptos"/>
        </w:rPr>
      </w:pPr>
      <w:r w:rsidRPr="2470FECA">
        <w:rPr>
          <w:rFonts w:asciiTheme="minorHAnsi" w:eastAsia="Aptos" w:hAnsiTheme="minorHAnsi" w:cstheme="minorBidi"/>
        </w:rPr>
        <w:t>–</w:t>
      </w:r>
      <w:r>
        <w:tab/>
      </w:r>
    </w:p>
    <w:p w14:paraId="4344A130" w14:textId="77777777" w:rsidR="00692468" w:rsidRPr="003C6510" w:rsidRDefault="00692468" w:rsidP="0024521F">
      <w:pPr>
        <w:pStyle w:val="Heading2"/>
        <w:tabs>
          <w:tab w:val="clear" w:pos="567"/>
          <w:tab w:val="clear" w:pos="1134"/>
          <w:tab w:val="clear" w:pos="1701"/>
          <w:tab w:val="clear" w:pos="2268"/>
          <w:tab w:val="clear" w:pos="2835"/>
        </w:tabs>
        <w:ind w:left="0" w:firstLine="0"/>
        <w:rPr>
          <w:rFonts w:eastAsia="Aptos"/>
        </w:rPr>
      </w:pPr>
      <w:r w:rsidRPr="00922311">
        <w:rPr>
          <w:rFonts w:eastAsia="Aptos"/>
        </w:rPr>
        <w:t>3.4</w:t>
      </w:r>
      <w:r w:rsidRPr="00922311">
        <w:rPr>
          <w:rFonts w:eastAsia="Aptos"/>
        </w:rPr>
        <w:tab/>
      </w:r>
      <w:r w:rsidRPr="003C6510">
        <w:rPr>
          <w:rFonts w:eastAsia="Aptos"/>
        </w:rPr>
        <w:t>Regional Office for Arab States (RO-ARB) / Arab States activities</w:t>
      </w:r>
    </w:p>
    <w:p w14:paraId="3AE89551" w14:textId="77777777" w:rsidR="00692468" w:rsidRPr="00922311" w:rsidRDefault="00692468" w:rsidP="000A226D">
      <w:pPr>
        <w:pStyle w:val="Headingb"/>
        <w:tabs>
          <w:tab w:val="clear" w:pos="567"/>
          <w:tab w:val="clear" w:pos="1134"/>
          <w:tab w:val="clear" w:pos="1701"/>
          <w:tab w:val="clear" w:pos="2268"/>
          <w:tab w:val="clear" w:pos="2835"/>
        </w:tabs>
        <w:rPr>
          <w:rFonts w:eastAsia="Aptos"/>
        </w:rPr>
      </w:pPr>
      <w:r w:rsidRPr="00922311">
        <w:rPr>
          <w:rFonts w:eastAsia="Aptos"/>
        </w:rPr>
        <w:t>BR-related activities</w:t>
      </w:r>
    </w:p>
    <w:p w14:paraId="07B506F7" w14:textId="51BFAF0D" w:rsidR="00692468" w:rsidRPr="00922311" w:rsidRDefault="00547C35"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922311">
        <w:rPr>
          <w:rFonts w:eastAsia="Aptos"/>
        </w:rPr>
        <w:t>The ITU Regional Workshop Towards Universal and Meaningful Connectivity for the Arab Region was organized in Algiers, addressing infrastructure development and connectivity challenges.</w:t>
      </w:r>
    </w:p>
    <w:p w14:paraId="46D8F098" w14:textId="0902490C" w:rsidR="00692468" w:rsidRPr="00205ED5" w:rsidRDefault="00547C35" w:rsidP="0024521F">
      <w:pPr>
        <w:pStyle w:val="enumlev1"/>
        <w:tabs>
          <w:tab w:val="clear" w:pos="567"/>
          <w:tab w:val="clear" w:pos="1134"/>
          <w:tab w:val="clear" w:pos="1701"/>
          <w:tab w:val="clear" w:pos="2268"/>
          <w:tab w:val="clear" w:pos="2835"/>
        </w:tabs>
        <w:ind w:left="709" w:hanging="425"/>
        <w:jc w:val="both"/>
        <w:rPr>
          <w:rFonts w:eastAsia="Aptos"/>
        </w:rPr>
      </w:pPr>
      <w:r w:rsidRPr="2FE0C373">
        <w:rPr>
          <w:rFonts w:asciiTheme="minorHAnsi" w:eastAsia="Aptos" w:hAnsiTheme="minorHAnsi" w:cstheme="minorBidi"/>
        </w:rPr>
        <w:t>–</w:t>
      </w:r>
      <w:r>
        <w:tab/>
      </w:r>
      <w:r w:rsidR="00692468" w:rsidRPr="2FE0C373">
        <w:rPr>
          <w:rFonts w:eastAsia="Aptos"/>
        </w:rPr>
        <w:t xml:space="preserve">RO-ARB continued coordination with BR for regional work as part of the Arab Spectrum Management </w:t>
      </w:r>
      <w:r w:rsidR="2BF5F440" w:rsidRPr="2FE0C373">
        <w:rPr>
          <w:rFonts w:eastAsia="Aptos"/>
        </w:rPr>
        <w:t>Group</w:t>
      </w:r>
      <w:r w:rsidR="00692468" w:rsidRPr="2FE0C373">
        <w:rPr>
          <w:rFonts w:eastAsia="Aptos"/>
        </w:rPr>
        <w:t xml:space="preserve"> (ASMG).</w:t>
      </w:r>
    </w:p>
    <w:p w14:paraId="0B92E046" w14:textId="77777777" w:rsidR="00692468" w:rsidRPr="00922311" w:rsidRDefault="00692468" w:rsidP="000A226D">
      <w:pPr>
        <w:pStyle w:val="Headingb"/>
        <w:tabs>
          <w:tab w:val="clear" w:pos="567"/>
          <w:tab w:val="clear" w:pos="1134"/>
          <w:tab w:val="clear" w:pos="1701"/>
          <w:tab w:val="clear" w:pos="2268"/>
          <w:tab w:val="clear" w:pos="2835"/>
        </w:tabs>
        <w:rPr>
          <w:rFonts w:eastAsia="Aptos"/>
        </w:rPr>
      </w:pPr>
      <w:r w:rsidRPr="00922311">
        <w:rPr>
          <w:rFonts w:eastAsia="Aptos"/>
        </w:rPr>
        <w:lastRenderedPageBreak/>
        <w:t xml:space="preserve">TSB-related activities </w:t>
      </w:r>
    </w:p>
    <w:p w14:paraId="1CB283DF" w14:textId="5B13BDEE" w:rsidR="00692468" w:rsidRPr="007A220D" w:rsidRDefault="00547C35" w:rsidP="0024521F">
      <w:pPr>
        <w:pStyle w:val="enumlev1"/>
        <w:tabs>
          <w:tab w:val="clear" w:pos="567"/>
          <w:tab w:val="clear" w:pos="1134"/>
          <w:tab w:val="clear" w:pos="1701"/>
          <w:tab w:val="clear" w:pos="2268"/>
          <w:tab w:val="clear" w:pos="2835"/>
        </w:tabs>
        <w:ind w:left="709" w:hanging="425"/>
        <w:jc w:val="both"/>
        <w:rPr>
          <w:szCs w:val="24"/>
        </w:rPr>
      </w:pPr>
      <w:r>
        <w:rPr>
          <w:rFonts w:asciiTheme="minorHAnsi" w:eastAsia="Aptos" w:hAnsiTheme="minorHAnsi" w:cstheme="minorHAnsi"/>
        </w:rPr>
        <w:t>–</w:t>
      </w:r>
      <w:r>
        <w:rPr>
          <w:rFonts w:asciiTheme="minorHAnsi" w:eastAsia="Aptos" w:hAnsiTheme="minorHAnsi" w:cstheme="minorHAnsi"/>
        </w:rPr>
        <w:tab/>
      </w:r>
      <w:r w:rsidR="00692468" w:rsidRPr="007A220D">
        <w:rPr>
          <w:szCs w:val="24"/>
        </w:rPr>
        <w:t xml:space="preserve">BDT supported the work of the TSB </w:t>
      </w:r>
      <w:r w:rsidR="00692468" w:rsidRPr="00F05ED9">
        <w:rPr>
          <w:rFonts w:eastAsia="Aptos"/>
        </w:rPr>
        <w:t>Regional</w:t>
      </w:r>
      <w:r w:rsidR="00692468" w:rsidRPr="007A220D">
        <w:rPr>
          <w:szCs w:val="24"/>
        </w:rPr>
        <w:t xml:space="preserve"> </w:t>
      </w:r>
      <w:r w:rsidR="00692468">
        <w:rPr>
          <w:szCs w:val="24"/>
        </w:rPr>
        <w:t xml:space="preserve">Study Group </w:t>
      </w:r>
      <w:r w:rsidR="00692468" w:rsidRPr="007A220D">
        <w:rPr>
          <w:szCs w:val="24"/>
        </w:rPr>
        <w:t>3 meeting held in Amman, Jordan in February 2025.</w:t>
      </w:r>
    </w:p>
    <w:p w14:paraId="0779BC76" w14:textId="05E9536E" w:rsidR="00692468" w:rsidRPr="007A220D" w:rsidRDefault="00547C35" w:rsidP="0024521F">
      <w:pPr>
        <w:pStyle w:val="enumlev1"/>
        <w:tabs>
          <w:tab w:val="clear" w:pos="567"/>
          <w:tab w:val="clear" w:pos="1134"/>
          <w:tab w:val="clear" w:pos="1701"/>
          <w:tab w:val="clear" w:pos="2268"/>
          <w:tab w:val="clear" w:pos="2835"/>
        </w:tabs>
        <w:ind w:left="709" w:hanging="425"/>
        <w:jc w:val="both"/>
        <w:rPr>
          <w:rFonts w:eastAsia="Aptos"/>
          <w:szCs w:val="24"/>
        </w:rPr>
      </w:pPr>
      <w:r>
        <w:rPr>
          <w:rFonts w:asciiTheme="minorHAnsi" w:eastAsia="Aptos" w:hAnsiTheme="minorHAnsi" w:cstheme="minorHAnsi"/>
        </w:rPr>
        <w:t>–</w:t>
      </w:r>
      <w:r>
        <w:rPr>
          <w:rFonts w:asciiTheme="minorHAnsi" w:eastAsia="Aptos" w:hAnsiTheme="minorHAnsi" w:cstheme="minorHAnsi"/>
        </w:rPr>
        <w:tab/>
      </w:r>
      <w:r w:rsidR="00692468">
        <w:rPr>
          <w:lang w:eastAsia="en-GB"/>
        </w:rPr>
        <w:t xml:space="preserve">BDT and the </w:t>
      </w:r>
      <w:r w:rsidR="00692468" w:rsidRPr="006817DC">
        <w:rPr>
          <w:lang w:eastAsia="en-GB"/>
        </w:rPr>
        <w:t xml:space="preserve">National </w:t>
      </w:r>
      <w:r w:rsidR="00692468" w:rsidRPr="00F05ED9">
        <w:rPr>
          <w:rFonts w:eastAsia="Aptos"/>
        </w:rPr>
        <w:t>Telecommunications</w:t>
      </w:r>
      <w:r w:rsidR="00692468" w:rsidRPr="006817DC">
        <w:rPr>
          <w:lang w:eastAsia="en-GB"/>
        </w:rPr>
        <w:t xml:space="preserve"> Regulatory Authority of Egypt </w:t>
      </w:r>
      <w:r w:rsidR="00692468">
        <w:rPr>
          <w:lang w:eastAsia="en-GB"/>
        </w:rPr>
        <w:t xml:space="preserve">(NTRA) are implementing a </w:t>
      </w:r>
      <w:r w:rsidR="00692468" w:rsidRPr="004B2341">
        <w:rPr>
          <w:lang w:eastAsia="en-GB"/>
        </w:rPr>
        <w:t>project</w:t>
      </w:r>
      <w:r w:rsidR="00692468">
        <w:rPr>
          <w:lang w:eastAsia="en-GB"/>
        </w:rPr>
        <w:t xml:space="preserve"> on</w:t>
      </w:r>
      <w:r w:rsidR="00692468" w:rsidRPr="004B2341">
        <w:rPr>
          <w:lang w:eastAsia="en-GB"/>
        </w:rPr>
        <w:t xml:space="preserve"> </w:t>
      </w:r>
      <w:r w:rsidR="00692468" w:rsidRPr="00494562">
        <w:rPr>
          <w:lang w:eastAsia="en-GB"/>
        </w:rPr>
        <w:t>“Smart Sustainable Cities and Communities (SSC&amp;C)”</w:t>
      </w:r>
      <w:r w:rsidR="00692468" w:rsidRPr="00784057">
        <w:rPr>
          <w:lang w:eastAsia="en-GB"/>
        </w:rPr>
        <w:t>.</w:t>
      </w:r>
      <w:r w:rsidR="00692468">
        <w:rPr>
          <w:i/>
          <w:iCs/>
          <w:lang w:eastAsia="en-GB"/>
        </w:rPr>
        <w:t xml:space="preserve"> </w:t>
      </w:r>
      <w:r w:rsidR="00692468">
        <w:rPr>
          <w:rFonts w:eastAsia="Calibri" w:cs="Calibri"/>
          <w:szCs w:val="24"/>
        </w:rPr>
        <w:t>W</w:t>
      </w:r>
      <w:r w:rsidR="00692468" w:rsidRPr="007A220D">
        <w:rPr>
          <w:rFonts w:eastAsia="Calibri" w:cs="Calibri"/>
          <w:szCs w:val="24"/>
        </w:rPr>
        <w:t>ithin the framework of th</w:t>
      </w:r>
      <w:r w:rsidR="00692468">
        <w:rPr>
          <w:rFonts w:eastAsia="Calibri" w:cs="Calibri"/>
          <w:szCs w:val="24"/>
        </w:rPr>
        <w:t>is project,</w:t>
      </w:r>
      <w:r w:rsidR="00692468" w:rsidRPr="004936E4">
        <w:rPr>
          <w:lang w:eastAsia="en-GB"/>
        </w:rPr>
        <w:t xml:space="preserve"> </w:t>
      </w:r>
      <w:r w:rsidR="00692468">
        <w:rPr>
          <w:lang w:eastAsia="en-GB"/>
        </w:rPr>
        <w:t>R</w:t>
      </w:r>
      <w:r w:rsidR="00692468" w:rsidRPr="00784057">
        <w:rPr>
          <w:lang w:eastAsia="en-GB"/>
        </w:rPr>
        <w:t xml:space="preserve">O-ARB </w:t>
      </w:r>
      <w:r w:rsidR="00692468">
        <w:rPr>
          <w:lang w:eastAsia="en-GB"/>
        </w:rPr>
        <w:t>coordinated</w:t>
      </w:r>
      <w:r w:rsidR="00692468">
        <w:rPr>
          <w:rFonts w:eastAsia="Calibri"/>
          <w:lang w:eastAsia="en-GB"/>
        </w:rPr>
        <w:t xml:space="preserve"> </w:t>
      </w:r>
      <w:r w:rsidR="00692468" w:rsidRPr="007A220D">
        <w:rPr>
          <w:rFonts w:eastAsia="Calibri" w:cs="Calibri"/>
          <w:szCs w:val="24"/>
        </w:rPr>
        <w:t>the development and promotion of SSC&amp;C</w:t>
      </w:r>
      <w:r w:rsidR="00692468">
        <w:rPr>
          <w:rFonts w:eastAsia="Calibri" w:cs="Calibri"/>
          <w:szCs w:val="24"/>
        </w:rPr>
        <w:t xml:space="preserve"> with ITU-T Study Group </w:t>
      </w:r>
      <w:r w:rsidR="00692468" w:rsidRPr="007A220D">
        <w:rPr>
          <w:rFonts w:eastAsia="Calibri" w:cs="Calibri"/>
          <w:szCs w:val="24"/>
        </w:rPr>
        <w:t xml:space="preserve">20. </w:t>
      </w:r>
      <w:r w:rsidR="00692468">
        <w:rPr>
          <w:rFonts w:eastAsia="Calibri" w:cs="Calibri"/>
          <w:szCs w:val="24"/>
        </w:rPr>
        <w:t xml:space="preserve">In addition, the ITU-T Study Group </w:t>
      </w:r>
      <w:r w:rsidR="00692468" w:rsidRPr="007A220D">
        <w:rPr>
          <w:rFonts w:eastAsia="Calibri" w:cs="Calibri"/>
          <w:szCs w:val="24"/>
        </w:rPr>
        <w:t xml:space="preserve">20 management inputs, comments, and technical guidance </w:t>
      </w:r>
      <w:r w:rsidR="00692468">
        <w:rPr>
          <w:rFonts w:eastAsia="Calibri" w:cs="Calibri"/>
          <w:szCs w:val="24"/>
        </w:rPr>
        <w:t xml:space="preserve">have been integrated </w:t>
      </w:r>
      <w:r w:rsidR="00692468" w:rsidRPr="007A220D">
        <w:rPr>
          <w:rFonts w:eastAsia="Calibri" w:cs="Calibri"/>
          <w:szCs w:val="24"/>
        </w:rPr>
        <w:t>into the work developed by BDT on the draft SSC&amp;C Evaluation Framework for Egypt.</w:t>
      </w:r>
    </w:p>
    <w:p w14:paraId="643FA20E" w14:textId="0BB78BDC" w:rsidR="00692468" w:rsidRPr="00C56E4E" w:rsidRDefault="00547C35" w:rsidP="0024521F">
      <w:pPr>
        <w:pStyle w:val="enumlev1"/>
        <w:tabs>
          <w:tab w:val="clear" w:pos="567"/>
          <w:tab w:val="clear" w:pos="1134"/>
          <w:tab w:val="clear" w:pos="1701"/>
          <w:tab w:val="clear" w:pos="2268"/>
          <w:tab w:val="clear" w:pos="2835"/>
        </w:tabs>
        <w:ind w:left="709" w:hanging="425"/>
        <w:jc w:val="both"/>
        <w:rPr>
          <w:rFonts w:eastAsia="Calibri" w:cs="Calibri"/>
          <w:sz w:val="22"/>
          <w:szCs w:val="22"/>
        </w:rPr>
      </w:pPr>
      <w:r>
        <w:rPr>
          <w:rFonts w:asciiTheme="minorHAnsi" w:eastAsia="Aptos" w:hAnsiTheme="minorHAnsi" w:cstheme="minorHAnsi"/>
        </w:rPr>
        <w:t>–</w:t>
      </w:r>
      <w:r>
        <w:rPr>
          <w:rFonts w:asciiTheme="minorHAnsi" w:eastAsia="Aptos" w:hAnsiTheme="minorHAnsi" w:cstheme="minorHAnsi"/>
        </w:rPr>
        <w:tab/>
      </w:r>
      <w:r w:rsidR="00692468" w:rsidRPr="007A220D">
        <w:rPr>
          <w:rFonts w:eastAsia="Calibri" w:cs="Calibri"/>
          <w:szCs w:val="24"/>
        </w:rPr>
        <w:t>ITU-T S</w:t>
      </w:r>
      <w:r w:rsidR="00692468">
        <w:rPr>
          <w:rFonts w:eastAsia="Calibri" w:cs="Calibri"/>
          <w:szCs w:val="24"/>
        </w:rPr>
        <w:t>tudy Group 3</w:t>
      </w:r>
      <w:r w:rsidR="00692468" w:rsidRPr="007A220D">
        <w:rPr>
          <w:rFonts w:eastAsia="Calibri" w:cs="Calibri"/>
          <w:szCs w:val="24"/>
        </w:rPr>
        <w:t xml:space="preserve"> Regional Group for the Arab Region (SG3RG-ARB) </w:t>
      </w:r>
      <w:r w:rsidR="00692468">
        <w:rPr>
          <w:rFonts w:eastAsia="Calibri" w:cs="Calibri"/>
          <w:szCs w:val="24"/>
        </w:rPr>
        <w:t xml:space="preserve">is planned to </w:t>
      </w:r>
      <w:r w:rsidR="00692468" w:rsidRPr="007A220D">
        <w:rPr>
          <w:rFonts w:eastAsia="Calibri" w:cs="Calibri"/>
          <w:szCs w:val="24"/>
        </w:rPr>
        <w:t xml:space="preserve">take place </w:t>
      </w:r>
      <w:r w:rsidR="00692468">
        <w:rPr>
          <w:rFonts w:eastAsia="Calibri" w:cs="Calibri"/>
          <w:szCs w:val="24"/>
        </w:rPr>
        <w:t>on</w:t>
      </w:r>
      <w:r w:rsidR="00692468" w:rsidRPr="007A220D">
        <w:rPr>
          <w:rFonts w:eastAsia="Calibri" w:cs="Calibri"/>
          <w:szCs w:val="24"/>
        </w:rPr>
        <w:t xml:space="preserve"> 29</w:t>
      </w:r>
      <w:r w:rsidR="00692468">
        <w:rPr>
          <w:rFonts w:eastAsia="Calibri" w:cs="Calibri"/>
          <w:szCs w:val="24"/>
        </w:rPr>
        <w:t>-</w:t>
      </w:r>
      <w:r w:rsidR="00692468" w:rsidRPr="007A220D">
        <w:rPr>
          <w:rFonts w:eastAsia="Calibri" w:cs="Calibri"/>
          <w:szCs w:val="24"/>
        </w:rPr>
        <w:t xml:space="preserve">30 March 2026 </w:t>
      </w:r>
      <w:r w:rsidR="00692468">
        <w:rPr>
          <w:rFonts w:eastAsia="Calibri" w:cs="Calibri"/>
          <w:szCs w:val="24"/>
        </w:rPr>
        <w:t>followed by the</w:t>
      </w:r>
      <w:r w:rsidR="00692468" w:rsidRPr="007A220D">
        <w:rPr>
          <w:rFonts w:eastAsia="Calibri" w:cs="Calibri"/>
          <w:szCs w:val="24"/>
        </w:rPr>
        <w:t xml:space="preserve"> ITU-T </w:t>
      </w:r>
      <w:r w:rsidR="00692468">
        <w:rPr>
          <w:rFonts w:eastAsia="Calibri" w:cs="Calibri"/>
          <w:szCs w:val="24"/>
        </w:rPr>
        <w:t xml:space="preserve">Study Group </w:t>
      </w:r>
      <w:r w:rsidR="00692468" w:rsidRPr="007A220D">
        <w:rPr>
          <w:rFonts w:eastAsia="Calibri" w:cs="Calibri"/>
          <w:szCs w:val="24"/>
        </w:rPr>
        <w:t xml:space="preserve">20 Regional Group for Africa </w:t>
      </w:r>
      <w:r w:rsidR="00692468">
        <w:rPr>
          <w:rFonts w:eastAsia="Calibri" w:cs="Calibri"/>
          <w:szCs w:val="24"/>
        </w:rPr>
        <w:t xml:space="preserve">on 30-31 March 2026 </w:t>
      </w:r>
      <w:r w:rsidR="00692468" w:rsidRPr="007A220D">
        <w:rPr>
          <w:rFonts w:eastAsia="Calibri" w:cs="Calibri"/>
          <w:szCs w:val="24"/>
        </w:rPr>
        <w:t xml:space="preserve">(SG20RG-AFR) </w:t>
      </w:r>
      <w:r w:rsidR="00692468">
        <w:rPr>
          <w:rFonts w:eastAsia="Calibri" w:cs="Calibri"/>
          <w:szCs w:val="24"/>
        </w:rPr>
        <w:t xml:space="preserve">in </w:t>
      </w:r>
      <w:r w:rsidR="00692468" w:rsidRPr="007A220D">
        <w:rPr>
          <w:rFonts w:eastAsia="Calibri" w:cs="Calibri"/>
          <w:szCs w:val="24"/>
        </w:rPr>
        <w:t xml:space="preserve">Cairo, </w:t>
      </w:r>
      <w:proofErr w:type="spellStart"/>
      <w:r w:rsidR="00692468" w:rsidRPr="007A220D">
        <w:rPr>
          <w:rFonts w:eastAsia="Calibri" w:cs="Calibri"/>
          <w:szCs w:val="24"/>
        </w:rPr>
        <w:t>Egypt</w:t>
      </w:r>
      <w:r w:rsidR="00692468">
        <w:rPr>
          <w:rFonts w:eastAsia="Calibri" w:cs="Calibri"/>
          <w:szCs w:val="24"/>
        </w:rPr>
        <w:t>.</w:t>
      </w:r>
      <w:r w:rsidR="00210D99">
        <w:rPr>
          <w:rFonts w:eastAsia="Calibri" w:cs="Calibri"/>
          <w:szCs w:val="24"/>
        </w:rPr>
        <w:t>Th</w:t>
      </w:r>
      <w:proofErr w:type="spellEnd"/>
    </w:p>
    <w:p w14:paraId="7838CCD9" w14:textId="79954BB8" w:rsidR="00692468" w:rsidRDefault="00547C35" w:rsidP="0024521F">
      <w:pPr>
        <w:pStyle w:val="enumlev1"/>
        <w:tabs>
          <w:tab w:val="clear" w:pos="567"/>
          <w:tab w:val="clear" w:pos="1134"/>
          <w:tab w:val="clear" w:pos="1701"/>
          <w:tab w:val="clear" w:pos="2268"/>
          <w:tab w:val="clear" w:pos="2835"/>
        </w:tabs>
        <w:ind w:left="709" w:hanging="425"/>
        <w:jc w:val="both"/>
        <w:rPr>
          <w:rFonts w:eastAsia="Calibri" w:cs="Calibri"/>
          <w:sz w:val="22"/>
          <w:szCs w:val="22"/>
        </w:rPr>
      </w:pPr>
      <w:r w:rsidRPr="2470FECA">
        <w:rPr>
          <w:rFonts w:asciiTheme="minorHAnsi" w:eastAsia="Aptos" w:hAnsiTheme="minorHAnsi" w:cstheme="minorBidi"/>
        </w:rPr>
        <w:t>–</w:t>
      </w:r>
      <w:r>
        <w:tab/>
      </w:r>
      <w:r w:rsidR="00692468" w:rsidRPr="2470FECA">
        <w:rPr>
          <w:rFonts w:eastAsia="Aptos"/>
        </w:rPr>
        <w:t xml:space="preserve">A G-level staff has been appointed at RO-ARB </w:t>
      </w:r>
      <w:r w:rsidR="00692468">
        <w:t>to strengthen coordination and facilitate Study Group related activities with TSB.</w:t>
      </w:r>
    </w:p>
    <w:p w14:paraId="361791E6" w14:textId="77777777" w:rsidR="00692468" w:rsidRPr="00922311" w:rsidRDefault="00692468" w:rsidP="0024521F">
      <w:pPr>
        <w:pStyle w:val="Heading2"/>
        <w:tabs>
          <w:tab w:val="clear" w:pos="567"/>
          <w:tab w:val="clear" w:pos="1134"/>
          <w:tab w:val="clear" w:pos="1701"/>
          <w:tab w:val="clear" w:pos="2268"/>
          <w:tab w:val="clear" w:pos="2835"/>
        </w:tabs>
        <w:ind w:left="0" w:firstLine="0"/>
        <w:rPr>
          <w:rFonts w:eastAsia="Aptos"/>
        </w:rPr>
      </w:pPr>
      <w:r w:rsidRPr="00922311">
        <w:rPr>
          <w:rFonts w:eastAsia="Aptos"/>
        </w:rPr>
        <w:t>3.5</w:t>
      </w:r>
      <w:r w:rsidRPr="00922311">
        <w:rPr>
          <w:rFonts w:eastAsia="Aptos"/>
        </w:rPr>
        <w:tab/>
        <w:t>Regional Office for Asia and the Pacific (RO-ASP) / Asia-Pacific Activities</w:t>
      </w:r>
    </w:p>
    <w:p w14:paraId="41450224" w14:textId="77777777" w:rsidR="00692468" w:rsidRPr="00922311" w:rsidRDefault="00692468" w:rsidP="000A226D">
      <w:pPr>
        <w:pStyle w:val="Headingb"/>
        <w:tabs>
          <w:tab w:val="clear" w:pos="567"/>
          <w:tab w:val="clear" w:pos="1134"/>
          <w:tab w:val="clear" w:pos="1701"/>
          <w:tab w:val="clear" w:pos="2268"/>
          <w:tab w:val="clear" w:pos="2835"/>
        </w:tabs>
        <w:rPr>
          <w:rFonts w:eastAsia="Aptos"/>
        </w:rPr>
      </w:pPr>
      <w:r w:rsidRPr="00922311">
        <w:rPr>
          <w:rFonts w:eastAsia="Aptos"/>
        </w:rPr>
        <w:t xml:space="preserve">BR-related activities </w:t>
      </w:r>
    </w:p>
    <w:p w14:paraId="0F6FF3E6" w14:textId="0AC3D5F0" w:rsidR="00692468"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 xml:space="preserve">From 20-24 October 2025 in Chengdu, P.R China, RO-ASP </w:t>
      </w:r>
      <w:r w:rsidR="00692468" w:rsidRPr="00922311">
        <w:rPr>
          <w:rFonts w:eastAsia="Aptos"/>
        </w:rPr>
        <w:t>supported BR in organizing the</w:t>
      </w:r>
      <w:r w:rsidR="00692468">
        <w:rPr>
          <w:rFonts w:eastAsia="Aptos"/>
        </w:rPr>
        <w:t xml:space="preserve"> ITU</w:t>
      </w:r>
      <w:r w:rsidR="00692468" w:rsidRPr="00922311">
        <w:rPr>
          <w:rFonts w:eastAsia="Aptos"/>
        </w:rPr>
        <w:t xml:space="preserve"> </w:t>
      </w:r>
      <w:hyperlink r:id="rId47">
        <w:r w:rsidR="00692468" w:rsidRPr="4767967C">
          <w:rPr>
            <w:rStyle w:val="Hyperlink"/>
            <w:rFonts w:eastAsia="Aptos"/>
          </w:rPr>
          <w:t>Regional Radiocommunication Seminar for Asia and the Pacific</w:t>
        </w:r>
      </w:hyperlink>
      <w:r w:rsidR="00692468" w:rsidRPr="4767967C">
        <w:rPr>
          <w:rFonts w:eastAsia="Aptos"/>
        </w:rPr>
        <w:t>.</w:t>
      </w:r>
      <w:r w:rsidR="00692468">
        <w:rPr>
          <w:rFonts w:eastAsia="Aptos"/>
        </w:rPr>
        <w:t xml:space="preserve"> Activities of </w:t>
      </w:r>
      <w:r w:rsidR="00692468" w:rsidRPr="4767967C">
        <w:rPr>
          <w:rFonts w:cstheme="minorBidi"/>
        </w:rPr>
        <w:t>RO-ASP were undertaken to support WTDC-22 Resolution 9 and in line with ASP Regional Initiative 3 - Expected result 6.</w:t>
      </w:r>
    </w:p>
    <w:p w14:paraId="54EC89B5" w14:textId="2738D443" w:rsidR="00692468"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 xml:space="preserve">RO-ASP supported BR in organizing the </w:t>
      </w:r>
      <w:hyperlink r:id="rId48" w:history="1">
        <w:r w:rsidR="00692468" w:rsidRPr="003D58F3">
          <w:rPr>
            <w:rStyle w:val="Hyperlink"/>
            <w:rFonts w:eastAsia="Aptos"/>
          </w:rPr>
          <w:t>ITU Workshop on Modern Spectrum Management 2025 for Region 3 (WS-MSS-25-R3)</w:t>
        </w:r>
      </w:hyperlink>
      <w:r w:rsidR="00692468">
        <w:rPr>
          <w:rFonts w:eastAsia="Aptos"/>
        </w:rPr>
        <w:t>. RO-ASP b</w:t>
      </w:r>
      <w:r w:rsidR="00692468" w:rsidRPr="005F6654">
        <w:rPr>
          <w:rFonts w:eastAsia="Aptos"/>
        </w:rPr>
        <w:t>rought focus on RF spectrum requirements for critical services including Aeronautical, Maritime, Early warning and disaster mitigation</w:t>
      </w:r>
      <w:r w:rsidR="00692468">
        <w:rPr>
          <w:rFonts w:eastAsia="Aptos"/>
        </w:rPr>
        <w:t xml:space="preserve"> and highlighted the </w:t>
      </w:r>
      <w:r w:rsidR="00692468" w:rsidRPr="005F6654">
        <w:rPr>
          <w:rFonts w:eastAsia="Aptos"/>
        </w:rPr>
        <w:t>features of SMS4DC in automation of S</w:t>
      </w:r>
      <w:r w:rsidR="00692468">
        <w:rPr>
          <w:rFonts w:eastAsia="Aptos"/>
        </w:rPr>
        <w:t xml:space="preserve">pectrum </w:t>
      </w:r>
      <w:r w:rsidR="00692468" w:rsidRPr="005F6654">
        <w:rPr>
          <w:rFonts w:eastAsia="Aptos"/>
        </w:rPr>
        <w:t>M</w:t>
      </w:r>
      <w:r w:rsidR="00692468">
        <w:rPr>
          <w:rFonts w:eastAsia="Aptos"/>
        </w:rPr>
        <w:t>anagement</w:t>
      </w:r>
      <w:r w:rsidR="00692468" w:rsidRPr="005F6654">
        <w:rPr>
          <w:rFonts w:eastAsia="Aptos"/>
        </w:rPr>
        <w:t xml:space="preserve"> functions</w:t>
      </w:r>
      <w:r w:rsidR="00692468">
        <w:rPr>
          <w:rFonts w:eastAsia="Aptos"/>
        </w:rPr>
        <w:t xml:space="preserve">. The workshop conducted between 27-29 October 2025 with the support from MIIT-China. </w:t>
      </w:r>
    </w:p>
    <w:p w14:paraId="116BC5B7" w14:textId="3F7F7683" w:rsidR="00692468"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 xml:space="preserve">Support from RO-ASP was extended to the </w:t>
      </w:r>
      <w:r w:rsidR="00692468" w:rsidRPr="00CB6EA4">
        <w:rPr>
          <w:rFonts w:eastAsia="Aptos"/>
        </w:rPr>
        <w:t xml:space="preserve">Seminar on Science Services in Preparation for WRC-27 </w:t>
      </w:r>
      <w:r w:rsidR="00692468">
        <w:rPr>
          <w:rFonts w:eastAsia="Aptos"/>
        </w:rPr>
        <w:t xml:space="preserve">on </w:t>
      </w:r>
      <w:r w:rsidR="00692468" w:rsidRPr="00CB6EA4">
        <w:rPr>
          <w:rFonts w:eastAsia="Aptos"/>
        </w:rPr>
        <w:t>9</w:t>
      </w:r>
      <w:r w:rsidR="00692468">
        <w:rPr>
          <w:rFonts w:eastAsia="Aptos"/>
        </w:rPr>
        <w:t>-</w:t>
      </w:r>
      <w:r w:rsidR="00692468" w:rsidRPr="00CB6EA4">
        <w:rPr>
          <w:rFonts w:eastAsia="Aptos"/>
        </w:rPr>
        <w:t>10 December 2025</w:t>
      </w:r>
      <w:r w:rsidR="00692468">
        <w:rPr>
          <w:rFonts w:eastAsia="Aptos"/>
        </w:rPr>
        <w:t xml:space="preserve"> in</w:t>
      </w:r>
      <w:r w:rsidR="00692468" w:rsidRPr="00CB6EA4">
        <w:rPr>
          <w:rFonts w:eastAsia="Aptos"/>
        </w:rPr>
        <w:t xml:space="preserve"> Cyberjaya, Malaysia</w:t>
      </w:r>
      <w:r w:rsidR="00692468">
        <w:rPr>
          <w:rFonts w:eastAsia="Aptos"/>
        </w:rPr>
        <w:t xml:space="preserve">. </w:t>
      </w:r>
    </w:p>
    <w:p w14:paraId="6E8CB29A" w14:textId="451EBC7F" w:rsidR="00692468"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 xml:space="preserve">During direct country assistances to Palau, Nauru and Vanuatu under </w:t>
      </w:r>
      <w:r w:rsidR="00692468" w:rsidRPr="4767967C">
        <w:rPr>
          <w:rFonts w:cstheme="minorBidi"/>
        </w:rPr>
        <w:t>ASP Regional Initiative 3 - Expected result 6</w:t>
      </w:r>
      <w:r w:rsidR="00692468">
        <w:rPr>
          <w:rFonts w:eastAsia="Aptos"/>
        </w:rPr>
        <w:t>, the knowledge base of technical staff was enhanced by conducting specific sessions on national spectrum management, RF monitoring, international coordination and role of the WRCs. Similar assistance ha</w:t>
      </w:r>
      <w:r w:rsidR="00692468" w:rsidRPr="4767967C">
        <w:rPr>
          <w:rFonts w:eastAsia="Aptos"/>
        </w:rPr>
        <w:t>s</w:t>
      </w:r>
      <w:r w:rsidR="00692468">
        <w:rPr>
          <w:rFonts w:eastAsia="Aptos"/>
        </w:rPr>
        <w:t xml:space="preserve"> been planned for Timor-Leste, RMI and Brunei in 2026.</w:t>
      </w:r>
    </w:p>
    <w:p w14:paraId="26ACB5D5" w14:textId="6DD24231" w:rsidR="00692468" w:rsidRPr="00B52DD8"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hyperlink r:id="rId49" w:history="1">
        <w:r w:rsidR="00692468">
          <w:rPr>
            <w:rStyle w:val="Hyperlink"/>
            <w:rFonts w:eastAsia="Aptos"/>
          </w:rPr>
          <w:t>ITU - ITTLLDC (International Think Tank for LLDCs) Seminar 2025</w:t>
        </w:r>
      </w:hyperlink>
      <w:r w:rsidR="00692468" w:rsidRPr="00B52DD8">
        <w:rPr>
          <w:rFonts w:eastAsia="Aptos"/>
        </w:rPr>
        <w:t xml:space="preserve"> </w:t>
      </w:r>
      <w:r w:rsidR="00692468" w:rsidRPr="00E450BA">
        <w:rPr>
          <w:rFonts w:eastAsia="Aptos"/>
        </w:rPr>
        <w:t xml:space="preserve">was organized </w:t>
      </w:r>
      <w:r w:rsidR="00692468">
        <w:rPr>
          <w:rFonts w:eastAsia="Aptos"/>
        </w:rPr>
        <w:t>on</w:t>
      </w:r>
      <w:r w:rsidR="00692468" w:rsidRPr="00E450BA">
        <w:rPr>
          <w:rFonts w:eastAsia="Aptos"/>
        </w:rPr>
        <w:t xml:space="preserve"> 28-29 August 2025 in Ulaanbaatar, Mongolia</w:t>
      </w:r>
      <w:r w:rsidR="00692468">
        <w:rPr>
          <w:rFonts w:eastAsia="Aptos"/>
        </w:rPr>
        <w:t xml:space="preserve"> under the theme: </w:t>
      </w:r>
      <w:r w:rsidR="00692468" w:rsidRPr="4767967C">
        <w:rPr>
          <w:rFonts w:eastAsia="Aptos"/>
        </w:rPr>
        <w:t>Cooperation</w:t>
      </w:r>
      <w:r w:rsidR="00692468" w:rsidRPr="00B52DD8">
        <w:rPr>
          <w:rFonts w:eastAsia="Aptos"/>
        </w:rPr>
        <w:t xml:space="preserve"> for Sustainable Space Connectivity, </w:t>
      </w:r>
      <w:r w:rsidR="00692468" w:rsidRPr="4767967C">
        <w:rPr>
          <w:rFonts w:eastAsia="Aptos"/>
        </w:rPr>
        <w:t>Spectrum U</w:t>
      </w:r>
      <w:r w:rsidR="00692468" w:rsidRPr="00B52DD8">
        <w:rPr>
          <w:rFonts w:eastAsia="Aptos"/>
        </w:rPr>
        <w:t>se, and Early Warning Systems</w:t>
      </w:r>
      <w:r w:rsidR="00692468">
        <w:rPr>
          <w:rFonts w:eastAsia="Aptos"/>
        </w:rPr>
        <w:t xml:space="preserve">. The event was participated by LLDCs from ASP and CIS and other countries from </w:t>
      </w:r>
      <w:r w:rsidR="00692468" w:rsidRPr="4767967C">
        <w:rPr>
          <w:rFonts w:eastAsia="Aptos"/>
        </w:rPr>
        <w:t xml:space="preserve">the </w:t>
      </w:r>
      <w:r w:rsidR="00692468">
        <w:rPr>
          <w:rFonts w:eastAsia="Aptos"/>
        </w:rPr>
        <w:t>ASP region.</w:t>
      </w:r>
    </w:p>
    <w:p w14:paraId="4AC877D5" w14:textId="294542A1" w:rsidR="00692468" w:rsidRDefault="6CC4E973" w:rsidP="0024521F">
      <w:pPr>
        <w:pStyle w:val="enumlev1"/>
        <w:tabs>
          <w:tab w:val="clear" w:pos="567"/>
          <w:tab w:val="clear" w:pos="1134"/>
          <w:tab w:val="clear" w:pos="1701"/>
          <w:tab w:val="clear" w:pos="2268"/>
          <w:tab w:val="clear" w:pos="2835"/>
        </w:tabs>
        <w:ind w:left="709" w:hanging="425"/>
        <w:jc w:val="both"/>
        <w:rPr>
          <w:rFonts w:eastAsia="Aptos"/>
        </w:rPr>
      </w:pPr>
      <w:r w:rsidRPr="457BE9D4">
        <w:rPr>
          <w:rFonts w:asciiTheme="minorHAnsi" w:eastAsia="Aptos" w:hAnsiTheme="minorHAnsi" w:cstheme="minorBidi"/>
        </w:rPr>
        <w:t>–</w:t>
      </w:r>
      <w:r w:rsidR="008537B1">
        <w:tab/>
      </w:r>
      <w:r w:rsidR="33460DE1" w:rsidRPr="457BE9D4">
        <w:rPr>
          <w:rFonts w:eastAsia="Aptos"/>
        </w:rPr>
        <w:t xml:space="preserve">Additionally, several activities were undertaken under the </w:t>
      </w:r>
      <w:hyperlink r:id="rId50">
        <w:r w:rsidR="33460DE1" w:rsidRPr="457BE9D4">
          <w:rPr>
            <w:rStyle w:val="Hyperlink"/>
            <w:rFonts w:eastAsia="Aptos"/>
          </w:rPr>
          <w:t>Early Warning for All (EW4ALL) Programme in ASP</w:t>
        </w:r>
      </w:hyperlink>
      <w:r w:rsidR="33460DE1" w:rsidRPr="457BE9D4">
        <w:rPr>
          <w:rFonts w:eastAsia="Aptos"/>
        </w:rPr>
        <w:t xml:space="preserve"> which have relevance to BR work.</w:t>
      </w:r>
    </w:p>
    <w:p w14:paraId="28E20CC0" w14:textId="64A6AFB0" w:rsidR="28A304D6" w:rsidRDefault="00B53FEF"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sidR="00403354">
        <w:rPr>
          <w:rFonts w:asciiTheme="minorHAnsi" w:eastAsia="Aptos" w:hAnsiTheme="minorHAnsi" w:cstheme="minorHAnsi"/>
        </w:rPr>
        <w:tab/>
      </w:r>
      <w:r w:rsidR="28A304D6" w:rsidRPr="457BE9D4">
        <w:rPr>
          <w:rFonts w:eastAsia="Aptos"/>
        </w:rPr>
        <w:t>RO-ASP attended the 12th Asia-Pacific Spectrum Management Conference organized by Forum Global in Phnom Penh, from 11-12 March 2026.</w:t>
      </w:r>
    </w:p>
    <w:p w14:paraId="07A9FCDA" w14:textId="77777777" w:rsidR="00692468" w:rsidRPr="00922311" w:rsidRDefault="00692468" w:rsidP="000A226D">
      <w:pPr>
        <w:pStyle w:val="Headingb"/>
        <w:tabs>
          <w:tab w:val="clear" w:pos="567"/>
          <w:tab w:val="clear" w:pos="1134"/>
          <w:tab w:val="clear" w:pos="1701"/>
          <w:tab w:val="clear" w:pos="2268"/>
          <w:tab w:val="clear" w:pos="2835"/>
        </w:tabs>
        <w:rPr>
          <w:rFonts w:eastAsia="Aptos"/>
        </w:rPr>
      </w:pPr>
      <w:r w:rsidRPr="00922311">
        <w:rPr>
          <w:rFonts w:eastAsia="Aptos"/>
        </w:rPr>
        <w:lastRenderedPageBreak/>
        <w:t xml:space="preserve">TSB-related activities </w:t>
      </w:r>
    </w:p>
    <w:p w14:paraId="1F55DBD6" w14:textId="3A8F4E8B" w:rsidR="00692468" w:rsidRPr="004B2341" w:rsidRDefault="008537B1" w:rsidP="0024521F">
      <w:pPr>
        <w:pStyle w:val="enumlev1"/>
        <w:tabs>
          <w:tab w:val="clear" w:pos="567"/>
          <w:tab w:val="clear" w:pos="1134"/>
          <w:tab w:val="clear" w:pos="1701"/>
          <w:tab w:val="clear" w:pos="2268"/>
          <w:tab w:val="clear" w:pos="2835"/>
        </w:tabs>
        <w:ind w:left="709" w:hanging="425"/>
        <w:jc w:val="both"/>
        <w:rPr>
          <w:lang w:eastAsia="en-GB"/>
        </w:rPr>
      </w:pPr>
      <w:r w:rsidRPr="2470FECA">
        <w:rPr>
          <w:rFonts w:asciiTheme="minorHAnsi" w:eastAsia="Aptos" w:hAnsiTheme="minorHAnsi" w:cstheme="minorBidi"/>
        </w:rPr>
        <w:t>–</w:t>
      </w:r>
      <w:r>
        <w:tab/>
      </w:r>
      <w:r w:rsidR="00692468" w:rsidRPr="2470FECA">
        <w:rPr>
          <w:lang w:eastAsia="en-GB"/>
        </w:rPr>
        <w:t>Following consultations with TSB and the Ministry of Internal Affairs and Communications, Japan (MIC), BDT and MIC exchanged letters on 6 February 2025, enabling funding for a project, “Artificial Intelligence Technology and Standards Capacity Building in Asia</w:t>
      </w:r>
      <w:r w:rsidR="70C2CDC2" w:rsidRPr="2470FECA">
        <w:rPr>
          <w:lang w:eastAsia="en-GB"/>
        </w:rPr>
        <w:t>-</w:t>
      </w:r>
      <w:r w:rsidR="00692468" w:rsidRPr="2470FECA">
        <w:rPr>
          <w:lang w:eastAsia="en-GB"/>
        </w:rPr>
        <w:t xml:space="preserve">Pacific” to strengthen government and stakeholder capacity on AI technologies and standards to support digital transformation </w:t>
      </w:r>
      <w:r w:rsidR="00692468" w:rsidRPr="2470FECA">
        <w:rPr>
          <w:rFonts w:eastAsia="Aptos"/>
        </w:rPr>
        <w:t>and</w:t>
      </w:r>
      <w:r w:rsidR="00692468" w:rsidRPr="2470FECA">
        <w:rPr>
          <w:lang w:eastAsia="en-GB"/>
        </w:rPr>
        <w:t xml:space="preserve"> reduce the standardization gap. After the first workshop held in Delhi, India, in May 2025, additional workshops were organized in 2025 as follows:</w:t>
      </w:r>
    </w:p>
    <w:p w14:paraId="3BDF73C3" w14:textId="618E1E7C" w:rsidR="00692468" w:rsidRPr="00AF55A9" w:rsidRDefault="00AF55A9" w:rsidP="0024521F">
      <w:pPr>
        <w:pStyle w:val="enumlev2"/>
        <w:tabs>
          <w:tab w:val="clear" w:pos="567"/>
          <w:tab w:val="clear" w:pos="1134"/>
          <w:tab w:val="clear" w:pos="1701"/>
          <w:tab w:val="clear" w:pos="2268"/>
          <w:tab w:val="clear" w:pos="2835"/>
        </w:tabs>
        <w:ind w:hanging="425"/>
        <w:jc w:val="both"/>
        <w:rPr>
          <w:rFonts w:eastAsia="Aptos"/>
        </w:rPr>
      </w:pPr>
      <w:r w:rsidRPr="00AF55A9">
        <w:rPr>
          <w:rFonts w:eastAsia="Aptos"/>
        </w:rPr>
        <w:t>•</w:t>
      </w:r>
      <w:r>
        <w:rPr>
          <w:rFonts w:eastAsia="Aptos"/>
        </w:rPr>
        <w:tab/>
      </w:r>
      <w:r w:rsidR="00692468" w:rsidRPr="00AF55A9">
        <w:rPr>
          <w:rFonts w:eastAsia="Aptos"/>
        </w:rPr>
        <w:t>In Kuala Lumpur, Malaysia, on 9-12 September where a total of 73 participants were trained from 9 Member States including Malaysia, Indonesia, Brunei, Timor Leste, Thailand, Cambodia, Mongolia, Lao PDR and Pakistan. Two online sessions were organised preceding the workshop on 19 August and 16 August covering training materials on a) AI standards and b) AI technologies.</w:t>
      </w:r>
    </w:p>
    <w:p w14:paraId="0668E393" w14:textId="5EEFCCDF" w:rsidR="00692468" w:rsidRPr="00AF55A9" w:rsidRDefault="00AF55A9" w:rsidP="0024521F">
      <w:pPr>
        <w:pStyle w:val="enumlev2"/>
        <w:tabs>
          <w:tab w:val="clear" w:pos="567"/>
          <w:tab w:val="clear" w:pos="1134"/>
          <w:tab w:val="clear" w:pos="1701"/>
          <w:tab w:val="clear" w:pos="2268"/>
          <w:tab w:val="clear" w:pos="2835"/>
        </w:tabs>
        <w:ind w:hanging="425"/>
        <w:jc w:val="both"/>
        <w:rPr>
          <w:rFonts w:eastAsia="Aptos"/>
        </w:rPr>
      </w:pPr>
      <w:r w:rsidRPr="00AF55A9">
        <w:rPr>
          <w:rFonts w:eastAsia="Aptos"/>
        </w:rPr>
        <w:t>•</w:t>
      </w:r>
      <w:r>
        <w:rPr>
          <w:rFonts w:eastAsia="Aptos"/>
        </w:rPr>
        <w:tab/>
      </w:r>
      <w:r w:rsidR="00692468" w:rsidRPr="00AF55A9">
        <w:rPr>
          <w:rFonts w:eastAsia="Aptos"/>
        </w:rPr>
        <w:t>In Thimphu, Bhutan, on 22-26 September where 69 civil servants from Bhutan were trained on AI fundamentals in two batches.</w:t>
      </w:r>
    </w:p>
    <w:p w14:paraId="00EF28D1" w14:textId="5DD08E9C" w:rsidR="00692468" w:rsidRPr="00AF55A9" w:rsidRDefault="00AF55A9" w:rsidP="0024521F">
      <w:pPr>
        <w:pStyle w:val="enumlev2"/>
        <w:tabs>
          <w:tab w:val="clear" w:pos="567"/>
          <w:tab w:val="clear" w:pos="1134"/>
          <w:tab w:val="clear" w:pos="1701"/>
          <w:tab w:val="clear" w:pos="2268"/>
          <w:tab w:val="clear" w:pos="2835"/>
        </w:tabs>
        <w:ind w:hanging="425"/>
        <w:jc w:val="both"/>
        <w:rPr>
          <w:rFonts w:eastAsia="Aptos"/>
        </w:rPr>
      </w:pPr>
      <w:r w:rsidRPr="00AF55A9">
        <w:rPr>
          <w:rFonts w:eastAsia="Aptos"/>
        </w:rPr>
        <w:t>•</w:t>
      </w:r>
      <w:r>
        <w:rPr>
          <w:rFonts w:eastAsia="Aptos"/>
        </w:rPr>
        <w:tab/>
      </w:r>
      <w:r w:rsidR="00692468" w:rsidRPr="00AF55A9">
        <w:rPr>
          <w:rFonts w:eastAsia="Aptos"/>
        </w:rPr>
        <w:t>In Phnom Penh, Cambodia, on 8-10 October where a total of 55 participants were trained nationally. An additional online session was organized on 3 October to complement the in-person training, covering material on AI standards.</w:t>
      </w:r>
    </w:p>
    <w:p w14:paraId="71FD860E" w14:textId="6F0311D6" w:rsidR="00692468" w:rsidRPr="00B52DD8" w:rsidRDefault="008537B1" w:rsidP="0024521F">
      <w:pPr>
        <w:pStyle w:val="enumlev1"/>
        <w:tabs>
          <w:tab w:val="clear" w:pos="567"/>
          <w:tab w:val="clear" w:pos="1134"/>
          <w:tab w:val="clear" w:pos="1701"/>
          <w:tab w:val="clear" w:pos="2268"/>
          <w:tab w:val="clear" w:pos="2835"/>
        </w:tabs>
        <w:ind w:left="709" w:hanging="425"/>
        <w:jc w:val="both"/>
        <w:rPr>
          <w:rFonts w:eastAsia="Aptos"/>
          <w:color w:val="000000" w:themeColor="text1"/>
        </w:rPr>
      </w:pPr>
      <w:r>
        <w:rPr>
          <w:rFonts w:asciiTheme="minorHAnsi" w:eastAsia="Aptos" w:hAnsiTheme="minorHAnsi" w:cstheme="minorHAnsi"/>
        </w:rPr>
        <w:t>–</w:t>
      </w:r>
      <w:r>
        <w:rPr>
          <w:rFonts w:asciiTheme="minorHAnsi" w:eastAsia="Aptos" w:hAnsiTheme="minorHAnsi" w:cstheme="minorHAnsi"/>
        </w:rPr>
        <w:tab/>
      </w:r>
      <w:r w:rsidR="00692468" w:rsidRPr="00B52DD8">
        <w:rPr>
          <w:rFonts w:eastAsia="Aptos"/>
          <w:color w:val="000000" w:themeColor="text1"/>
        </w:rPr>
        <w:t>ITU-T initiatives such as AI4GOOD, AI Skills Coalition and AI Standards Exchange were promoted during the side event on Digital Government organized during Vietnam Digital Week on 28 October 2025.</w:t>
      </w:r>
    </w:p>
    <w:p w14:paraId="260CC6C4" w14:textId="6E519E3B" w:rsidR="00692468" w:rsidRPr="00B52DD8" w:rsidRDefault="008537B1" w:rsidP="0024521F">
      <w:pPr>
        <w:pStyle w:val="enumlev1"/>
        <w:tabs>
          <w:tab w:val="clear" w:pos="567"/>
          <w:tab w:val="clear" w:pos="1134"/>
          <w:tab w:val="clear" w:pos="1701"/>
          <w:tab w:val="clear" w:pos="2268"/>
          <w:tab w:val="clear" w:pos="2835"/>
        </w:tabs>
        <w:ind w:left="709" w:hanging="425"/>
        <w:jc w:val="both"/>
        <w:rPr>
          <w:rFonts w:eastAsia="Aptos"/>
          <w:color w:val="000000" w:themeColor="text1"/>
          <w:lang w:val="en-US"/>
        </w:rPr>
      </w:pPr>
      <w:r>
        <w:rPr>
          <w:rFonts w:asciiTheme="minorHAnsi" w:eastAsia="Aptos" w:hAnsiTheme="minorHAnsi" w:cstheme="minorHAnsi"/>
        </w:rPr>
        <w:t>–</w:t>
      </w:r>
      <w:r>
        <w:rPr>
          <w:rFonts w:asciiTheme="minorHAnsi" w:eastAsia="Aptos" w:hAnsiTheme="minorHAnsi" w:cstheme="minorHAnsi"/>
        </w:rPr>
        <w:tab/>
      </w:r>
      <w:r w:rsidR="00494562" w:rsidRPr="00494562">
        <w:rPr>
          <w:rFonts w:asciiTheme="minorHAnsi" w:eastAsia="Aptos" w:hAnsiTheme="minorHAnsi" w:cstheme="minorHAnsi"/>
        </w:rPr>
        <w:t xml:space="preserve">Together </w:t>
      </w:r>
      <w:r w:rsidR="00692468" w:rsidRPr="00B52DD8">
        <w:rPr>
          <w:rFonts w:eastAsia="Aptos"/>
          <w:color w:val="000000" w:themeColor="text1"/>
          <w:lang w:val="en-US"/>
        </w:rPr>
        <w:t xml:space="preserve">with the </w:t>
      </w:r>
      <w:r w:rsidR="00692468" w:rsidRPr="00F05ED9">
        <w:rPr>
          <w:rFonts w:eastAsia="Aptos"/>
        </w:rPr>
        <w:t>Telecommunication</w:t>
      </w:r>
      <w:r w:rsidR="00692468" w:rsidRPr="00B52DD8">
        <w:rPr>
          <w:rFonts w:eastAsia="Aptos"/>
          <w:color w:val="000000" w:themeColor="text1"/>
          <w:lang w:val="en-US"/>
        </w:rPr>
        <w:t xml:space="preserve"> Technology Association (TTA) of the Republic of Korea and the </w:t>
      </w:r>
      <w:proofErr w:type="spellStart"/>
      <w:r w:rsidR="00692468" w:rsidRPr="00B52DD8">
        <w:rPr>
          <w:rFonts w:eastAsia="Aptos"/>
          <w:color w:val="000000" w:themeColor="text1"/>
          <w:lang w:val="en-US"/>
        </w:rPr>
        <w:t>Passwordless</w:t>
      </w:r>
      <w:proofErr w:type="spellEnd"/>
      <w:r w:rsidR="00692468" w:rsidRPr="00B52DD8">
        <w:rPr>
          <w:rFonts w:eastAsia="Aptos"/>
          <w:color w:val="000000" w:themeColor="text1"/>
          <w:lang w:val="en-US"/>
        </w:rPr>
        <w:t xml:space="preserve"> Alliance</w:t>
      </w:r>
      <w:r w:rsidR="00692468">
        <w:rPr>
          <w:rFonts w:eastAsia="Aptos"/>
          <w:color w:val="000000" w:themeColor="text1"/>
          <w:lang w:val="en-US"/>
        </w:rPr>
        <w:t>,</w:t>
      </w:r>
      <w:r w:rsidR="00692468" w:rsidRPr="00B52DD8">
        <w:rPr>
          <w:rFonts w:eastAsia="Aptos"/>
          <w:color w:val="000000" w:themeColor="text1"/>
          <w:lang w:val="en-US"/>
        </w:rPr>
        <w:t xml:space="preserve"> an interregional training course </w:t>
      </w:r>
      <w:r w:rsidR="00692468">
        <w:rPr>
          <w:rFonts w:eastAsia="Aptos"/>
          <w:color w:val="000000" w:themeColor="text1"/>
          <w:lang w:val="en-US"/>
        </w:rPr>
        <w:t xml:space="preserve">was organized </w:t>
      </w:r>
      <w:r w:rsidR="00692468" w:rsidRPr="00B52DD8">
        <w:rPr>
          <w:rFonts w:eastAsia="Aptos"/>
          <w:color w:val="000000" w:themeColor="text1"/>
          <w:lang w:val="en-US"/>
        </w:rPr>
        <w:t>on 11-13 February 2026 in Bangkok, Thailand</w:t>
      </w:r>
      <w:r w:rsidR="00692468">
        <w:rPr>
          <w:rFonts w:eastAsia="Aptos"/>
          <w:color w:val="000000" w:themeColor="text1"/>
          <w:lang w:val="en-US"/>
        </w:rPr>
        <w:t xml:space="preserve"> on</w:t>
      </w:r>
      <w:r w:rsidR="00692468" w:rsidRPr="00B52DD8">
        <w:rPr>
          <w:rFonts w:eastAsia="Aptos"/>
          <w:color w:val="000000" w:themeColor="text1"/>
          <w:lang w:val="en-US"/>
        </w:rPr>
        <w:t xml:space="preserve"> two ITU-T recommendations</w:t>
      </w:r>
      <w:r w:rsidR="00692468">
        <w:rPr>
          <w:rFonts w:eastAsia="Aptos"/>
          <w:color w:val="000000" w:themeColor="text1"/>
          <w:lang w:val="en-US"/>
        </w:rPr>
        <w:t>,</w:t>
      </w:r>
      <w:r w:rsidR="00692468" w:rsidRPr="00B52DD8">
        <w:rPr>
          <w:rFonts w:eastAsia="Aptos"/>
          <w:color w:val="000000" w:themeColor="text1"/>
          <w:lang w:val="en-US"/>
        </w:rPr>
        <w:t xml:space="preserve"> Storage Protection (X.1220/</w:t>
      </w:r>
      <w:proofErr w:type="spellStart"/>
      <w:r w:rsidR="00692468" w:rsidRPr="00B52DD8">
        <w:rPr>
          <w:rFonts w:eastAsia="Aptos"/>
          <w:color w:val="000000" w:themeColor="text1"/>
          <w:lang w:val="en-US"/>
        </w:rPr>
        <w:t>X.nspam</w:t>
      </w:r>
      <w:proofErr w:type="spellEnd"/>
      <w:r w:rsidR="00692468" w:rsidRPr="00B52DD8">
        <w:rPr>
          <w:rFonts w:eastAsia="Aptos"/>
          <w:color w:val="000000" w:themeColor="text1"/>
          <w:lang w:val="en-US"/>
        </w:rPr>
        <w:t xml:space="preserve">) and </w:t>
      </w:r>
      <w:proofErr w:type="spellStart"/>
      <w:r w:rsidR="00692468" w:rsidRPr="00B52DD8">
        <w:rPr>
          <w:rFonts w:eastAsia="Aptos"/>
          <w:color w:val="000000" w:themeColor="text1"/>
          <w:lang w:val="en-US"/>
        </w:rPr>
        <w:t>Passwordless</w:t>
      </w:r>
      <w:proofErr w:type="spellEnd"/>
      <w:r w:rsidR="00692468" w:rsidRPr="00B52DD8">
        <w:rPr>
          <w:rFonts w:eastAsia="Aptos"/>
          <w:color w:val="000000" w:themeColor="text1"/>
          <w:lang w:val="en-US"/>
        </w:rPr>
        <w:t xml:space="preserve"> Authentication (X.1280)</w:t>
      </w:r>
      <w:r w:rsidR="00692468">
        <w:rPr>
          <w:rFonts w:eastAsia="Aptos"/>
          <w:color w:val="000000" w:themeColor="text1"/>
          <w:lang w:val="en-US"/>
        </w:rPr>
        <w:t xml:space="preserve">, </w:t>
      </w:r>
      <w:r w:rsidR="00692468" w:rsidRPr="00B52DD8">
        <w:rPr>
          <w:rFonts w:eastAsia="Aptos"/>
          <w:color w:val="000000" w:themeColor="text1"/>
          <w:lang w:val="en-US"/>
        </w:rPr>
        <w:t>highlight</w:t>
      </w:r>
      <w:r w:rsidR="00692468">
        <w:rPr>
          <w:rFonts w:eastAsia="Aptos"/>
          <w:color w:val="000000" w:themeColor="text1"/>
          <w:lang w:val="en-US"/>
        </w:rPr>
        <w:t>ing</w:t>
      </w:r>
      <w:r w:rsidR="00692468" w:rsidRPr="00B52DD8">
        <w:rPr>
          <w:rFonts w:eastAsia="Aptos"/>
          <w:color w:val="000000" w:themeColor="text1"/>
          <w:lang w:val="en-US"/>
        </w:rPr>
        <w:t xml:space="preserve"> the implication</w:t>
      </w:r>
      <w:r w:rsidR="00692468">
        <w:rPr>
          <w:rFonts w:eastAsia="Aptos"/>
          <w:color w:val="000000" w:themeColor="text1"/>
          <w:lang w:val="en-US"/>
        </w:rPr>
        <w:t>s</w:t>
      </w:r>
      <w:r w:rsidR="00692468" w:rsidRPr="00B52DD8">
        <w:rPr>
          <w:rFonts w:eastAsia="Aptos"/>
          <w:color w:val="000000" w:themeColor="text1"/>
          <w:lang w:val="en-US"/>
        </w:rPr>
        <w:t xml:space="preserve"> of these cybersecurity standards</w:t>
      </w:r>
      <w:r w:rsidR="00692468">
        <w:rPr>
          <w:rFonts w:eastAsia="Aptos"/>
          <w:color w:val="000000" w:themeColor="text1"/>
          <w:lang w:val="en-US"/>
        </w:rPr>
        <w:t xml:space="preserve"> for</w:t>
      </w:r>
      <w:r w:rsidR="00692468" w:rsidRPr="00B52DD8">
        <w:rPr>
          <w:rFonts w:eastAsia="Aptos"/>
          <w:color w:val="000000" w:themeColor="text1"/>
          <w:lang w:val="en-US"/>
        </w:rPr>
        <w:t xml:space="preserve"> participants from </w:t>
      </w:r>
      <w:r w:rsidR="00692468">
        <w:rPr>
          <w:rFonts w:eastAsia="Aptos"/>
          <w:color w:val="000000" w:themeColor="text1"/>
          <w:lang w:val="en-US"/>
        </w:rPr>
        <w:t>ASP and CIS regions.</w:t>
      </w:r>
    </w:p>
    <w:p w14:paraId="53321FFF" w14:textId="59990BC1" w:rsidR="00692468" w:rsidRDefault="008537B1" w:rsidP="0024521F">
      <w:pPr>
        <w:pStyle w:val="enumlev1"/>
        <w:tabs>
          <w:tab w:val="clear" w:pos="567"/>
          <w:tab w:val="clear" w:pos="1134"/>
          <w:tab w:val="clear" w:pos="1701"/>
          <w:tab w:val="clear" w:pos="2268"/>
          <w:tab w:val="clear" w:pos="2835"/>
        </w:tabs>
        <w:ind w:left="709" w:hanging="425"/>
        <w:jc w:val="both"/>
        <w:rPr>
          <w:rFonts w:eastAsia="Aptos"/>
          <w:color w:val="000000" w:themeColor="text1"/>
          <w:lang w:val="en-US"/>
        </w:rPr>
      </w:pPr>
      <w:r>
        <w:rPr>
          <w:rFonts w:asciiTheme="minorHAnsi" w:eastAsia="Aptos" w:hAnsiTheme="minorHAnsi" w:cstheme="minorHAnsi"/>
        </w:rPr>
        <w:t>–</w:t>
      </w:r>
      <w:r>
        <w:rPr>
          <w:rFonts w:asciiTheme="minorHAnsi" w:eastAsia="Aptos" w:hAnsiTheme="minorHAnsi" w:cstheme="minorHAnsi"/>
        </w:rPr>
        <w:tab/>
      </w:r>
      <w:r w:rsidR="00692468" w:rsidRPr="00B52DD8">
        <w:rPr>
          <w:rFonts w:eastAsia="Aptos"/>
          <w:color w:val="000000" w:themeColor="text1"/>
          <w:lang w:val="en-US"/>
        </w:rPr>
        <w:t xml:space="preserve">At the request of TSB, </w:t>
      </w:r>
      <w:r w:rsidR="00692468">
        <w:rPr>
          <w:rFonts w:eastAsia="Aptos"/>
          <w:color w:val="000000" w:themeColor="text1"/>
          <w:lang w:val="en-US"/>
        </w:rPr>
        <w:t xml:space="preserve">ASP </w:t>
      </w:r>
      <w:r w:rsidR="00692468" w:rsidRPr="00B52DD8">
        <w:rPr>
          <w:rFonts w:eastAsia="Aptos"/>
          <w:color w:val="000000" w:themeColor="text1"/>
          <w:lang w:val="en-US"/>
        </w:rPr>
        <w:t>Regional Director served as a speaker at the India-AI Impact Summit 2026, during the session on Standards &amp; Policy Pathways for Scaling AI-Enabled, Farmer-Centric Agrifood Systems on 16 February 2026.</w:t>
      </w:r>
    </w:p>
    <w:p w14:paraId="7B644389" w14:textId="54BADF4B" w:rsidR="00FA21F9" w:rsidRDefault="00B157AA" w:rsidP="0024521F">
      <w:pPr>
        <w:pStyle w:val="enumlev1"/>
        <w:tabs>
          <w:tab w:val="clear" w:pos="567"/>
          <w:tab w:val="clear" w:pos="1134"/>
          <w:tab w:val="clear" w:pos="1701"/>
          <w:tab w:val="clear" w:pos="2268"/>
          <w:tab w:val="clear" w:pos="2835"/>
        </w:tabs>
        <w:ind w:left="709" w:hanging="425"/>
        <w:jc w:val="both"/>
        <w:rPr>
          <w:rFonts w:eastAsia="Aptos"/>
          <w:color w:val="000000" w:themeColor="text1"/>
          <w:lang w:val="en-US"/>
        </w:rPr>
      </w:pPr>
      <w:r>
        <w:rPr>
          <w:rFonts w:asciiTheme="minorHAnsi" w:eastAsia="Aptos" w:hAnsiTheme="minorHAnsi" w:cstheme="minorHAnsi"/>
        </w:rPr>
        <w:t>–</w:t>
      </w:r>
      <w:r w:rsidRPr="00B157AA">
        <w:rPr>
          <w:rFonts w:eastAsia="Aptos"/>
          <w:color w:val="000000" w:themeColor="text1"/>
          <w:lang w:val="en-US"/>
        </w:rPr>
        <w:tab/>
        <w:t xml:space="preserve">In support of </w:t>
      </w:r>
      <w:hyperlink r:id="rId51" w:history="1">
        <w:r w:rsidR="00A16C15" w:rsidRPr="004D4055">
          <w:rPr>
            <w:rStyle w:val="Hyperlink"/>
            <w:rFonts w:eastAsia="Aptos"/>
            <w:lang w:val="en-US"/>
          </w:rPr>
          <w:t>United for Smart Sustainable Cities</w:t>
        </w:r>
      </w:hyperlink>
      <w:r w:rsidR="00A16C15" w:rsidRPr="00A16C15">
        <w:rPr>
          <w:rFonts w:eastAsia="Aptos"/>
          <w:color w:val="000000" w:themeColor="text1"/>
          <w:lang w:val="en-US"/>
        </w:rPr>
        <w:t xml:space="preserve"> </w:t>
      </w:r>
      <w:r w:rsidR="00A16C15">
        <w:rPr>
          <w:rFonts w:eastAsia="Aptos"/>
          <w:color w:val="000000" w:themeColor="text1"/>
          <w:lang w:val="en-US"/>
        </w:rPr>
        <w:t>(</w:t>
      </w:r>
      <w:r w:rsidRPr="00B157AA">
        <w:rPr>
          <w:rFonts w:eastAsia="Aptos"/>
          <w:color w:val="000000" w:themeColor="text1"/>
          <w:lang w:val="en-US"/>
        </w:rPr>
        <w:t>U4SSC</w:t>
      </w:r>
      <w:r w:rsidR="00A16C15">
        <w:rPr>
          <w:rFonts w:eastAsia="Aptos"/>
          <w:color w:val="000000" w:themeColor="text1"/>
          <w:lang w:val="en-US"/>
        </w:rPr>
        <w:t>)</w:t>
      </w:r>
      <w:r w:rsidRPr="00B157AA">
        <w:rPr>
          <w:rFonts w:eastAsia="Aptos"/>
          <w:color w:val="000000" w:themeColor="text1"/>
          <w:lang w:val="en-US"/>
        </w:rPr>
        <w:t>, RO-ASP joined</w:t>
      </w:r>
      <w:r w:rsidR="00E41568">
        <w:rPr>
          <w:rFonts w:eastAsia="Aptos"/>
          <w:color w:val="000000" w:themeColor="text1"/>
          <w:lang w:val="en-US"/>
        </w:rPr>
        <w:t xml:space="preserve"> </w:t>
      </w:r>
      <w:r w:rsidRPr="00B157AA">
        <w:rPr>
          <w:rFonts w:eastAsia="Aptos"/>
          <w:color w:val="000000" w:themeColor="text1"/>
          <w:lang w:val="en-US"/>
        </w:rPr>
        <w:t>TSB efforts to expand collaboration with UN-HABITAT in Asia and the Pacific in 2026 and discussion</w:t>
      </w:r>
      <w:r w:rsidR="00994086">
        <w:rPr>
          <w:rFonts w:eastAsia="Aptos"/>
          <w:color w:val="000000" w:themeColor="text1"/>
          <w:lang w:val="en-US"/>
        </w:rPr>
        <w:t>s</w:t>
      </w:r>
      <w:r w:rsidRPr="00B157AA">
        <w:rPr>
          <w:rFonts w:eastAsia="Aptos"/>
          <w:color w:val="000000" w:themeColor="text1"/>
          <w:lang w:val="en-US"/>
        </w:rPr>
        <w:t xml:space="preserve"> </w:t>
      </w:r>
      <w:r w:rsidR="00994086">
        <w:rPr>
          <w:rFonts w:eastAsia="Aptos"/>
          <w:color w:val="000000" w:themeColor="text1"/>
          <w:lang w:val="en-US"/>
        </w:rPr>
        <w:t>are</w:t>
      </w:r>
      <w:r w:rsidRPr="00B157AA">
        <w:rPr>
          <w:rFonts w:eastAsia="Aptos"/>
          <w:color w:val="000000" w:themeColor="text1"/>
          <w:lang w:val="en-US"/>
        </w:rPr>
        <w:t xml:space="preserve"> currently ongoing.</w:t>
      </w:r>
    </w:p>
    <w:p w14:paraId="45026ED3" w14:textId="25E32F10" w:rsidR="00692468" w:rsidRPr="00B52DD8" w:rsidRDefault="008537B1" w:rsidP="0024521F">
      <w:pPr>
        <w:pStyle w:val="enumlev1"/>
        <w:tabs>
          <w:tab w:val="clear" w:pos="567"/>
          <w:tab w:val="clear" w:pos="1134"/>
          <w:tab w:val="clear" w:pos="1701"/>
          <w:tab w:val="clear" w:pos="2268"/>
          <w:tab w:val="clear" w:pos="2835"/>
        </w:tabs>
        <w:ind w:left="709" w:hanging="425"/>
        <w:rPr>
          <w:rFonts w:eastAsia="Aptos"/>
          <w:color w:val="000000" w:themeColor="text1"/>
          <w:lang w:val="en-US"/>
        </w:rPr>
      </w:pPr>
      <w:r>
        <w:rPr>
          <w:rFonts w:asciiTheme="minorHAnsi" w:eastAsia="Aptos" w:hAnsiTheme="minorHAnsi" w:cstheme="minorHAnsi"/>
        </w:rPr>
        <w:t>–</w:t>
      </w:r>
      <w:r>
        <w:rPr>
          <w:rFonts w:asciiTheme="minorHAnsi" w:eastAsia="Aptos" w:hAnsiTheme="minorHAnsi" w:cstheme="minorHAnsi"/>
        </w:rPr>
        <w:tab/>
      </w:r>
      <w:r w:rsidR="00692468">
        <w:rPr>
          <w:rFonts w:eastAsia="Aptos"/>
        </w:rPr>
        <w:t>O</w:t>
      </w:r>
      <w:r w:rsidR="00692468" w:rsidRPr="004141BF">
        <w:rPr>
          <w:rFonts w:eastAsia="Aptos"/>
        </w:rPr>
        <w:t xml:space="preserve">ne staff </w:t>
      </w:r>
      <w:r w:rsidR="00692468">
        <w:rPr>
          <w:rFonts w:eastAsia="Aptos"/>
        </w:rPr>
        <w:t>from</w:t>
      </w:r>
      <w:r w:rsidR="00692468" w:rsidRPr="004141BF">
        <w:rPr>
          <w:rFonts w:eastAsia="Aptos"/>
        </w:rPr>
        <w:t xml:space="preserve"> TSB</w:t>
      </w:r>
      <w:r w:rsidR="00692468">
        <w:rPr>
          <w:rFonts w:eastAsia="Aptos"/>
        </w:rPr>
        <w:t xml:space="preserve"> has been </w:t>
      </w:r>
      <w:r w:rsidR="00BE3342" w:rsidRPr="00BE3342">
        <w:rPr>
          <w:rFonts w:eastAsia="Aptos"/>
        </w:rPr>
        <w:t>recruited in the Area Office in India</w:t>
      </w:r>
      <w:r w:rsidR="00692468" w:rsidRPr="004141BF">
        <w:rPr>
          <w:rFonts w:eastAsia="Aptos"/>
        </w:rPr>
        <w:t>.</w:t>
      </w:r>
    </w:p>
    <w:p w14:paraId="096271CB" w14:textId="77777777" w:rsidR="00692468" w:rsidRPr="00922311" w:rsidRDefault="00692468" w:rsidP="0024521F">
      <w:pPr>
        <w:pStyle w:val="Heading2"/>
        <w:tabs>
          <w:tab w:val="clear" w:pos="567"/>
          <w:tab w:val="clear" w:pos="1134"/>
          <w:tab w:val="clear" w:pos="1701"/>
          <w:tab w:val="clear" w:pos="2268"/>
          <w:tab w:val="clear" w:pos="2835"/>
        </w:tabs>
        <w:ind w:left="0" w:firstLine="0"/>
        <w:rPr>
          <w:rFonts w:eastAsia="Aptos"/>
        </w:rPr>
      </w:pPr>
      <w:r w:rsidRPr="00922311">
        <w:rPr>
          <w:rFonts w:eastAsia="Aptos"/>
        </w:rPr>
        <w:t>3.6</w:t>
      </w:r>
      <w:r w:rsidRPr="00922311">
        <w:rPr>
          <w:rFonts w:eastAsia="Aptos"/>
        </w:rPr>
        <w:tab/>
        <w:t>Regional Office for CIS (RO-CIS) / CIS Activities</w:t>
      </w:r>
    </w:p>
    <w:p w14:paraId="20B423C2" w14:textId="77777777" w:rsidR="00692468" w:rsidRPr="00F45C4E" w:rsidRDefault="00692468" w:rsidP="000A226D">
      <w:pPr>
        <w:pStyle w:val="Headingb"/>
        <w:tabs>
          <w:tab w:val="clear" w:pos="567"/>
          <w:tab w:val="clear" w:pos="1134"/>
          <w:tab w:val="clear" w:pos="1701"/>
          <w:tab w:val="clear" w:pos="2268"/>
          <w:tab w:val="clear" w:pos="2835"/>
        </w:tabs>
        <w:rPr>
          <w:rFonts w:ascii="Helvetica Neue" w:hAnsi="Helvetica Neue" w:cs="Helvetica Neue"/>
          <w:color w:val="000000"/>
          <w:sz w:val="26"/>
          <w:szCs w:val="26"/>
          <w:lang w:eastAsia="zh-CN"/>
        </w:rPr>
      </w:pPr>
      <w:r w:rsidRPr="00922311">
        <w:rPr>
          <w:rFonts w:eastAsia="Aptos"/>
        </w:rPr>
        <w:t xml:space="preserve">BR-related activities </w:t>
      </w:r>
    </w:p>
    <w:p w14:paraId="39CC86FE" w14:textId="102DE91B" w:rsidR="00692468" w:rsidRPr="009E1FFE" w:rsidRDefault="008537B1" w:rsidP="0024521F">
      <w:pPr>
        <w:pStyle w:val="enumlev1"/>
        <w:tabs>
          <w:tab w:val="clear" w:pos="567"/>
          <w:tab w:val="clear" w:pos="1134"/>
          <w:tab w:val="clear" w:pos="1701"/>
          <w:tab w:val="clear" w:pos="2268"/>
          <w:tab w:val="clear" w:pos="2835"/>
        </w:tabs>
        <w:ind w:left="709" w:hanging="425"/>
        <w:jc w:val="both"/>
        <w:rPr>
          <w:rFonts w:eastAsia="Aptos"/>
          <w:color w:val="000000" w:themeColor="text1"/>
        </w:rPr>
      </w:pPr>
      <w:r>
        <w:rPr>
          <w:rFonts w:asciiTheme="minorHAnsi" w:eastAsia="Aptos" w:hAnsiTheme="minorHAnsi" w:cstheme="minorHAnsi"/>
        </w:rPr>
        <w:t>–</w:t>
      </w:r>
      <w:r>
        <w:rPr>
          <w:rFonts w:asciiTheme="minorHAnsi" w:eastAsia="Aptos" w:hAnsiTheme="minorHAnsi" w:cstheme="minorHAnsi"/>
        </w:rPr>
        <w:tab/>
      </w:r>
      <w:r w:rsidR="00692468" w:rsidRPr="009E1FFE">
        <w:rPr>
          <w:rFonts w:eastAsia="Aptos"/>
          <w:color w:val="000000" w:themeColor="text1"/>
        </w:rPr>
        <w:t xml:space="preserve">In February 2025, BDT, jointly with Intersputnik and with the participation of BR experts, organized a workshop "Space activities in modern realities” in Almaty, Kazakhstan. The event, attended by the satellite communications community and highly appreciated by the participants, offered a unique opportunity to share the best practices in creating or improving national legislation for space activities while addressing the challenges surrounding national market access policies for satellite systems. A second training on global perspective of space connectivity was held in </w:t>
      </w:r>
      <w:r w:rsidR="00692468" w:rsidRPr="009E1FFE">
        <w:rPr>
          <w:rFonts w:eastAsia="Aptos"/>
          <w:color w:val="000000" w:themeColor="text1"/>
        </w:rPr>
        <w:lastRenderedPageBreak/>
        <w:t>September</w:t>
      </w:r>
      <w:r w:rsidR="00692468">
        <w:rPr>
          <w:rFonts w:eastAsia="Aptos"/>
          <w:color w:val="000000" w:themeColor="text1"/>
        </w:rPr>
        <w:t xml:space="preserve"> 2025</w:t>
      </w:r>
      <w:r w:rsidR="00692468" w:rsidRPr="009E1FFE">
        <w:rPr>
          <w:rFonts w:eastAsia="Aptos"/>
          <w:color w:val="000000" w:themeColor="text1"/>
        </w:rPr>
        <w:t xml:space="preserve">, hosted by the </w:t>
      </w:r>
      <w:proofErr w:type="spellStart"/>
      <w:r w:rsidR="00692468" w:rsidRPr="009E1FFE">
        <w:rPr>
          <w:rFonts w:eastAsia="Aptos"/>
          <w:color w:val="000000" w:themeColor="text1"/>
        </w:rPr>
        <w:t>AzerCosmos</w:t>
      </w:r>
      <w:proofErr w:type="spellEnd"/>
      <w:r w:rsidR="00692468" w:rsidRPr="009E1FFE">
        <w:rPr>
          <w:rFonts w:eastAsia="Aptos"/>
          <w:color w:val="000000" w:themeColor="text1"/>
        </w:rPr>
        <w:t xml:space="preserve"> Space Agency of the Republic of Azerbaijan.</w:t>
      </w:r>
    </w:p>
    <w:p w14:paraId="76639CFB" w14:textId="5F8C142D" w:rsidR="00692468" w:rsidRPr="009E1FFE" w:rsidRDefault="008537B1" w:rsidP="0024521F">
      <w:pPr>
        <w:pStyle w:val="enumlev1"/>
        <w:tabs>
          <w:tab w:val="clear" w:pos="567"/>
          <w:tab w:val="clear" w:pos="1134"/>
          <w:tab w:val="clear" w:pos="1701"/>
          <w:tab w:val="clear" w:pos="2268"/>
          <w:tab w:val="clear" w:pos="2835"/>
        </w:tabs>
        <w:ind w:left="709" w:hanging="425"/>
        <w:jc w:val="both"/>
        <w:rPr>
          <w:rFonts w:eastAsia="Aptos"/>
          <w:color w:val="000000" w:themeColor="text1"/>
        </w:rPr>
      </w:pPr>
      <w:r>
        <w:rPr>
          <w:rFonts w:asciiTheme="minorHAnsi" w:eastAsia="Aptos" w:hAnsiTheme="minorHAnsi" w:cstheme="minorHAnsi"/>
        </w:rPr>
        <w:t>–</w:t>
      </w:r>
      <w:r>
        <w:rPr>
          <w:rFonts w:asciiTheme="minorHAnsi" w:eastAsia="Aptos" w:hAnsiTheme="minorHAnsi" w:cstheme="minorHAnsi"/>
        </w:rPr>
        <w:tab/>
      </w:r>
      <w:r w:rsidR="00692468" w:rsidRPr="009E1FFE">
        <w:rPr>
          <w:rFonts w:eastAsia="Aptos"/>
          <w:color w:val="000000" w:themeColor="text1"/>
        </w:rPr>
        <w:t xml:space="preserve">Technical assistance on </w:t>
      </w:r>
      <w:r w:rsidR="00692468" w:rsidRPr="00F05ED9">
        <w:rPr>
          <w:rFonts w:eastAsia="Aptos"/>
        </w:rPr>
        <w:t>Digital</w:t>
      </w:r>
      <w:r w:rsidR="00692468" w:rsidRPr="009E1FFE">
        <w:rPr>
          <w:rFonts w:eastAsia="Aptos"/>
          <w:color w:val="000000" w:themeColor="text1"/>
        </w:rPr>
        <w:t xml:space="preserve"> Audio Broadcasting (DAB) frequency planning in 174-230 MHz for Armenia, Azerbaijan, and Georgia is ongoing. </w:t>
      </w:r>
    </w:p>
    <w:p w14:paraId="668A39CC" w14:textId="4B86EFED" w:rsidR="00692468" w:rsidRPr="00DB5BAD" w:rsidRDefault="008537B1" w:rsidP="0024521F">
      <w:pPr>
        <w:pStyle w:val="enumlev1"/>
        <w:tabs>
          <w:tab w:val="clear" w:pos="567"/>
          <w:tab w:val="clear" w:pos="1134"/>
          <w:tab w:val="clear" w:pos="1701"/>
          <w:tab w:val="clear" w:pos="2268"/>
          <w:tab w:val="clear" w:pos="2835"/>
        </w:tabs>
        <w:ind w:left="709" w:hanging="425"/>
        <w:jc w:val="both"/>
        <w:rPr>
          <w:rFonts w:asciiTheme="minorHAnsi" w:hAnsiTheme="minorHAnsi" w:cstheme="minorHAnsi"/>
          <w:color w:val="000000"/>
          <w:szCs w:val="24"/>
          <w:lang w:val="en-US" w:eastAsia="zh-CN"/>
        </w:rPr>
      </w:pPr>
      <w:r>
        <w:rPr>
          <w:rFonts w:asciiTheme="minorHAnsi" w:eastAsia="Aptos" w:hAnsiTheme="minorHAnsi" w:cstheme="minorHAnsi"/>
        </w:rPr>
        <w:t>–</w:t>
      </w:r>
      <w:r>
        <w:rPr>
          <w:rFonts w:asciiTheme="minorHAnsi" w:eastAsia="Aptos" w:hAnsiTheme="minorHAnsi" w:cstheme="minorHAnsi"/>
        </w:rPr>
        <w:tab/>
      </w:r>
      <w:r w:rsidR="00692468" w:rsidRPr="009E1FFE">
        <w:rPr>
          <w:rFonts w:eastAsia="Aptos"/>
          <w:color w:val="000000" w:themeColor="text1"/>
        </w:rPr>
        <w:t xml:space="preserve">BR and BDT provided </w:t>
      </w:r>
      <w:r w:rsidR="00692468" w:rsidRPr="00F05ED9">
        <w:rPr>
          <w:rFonts w:eastAsia="Aptos"/>
        </w:rPr>
        <w:t>comprehensive</w:t>
      </w:r>
      <w:r w:rsidR="00692468" w:rsidRPr="009E1FFE">
        <w:rPr>
          <w:rFonts w:eastAsia="Aptos"/>
          <w:color w:val="000000" w:themeColor="text1"/>
        </w:rPr>
        <w:t xml:space="preserve"> regulatory and technical assistance to Uzbekistan through a dedicated workshop covering procedures for coordination, notification, and registration of terrestrial and satellite frequency assignments under the Radio Regulations. The assistance included practical training on ITU tools and software (e.g., BR IFIC, </w:t>
      </w:r>
      <w:proofErr w:type="spellStart"/>
      <w:r w:rsidR="00692468" w:rsidRPr="009E1FFE">
        <w:rPr>
          <w:rFonts w:eastAsia="Aptos"/>
          <w:color w:val="000000" w:themeColor="text1"/>
        </w:rPr>
        <w:t>SpaceCom</w:t>
      </w:r>
      <w:proofErr w:type="spellEnd"/>
      <w:r w:rsidR="00692468" w:rsidRPr="009E1FFE">
        <w:rPr>
          <w:rFonts w:eastAsia="Aptos"/>
          <w:color w:val="000000" w:themeColor="text1"/>
        </w:rPr>
        <w:t>, GIMS), guidance on implementation and protection of national frequency assignments and allotments, and tailored support to address specific coordination and compliance issues raised by the Administration of Uzbekistan.</w:t>
      </w:r>
    </w:p>
    <w:p w14:paraId="5FD8479C" w14:textId="77777777" w:rsidR="00692468" w:rsidRPr="00922311" w:rsidRDefault="00692468" w:rsidP="000A226D">
      <w:pPr>
        <w:pStyle w:val="Headingb"/>
        <w:tabs>
          <w:tab w:val="clear" w:pos="567"/>
          <w:tab w:val="clear" w:pos="1134"/>
          <w:tab w:val="clear" w:pos="1701"/>
          <w:tab w:val="clear" w:pos="2268"/>
          <w:tab w:val="clear" w:pos="2835"/>
        </w:tabs>
        <w:rPr>
          <w:rFonts w:eastAsia="Aptos"/>
        </w:rPr>
      </w:pPr>
      <w:r w:rsidRPr="00922311">
        <w:rPr>
          <w:rFonts w:eastAsia="Aptos"/>
        </w:rPr>
        <w:t xml:space="preserve">TSB-related activities </w:t>
      </w:r>
    </w:p>
    <w:p w14:paraId="07401939" w14:textId="77777777" w:rsidR="00692468" w:rsidRPr="00B52DD8" w:rsidRDefault="00692468" w:rsidP="000A226D">
      <w:pPr>
        <w:tabs>
          <w:tab w:val="clear" w:pos="567"/>
          <w:tab w:val="clear" w:pos="1134"/>
          <w:tab w:val="clear" w:pos="1701"/>
          <w:tab w:val="clear" w:pos="2268"/>
          <w:tab w:val="clear" w:pos="2835"/>
        </w:tabs>
        <w:jc w:val="both"/>
        <w:rPr>
          <w:rFonts w:asciiTheme="minorHAnsi" w:hAnsiTheme="minorHAnsi" w:cstheme="minorHAnsi"/>
          <w:szCs w:val="24"/>
          <w:lang w:eastAsia="pt-BR"/>
        </w:rPr>
      </w:pPr>
      <w:r w:rsidRPr="00B52DD8">
        <w:rPr>
          <w:rFonts w:asciiTheme="minorHAnsi" w:hAnsiTheme="minorHAnsi" w:cstheme="minorHAnsi"/>
          <w:szCs w:val="24"/>
          <w:lang w:eastAsia="pt-BR"/>
        </w:rPr>
        <w:t xml:space="preserve">On specific thematic areas of work, </w:t>
      </w:r>
      <w:r>
        <w:rPr>
          <w:rFonts w:asciiTheme="minorHAnsi" w:hAnsiTheme="minorHAnsi" w:cstheme="minorHAnsi"/>
          <w:szCs w:val="24"/>
          <w:lang w:eastAsia="pt-BR"/>
        </w:rPr>
        <w:t>RO-CIS</w:t>
      </w:r>
      <w:r w:rsidRPr="00B52DD8">
        <w:rPr>
          <w:rFonts w:asciiTheme="minorHAnsi" w:hAnsiTheme="minorHAnsi" w:cstheme="minorHAnsi"/>
          <w:szCs w:val="24"/>
          <w:lang w:eastAsia="pt-BR"/>
        </w:rPr>
        <w:t xml:space="preserve"> worked closely with </w:t>
      </w:r>
      <w:r>
        <w:rPr>
          <w:rFonts w:asciiTheme="minorHAnsi" w:hAnsiTheme="minorHAnsi" w:cstheme="minorHAnsi"/>
          <w:szCs w:val="24"/>
          <w:lang w:eastAsia="pt-BR"/>
        </w:rPr>
        <w:t xml:space="preserve">BDT and </w:t>
      </w:r>
      <w:r w:rsidRPr="00B52DD8">
        <w:rPr>
          <w:rFonts w:asciiTheme="minorHAnsi" w:hAnsiTheme="minorHAnsi" w:cstheme="minorHAnsi"/>
          <w:szCs w:val="24"/>
          <w:lang w:eastAsia="pt-BR"/>
        </w:rPr>
        <w:t>TSB team</w:t>
      </w:r>
      <w:r>
        <w:rPr>
          <w:rFonts w:asciiTheme="minorHAnsi" w:hAnsiTheme="minorHAnsi" w:cstheme="minorHAnsi"/>
          <w:szCs w:val="24"/>
          <w:lang w:eastAsia="pt-BR"/>
        </w:rPr>
        <w:t>s</w:t>
      </w:r>
      <w:r w:rsidRPr="00B52DD8">
        <w:rPr>
          <w:rFonts w:asciiTheme="minorHAnsi" w:hAnsiTheme="minorHAnsi" w:cstheme="minorHAnsi"/>
          <w:szCs w:val="24"/>
          <w:lang w:eastAsia="pt-BR"/>
        </w:rPr>
        <w:t xml:space="preserve"> on the following activities: </w:t>
      </w:r>
    </w:p>
    <w:p w14:paraId="41144240" w14:textId="3A6882D1" w:rsidR="00692468" w:rsidRPr="00F45C4E" w:rsidRDefault="008537B1" w:rsidP="0024521F">
      <w:pPr>
        <w:pStyle w:val="enumlev1"/>
        <w:tabs>
          <w:tab w:val="clear" w:pos="567"/>
          <w:tab w:val="clear" w:pos="1134"/>
          <w:tab w:val="clear" w:pos="1701"/>
          <w:tab w:val="clear" w:pos="2268"/>
          <w:tab w:val="clear" w:pos="2835"/>
        </w:tabs>
        <w:ind w:left="709" w:hanging="425"/>
        <w:jc w:val="both"/>
        <w:rPr>
          <w:rFonts w:asciiTheme="minorHAnsi" w:hAnsiTheme="minorHAnsi" w:cstheme="minorHAnsi"/>
          <w:szCs w:val="24"/>
          <w:lang w:eastAsia="pt-BR"/>
        </w:rPr>
      </w:pPr>
      <w:r>
        <w:rPr>
          <w:rFonts w:asciiTheme="minorHAnsi" w:eastAsia="Aptos" w:hAnsiTheme="minorHAnsi" w:cstheme="minorHAnsi"/>
        </w:rPr>
        <w:t>–</w:t>
      </w:r>
      <w:r>
        <w:rPr>
          <w:rFonts w:asciiTheme="minorHAnsi" w:eastAsia="Aptos" w:hAnsiTheme="minorHAnsi" w:cstheme="minorHAnsi"/>
        </w:rPr>
        <w:tab/>
      </w:r>
      <w:r w:rsidR="00692468" w:rsidRPr="00F45C4E">
        <w:rPr>
          <w:rFonts w:asciiTheme="minorHAnsi" w:hAnsiTheme="minorHAnsi" w:cstheme="minorHAnsi"/>
          <w:szCs w:val="24"/>
          <w:lang w:eastAsia="pt-BR"/>
        </w:rPr>
        <w:t xml:space="preserve">Implementation of a regional project on Conformance and Interoperability “International Research, Development and </w:t>
      </w:r>
      <w:r w:rsidR="00692468" w:rsidRPr="00F05ED9">
        <w:rPr>
          <w:rFonts w:eastAsia="Aptos"/>
        </w:rPr>
        <w:t>Testing</w:t>
      </w:r>
      <w:r w:rsidR="00692468" w:rsidRPr="00F45C4E">
        <w:rPr>
          <w:rFonts w:asciiTheme="minorHAnsi" w:hAnsiTheme="minorHAnsi" w:cstheme="minorHAnsi"/>
          <w:szCs w:val="24"/>
          <w:lang w:eastAsia="pt-BR"/>
        </w:rPr>
        <w:t xml:space="preserve"> Centre for ITU Member States and ITU Sector Members in the CIS region – Phase 2” co-funded by ITU and Rostelecom (ITU-T Sector Member). In the reporting period the project team performed a series of tests on telecom equipment for compliance with ITU-T Recommendations.</w:t>
      </w:r>
    </w:p>
    <w:p w14:paraId="413E60F9" w14:textId="78576713" w:rsidR="00692468" w:rsidRPr="00B52DD8" w:rsidRDefault="008537B1" w:rsidP="0024521F">
      <w:pPr>
        <w:pStyle w:val="enumlev1"/>
        <w:tabs>
          <w:tab w:val="clear" w:pos="567"/>
          <w:tab w:val="clear" w:pos="1134"/>
          <w:tab w:val="clear" w:pos="1701"/>
          <w:tab w:val="clear" w:pos="2268"/>
          <w:tab w:val="clear" w:pos="2835"/>
        </w:tabs>
        <w:ind w:left="709" w:hanging="425"/>
        <w:jc w:val="both"/>
        <w:rPr>
          <w:rFonts w:asciiTheme="minorHAnsi" w:eastAsia="Aptos" w:hAnsiTheme="minorHAnsi" w:cstheme="minorHAnsi"/>
        </w:rPr>
      </w:pPr>
      <w:r>
        <w:rPr>
          <w:rFonts w:asciiTheme="minorHAnsi" w:eastAsia="Aptos" w:hAnsiTheme="minorHAnsi" w:cstheme="minorHAnsi"/>
        </w:rPr>
        <w:t>–</w:t>
      </w:r>
      <w:r>
        <w:rPr>
          <w:rFonts w:asciiTheme="minorHAnsi" w:eastAsia="Aptos" w:hAnsiTheme="minorHAnsi" w:cstheme="minorHAnsi"/>
        </w:rPr>
        <w:tab/>
      </w:r>
      <w:r w:rsidR="00692468" w:rsidRPr="00B52DD8">
        <w:rPr>
          <w:rFonts w:asciiTheme="minorHAnsi" w:hAnsiTheme="minorHAnsi" w:cstheme="minorHAnsi"/>
          <w:szCs w:val="24"/>
          <w:lang w:eastAsia="pt-BR"/>
        </w:rPr>
        <w:t>ITU Regional Forum “</w:t>
      </w:r>
      <w:hyperlink r:id="rId52" w:history="1">
        <w:r w:rsidR="00692468" w:rsidRPr="00B9716E">
          <w:rPr>
            <w:rStyle w:val="Hyperlink"/>
            <w:rFonts w:asciiTheme="minorHAnsi" w:hAnsiTheme="minorHAnsi" w:cstheme="minorHAnsi"/>
            <w:szCs w:val="24"/>
            <w:lang w:eastAsia="pt-BR"/>
          </w:rPr>
          <w:t>Future Technologies: AI, Metaverse, HTC and other ICT Applications and Services. Vision 2030</w:t>
        </w:r>
      </w:hyperlink>
      <w:r w:rsidR="00692468" w:rsidRPr="00B52DD8">
        <w:rPr>
          <w:rFonts w:asciiTheme="minorHAnsi" w:hAnsiTheme="minorHAnsi" w:cstheme="minorHAnsi"/>
          <w:szCs w:val="24"/>
          <w:lang w:eastAsia="pt-BR"/>
        </w:rPr>
        <w:t xml:space="preserve">” took place in St. Petersburg, Russian Federation </w:t>
      </w:r>
      <w:r w:rsidR="00692468">
        <w:rPr>
          <w:rFonts w:asciiTheme="minorHAnsi" w:hAnsiTheme="minorHAnsi" w:cstheme="minorHAnsi"/>
          <w:szCs w:val="24"/>
          <w:lang w:eastAsia="pt-BR"/>
        </w:rPr>
        <w:t>on</w:t>
      </w:r>
      <w:r w:rsidR="00692468" w:rsidRPr="00B52DD8">
        <w:rPr>
          <w:rFonts w:asciiTheme="minorHAnsi" w:hAnsiTheme="minorHAnsi" w:cstheme="minorHAnsi"/>
          <w:szCs w:val="24"/>
          <w:lang w:eastAsia="pt-BR"/>
        </w:rPr>
        <w:t xml:space="preserve"> 9</w:t>
      </w:r>
      <w:r w:rsidR="00692468">
        <w:rPr>
          <w:rFonts w:asciiTheme="minorHAnsi" w:hAnsiTheme="minorHAnsi" w:cstheme="minorHAnsi"/>
          <w:szCs w:val="24"/>
          <w:lang w:eastAsia="pt-BR"/>
        </w:rPr>
        <w:t>-</w:t>
      </w:r>
      <w:r w:rsidR="00692468" w:rsidRPr="00B52DD8">
        <w:rPr>
          <w:rFonts w:asciiTheme="minorHAnsi" w:hAnsiTheme="minorHAnsi" w:cstheme="minorHAnsi"/>
          <w:szCs w:val="24"/>
          <w:lang w:eastAsia="pt-BR"/>
        </w:rPr>
        <w:t xml:space="preserve">11 June 2025. The Forum was co-organized by the ITU and the Regional Commonwealth in the Field of Communications (RCC) with the support of the Ministry of Digital Development, Communications and Mass Media of the Russian Federation. The Forum was held </w:t>
      </w:r>
      <w:r w:rsidR="00692468" w:rsidRPr="00702837">
        <w:rPr>
          <w:rFonts w:asciiTheme="minorHAnsi" w:hAnsiTheme="minorHAnsi" w:cstheme="minorHAnsi"/>
          <w:szCs w:val="24"/>
          <w:lang w:eastAsia="pt-BR"/>
        </w:rPr>
        <w:t>back-to-back</w:t>
      </w:r>
      <w:r w:rsidR="00692468" w:rsidRPr="00B52DD8">
        <w:rPr>
          <w:rFonts w:asciiTheme="minorHAnsi" w:hAnsiTheme="minorHAnsi" w:cstheme="minorHAnsi"/>
          <w:szCs w:val="24"/>
          <w:lang w:eastAsia="pt-BR"/>
        </w:rPr>
        <w:t xml:space="preserve"> with the meetings of the ITU-T Study Group 11 Regional Group, ITU-T Study Group 13 Regional Group and ITU-T Study Group 20 Regional Group for Eastern Europe, Central Asia and Transcaucasia (SG11RG-EECAT, SG13RG-EECAT and SG20RG-EECAT).</w:t>
      </w:r>
    </w:p>
    <w:p w14:paraId="111B147D" w14:textId="77777777" w:rsidR="00692468" w:rsidRPr="003C6510" w:rsidRDefault="00692468" w:rsidP="0024521F">
      <w:pPr>
        <w:pStyle w:val="Heading2"/>
        <w:tabs>
          <w:tab w:val="clear" w:pos="567"/>
          <w:tab w:val="clear" w:pos="1134"/>
          <w:tab w:val="clear" w:pos="1701"/>
          <w:tab w:val="clear" w:pos="2268"/>
          <w:tab w:val="clear" w:pos="2835"/>
        </w:tabs>
        <w:ind w:left="0" w:firstLine="0"/>
        <w:rPr>
          <w:rFonts w:eastAsia="Aptos"/>
        </w:rPr>
      </w:pPr>
      <w:r w:rsidRPr="003C6510">
        <w:rPr>
          <w:rFonts w:eastAsia="Aptos"/>
        </w:rPr>
        <w:t>3.7</w:t>
      </w:r>
      <w:r w:rsidRPr="003C6510">
        <w:rPr>
          <w:rFonts w:eastAsia="Aptos"/>
        </w:rPr>
        <w:tab/>
        <w:t>ITU Office for Europe (RO-EUR) / Europe activities</w:t>
      </w:r>
    </w:p>
    <w:p w14:paraId="56EDC5B1" w14:textId="77777777" w:rsidR="00692468" w:rsidRPr="00922311" w:rsidRDefault="00692468" w:rsidP="000A226D">
      <w:pPr>
        <w:pStyle w:val="Headingb"/>
        <w:tabs>
          <w:tab w:val="clear" w:pos="567"/>
          <w:tab w:val="clear" w:pos="1134"/>
          <w:tab w:val="clear" w:pos="1701"/>
          <w:tab w:val="clear" w:pos="2268"/>
          <w:tab w:val="clear" w:pos="2835"/>
        </w:tabs>
        <w:rPr>
          <w:rFonts w:eastAsia="Aptos"/>
        </w:rPr>
      </w:pPr>
      <w:r w:rsidRPr="00922311">
        <w:rPr>
          <w:rFonts w:eastAsia="Aptos"/>
        </w:rPr>
        <w:t xml:space="preserve">BR-related activities </w:t>
      </w:r>
    </w:p>
    <w:p w14:paraId="7AC5FFAC" w14:textId="0652F20A" w:rsidR="00692468" w:rsidRPr="00922311"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An executive</w:t>
      </w:r>
      <w:r w:rsidR="00692468" w:rsidRPr="00922311">
        <w:rPr>
          <w:rFonts w:eastAsia="Aptos"/>
        </w:rPr>
        <w:t xml:space="preserve"> briefing on BR-related issues to the EU Council Working Party on Telecommunications and Information Society was organized on 27 March 2025 in Brussels. </w:t>
      </w:r>
    </w:p>
    <w:p w14:paraId="18EE6AAA" w14:textId="4D33A5BB" w:rsidR="00692468" w:rsidRPr="00922311"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922311">
        <w:rPr>
          <w:rFonts w:eastAsia="Aptos"/>
        </w:rPr>
        <w:t xml:space="preserve">BR Experts have been contributing to the technical assistance to Ukraine in line with the ITU Council Resolution 1408. This included holding spectrum-related online </w:t>
      </w:r>
      <w:r w:rsidR="00692468">
        <w:rPr>
          <w:rFonts w:eastAsia="Aptos"/>
        </w:rPr>
        <w:t xml:space="preserve">consultations </w:t>
      </w:r>
      <w:r w:rsidR="00692468" w:rsidRPr="00922311">
        <w:rPr>
          <w:rFonts w:eastAsia="Aptos"/>
        </w:rPr>
        <w:t>for the Ukrainian officials</w:t>
      </w:r>
      <w:r w:rsidR="00692468">
        <w:rPr>
          <w:rFonts w:eastAsia="Aptos"/>
        </w:rPr>
        <w:t xml:space="preserve"> and development of the agenda of the next </w:t>
      </w:r>
      <w:r w:rsidR="00692468" w:rsidRPr="00922311">
        <w:rPr>
          <w:rFonts w:eastAsia="Aptos"/>
        </w:rPr>
        <w:t xml:space="preserve">ITU-EC TAIEX Workshop, </w:t>
      </w:r>
      <w:r w:rsidR="00692468">
        <w:rPr>
          <w:rFonts w:eastAsia="Aptos"/>
        </w:rPr>
        <w:t>to be held in Q2/2026</w:t>
      </w:r>
      <w:r w:rsidR="00692468" w:rsidRPr="00922311">
        <w:rPr>
          <w:rFonts w:eastAsia="Aptos"/>
        </w:rPr>
        <w:t>.</w:t>
      </w:r>
    </w:p>
    <w:p w14:paraId="0D7EB4EE" w14:textId="0DFA11EB" w:rsidR="00692468" w:rsidRPr="00FF1A13"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922311">
        <w:rPr>
          <w:rFonts w:eastAsia="Aptos"/>
        </w:rPr>
        <w:t xml:space="preserve">BR Experts contributed to the EaPeReg workshops, further strengthening our cooperation between ITU and members of EaPeReg. </w:t>
      </w:r>
      <w:r w:rsidR="00692468" w:rsidRPr="00B52DD8">
        <w:rPr>
          <w:rFonts w:eastAsia="Aptos"/>
        </w:rPr>
        <w:t>ITU-EaPeReg-EMERG Capacity-Building Workshop on Quality of Service and Resilience of Digital Infrastructure for Regulatory Authorities</w:t>
      </w:r>
      <w:r w:rsidR="00692468" w:rsidRPr="00FE4BAA">
        <w:rPr>
          <w:rFonts w:eastAsia="Aptos"/>
        </w:rPr>
        <w:t xml:space="preserve"> was held from 14-15 October 2025 in Cyprus and strengthened human capacity of over 60 stakeholders from </w:t>
      </w:r>
      <w:r w:rsidR="00692468" w:rsidRPr="00D73A8F">
        <w:rPr>
          <w:rFonts w:eastAsia="Aptos"/>
        </w:rPr>
        <w:t xml:space="preserve">14 countries. </w:t>
      </w:r>
    </w:p>
    <w:p w14:paraId="50EFD8A4" w14:textId="5F74EEA8" w:rsidR="00692468" w:rsidRPr="00922311"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lastRenderedPageBreak/>
        <w:t>–</w:t>
      </w:r>
      <w:r>
        <w:rPr>
          <w:rFonts w:asciiTheme="minorHAnsi" w:eastAsia="Aptos" w:hAnsiTheme="minorHAnsi" w:cstheme="minorHAnsi"/>
        </w:rPr>
        <w:tab/>
      </w:r>
      <w:r w:rsidR="00692468">
        <w:rPr>
          <w:rFonts w:eastAsia="Aptos"/>
        </w:rPr>
        <w:t xml:space="preserve">The </w:t>
      </w:r>
      <w:r w:rsidR="00692468" w:rsidRPr="00922311">
        <w:rPr>
          <w:rFonts w:eastAsia="Aptos"/>
        </w:rPr>
        <w:t xml:space="preserve">ITU </w:t>
      </w:r>
      <w:hyperlink r:id="rId53" w:history="1">
        <w:r w:rsidR="00692468" w:rsidRPr="00E51B7D">
          <w:rPr>
            <w:rStyle w:val="Hyperlink"/>
            <w:rFonts w:eastAsia="Aptos"/>
          </w:rPr>
          <w:t>Regional Radiocommunication Seminar for Europe</w:t>
        </w:r>
      </w:hyperlink>
      <w:r w:rsidR="00692468">
        <w:rPr>
          <w:rFonts w:eastAsia="Aptos"/>
        </w:rPr>
        <w:t xml:space="preserve"> was held on 16-20 </w:t>
      </w:r>
      <w:r w:rsidR="00692468" w:rsidRPr="00922311">
        <w:rPr>
          <w:rFonts w:eastAsia="Aptos"/>
        </w:rPr>
        <w:t xml:space="preserve">February 2026 </w:t>
      </w:r>
      <w:r w:rsidR="00692468">
        <w:rPr>
          <w:rFonts w:eastAsia="Aptos"/>
        </w:rPr>
        <w:t xml:space="preserve">in Athens, Greece, and </w:t>
      </w:r>
      <w:r w:rsidR="00692468" w:rsidRPr="00922311">
        <w:rPr>
          <w:rFonts w:eastAsia="Aptos"/>
        </w:rPr>
        <w:t>further develop</w:t>
      </w:r>
      <w:r w:rsidR="00692468">
        <w:rPr>
          <w:rFonts w:eastAsia="Aptos"/>
        </w:rPr>
        <w:t>ed</w:t>
      </w:r>
      <w:r w:rsidR="00692468" w:rsidRPr="00922311">
        <w:rPr>
          <w:rFonts w:eastAsia="Aptos"/>
        </w:rPr>
        <w:t xml:space="preserve"> the human capacities of </w:t>
      </w:r>
      <w:r w:rsidR="00692468">
        <w:rPr>
          <w:rFonts w:eastAsia="Aptos"/>
        </w:rPr>
        <w:t xml:space="preserve">over 120 experts from over 30 </w:t>
      </w:r>
      <w:r w:rsidR="00692468" w:rsidRPr="00922311">
        <w:rPr>
          <w:rFonts w:eastAsia="Aptos"/>
        </w:rPr>
        <w:t xml:space="preserve">European countries. </w:t>
      </w:r>
    </w:p>
    <w:p w14:paraId="1C56DEAD" w14:textId="77777777" w:rsidR="00692468" w:rsidRPr="00922311" w:rsidRDefault="00692468" w:rsidP="000A226D">
      <w:pPr>
        <w:pStyle w:val="Headingb"/>
        <w:tabs>
          <w:tab w:val="clear" w:pos="567"/>
          <w:tab w:val="clear" w:pos="1134"/>
          <w:tab w:val="clear" w:pos="1701"/>
          <w:tab w:val="clear" w:pos="2268"/>
          <w:tab w:val="clear" w:pos="2835"/>
        </w:tabs>
        <w:rPr>
          <w:rFonts w:eastAsia="Aptos"/>
        </w:rPr>
      </w:pPr>
      <w:r w:rsidRPr="00922311">
        <w:rPr>
          <w:rFonts w:eastAsia="Aptos"/>
        </w:rPr>
        <w:t>TSB-related activities</w:t>
      </w:r>
    </w:p>
    <w:p w14:paraId="4BA9572F" w14:textId="78FF1F4C" w:rsidR="00692468"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316FE2">
        <w:rPr>
          <w:rFonts w:eastAsia="Aptos"/>
        </w:rPr>
        <w:t>RO</w:t>
      </w:r>
      <w:r w:rsidR="00692468" w:rsidRPr="00316FE2">
        <w:rPr>
          <w:rFonts w:ascii="Cambria Math" w:eastAsia="Aptos" w:hAnsi="Cambria Math" w:cs="Cambria Math"/>
        </w:rPr>
        <w:t>‑</w:t>
      </w:r>
      <w:r w:rsidR="00692468" w:rsidRPr="00316FE2">
        <w:rPr>
          <w:rFonts w:eastAsia="Aptos"/>
        </w:rPr>
        <w:t>EUR facilitated coordination between TSB and regional organizations (CEPT and the EU), continued to follow CEPT Com</w:t>
      </w:r>
      <w:r w:rsidR="00692468" w:rsidRPr="00316FE2">
        <w:rPr>
          <w:rFonts w:ascii="Cambria Math" w:eastAsia="Aptos" w:hAnsi="Cambria Math" w:cs="Cambria Math"/>
        </w:rPr>
        <w:t>‑</w:t>
      </w:r>
      <w:r w:rsidR="00692468" w:rsidRPr="00316FE2">
        <w:rPr>
          <w:rFonts w:eastAsia="Aptos"/>
        </w:rPr>
        <w:t>ITU work on ITU</w:t>
      </w:r>
      <w:r w:rsidR="00692468" w:rsidRPr="00316FE2">
        <w:rPr>
          <w:rFonts w:ascii="Cambria Math" w:eastAsia="Aptos" w:hAnsi="Cambria Math" w:cs="Cambria Math"/>
        </w:rPr>
        <w:t>‑</w:t>
      </w:r>
      <w:r w:rsidR="00692468" w:rsidRPr="00316FE2">
        <w:rPr>
          <w:rFonts w:eastAsia="Aptos"/>
        </w:rPr>
        <w:t>T, and supported the TSB Director</w:t>
      </w:r>
      <w:r w:rsidR="00692468" w:rsidRPr="00316FE2">
        <w:rPr>
          <w:rFonts w:eastAsia="Aptos" w:cs="Calibri"/>
        </w:rPr>
        <w:t>’</w:t>
      </w:r>
      <w:r w:rsidR="00692468" w:rsidRPr="00316FE2">
        <w:rPr>
          <w:rFonts w:eastAsia="Aptos"/>
        </w:rPr>
        <w:t>s participation in a CEPT Com</w:t>
      </w:r>
      <w:r w:rsidR="00692468" w:rsidRPr="00316FE2">
        <w:rPr>
          <w:rFonts w:ascii="Cambria Math" w:eastAsia="Aptos" w:hAnsi="Cambria Math" w:cs="Cambria Math"/>
        </w:rPr>
        <w:t>‑</w:t>
      </w:r>
      <w:r w:rsidR="00692468" w:rsidRPr="00316FE2">
        <w:rPr>
          <w:rFonts w:eastAsia="Aptos"/>
        </w:rPr>
        <w:t>ITU meeting in Athens (September 2025)</w:t>
      </w:r>
      <w:r w:rsidR="00692468">
        <w:rPr>
          <w:rFonts w:eastAsia="Aptos"/>
        </w:rPr>
        <w:t>.</w:t>
      </w:r>
    </w:p>
    <w:p w14:paraId="3A8272BA" w14:textId="0AB324EB" w:rsidR="00692468"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0B66ED">
        <w:rPr>
          <w:rFonts w:eastAsia="Aptos"/>
        </w:rPr>
        <w:t>A TSB–European Commission synchronization workshop was</w:t>
      </w:r>
      <w:r w:rsidR="00692468">
        <w:rPr>
          <w:rFonts w:eastAsia="Aptos"/>
        </w:rPr>
        <w:t xml:space="preserve"> organized</w:t>
      </w:r>
      <w:r w:rsidR="00692468" w:rsidRPr="000B66ED">
        <w:rPr>
          <w:rFonts w:eastAsia="Aptos"/>
        </w:rPr>
        <w:t xml:space="preserve"> on 19 February 2025 in Brussels to identify areas for enhanced cooperation</w:t>
      </w:r>
      <w:r w:rsidR="00692468" w:rsidRPr="00922311">
        <w:rPr>
          <w:rFonts w:eastAsia="Aptos"/>
        </w:rPr>
        <w:t xml:space="preserve">. </w:t>
      </w:r>
    </w:p>
    <w:p w14:paraId="39781C71" w14:textId="1F163F47" w:rsidR="00692468"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Pr>
          <w:rFonts w:eastAsia="Aptos"/>
        </w:rPr>
        <w:t>An executive</w:t>
      </w:r>
      <w:r w:rsidR="00692468" w:rsidRPr="00922311">
        <w:rPr>
          <w:rFonts w:eastAsia="Aptos"/>
        </w:rPr>
        <w:t xml:space="preserve"> briefing on TSB-related issues to the EU Council Working Party on Telecommunications and Information Society was organized on 20 February 2025 in Brussels. </w:t>
      </w:r>
    </w:p>
    <w:p w14:paraId="4FE7F0D8" w14:textId="438C8BAA" w:rsidR="00692468" w:rsidRPr="00C41C75"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C41C75">
        <w:rPr>
          <w:rFonts w:eastAsia="Aptos"/>
        </w:rPr>
        <w:t>In September 2025 in Moldova, a workshop on “</w:t>
      </w:r>
      <w:hyperlink r:id="rId54" w:history="1">
        <w:r w:rsidR="00692468" w:rsidRPr="00061116">
          <w:rPr>
            <w:rStyle w:val="Hyperlink"/>
            <w:rFonts w:eastAsia="Aptos"/>
          </w:rPr>
          <w:t>EMF Harmony: International, Regional and National Policies, Strategies and Standards Related to Human Exposure to Electromagnetic Fields</w:t>
        </w:r>
      </w:hyperlink>
      <w:r w:rsidR="00692468" w:rsidRPr="00C41C75">
        <w:rPr>
          <w:rFonts w:eastAsia="Aptos"/>
        </w:rPr>
        <w:t>” was jointly organized with TSB, and technical assistance was delivered to Moldova.</w:t>
      </w:r>
    </w:p>
    <w:p w14:paraId="100F677D" w14:textId="34B7CBD5" w:rsidR="00692468"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013EE0">
        <w:rPr>
          <w:rFonts w:eastAsia="Aptos"/>
        </w:rPr>
        <w:t>The ITU</w:t>
      </w:r>
      <w:r>
        <w:rPr>
          <w:rFonts w:eastAsia="Aptos"/>
        </w:rPr>
        <w:t>-</w:t>
      </w:r>
      <w:r w:rsidR="00692468" w:rsidRPr="00013EE0">
        <w:rPr>
          <w:rFonts w:eastAsia="Aptos"/>
        </w:rPr>
        <w:t>EC Accessible Europe: ICT4ALL Forum was held on 2</w:t>
      </w:r>
      <w:r w:rsidR="00692468">
        <w:rPr>
          <w:rFonts w:eastAsia="Aptos"/>
        </w:rPr>
        <w:t>-</w:t>
      </w:r>
      <w:r w:rsidR="00692468" w:rsidRPr="00013EE0">
        <w:rPr>
          <w:rFonts w:eastAsia="Aptos"/>
        </w:rPr>
        <w:t>3 December 2025 in Brussels, with a programme co</w:t>
      </w:r>
      <w:r w:rsidR="00692468" w:rsidRPr="00013EE0">
        <w:rPr>
          <w:rFonts w:ascii="Cambria Math" w:eastAsia="Aptos" w:hAnsi="Cambria Math" w:cs="Cambria Math"/>
        </w:rPr>
        <w:t>‑</w:t>
      </w:r>
      <w:r w:rsidR="00692468">
        <w:rPr>
          <w:rFonts w:eastAsia="Aptos"/>
        </w:rPr>
        <w:t>created with</w:t>
      </w:r>
      <w:r w:rsidR="00692468" w:rsidRPr="00013EE0">
        <w:rPr>
          <w:rFonts w:eastAsia="Aptos"/>
        </w:rPr>
        <w:t xml:space="preserve"> all </w:t>
      </w:r>
      <w:r w:rsidR="00692468">
        <w:rPr>
          <w:rFonts w:eastAsia="Aptos"/>
        </w:rPr>
        <w:t>S</w:t>
      </w:r>
      <w:r w:rsidR="00692468" w:rsidRPr="00013EE0">
        <w:rPr>
          <w:rFonts w:eastAsia="Aptos"/>
        </w:rPr>
        <w:t xml:space="preserve">ectors and TSB leading sessions on AI and </w:t>
      </w:r>
      <w:r w:rsidR="00692468">
        <w:rPr>
          <w:rFonts w:eastAsia="Aptos"/>
        </w:rPr>
        <w:t>S</w:t>
      </w:r>
      <w:r w:rsidR="00692468" w:rsidRPr="00013EE0">
        <w:rPr>
          <w:rFonts w:eastAsia="Aptos"/>
        </w:rPr>
        <w:t xml:space="preserve">mart </w:t>
      </w:r>
      <w:r w:rsidR="00692468">
        <w:rPr>
          <w:rFonts w:eastAsia="Aptos"/>
        </w:rPr>
        <w:t>C</w:t>
      </w:r>
      <w:r w:rsidR="00692468" w:rsidRPr="00013EE0">
        <w:rPr>
          <w:rFonts w:eastAsia="Aptos"/>
        </w:rPr>
        <w:t>ities.</w:t>
      </w:r>
      <w:r w:rsidR="00692468" w:rsidRPr="00C41C75">
        <w:rPr>
          <w:rFonts w:eastAsia="Aptos"/>
        </w:rPr>
        <w:t xml:space="preserve"> </w:t>
      </w:r>
    </w:p>
    <w:p w14:paraId="3A01D1CB" w14:textId="77777777" w:rsidR="00692468" w:rsidRPr="00C41C75" w:rsidRDefault="00692468" w:rsidP="0024521F">
      <w:pPr>
        <w:pStyle w:val="enumlev1"/>
        <w:tabs>
          <w:tab w:val="clear" w:pos="567"/>
          <w:tab w:val="clear" w:pos="1134"/>
          <w:tab w:val="clear" w:pos="1701"/>
          <w:tab w:val="clear" w:pos="2268"/>
          <w:tab w:val="clear" w:pos="2835"/>
        </w:tabs>
        <w:ind w:left="709" w:hanging="425"/>
        <w:jc w:val="both"/>
        <w:rPr>
          <w:rFonts w:eastAsia="Aptos"/>
        </w:rPr>
      </w:pPr>
      <w:r w:rsidRPr="00C41C75">
        <w:rPr>
          <w:rFonts w:ascii="Symbol" w:eastAsia="Aptos" w:hAnsi="Symbol"/>
        </w:rPr>
        <w:t></w:t>
      </w:r>
      <w:r w:rsidRPr="00C41C75">
        <w:rPr>
          <w:rFonts w:ascii="Symbol" w:eastAsia="Aptos" w:hAnsi="Symbol"/>
        </w:rPr>
        <w:tab/>
      </w:r>
      <w:r>
        <w:rPr>
          <w:rFonts w:eastAsia="Aptos"/>
        </w:rPr>
        <w:t xml:space="preserve">RO-EUR supported the </w:t>
      </w:r>
      <w:r w:rsidRPr="00C41C75">
        <w:rPr>
          <w:rFonts w:eastAsia="Aptos"/>
        </w:rPr>
        <w:t xml:space="preserve">ITU-T workshop on </w:t>
      </w:r>
      <w:r>
        <w:rPr>
          <w:rFonts w:eastAsia="Aptos"/>
        </w:rPr>
        <w:t>“</w:t>
      </w:r>
      <w:r w:rsidRPr="00C41C75">
        <w:rPr>
          <w:rFonts w:eastAsia="Aptos"/>
        </w:rPr>
        <w:t>Global Initiative on Resilience to Natural Hazards through AI Solutions</w:t>
      </w:r>
      <w:r>
        <w:rPr>
          <w:rFonts w:eastAsia="Aptos"/>
        </w:rPr>
        <w:t>”</w:t>
      </w:r>
      <w:r w:rsidRPr="00C41C75">
        <w:rPr>
          <w:rFonts w:eastAsia="Aptos"/>
        </w:rPr>
        <w:t xml:space="preserve"> (December 2025), hosted</w:t>
      </w:r>
      <w:r>
        <w:rPr>
          <w:rFonts w:eastAsia="Aptos"/>
        </w:rPr>
        <w:t xml:space="preserve"> in Brussels</w:t>
      </w:r>
      <w:r w:rsidRPr="00C41C75">
        <w:rPr>
          <w:rFonts w:eastAsia="Aptos"/>
        </w:rPr>
        <w:t xml:space="preserve"> by the European Commission.</w:t>
      </w:r>
    </w:p>
    <w:p w14:paraId="72DA391A" w14:textId="77777777" w:rsidR="00692468" w:rsidRPr="003C6510" w:rsidRDefault="00692468" w:rsidP="0024521F">
      <w:pPr>
        <w:pStyle w:val="Heading2"/>
        <w:tabs>
          <w:tab w:val="clear" w:pos="567"/>
          <w:tab w:val="clear" w:pos="1134"/>
          <w:tab w:val="clear" w:pos="1701"/>
          <w:tab w:val="clear" w:pos="2268"/>
          <w:tab w:val="clear" w:pos="2835"/>
        </w:tabs>
        <w:ind w:left="0" w:firstLine="0"/>
        <w:rPr>
          <w:rFonts w:eastAsia="Aptos"/>
        </w:rPr>
      </w:pPr>
      <w:r w:rsidRPr="003C6510">
        <w:rPr>
          <w:rFonts w:eastAsia="Aptos"/>
        </w:rPr>
        <w:t>3.8</w:t>
      </w:r>
      <w:r w:rsidRPr="003C6510">
        <w:rPr>
          <w:rFonts w:eastAsia="Aptos"/>
        </w:rPr>
        <w:tab/>
        <w:t>Cross-regional coordination</w:t>
      </w:r>
    </w:p>
    <w:p w14:paraId="38CD8AEA" w14:textId="77777777" w:rsidR="00692468" w:rsidRPr="003073AC" w:rsidRDefault="00692468" w:rsidP="000A226D">
      <w:pPr>
        <w:pStyle w:val="Headingb"/>
        <w:tabs>
          <w:tab w:val="clear" w:pos="567"/>
          <w:tab w:val="clear" w:pos="1134"/>
          <w:tab w:val="clear" w:pos="1701"/>
          <w:tab w:val="clear" w:pos="2268"/>
          <w:tab w:val="clear" w:pos="2835"/>
        </w:tabs>
        <w:rPr>
          <w:rFonts w:eastAsia="Aptos"/>
        </w:rPr>
      </w:pPr>
      <w:r w:rsidRPr="003073AC">
        <w:rPr>
          <w:rFonts w:eastAsia="Aptos"/>
        </w:rPr>
        <w:t>BR</w:t>
      </w:r>
      <w:r>
        <w:rPr>
          <w:rFonts w:eastAsia="Aptos"/>
        </w:rPr>
        <w:t>-</w:t>
      </w:r>
      <w:r w:rsidRPr="003073AC">
        <w:rPr>
          <w:rFonts w:eastAsia="Aptos"/>
        </w:rPr>
        <w:t>related activities</w:t>
      </w:r>
    </w:p>
    <w:p w14:paraId="4056FF36" w14:textId="28293384" w:rsidR="00692468" w:rsidRPr="00F45C4E"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F45C4E">
        <w:rPr>
          <w:rFonts w:eastAsia="SimSun"/>
        </w:rPr>
        <w:t>Th</w:t>
      </w:r>
      <w:r w:rsidR="00692468" w:rsidRPr="00F45C4E">
        <w:rPr>
          <w:rFonts w:eastAsia="Aptos"/>
        </w:rPr>
        <w:t>e long-standing joint work on ensuring effective spectrum use, specifically for developing countries, as reflected in WTDC Resolution 9, includes deployment of the SMS4DC tool, which adheres to the Radio Regulations adopted by the World Radiocommunication Conference (WRC).</w:t>
      </w:r>
    </w:p>
    <w:p w14:paraId="64898A0A" w14:textId="48D2C022" w:rsidR="00692468" w:rsidRPr="00F45C4E"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F45C4E">
        <w:rPr>
          <w:rFonts w:eastAsia="Aptos"/>
        </w:rPr>
        <w:t>Joint work also includes efforts to reduce energy consumption and address climate change through ICT and radiocommunication technologies. BDT continues to support Member States in these areas, and there is effective information exchange between ITU</w:t>
      </w:r>
      <w:r w:rsidR="00692468" w:rsidRPr="00F45C4E">
        <w:rPr>
          <w:rFonts w:ascii="Cambria Math" w:eastAsia="Aptos" w:hAnsi="Cambria Math" w:cs="Cambria Math"/>
        </w:rPr>
        <w:t>‑</w:t>
      </w:r>
      <w:r w:rsidR="00692468" w:rsidRPr="00F45C4E">
        <w:rPr>
          <w:rFonts w:eastAsia="Aptos"/>
        </w:rPr>
        <w:t>D and ITU</w:t>
      </w:r>
      <w:r w:rsidR="00692468" w:rsidRPr="00F45C4E">
        <w:rPr>
          <w:rFonts w:ascii="Cambria Math" w:eastAsia="Aptos" w:hAnsi="Cambria Math" w:cs="Cambria Math"/>
        </w:rPr>
        <w:t>‑</w:t>
      </w:r>
      <w:r w:rsidR="00692468" w:rsidRPr="00F45C4E">
        <w:rPr>
          <w:rFonts w:eastAsia="Aptos"/>
        </w:rPr>
        <w:t>R Study Groups.</w:t>
      </w:r>
    </w:p>
    <w:p w14:paraId="0B819028" w14:textId="1E596383" w:rsidR="00692468" w:rsidRPr="00F45C4E" w:rsidRDefault="008537B1" w:rsidP="0024521F">
      <w:pPr>
        <w:pStyle w:val="enumlev1"/>
        <w:tabs>
          <w:tab w:val="clear" w:pos="567"/>
          <w:tab w:val="clear" w:pos="1134"/>
          <w:tab w:val="clear" w:pos="1701"/>
          <w:tab w:val="clear" w:pos="2268"/>
          <w:tab w:val="clear" w:pos="2835"/>
        </w:tabs>
        <w:ind w:left="709" w:hanging="425"/>
        <w:jc w:val="both"/>
        <w:rPr>
          <w:rFonts w:eastAsia="Aptos"/>
        </w:rPr>
      </w:pPr>
      <w:r>
        <w:rPr>
          <w:rFonts w:asciiTheme="minorHAnsi" w:eastAsia="Aptos" w:hAnsiTheme="minorHAnsi" w:cstheme="minorHAnsi"/>
        </w:rPr>
        <w:t>–</w:t>
      </w:r>
      <w:r>
        <w:rPr>
          <w:rFonts w:asciiTheme="minorHAnsi" w:eastAsia="Aptos" w:hAnsiTheme="minorHAnsi" w:cstheme="minorHAnsi"/>
        </w:rPr>
        <w:tab/>
      </w:r>
      <w:r w:rsidR="00692468" w:rsidRPr="00F45C4E">
        <w:rPr>
          <w:rFonts w:eastAsia="Aptos"/>
        </w:rPr>
        <w:t>Recent innovations in satellite and space communications emerging from the WRC</w:t>
      </w:r>
      <w:r w:rsidR="00692468" w:rsidRPr="00F45C4E">
        <w:rPr>
          <w:rFonts w:ascii="Cambria Math" w:eastAsia="Aptos" w:hAnsi="Cambria Math" w:cs="Cambria Math"/>
        </w:rPr>
        <w:t>‑</w:t>
      </w:r>
      <w:r w:rsidR="00692468" w:rsidRPr="00F45C4E">
        <w:rPr>
          <w:rFonts w:eastAsia="Aptos"/>
        </w:rPr>
        <w:t>23 outcomes align closely with ITU</w:t>
      </w:r>
      <w:r w:rsidR="00692468" w:rsidRPr="00F45C4E">
        <w:rPr>
          <w:rFonts w:ascii="Cambria Math" w:eastAsia="Aptos" w:hAnsi="Cambria Math" w:cs="Cambria Math"/>
        </w:rPr>
        <w:t>‑</w:t>
      </w:r>
      <w:r w:rsidR="00692468" w:rsidRPr="00F45C4E">
        <w:rPr>
          <w:rFonts w:eastAsia="Aptos"/>
        </w:rPr>
        <w:t>D’s efforts on awareness</w:t>
      </w:r>
      <w:r w:rsidR="00692468" w:rsidRPr="00F45C4E">
        <w:rPr>
          <w:rFonts w:ascii="Cambria Math" w:eastAsia="Aptos" w:hAnsi="Cambria Math" w:cs="Cambria Math"/>
        </w:rPr>
        <w:t>‑</w:t>
      </w:r>
      <w:r w:rsidR="00692468" w:rsidRPr="00F45C4E">
        <w:rPr>
          <w:rFonts w:eastAsia="Aptos"/>
        </w:rPr>
        <w:t xml:space="preserve">raising and capacity development, including joint sessions at the Global Symposium for Regulators (GSR), joint articles on the </w:t>
      </w:r>
      <w:hyperlink r:id="rId55" w:history="1">
        <w:r w:rsidR="00692468" w:rsidRPr="00F45C4E">
          <w:rPr>
            <w:rStyle w:val="Hyperlink"/>
            <w:rFonts w:eastAsia="Aptos"/>
          </w:rPr>
          <w:t>Digital Regulation Platform</w:t>
        </w:r>
      </w:hyperlink>
      <w:r w:rsidR="00692468" w:rsidRPr="00F45C4E">
        <w:rPr>
          <w:rFonts w:eastAsia="Aptos"/>
        </w:rPr>
        <w:t>, and coordinated participation in space</w:t>
      </w:r>
      <w:r w:rsidR="00692468" w:rsidRPr="00F45C4E">
        <w:rPr>
          <w:rFonts w:ascii="Cambria Math" w:eastAsia="Aptos" w:hAnsi="Cambria Math" w:cs="Cambria Math"/>
        </w:rPr>
        <w:t>‑</w:t>
      </w:r>
      <w:r w:rsidR="00692468" w:rsidRPr="00F45C4E">
        <w:rPr>
          <w:rFonts w:eastAsia="Aptos"/>
        </w:rPr>
        <w:t xml:space="preserve">connectivity fora. </w:t>
      </w:r>
    </w:p>
    <w:p w14:paraId="0483FEF0" w14:textId="77777777" w:rsidR="00692468" w:rsidRPr="003073AC" w:rsidRDefault="00692468" w:rsidP="000A226D">
      <w:pPr>
        <w:pStyle w:val="Headingb"/>
        <w:tabs>
          <w:tab w:val="clear" w:pos="567"/>
          <w:tab w:val="clear" w:pos="1134"/>
          <w:tab w:val="clear" w:pos="1701"/>
          <w:tab w:val="clear" w:pos="2268"/>
          <w:tab w:val="clear" w:pos="2835"/>
        </w:tabs>
        <w:rPr>
          <w:rFonts w:eastAsia="Aptos"/>
        </w:rPr>
      </w:pPr>
      <w:r w:rsidRPr="003073AC">
        <w:rPr>
          <w:rFonts w:eastAsia="Aptos"/>
        </w:rPr>
        <w:t>TSB</w:t>
      </w:r>
      <w:r>
        <w:rPr>
          <w:rFonts w:eastAsia="Aptos"/>
        </w:rPr>
        <w:t>-</w:t>
      </w:r>
      <w:r w:rsidRPr="003073AC">
        <w:rPr>
          <w:rFonts w:eastAsia="Aptos"/>
        </w:rPr>
        <w:t>related activities</w:t>
      </w:r>
    </w:p>
    <w:p w14:paraId="56D7FDB3" w14:textId="73782569" w:rsidR="00692468" w:rsidRPr="00F45C4E" w:rsidRDefault="008537B1" w:rsidP="0024521F">
      <w:pPr>
        <w:pStyle w:val="enumlev1"/>
        <w:tabs>
          <w:tab w:val="clear" w:pos="567"/>
          <w:tab w:val="clear" w:pos="1134"/>
          <w:tab w:val="clear" w:pos="1701"/>
          <w:tab w:val="clear" w:pos="2268"/>
          <w:tab w:val="clear" w:pos="2835"/>
        </w:tabs>
        <w:ind w:left="709" w:hanging="425"/>
        <w:jc w:val="both"/>
        <w:rPr>
          <w:rFonts w:eastAsia="SimSun"/>
        </w:rPr>
      </w:pPr>
      <w:r>
        <w:rPr>
          <w:rFonts w:asciiTheme="minorHAnsi" w:eastAsia="Aptos" w:hAnsiTheme="minorHAnsi" w:cstheme="minorHAnsi"/>
        </w:rPr>
        <w:t>–</w:t>
      </w:r>
      <w:r>
        <w:rPr>
          <w:rFonts w:asciiTheme="minorHAnsi" w:eastAsia="Aptos" w:hAnsiTheme="minorHAnsi" w:cstheme="minorHAnsi"/>
        </w:rPr>
        <w:tab/>
      </w:r>
      <w:r w:rsidR="00692468" w:rsidRPr="00F45C4E">
        <w:rPr>
          <w:rFonts w:eastAsia="SimSun"/>
        </w:rPr>
        <w:t xml:space="preserve">ITU-T Study Group 17 and ITU-D Study Group 2 Question 3 coordinate on adoption of cybersecurity related standards and </w:t>
      </w:r>
      <w:r w:rsidR="00692468" w:rsidRPr="00F05ED9">
        <w:rPr>
          <w:rFonts w:eastAsia="Aptos"/>
        </w:rPr>
        <w:t>interventions</w:t>
      </w:r>
      <w:r w:rsidR="00692468" w:rsidRPr="00F45C4E">
        <w:rPr>
          <w:rFonts w:eastAsia="SimSun"/>
        </w:rPr>
        <w:t xml:space="preserve"> on the ground, such as establishing a CIRT. </w:t>
      </w:r>
    </w:p>
    <w:p w14:paraId="372CA4EE" w14:textId="302F800C" w:rsidR="00692468" w:rsidRPr="00F45C4E" w:rsidRDefault="008537B1" w:rsidP="0024521F">
      <w:pPr>
        <w:pStyle w:val="enumlev1"/>
        <w:tabs>
          <w:tab w:val="clear" w:pos="567"/>
          <w:tab w:val="clear" w:pos="1134"/>
          <w:tab w:val="clear" w:pos="1701"/>
          <w:tab w:val="clear" w:pos="2268"/>
          <w:tab w:val="clear" w:pos="2835"/>
        </w:tabs>
        <w:ind w:left="709" w:hanging="425"/>
        <w:jc w:val="both"/>
        <w:rPr>
          <w:rFonts w:eastAsia="SimSun"/>
        </w:rPr>
      </w:pPr>
      <w:r>
        <w:rPr>
          <w:rFonts w:asciiTheme="minorHAnsi" w:eastAsia="Aptos" w:hAnsiTheme="minorHAnsi" w:cstheme="minorHAnsi"/>
        </w:rPr>
        <w:lastRenderedPageBreak/>
        <w:t>–</w:t>
      </w:r>
      <w:r>
        <w:rPr>
          <w:rFonts w:asciiTheme="minorHAnsi" w:eastAsia="Aptos" w:hAnsiTheme="minorHAnsi" w:cstheme="minorHAnsi"/>
        </w:rPr>
        <w:tab/>
      </w:r>
      <w:r w:rsidR="00692468" w:rsidRPr="00F45C4E">
        <w:rPr>
          <w:rFonts w:eastAsia="SimSun"/>
        </w:rPr>
        <w:t xml:space="preserve">BDT is continuing its efforts to assist developing countries on the migration from IPv4 to IPv6, including building human and </w:t>
      </w:r>
      <w:r w:rsidR="00692468" w:rsidRPr="00F05ED9">
        <w:rPr>
          <w:rFonts w:eastAsia="Aptos"/>
        </w:rPr>
        <w:t>institutional</w:t>
      </w:r>
      <w:r w:rsidR="00692468" w:rsidRPr="00F45C4E">
        <w:rPr>
          <w:rFonts w:eastAsia="SimSun"/>
        </w:rPr>
        <w:t xml:space="preserve"> capacity.</w:t>
      </w:r>
    </w:p>
    <w:p w14:paraId="46BFFD53" w14:textId="7EDF91D9" w:rsidR="00692468" w:rsidRPr="00F45C4E" w:rsidRDefault="008537B1" w:rsidP="0024521F">
      <w:pPr>
        <w:pStyle w:val="enumlev1"/>
        <w:tabs>
          <w:tab w:val="clear" w:pos="567"/>
          <w:tab w:val="clear" w:pos="1134"/>
          <w:tab w:val="clear" w:pos="1701"/>
          <w:tab w:val="clear" w:pos="2268"/>
          <w:tab w:val="clear" w:pos="2835"/>
        </w:tabs>
        <w:ind w:left="709" w:hanging="425"/>
        <w:jc w:val="both"/>
        <w:rPr>
          <w:rFonts w:eastAsia="SimSun"/>
        </w:rPr>
      </w:pPr>
      <w:r>
        <w:rPr>
          <w:rFonts w:asciiTheme="minorHAnsi" w:eastAsia="Aptos" w:hAnsiTheme="minorHAnsi" w:cstheme="minorHAnsi"/>
        </w:rPr>
        <w:t>–</w:t>
      </w:r>
      <w:r>
        <w:rPr>
          <w:rFonts w:asciiTheme="minorHAnsi" w:eastAsia="Aptos" w:hAnsiTheme="minorHAnsi" w:cstheme="minorHAnsi"/>
        </w:rPr>
        <w:tab/>
      </w:r>
      <w:r w:rsidR="00692468" w:rsidRPr="00F45C4E">
        <w:rPr>
          <w:rFonts w:eastAsia="SimSun"/>
        </w:rPr>
        <w:t xml:space="preserve">Bridging the Standardization Gap </w:t>
      </w:r>
      <w:r w:rsidR="00692468" w:rsidRPr="00F05ED9">
        <w:rPr>
          <w:rFonts w:eastAsia="Aptos"/>
        </w:rPr>
        <w:t>continues</w:t>
      </w:r>
      <w:r w:rsidR="00692468" w:rsidRPr="00F45C4E">
        <w:rPr>
          <w:rFonts w:eastAsia="SimSun"/>
        </w:rPr>
        <w:t xml:space="preserve"> to be a key effort of BDT and TSB to promote awareness and assist in the implementation of ITU-T standards in developing countries, considering countries’ specific needs.</w:t>
      </w:r>
    </w:p>
    <w:p w14:paraId="4E664234" w14:textId="16643B06" w:rsidR="00692468" w:rsidRPr="00F45C4E" w:rsidRDefault="008537B1" w:rsidP="0024521F">
      <w:pPr>
        <w:pStyle w:val="enumlev1"/>
        <w:tabs>
          <w:tab w:val="clear" w:pos="567"/>
          <w:tab w:val="clear" w:pos="1134"/>
          <w:tab w:val="clear" w:pos="1701"/>
          <w:tab w:val="clear" w:pos="2268"/>
          <w:tab w:val="clear" w:pos="2835"/>
        </w:tabs>
        <w:ind w:left="709" w:hanging="425"/>
        <w:jc w:val="both"/>
        <w:rPr>
          <w:rFonts w:eastAsia="SimSun"/>
        </w:rPr>
      </w:pPr>
      <w:r>
        <w:rPr>
          <w:rFonts w:asciiTheme="minorHAnsi" w:eastAsia="Aptos" w:hAnsiTheme="minorHAnsi" w:cstheme="minorHAnsi"/>
        </w:rPr>
        <w:t>–</w:t>
      </w:r>
      <w:r>
        <w:rPr>
          <w:rFonts w:asciiTheme="minorHAnsi" w:eastAsia="Aptos" w:hAnsiTheme="minorHAnsi" w:cstheme="minorHAnsi"/>
        </w:rPr>
        <w:tab/>
      </w:r>
      <w:r w:rsidR="00692468" w:rsidRPr="00F45C4E">
        <w:rPr>
          <w:rFonts w:eastAsia="SimSun"/>
        </w:rPr>
        <w:t xml:space="preserve">TSB and BDT coordinate on emergency telecommunications and climate change related issues, to ensure alignment with the UN’s </w:t>
      </w:r>
      <w:r w:rsidR="00692468" w:rsidRPr="00F05ED9">
        <w:rPr>
          <w:rFonts w:eastAsia="Aptos"/>
        </w:rPr>
        <w:t>Early</w:t>
      </w:r>
      <w:r w:rsidR="00692468" w:rsidRPr="00F45C4E">
        <w:rPr>
          <w:rFonts w:eastAsia="SimSun"/>
        </w:rPr>
        <w:t xml:space="preserve"> Warning for ALL (EW4ALL) initiative, where BDT is leading the “Warning dissemination and communication” pillar.</w:t>
      </w:r>
    </w:p>
    <w:p w14:paraId="440691B1" w14:textId="0D448440" w:rsidR="00692468" w:rsidRPr="00F45C4E" w:rsidRDefault="008537B1" w:rsidP="0024521F">
      <w:pPr>
        <w:pStyle w:val="enumlev1"/>
        <w:tabs>
          <w:tab w:val="clear" w:pos="567"/>
          <w:tab w:val="clear" w:pos="1134"/>
          <w:tab w:val="clear" w:pos="1701"/>
          <w:tab w:val="clear" w:pos="2268"/>
          <w:tab w:val="clear" w:pos="2835"/>
        </w:tabs>
        <w:ind w:left="709" w:hanging="425"/>
        <w:jc w:val="both"/>
        <w:rPr>
          <w:rFonts w:eastAsia="SimSun"/>
        </w:rPr>
      </w:pPr>
      <w:r>
        <w:rPr>
          <w:rFonts w:asciiTheme="minorHAnsi" w:eastAsia="Aptos" w:hAnsiTheme="minorHAnsi" w:cstheme="minorHAnsi"/>
        </w:rPr>
        <w:t>–</w:t>
      </w:r>
      <w:r>
        <w:rPr>
          <w:rFonts w:asciiTheme="minorHAnsi" w:eastAsia="Aptos" w:hAnsiTheme="minorHAnsi" w:cstheme="minorHAnsi"/>
        </w:rPr>
        <w:tab/>
      </w:r>
      <w:r w:rsidR="00692468" w:rsidRPr="00F45C4E">
        <w:rPr>
          <w:rFonts w:eastAsia="SimSun"/>
        </w:rPr>
        <w:t xml:space="preserve">Other notable examples are on Smart Cities and Smart Villages, Digital Public Infrastructures, Digital Transformation </w:t>
      </w:r>
      <w:r w:rsidR="00692468" w:rsidRPr="00F05ED9">
        <w:rPr>
          <w:rFonts w:eastAsia="Aptos"/>
        </w:rPr>
        <w:t>and</w:t>
      </w:r>
      <w:r w:rsidR="00692468" w:rsidRPr="00F45C4E">
        <w:rPr>
          <w:rFonts w:eastAsia="SimSun"/>
        </w:rPr>
        <w:t xml:space="preserve"> emerging technologies, such as AI, with joint sessions at the GSR and the AI for Good Summit among others.</w:t>
      </w:r>
    </w:p>
    <w:p w14:paraId="2ABAF876" w14:textId="77777777" w:rsidR="007A3FCD" w:rsidRPr="00C0458D" w:rsidRDefault="007A3FCD" w:rsidP="0024521F">
      <w:pPr>
        <w:spacing w:before="720"/>
        <w:jc w:val="center"/>
      </w:pPr>
      <w:r>
        <w:t>______________</w:t>
      </w:r>
    </w:p>
    <w:sectPr w:rsidR="007A3FCD" w:rsidRPr="00C0458D" w:rsidSect="00AD3606">
      <w:footerReference w:type="default" r:id="rId56"/>
      <w:headerReference w:type="first" r:id="rId57"/>
      <w:footerReference w:type="first" r:id="rId5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D9F1" w14:textId="77777777" w:rsidR="00C21835" w:rsidRDefault="00C21835">
      <w:r>
        <w:separator/>
      </w:r>
    </w:p>
  </w:endnote>
  <w:endnote w:type="continuationSeparator" w:id="0">
    <w:p w14:paraId="029E8AB5" w14:textId="77777777" w:rsidR="00C21835" w:rsidRDefault="00C2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24CBF7F2" w14:textId="77777777">
      <w:trPr>
        <w:jc w:val="center"/>
      </w:trPr>
      <w:tc>
        <w:tcPr>
          <w:tcW w:w="1803" w:type="dxa"/>
          <w:vAlign w:val="center"/>
        </w:tcPr>
        <w:p w14:paraId="77C2BEA6" w14:textId="77777777" w:rsidR="00EE49E8" w:rsidRDefault="00C6520B" w:rsidP="00EE49E8">
          <w:pPr>
            <w:pStyle w:val="Header"/>
            <w:jc w:val="left"/>
            <w:rPr>
              <w:noProof/>
            </w:rPr>
          </w:pPr>
          <w:r>
            <w:rPr>
              <w:noProof/>
            </w:rPr>
            <w:t>gDoc #</w:t>
          </w:r>
        </w:p>
      </w:tc>
      <w:tc>
        <w:tcPr>
          <w:tcW w:w="8261" w:type="dxa"/>
        </w:tcPr>
        <w:p w14:paraId="0518D5BA" w14:textId="5BFA1D74"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494562">
            <w:rPr>
              <w:bCs/>
            </w:rPr>
            <w:t>25</w:t>
          </w:r>
          <w:r w:rsidRPr="00623AE3">
            <w:rPr>
              <w:bCs/>
            </w:rPr>
            <w:t>-E</w:t>
          </w:r>
          <w:r>
            <w:rPr>
              <w:bCs/>
            </w:rPr>
            <w:tab/>
          </w:r>
          <w:r>
            <w:fldChar w:fldCharType="begin"/>
          </w:r>
          <w:r>
            <w:instrText>PAGE</w:instrText>
          </w:r>
          <w:r>
            <w:fldChar w:fldCharType="separate"/>
          </w:r>
          <w:r>
            <w:t>1</w:t>
          </w:r>
          <w:r>
            <w:rPr>
              <w:noProof/>
            </w:rPr>
            <w:fldChar w:fldCharType="end"/>
          </w:r>
        </w:p>
      </w:tc>
    </w:tr>
  </w:tbl>
  <w:p w14:paraId="3FF3BB4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002A0665" w14:textId="77777777" w:rsidTr="006B77F1">
      <w:trPr>
        <w:jc w:val="center"/>
      </w:trPr>
      <w:tc>
        <w:tcPr>
          <w:tcW w:w="1803" w:type="dxa"/>
          <w:vAlign w:val="center"/>
        </w:tcPr>
        <w:p w14:paraId="56534B3F"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47AA573" w14:textId="749CF6FA"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494562">
            <w:rPr>
              <w:bCs/>
            </w:rPr>
            <w:t>25</w:t>
          </w:r>
          <w:r w:rsidRPr="00623AE3">
            <w:rPr>
              <w:bCs/>
            </w:rPr>
            <w:t>-E</w:t>
          </w:r>
          <w:r>
            <w:rPr>
              <w:bCs/>
            </w:rPr>
            <w:tab/>
          </w:r>
          <w:r>
            <w:fldChar w:fldCharType="begin"/>
          </w:r>
          <w:r>
            <w:instrText>PAGE</w:instrText>
          </w:r>
          <w:r>
            <w:fldChar w:fldCharType="separate"/>
          </w:r>
          <w:r>
            <w:t>1</w:t>
          </w:r>
          <w:r>
            <w:rPr>
              <w:noProof/>
            </w:rPr>
            <w:fldChar w:fldCharType="end"/>
          </w:r>
        </w:p>
      </w:tc>
    </w:tr>
  </w:tbl>
  <w:p w14:paraId="67440D75"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8914" w14:textId="77777777" w:rsidR="00C21835" w:rsidRDefault="00C21835">
      <w:r>
        <w:t>____________________</w:t>
      </w:r>
    </w:p>
  </w:footnote>
  <w:footnote w:type="continuationSeparator" w:id="0">
    <w:p w14:paraId="39107965" w14:textId="77777777" w:rsidR="00C21835" w:rsidRDefault="00C21835">
      <w:r>
        <w:continuationSeparator/>
      </w:r>
    </w:p>
  </w:footnote>
  <w:footnote w:id="1">
    <w:p w14:paraId="0F21F148" w14:textId="77777777" w:rsidR="000A226D" w:rsidRDefault="00692468" w:rsidP="00692468">
      <w:pPr>
        <w:pStyle w:val="FootnoteText"/>
      </w:pPr>
      <w:r>
        <w:rPr>
          <w:rStyle w:val="FootnoteReference"/>
        </w:rPr>
        <w:footnoteRef/>
      </w:r>
      <w:r w:rsidR="005B687E">
        <w:tab/>
      </w:r>
      <w:r w:rsidRPr="005B687E">
        <w:t xml:space="preserve">Council Document </w:t>
      </w:r>
      <w:hyperlink r:id="rId1" w:history="1">
        <w:r w:rsidRPr="005B687E">
          <w:rPr>
            <w:rStyle w:val="Hyperlink"/>
          </w:rPr>
          <w:t>C25/105</w:t>
        </w:r>
      </w:hyperlink>
      <w:r w:rsidR="005B687E">
        <w:t>:</w:t>
      </w:r>
    </w:p>
    <w:p w14:paraId="41B87A37" w14:textId="77777777" w:rsidR="000A226D" w:rsidRDefault="005B687E" w:rsidP="000A226D">
      <w:pPr>
        <w:pStyle w:val="FootnoteText"/>
        <w:tabs>
          <w:tab w:val="clear" w:pos="284"/>
          <w:tab w:val="clear" w:pos="567"/>
          <w:tab w:val="clear" w:pos="1134"/>
          <w:tab w:val="clear" w:pos="1701"/>
          <w:tab w:val="clear" w:pos="2268"/>
          <w:tab w:val="clear" w:pos="2835"/>
        </w:tabs>
        <w:spacing w:before="0"/>
        <w:ind w:left="567" w:hanging="283"/>
      </w:pPr>
      <w:r>
        <w:t>–</w:t>
      </w:r>
      <w:r>
        <w:tab/>
      </w:r>
      <w:r w:rsidR="00692468" w:rsidRPr="005B687E">
        <w:t xml:space="preserve">Annex H contains the “Recommendation on Regional Presence”, </w:t>
      </w:r>
    </w:p>
    <w:p w14:paraId="7D86AA69" w14:textId="77777777" w:rsidR="000A226D" w:rsidRDefault="005B687E" w:rsidP="000A226D">
      <w:pPr>
        <w:pStyle w:val="FootnoteText"/>
        <w:tabs>
          <w:tab w:val="clear" w:pos="284"/>
          <w:tab w:val="clear" w:pos="567"/>
          <w:tab w:val="clear" w:pos="1134"/>
          <w:tab w:val="clear" w:pos="1701"/>
          <w:tab w:val="clear" w:pos="2268"/>
          <w:tab w:val="clear" w:pos="2835"/>
        </w:tabs>
        <w:spacing w:before="0"/>
        <w:ind w:left="567" w:hanging="283"/>
      </w:pPr>
      <w:r>
        <w:t>–</w:t>
      </w:r>
      <w:r>
        <w:tab/>
      </w:r>
      <w:r w:rsidR="00692468" w:rsidRPr="005B687E">
        <w:t xml:space="preserve">Annex A contains the “Terms of Reference and Scope of work for the review of ITU Regional Presence” </w:t>
      </w:r>
    </w:p>
    <w:p w14:paraId="4B10141C" w14:textId="65D02775" w:rsidR="00692468" w:rsidRPr="00776F6D" w:rsidRDefault="00DF63BF" w:rsidP="000A226D">
      <w:pPr>
        <w:pStyle w:val="FootnoteText"/>
        <w:tabs>
          <w:tab w:val="clear" w:pos="284"/>
          <w:tab w:val="clear" w:pos="567"/>
          <w:tab w:val="clear" w:pos="1134"/>
          <w:tab w:val="clear" w:pos="1701"/>
          <w:tab w:val="clear" w:pos="2268"/>
          <w:tab w:val="clear" w:pos="2835"/>
        </w:tabs>
        <w:spacing w:before="0"/>
        <w:ind w:left="567" w:hanging="283"/>
        <w:rPr>
          <w:lang w:val="en-US"/>
        </w:rPr>
      </w:pPr>
      <w:r>
        <w:t>–</w:t>
      </w:r>
      <w:r>
        <w:tab/>
      </w:r>
      <w:r w:rsidR="00692468" w:rsidRPr="005B687E">
        <w:t>Annex 1 contains the 27 “Key performance indicators and evaluation criteria to be considered in undertaking the review of the ITU’s Regional Presence”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A61" w14:textId="77777777" w:rsidR="00AD3606" w:rsidRPr="00512087" w:rsidRDefault="00512087" w:rsidP="0049369C">
    <w:pPr>
      <w:pStyle w:val="Header"/>
    </w:pPr>
    <w:r>
      <w:rPr>
        <w:noProof/>
      </w:rPr>
      <w:drawing>
        <wp:inline distT="0" distB="0" distL="0" distR="0" wp14:anchorId="0C52A8C2" wp14:editId="5A20BF91">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2EF5E8"/>
    <w:multiLevelType w:val="hybridMultilevel"/>
    <w:tmpl w:val="CEE609AC"/>
    <w:lvl w:ilvl="0" w:tplc="8A64A140">
      <w:start w:val="1"/>
      <w:numFmt w:val="bullet"/>
      <w:lvlText w:val="-"/>
      <w:lvlJc w:val="left"/>
      <w:pPr>
        <w:ind w:left="720" w:hanging="360"/>
      </w:pPr>
      <w:rPr>
        <w:rFonts w:ascii="Aptos" w:hAnsi="Aptos" w:hint="default"/>
      </w:rPr>
    </w:lvl>
    <w:lvl w:ilvl="1" w:tplc="80C46F94">
      <w:start w:val="1"/>
      <w:numFmt w:val="bullet"/>
      <w:lvlText w:val="o"/>
      <w:lvlJc w:val="left"/>
      <w:pPr>
        <w:ind w:left="1440" w:hanging="360"/>
      </w:pPr>
      <w:rPr>
        <w:rFonts w:ascii="Courier New" w:hAnsi="Courier New" w:hint="default"/>
      </w:rPr>
    </w:lvl>
    <w:lvl w:ilvl="2" w:tplc="0F105BDA">
      <w:start w:val="1"/>
      <w:numFmt w:val="bullet"/>
      <w:lvlText w:val=""/>
      <w:lvlJc w:val="left"/>
      <w:pPr>
        <w:ind w:left="2160" w:hanging="360"/>
      </w:pPr>
      <w:rPr>
        <w:rFonts w:ascii="Wingdings" w:hAnsi="Wingdings" w:hint="default"/>
      </w:rPr>
    </w:lvl>
    <w:lvl w:ilvl="3" w:tplc="3CB411E8">
      <w:start w:val="1"/>
      <w:numFmt w:val="bullet"/>
      <w:lvlText w:val=""/>
      <w:lvlJc w:val="left"/>
      <w:pPr>
        <w:ind w:left="2880" w:hanging="360"/>
      </w:pPr>
      <w:rPr>
        <w:rFonts w:ascii="Symbol" w:hAnsi="Symbol" w:hint="default"/>
      </w:rPr>
    </w:lvl>
    <w:lvl w:ilvl="4" w:tplc="4DB20B5C">
      <w:start w:val="1"/>
      <w:numFmt w:val="bullet"/>
      <w:lvlText w:val="o"/>
      <w:lvlJc w:val="left"/>
      <w:pPr>
        <w:ind w:left="3600" w:hanging="360"/>
      </w:pPr>
      <w:rPr>
        <w:rFonts w:ascii="Courier New" w:hAnsi="Courier New" w:hint="default"/>
      </w:rPr>
    </w:lvl>
    <w:lvl w:ilvl="5" w:tplc="2F54F2E8">
      <w:start w:val="1"/>
      <w:numFmt w:val="bullet"/>
      <w:lvlText w:val=""/>
      <w:lvlJc w:val="left"/>
      <w:pPr>
        <w:ind w:left="4320" w:hanging="360"/>
      </w:pPr>
      <w:rPr>
        <w:rFonts w:ascii="Wingdings" w:hAnsi="Wingdings" w:hint="default"/>
      </w:rPr>
    </w:lvl>
    <w:lvl w:ilvl="6" w:tplc="31F4C47C">
      <w:start w:val="1"/>
      <w:numFmt w:val="bullet"/>
      <w:lvlText w:val=""/>
      <w:lvlJc w:val="left"/>
      <w:pPr>
        <w:ind w:left="5040" w:hanging="360"/>
      </w:pPr>
      <w:rPr>
        <w:rFonts w:ascii="Symbol" w:hAnsi="Symbol" w:hint="default"/>
      </w:rPr>
    </w:lvl>
    <w:lvl w:ilvl="7" w:tplc="4AA0333A">
      <w:start w:val="1"/>
      <w:numFmt w:val="bullet"/>
      <w:lvlText w:val="o"/>
      <w:lvlJc w:val="left"/>
      <w:pPr>
        <w:ind w:left="5760" w:hanging="360"/>
      </w:pPr>
      <w:rPr>
        <w:rFonts w:ascii="Courier New" w:hAnsi="Courier New" w:hint="default"/>
      </w:rPr>
    </w:lvl>
    <w:lvl w:ilvl="8" w:tplc="A066CF62">
      <w:start w:val="1"/>
      <w:numFmt w:val="bullet"/>
      <w:lvlText w:val=""/>
      <w:lvlJc w:val="left"/>
      <w:pPr>
        <w:ind w:left="6480" w:hanging="360"/>
      </w:pPr>
      <w:rPr>
        <w:rFonts w:ascii="Wingdings" w:hAnsi="Wingdings" w:hint="default"/>
      </w:rPr>
    </w:lvl>
  </w:abstractNum>
  <w:abstractNum w:abstractNumId="2" w15:restartNumberingAfterBreak="0">
    <w:nsid w:val="7E65A3DE"/>
    <w:multiLevelType w:val="hybridMultilevel"/>
    <w:tmpl w:val="F3CC8224"/>
    <w:lvl w:ilvl="0" w:tplc="33FCCC7C">
      <w:start w:val="1"/>
      <w:numFmt w:val="bullet"/>
      <w:lvlText w:val=""/>
      <w:lvlJc w:val="left"/>
      <w:pPr>
        <w:ind w:left="360" w:hanging="360"/>
      </w:pPr>
      <w:rPr>
        <w:rFonts w:ascii="Symbol" w:hAnsi="Symbol" w:hint="default"/>
        <w:b/>
        <w:bCs/>
      </w:rPr>
    </w:lvl>
    <w:lvl w:ilvl="1" w:tplc="2960C28E">
      <w:start w:val="1"/>
      <w:numFmt w:val="bullet"/>
      <w:lvlText w:val="o"/>
      <w:lvlJc w:val="left"/>
      <w:pPr>
        <w:ind w:left="1080" w:hanging="360"/>
      </w:pPr>
      <w:rPr>
        <w:rFonts w:ascii="Courier New" w:hAnsi="Courier New" w:hint="default"/>
      </w:rPr>
    </w:lvl>
    <w:lvl w:ilvl="2" w:tplc="5478F7F4">
      <w:start w:val="1"/>
      <w:numFmt w:val="bullet"/>
      <w:lvlText w:val=""/>
      <w:lvlJc w:val="left"/>
      <w:pPr>
        <w:ind w:left="1800" w:hanging="360"/>
      </w:pPr>
      <w:rPr>
        <w:rFonts w:ascii="Wingdings" w:hAnsi="Wingdings" w:hint="default"/>
      </w:rPr>
    </w:lvl>
    <w:lvl w:ilvl="3" w:tplc="F11ECD50">
      <w:start w:val="1"/>
      <w:numFmt w:val="bullet"/>
      <w:lvlText w:val=""/>
      <w:lvlJc w:val="left"/>
      <w:pPr>
        <w:ind w:left="2520" w:hanging="360"/>
      </w:pPr>
      <w:rPr>
        <w:rFonts w:ascii="Symbol" w:hAnsi="Symbol" w:hint="default"/>
      </w:rPr>
    </w:lvl>
    <w:lvl w:ilvl="4" w:tplc="2DD0CDB2">
      <w:start w:val="1"/>
      <w:numFmt w:val="bullet"/>
      <w:lvlText w:val="o"/>
      <w:lvlJc w:val="left"/>
      <w:pPr>
        <w:ind w:left="3240" w:hanging="360"/>
      </w:pPr>
      <w:rPr>
        <w:rFonts w:ascii="Courier New" w:hAnsi="Courier New" w:hint="default"/>
      </w:rPr>
    </w:lvl>
    <w:lvl w:ilvl="5" w:tplc="BEE87226">
      <w:start w:val="1"/>
      <w:numFmt w:val="bullet"/>
      <w:lvlText w:val=""/>
      <w:lvlJc w:val="left"/>
      <w:pPr>
        <w:ind w:left="3960" w:hanging="360"/>
      </w:pPr>
      <w:rPr>
        <w:rFonts w:ascii="Wingdings" w:hAnsi="Wingdings" w:hint="default"/>
      </w:rPr>
    </w:lvl>
    <w:lvl w:ilvl="6" w:tplc="98B6238C">
      <w:start w:val="1"/>
      <w:numFmt w:val="bullet"/>
      <w:lvlText w:val=""/>
      <w:lvlJc w:val="left"/>
      <w:pPr>
        <w:ind w:left="4680" w:hanging="360"/>
      </w:pPr>
      <w:rPr>
        <w:rFonts w:ascii="Symbol" w:hAnsi="Symbol" w:hint="default"/>
      </w:rPr>
    </w:lvl>
    <w:lvl w:ilvl="7" w:tplc="2DFED74E">
      <w:start w:val="1"/>
      <w:numFmt w:val="bullet"/>
      <w:lvlText w:val="o"/>
      <w:lvlJc w:val="left"/>
      <w:pPr>
        <w:ind w:left="5400" w:hanging="360"/>
      </w:pPr>
      <w:rPr>
        <w:rFonts w:ascii="Courier New" w:hAnsi="Courier New" w:hint="default"/>
      </w:rPr>
    </w:lvl>
    <w:lvl w:ilvl="8" w:tplc="8A30D71A">
      <w:start w:val="1"/>
      <w:numFmt w:val="bullet"/>
      <w:lvlText w:val=""/>
      <w:lvlJc w:val="left"/>
      <w:pPr>
        <w:ind w:left="6120" w:hanging="360"/>
      </w:pPr>
      <w:rPr>
        <w:rFonts w:ascii="Wingdings" w:hAnsi="Wingdings" w:hint="default"/>
      </w:rPr>
    </w:lvl>
  </w:abstractNum>
  <w:num w:numId="1" w16cid:durableId="1374816267">
    <w:abstractNumId w:val="0"/>
  </w:num>
  <w:num w:numId="2" w16cid:durableId="1003824896">
    <w:abstractNumId w:val="2"/>
  </w:num>
  <w:num w:numId="3" w16cid:durableId="201228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09"/>
    <w:rsid w:val="00013E80"/>
    <w:rsid w:val="000210D4"/>
    <w:rsid w:val="00036BC3"/>
    <w:rsid w:val="0006007D"/>
    <w:rsid w:val="00063016"/>
    <w:rsid w:val="00066795"/>
    <w:rsid w:val="000724A4"/>
    <w:rsid w:val="00076AF6"/>
    <w:rsid w:val="00085CF2"/>
    <w:rsid w:val="00086D54"/>
    <w:rsid w:val="000900EB"/>
    <w:rsid w:val="000A226D"/>
    <w:rsid w:val="000A3916"/>
    <w:rsid w:val="000A56FC"/>
    <w:rsid w:val="000B1705"/>
    <w:rsid w:val="000C64FD"/>
    <w:rsid w:val="000D75B2"/>
    <w:rsid w:val="000E372C"/>
    <w:rsid w:val="000F5DDB"/>
    <w:rsid w:val="00103409"/>
    <w:rsid w:val="001121F5"/>
    <w:rsid w:val="00117EFD"/>
    <w:rsid w:val="00121CC7"/>
    <w:rsid w:val="0012465A"/>
    <w:rsid w:val="00127829"/>
    <w:rsid w:val="00130BF8"/>
    <w:rsid w:val="001400DC"/>
    <w:rsid w:val="00140CE1"/>
    <w:rsid w:val="00144EDD"/>
    <w:rsid w:val="001468A8"/>
    <w:rsid w:val="0015189A"/>
    <w:rsid w:val="0015535D"/>
    <w:rsid w:val="0017539C"/>
    <w:rsid w:val="00175AC2"/>
    <w:rsid w:val="0017609F"/>
    <w:rsid w:val="00176F47"/>
    <w:rsid w:val="00182B20"/>
    <w:rsid w:val="00185A91"/>
    <w:rsid w:val="00185D27"/>
    <w:rsid w:val="001A3154"/>
    <w:rsid w:val="001A7D1D"/>
    <w:rsid w:val="001B51DD"/>
    <w:rsid w:val="001C628E"/>
    <w:rsid w:val="001D2913"/>
    <w:rsid w:val="001E0F7B"/>
    <w:rsid w:val="001F002E"/>
    <w:rsid w:val="001F5569"/>
    <w:rsid w:val="0020487B"/>
    <w:rsid w:val="00210D99"/>
    <w:rsid w:val="0021113B"/>
    <w:rsid w:val="002119FD"/>
    <w:rsid w:val="002130E0"/>
    <w:rsid w:val="00216086"/>
    <w:rsid w:val="0022006A"/>
    <w:rsid w:val="00221F46"/>
    <w:rsid w:val="00227A36"/>
    <w:rsid w:val="0024521F"/>
    <w:rsid w:val="00264425"/>
    <w:rsid w:val="00265875"/>
    <w:rsid w:val="00270E0F"/>
    <w:rsid w:val="0027303B"/>
    <w:rsid w:val="0027745D"/>
    <w:rsid w:val="00277DEA"/>
    <w:rsid w:val="0028109B"/>
    <w:rsid w:val="002916B4"/>
    <w:rsid w:val="002A0615"/>
    <w:rsid w:val="002A133E"/>
    <w:rsid w:val="002A2054"/>
    <w:rsid w:val="002A2188"/>
    <w:rsid w:val="002B1F58"/>
    <w:rsid w:val="002C1C7A"/>
    <w:rsid w:val="002C3F32"/>
    <w:rsid w:val="002C54E2"/>
    <w:rsid w:val="002E0632"/>
    <w:rsid w:val="002F2DE3"/>
    <w:rsid w:val="002F330D"/>
    <w:rsid w:val="002F49CE"/>
    <w:rsid w:val="0030160F"/>
    <w:rsid w:val="00320223"/>
    <w:rsid w:val="00322D0D"/>
    <w:rsid w:val="00340639"/>
    <w:rsid w:val="00345475"/>
    <w:rsid w:val="00361465"/>
    <w:rsid w:val="003800CB"/>
    <w:rsid w:val="0038639D"/>
    <w:rsid w:val="003877F5"/>
    <w:rsid w:val="003936D3"/>
    <w:rsid w:val="003942D4"/>
    <w:rsid w:val="003958A8"/>
    <w:rsid w:val="00396697"/>
    <w:rsid w:val="003A0C07"/>
    <w:rsid w:val="003B29C2"/>
    <w:rsid w:val="003B4FAF"/>
    <w:rsid w:val="003B7470"/>
    <w:rsid w:val="003C2533"/>
    <w:rsid w:val="003D5A7F"/>
    <w:rsid w:val="003F0228"/>
    <w:rsid w:val="00403354"/>
    <w:rsid w:val="0040435A"/>
    <w:rsid w:val="00416A24"/>
    <w:rsid w:val="00431D9E"/>
    <w:rsid w:val="00433CE8"/>
    <w:rsid w:val="0043473F"/>
    <w:rsid w:val="00434A5C"/>
    <w:rsid w:val="004407EC"/>
    <w:rsid w:val="004523E2"/>
    <w:rsid w:val="00453079"/>
    <w:rsid w:val="004544D9"/>
    <w:rsid w:val="00465C35"/>
    <w:rsid w:val="00472BAD"/>
    <w:rsid w:val="00484009"/>
    <w:rsid w:val="00490382"/>
    <w:rsid w:val="00490E72"/>
    <w:rsid w:val="00491157"/>
    <w:rsid w:val="00491BA9"/>
    <w:rsid w:val="004921C8"/>
    <w:rsid w:val="0049369C"/>
    <w:rsid w:val="00494562"/>
    <w:rsid w:val="00495615"/>
    <w:rsid w:val="00495B0B"/>
    <w:rsid w:val="004A1B8B"/>
    <w:rsid w:val="004D1851"/>
    <w:rsid w:val="004D4055"/>
    <w:rsid w:val="004D599D"/>
    <w:rsid w:val="004E2EA5"/>
    <w:rsid w:val="004E3AEB"/>
    <w:rsid w:val="004F798A"/>
    <w:rsid w:val="0050223C"/>
    <w:rsid w:val="00512087"/>
    <w:rsid w:val="005243FF"/>
    <w:rsid w:val="00547C35"/>
    <w:rsid w:val="00554D0B"/>
    <w:rsid w:val="00555848"/>
    <w:rsid w:val="00562B81"/>
    <w:rsid w:val="00564FBC"/>
    <w:rsid w:val="005800BC"/>
    <w:rsid w:val="00582442"/>
    <w:rsid w:val="005869E4"/>
    <w:rsid w:val="005969D7"/>
    <w:rsid w:val="005A11B3"/>
    <w:rsid w:val="005A1498"/>
    <w:rsid w:val="005B687E"/>
    <w:rsid w:val="005F1070"/>
    <w:rsid w:val="005F3269"/>
    <w:rsid w:val="00601FEB"/>
    <w:rsid w:val="0061071E"/>
    <w:rsid w:val="0061749D"/>
    <w:rsid w:val="00623AE3"/>
    <w:rsid w:val="00633558"/>
    <w:rsid w:val="0064737F"/>
    <w:rsid w:val="006535F1"/>
    <w:rsid w:val="0065557D"/>
    <w:rsid w:val="00660596"/>
    <w:rsid w:val="00660D50"/>
    <w:rsid w:val="00662984"/>
    <w:rsid w:val="006716BB"/>
    <w:rsid w:val="00676D76"/>
    <w:rsid w:val="0068744C"/>
    <w:rsid w:val="00692468"/>
    <w:rsid w:val="006A2F4B"/>
    <w:rsid w:val="006B1859"/>
    <w:rsid w:val="006B6680"/>
    <w:rsid w:val="006B6DCC"/>
    <w:rsid w:val="006B77F1"/>
    <w:rsid w:val="006F42FF"/>
    <w:rsid w:val="006F69A9"/>
    <w:rsid w:val="00702DEF"/>
    <w:rsid w:val="00706861"/>
    <w:rsid w:val="00714B94"/>
    <w:rsid w:val="00720631"/>
    <w:rsid w:val="00722551"/>
    <w:rsid w:val="0075051B"/>
    <w:rsid w:val="0075646E"/>
    <w:rsid w:val="00765C89"/>
    <w:rsid w:val="0077110E"/>
    <w:rsid w:val="007828B7"/>
    <w:rsid w:val="00793188"/>
    <w:rsid w:val="00794D34"/>
    <w:rsid w:val="007A3FCD"/>
    <w:rsid w:val="007A4ABB"/>
    <w:rsid w:val="007B19CF"/>
    <w:rsid w:val="007B6E54"/>
    <w:rsid w:val="007D01AF"/>
    <w:rsid w:val="007D4F18"/>
    <w:rsid w:val="007D55E2"/>
    <w:rsid w:val="007E093A"/>
    <w:rsid w:val="007F0AF5"/>
    <w:rsid w:val="00813E5E"/>
    <w:rsid w:val="00820ED8"/>
    <w:rsid w:val="00821641"/>
    <w:rsid w:val="0083013D"/>
    <w:rsid w:val="0083581B"/>
    <w:rsid w:val="00841DF9"/>
    <w:rsid w:val="0084546D"/>
    <w:rsid w:val="008537B1"/>
    <w:rsid w:val="00857F90"/>
    <w:rsid w:val="00863874"/>
    <w:rsid w:val="00864AFF"/>
    <w:rsid w:val="00865925"/>
    <w:rsid w:val="008974B1"/>
    <w:rsid w:val="008A4EB1"/>
    <w:rsid w:val="008A6450"/>
    <w:rsid w:val="008B3886"/>
    <w:rsid w:val="008B4A6A"/>
    <w:rsid w:val="008C7E27"/>
    <w:rsid w:val="008F4088"/>
    <w:rsid w:val="008F7448"/>
    <w:rsid w:val="0090147A"/>
    <w:rsid w:val="009173EF"/>
    <w:rsid w:val="00932906"/>
    <w:rsid w:val="00954C49"/>
    <w:rsid w:val="00961B0B"/>
    <w:rsid w:val="00962D33"/>
    <w:rsid w:val="009842A1"/>
    <w:rsid w:val="00994086"/>
    <w:rsid w:val="009962C2"/>
    <w:rsid w:val="009A76A8"/>
    <w:rsid w:val="009B38C3"/>
    <w:rsid w:val="009E17BD"/>
    <w:rsid w:val="009E284E"/>
    <w:rsid w:val="009E485A"/>
    <w:rsid w:val="00A04CEC"/>
    <w:rsid w:val="00A109AF"/>
    <w:rsid w:val="00A16C15"/>
    <w:rsid w:val="00A27F92"/>
    <w:rsid w:val="00A32257"/>
    <w:rsid w:val="00A36D20"/>
    <w:rsid w:val="00A422E8"/>
    <w:rsid w:val="00A514A4"/>
    <w:rsid w:val="00A55622"/>
    <w:rsid w:val="00A57706"/>
    <w:rsid w:val="00A74E27"/>
    <w:rsid w:val="00A83502"/>
    <w:rsid w:val="00A94BAB"/>
    <w:rsid w:val="00A9672A"/>
    <w:rsid w:val="00AA2FB3"/>
    <w:rsid w:val="00AA57A2"/>
    <w:rsid w:val="00AB5BEA"/>
    <w:rsid w:val="00AC72E4"/>
    <w:rsid w:val="00AD15B3"/>
    <w:rsid w:val="00AD3606"/>
    <w:rsid w:val="00AD4A3D"/>
    <w:rsid w:val="00AD534E"/>
    <w:rsid w:val="00AF55A9"/>
    <w:rsid w:val="00AF6E49"/>
    <w:rsid w:val="00B04A67"/>
    <w:rsid w:val="00B0583C"/>
    <w:rsid w:val="00B14282"/>
    <w:rsid w:val="00B157AA"/>
    <w:rsid w:val="00B40A81"/>
    <w:rsid w:val="00B423B9"/>
    <w:rsid w:val="00B44910"/>
    <w:rsid w:val="00B53FEF"/>
    <w:rsid w:val="00B557F9"/>
    <w:rsid w:val="00B72267"/>
    <w:rsid w:val="00B76EB6"/>
    <w:rsid w:val="00B7737B"/>
    <w:rsid w:val="00B824C8"/>
    <w:rsid w:val="00B84052"/>
    <w:rsid w:val="00B84B9D"/>
    <w:rsid w:val="00B9131F"/>
    <w:rsid w:val="00BA2225"/>
    <w:rsid w:val="00BA22A4"/>
    <w:rsid w:val="00BB0646"/>
    <w:rsid w:val="00BC251A"/>
    <w:rsid w:val="00BC4A20"/>
    <w:rsid w:val="00BD032B"/>
    <w:rsid w:val="00BD0CC9"/>
    <w:rsid w:val="00BE01C6"/>
    <w:rsid w:val="00BE2640"/>
    <w:rsid w:val="00BE3342"/>
    <w:rsid w:val="00BF1FDE"/>
    <w:rsid w:val="00BF4D31"/>
    <w:rsid w:val="00C01189"/>
    <w:rsid w:val="00C0458D"/>
    <w:rsid w:val="00C21835"/>
    <w:rsid w:val="00C374DE"/>
    <w:rsid w:val="00C47AD4"/>
    <w:rsid w:val="00C52D81"/>
    <w:rsid w:val="00C55198"/>
    <w:rsid w:val="00C5605F"/>
    <w:rsid w:val="00C6520B"/>
    <w:rsid w:val="00C678FC"/>
    <w:rsid w:val="00C76172"/>
    <w:rsid w:val="00C8170B"/>
    <w:rsid w:val="00CA6393"/>
    <w:rsid w:val="00CA7995"/>
    <w:rsid w:val="00CB18FF"/>
    <w:rsid w:val="00CB75CA"/>
    <w:rsid w:val="00CD024B"/>
    <w:rsid w:val="00CD0C08"/>
    <w:rsid w:val="00CD0C1E"/>
    <w:rsid w:val="00CE03FB"/>
    <w:rsid w:val="00CE433C"/>
    <w:rsid w:val="00CF0116"/>
    <w:rsid w:val="00CF0161"/>
    <w:rsid w:val="00CF2AF6"/>
    <w:rsid w:val="00CF33F3"/>
    <w:rsid w:val="00CF4A2B"/>
    <w:rsid w:val="00D024CA"/>
    <w:rsid w:val="00D06183"/>
    <w:rsid w:val="00D11765"/>
    <w:rsid w:val="00D22C42"/>
    <w:rsid w:val="00D26CD2"/>
    <w:rsid w:val="00D65041"/>
    <w:rsid w:val="00D67045"/>
    <w:rsid w:val="00D94AE1"/>
    <w:rsid w:val="00DA1005"/>
    <w:rsid w:val="00DA4B1B"/>
    <w:rsid w:val="00DA752A"/>
    <w:rsid w:val="00DB1936"/>
    <w:rsid w:val="00DB384B"/>
    <w:rsid w:val="00DB691E"/>
    <w:rsid w:val="00DC73B5"/>
    <w:rsid w:val="00DD53B5"/>
    <w:rsid w:val="00DD5629"/>
    <w:rsid w:val="00DE14EF"/>
    <w:rsid w:val="00DE532B"/>
    <w:rsid w:val="00DF0189"/>
    <w:rsid w:val="00DF5B63"/>
    <w:rsid w:val="00DF63BF"/>
    <w:rsid w:val="00E06E5A"/>
    <w:rsid w:val="00E06FD5"/>
    <w:rsid w:val="00E10E80"/>
    <w:rsid w:val="00E124F0"/>
    <w:rsid w:val="00E227F3"/>
    <w:rsid w:val="00E23FCC"/>
    <w:rsid w:val="00E26580"/>
    <w:rsid w:val="00E41568"/>
    <w:rsid w:val="00E47C09"/>
    <w:rsid w:val="00E545C6"/>
    <w:rsid w:val="00E60F04"/>
    <w:rsid w:val="00E65B24"/>
    <w:rsid w:val="00E82F42"/>
    <w:rsid w:val="00E848FA"/>
    <w:rsid w:val="00E854E4"/>
    <w:rsid w:val="00E85DB3"/>
    <w:rsid w:val="00E86DBF"/>
    <w:rsid w:val="00E925BE"/>
    <w:rsid w:val="00E969AF"/>
    <w:rsid w:val="00EA0D43"/>
    <w:rsid w:val="00EB0D6F"/>
    <w:rsid w:val="00EB2232"/>
    <w:rsid w:val="00EC5337"/>
    <w:rsid w:val="00EC7D69"/>
    <w:rsid w:val="00ED6BB7"/>
    <w:rsid w:val="00EE49E8"/>
    <w:rsid w:val="00EE67D8"/>
    <w:rsid w:val="00F05ED9"/>
    <w:rsid w:val="00F16BAB"/>
    <w:rsid w:val="00F2150A"/>
    <w:rsid w:val="00F231D8"/>
    <w:rsid w:val="00F44C00"/>
    <w:rsid w:val="00F4556C"/>
    <w:rsid w:val="00F45D2C"/>
    <w:rsid w:val="00F46C5F"/>
    <w:rsid w:val="00F601DA"/>
    <w:rsid w:val="00F632C0"/>
    <w:rsid w:val="00F641E1"/>
    <w:rsid w:val="00F70EDA"/>
    <w:rsid w:val="00F82B65"/>
    <w:rsid w:val="00F94A63"/>
    <w:rsid w:val="00FA1C0A"/>
    <w:rsid w:val="00FA1C28"/>
    <w:rsid w:val="00FA21F9"/>
    <w:rsid w:val="00FA4A4E"/>
    <w:rsid w:val="00FB1279"/>
    <w:rsid w:val="00FB6B76"/>
    <w:rsid w:val="00FB7596"/>
    <w:rsid w:val="00FB79C8"/>
    <w:rsid w:val="00FC1433"/>
    <w:rsid w:val="00FC2577"/>
    <w:rsid w:val="00FE4077"/>
    <w:rsid w:val="00FE500D"/>
    <w:rsid w:val="00FE6E1E"/>
    <w:rsid w:val="00FE77D2"/>
    <w:rsid w:val="00FF26ED"/>
    <w:rsid w:val="00FF39B1"/>
    <w:rsid w:val="00FF4B90"/>
    <w:rsid w:val="0565C63D"/>
    <w:rsid w:val="0C10D157"/>
    <w:rsid w:val="0C1981DC"/>
    <w:rsid w:val="0CE7C984"/>
    <w:rsid w:val="10EBCA07"/>
    <w:rsid w:val="15F95DCC"/>
    <w:rsid w:val="17C52AB6"/>
    <w:rsid w:val="18E2ECB5"/>
    <w:rsid w:val="1CDD5138"/>
    <w:rsid w:val="1D444C24"/>
    <w:rsid w:val="2394911C"/>
    <w:rsid w:val="2470FECA"/>
    <w:rsid w:val="26303381"/>
    <w:rsid w:val="28A304D6"/>
    <w:rsid w:val="2BF5F440"/>
    <w:rsid w:val="2EA79D7A"/>
    <w:rsid w:val="2FE0C373"/>
    <w:rsid w:val="33460DE1"/>
    <w:rsid w:val="3A43277E"/>
    <w:rsid w:val="3D3421ED"/>
    <w:rsid w:val="3E1E4AFF"/>
    <w:rsid w:val="3FE9C511"/>
    <w:rsid w:val="457BE9D4"/>
    <w:rsid w:val="4B3CBB51"/>
    <w:rsid w:val="4C4C3C97"/>
    <w:rsid w:val="57FF18B9"/>
    <w:rsid w:val="5967FC81"/>
    <w:rsid w:val="5A6893B4"/>
    <w:rsid w:val="5D5AD941"/>
    <w:rsid w:val="60EF6B3A"/>
    <w:rsid w:val="60FD4243"/>
    <w:rsid w:val="64097C46"/>
    <w:rsid w:val="688E0FFD"/>
    <w:rsid w:val="6C4E668E"/>
    <w:rsid w:val="6CC4E973"/>
    <w:rsid w:val="6F656F58"/>
    <w:rsid w:val="6F6BE8D9"/>
    <w:rsid w:val="70C2CDC2"/>
    <w:rsid w:val="7C2C26FE"/>
    <w:rsid w:val="7CE5F8ED"/>
    <w:rsid w:val="7F8ACC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FFA73"/>
  <w15:docId w15:val="{EFCBFDB8-F75E-4482-8CDD-AFAE1FB6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4F798A"/>
    <w:pPr>
      <w:keepNext/>
      <w:spacing w:before="560" w:after="120"/>
      <w:jc w:val="center"/>
    </w:pPr>
    <w:rPr>
      <w:rFonts w:eastAsia="SimSun"/>
      <w:caps/>
      <w:sz w:val="22"/>
      <w:szCs w:val="22"/>
    </w:rPr>
  </w:style>
  <w:style w:type="paragraph" w:customStyle="1" w:styleId="Tabletext">
    <w:name w:val="Table_text"/>
    <w:basedOn w:val="Normal"/>
    <w:rsid w:val="002A2054"/>
    <w:pPr>
      <w:tabs>
        <w:tab w:val="clear" w:pos="567"/>
        <w:tab w:val="clear" w:pos="1134"/>
        <w:tab w:val="clear" w:pos="1701"/>
        <w:tab w:val="clear" w:pos="2268"/>
        <w:tab w:val="clear" w:pos="2835"/>
      </w:tabs>
      <w:spacing w:before="40" w:after="40"/>
    </w:pPr>
    <w:rPr>
      <w:rFonts w:eastAsiaTheme="minorHAnsi" w:cstheme="minorBidi"/>
      <w:sz w:val="22"/>
      <w:szCs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4F798A"/>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FootnoteTextChar">
    <w:name w:val="Footnote Text Char"/>
    <w:basedOn w:val="DefaultParagraphFont"/>
    <w:link w:val="FootnoteText"/>
    <w:uiPriority w:val="99"/>
    <w:rsid w:val="00692468"/>
    <w:rPr>
      <w:rFonts w:ascii="Calibri" w:hAnsi="Calibri"/>
      <w:sz w:val="22"/>
      <w:lang w:val="en-GB" w:eastAsia="en-US"/>
    </w:rPr>
  </w:style>
  <w:style w:type="paragraph" w:customStyle="1" w:styleId="Tablefin">
    <w:name w:val="Table_fin"/>
    <w:basedOn w:val="Tabletext"/>
    <w:rsid w:val="002A2054"/>
    <w:pPr>
      <w:spacing w:before="0" w:after="0"/>
    </w:pPr>
    <w:rPr>
      <w:rFonts w:eastAsia="SimSun"/>
    </w:rPr>
  </w:style>
  <w:style w:type="paragraph" w:styleId="Revision">
    <w:name w:val="Revision"/>
    <w:hidden/>
    <w:uiPriority w:val="99"/>
    <w:semiHidden/>
    <w:rsid w:val="00144EDD"/>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340639"/>
    <w:rPr>
      <w:b/>
      <w:bCs/>
    </w:rPr>
  </w:style>
  <w:style w:type="character" w:customStyle="1" w:styleId="CommentSubjectChar">
    <w:name w:val="Comment Subject Char"/>
    <w:basedOn w:val="CommentTextChar"/>
    <w:link w:val="CommentSubject"/>
    <w:semiHidden/>
    <w:rsid w:val="00340639"/>
    <w:rPr>
      <w:rFonts w:ascii="Calibri" w:hAnsi="Calibri"/>
      <w:b/>
      <w:bCs/>
      <w:lang w:val="en-GB" w:eastAsia="en-US"/>
    </w:rPr>
  </w:style>
  <w:style w:type="character" w:styleId="Mention">
    <w:name w:val="Mention"/>
    <w:basedOn w:val="DefaultParagraphFont"/>
    <w:uiPriority w:val="99"/>
    <w:unhideWhenUsed/>
    <w:rsid w:val="003406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157-E.pdf" TargetMode="External"/><Relationship Id="rId18" Type="http://schemas.openxmlformats.org/officeDocument/2006/relationships/hyperlink" Target="https://www.itu.int/md/D22-TDAG32-C-0024/en" TargetMode="External"/><Relationship Id="rId26" Type="http://schemas.openxmlformats.org/officeDocument/2006/relationships/hyperlink" Target="https://www.itu.int/itu-d/meetings/rdf/eur/" TargetMode="External"/><Relationship Id="rId39" Type="http://schemas.openxmlformats.org/officeDocument/2006/relationships/hyperlink" Target="https://www.itu.int/md/D22-TDAG32-INF-0004/en" TargetMode="External"/><Relationship Id="rId21" Type="http://schemas.openxmlformats.org/officeDocument/2006/relationships/hyperlink" Target="https://www.itu.int/md/D26-TDAG33-C-0016/en" TargetMode="External"/><Relationship Id="rId34" Type="http://schemas.openxmlformats.org/officeDocument/2006/relationships/hyperlink" Target="https://www.itu.int/md/S26-CWGFHR22-INF-0001/en" TargetMode="External"/><Relationship Id="rId42" Type="http://schemas.openxmlformats.org/officeDocument/2006/relationships/hyperlink" Target="https://www.itu.int/md/D22-TDAG32-C-0005/en" TargetMode="External"/><Relationship Id="rId47" Type="http://schemas.openxmlformats.org/officeDocument/2006/relationships/hyperlink" Target="https://www.itu.int/en/ITU-R/seminars/rrs/rrs-25-asia&amp;pacific/Pages/default.aspx" TargetMode="External"/><Relationship Id="rId50" Type="http://schemas.openxmlformats.org/officeDocument/2006/relationships/hyperlink" Target="https://www.itu.int/en/ITU-D/Regional-Presence/AsiaPacific/Pages/Projects/EW4All/EW4ALL.aspx" TargetMode="External"/><Relationship Id="rId55" Type="http://schemas.openxmlformats.org/officeDocument/2006/relationships/hyperlink" Target="https://digitalregulation.org/category/spectrum-manage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itu.int/go/wtdc25-final-report" TargetMode="External"/><Relationship Id="rId29" Type="http://schemas.openxmlformats.org/officeDocument/2006/relationships/hyperlink" Target="https://www.itu.int/itu-d/meetings/rdf/afr/" TargetMode="External"/><Relationship Id="rId11" Type="http://schemas.openxmlformats.org/officeDocument/2006/relationships/hyperlink" Target="https://www.itu.int/en/council/Documents/basic-texts-2023/RES-025-E.pdf" TargetMode="External"/><Relationship Id="rId24" Type="http://schemas.openxmlformats.org/officeDocument/2006/relationships/hyperlink" Target="https://www.itu.int/md/D22-WTDC25-C-0002/en" TargetMode="External"/><Relationship Id="rId32" Type="http://schemas.openxmlformats.org/officeDocument/2006/relationships/hyperlink" Target="https://www.itu.int/md/S25-CL-C-0105/en" TargetMode="External"/><Relationship Id="rId37" Type="http://schemas.openxmlformats.org/officeDocument/2006/relationships/hyperlink" Target="https://www.itu.int/md/D26-TDAG33-C-0016/en" TargetMode="External"/><Relationship Id="rId40" Type="http://schemas.openxmlformats.org/officeDocument/2006/relationships/hyperlink" Target="https://www.itu.int/md/D26-TDAG33-C-0004/en" TargetMode="External"/><Relationship Id="rId45" Type="http://schemas.openxmlformats.org/officeDocument/2006/relationships/hyperlink" Target="https://www.itu.int/en/ITU-D/Regional-Presence/Africa/Pages/EVENTS/2025/GSMA-.aspx" TargetMode="External"/><Relationship Id="rId53" Type="http://schemas.openxmlformats.org/officeDocument/2006/relationships/hyperlink" Target="https://www.itu.int/en/ITU-R/seminars/rrs/RRS-26-Europe/Pages/default.aspx" TargetMode="External"/><Relationship Id="rId58"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www.itu.int/md/D22-WTDC25-C-0002/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publications/ITU-D/pages/publications.aspx?parent=D-TDC-WTDC-2022&amp;media=electronic" TargetMode="External"/><Relationship Id="rId22" Type="http://schemas.openxmlformats.org/officeDocument/2006/relationships/hyperlink" Target="https://www.itu.int/md/D26-TDAG33-C-0008/en" TargetMode="External"/><Relationship Id="rId27" Type="http://schemas.openxmlformats.org/officeDocument/2006/relationships/hyperlink" Target="https://www.itu.int/itu-d/meetings/rdf/asp/" TargetMode="External"/><Relationship Id="rId30" Type="http://schemas.openxmlformats.org/officeDocument/2006/relationships/hyperlink" Target="https://www.itu.int/itu-d/meetings/rdf/cis/home/" TargetMode="External"/><Relationship Id="rId35" Type="http://schemas.openxmlformats.org/officeDocument/2006/relationships/hyperlink" Target="https://www.itu.int/md/S26-CWGFHR22-C-0004/en" TargetMode="External"/><Relationship Id="rId43" Type="http://schemas.openxmlformats.org/officeDocument/2006/relationships/hyperlink" Target="https://www.itu.int/md/D26-TDAG33-C-0008/en" TargetMode="External"/><Relationship Id="rId48" Type="http://schemas.openxmlformats.org/officeDocument/2006/relationships/hyperlink" Target="https://www.itu.int/en/ITU-R/seminars/rrs/rrs-25-asia&amp;pacific/Pages/default.aspx"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u4ssc.itu.int/" TargetMode="External"/><Relationship Id="rId3" Type="http://schemas.openxmlformats.org/officeDocument/2006/relationships/customXml" Target="../customXml/item3.xml"/><Relationship Id="rId12" Type="http://schemas.openxmlformats.org/officeDocument/2006/relationships/hyperlink" Target="https://www.itu.int/en/council/Documents/basic-texts-2023/RES-135-E.pdf" TargetMode="External"/><Relationship Id="rId17" Type="http://schemas.openxmlformats.org/officeDocument/2006/relationships/hyperlink" Target="https://www.itu.int/md/S25-CL-C-0025/en" TargetMode="External"/><Relationship Id="rId25" Type="http://schemas.openxmlformats.org/officeDocument/2006/relationships/hyperlink" Target="https://www.itu.int/itu-d/meetings/rdf/arb/" TargetMode="External"/><Relationship Id="rId33" Type="http://schemas.openxmlformats.org/officeDocument/2006/relationships/hyperlink" Target="https://www.itu.int/md/S26-CWGFHR22-C-0004/en" TargetMode="External"/><Relationship Id="rId38" Type="http://schemas.openxmlformats.org/officeDocument/2006/relationships/hyperlink" Target="https://www.itu.int/md/R23-RAG-C-0066/en" TargetMode="External"/><Relationship Id="rId46" Type="http://schemas.openxmlformats.org/officeDocument/2006/relationships/hyperlink" Target="https://www.itu.int/en/ITU-R/seminars/rrs/RRS-25-Americas/Pages/default.aspx" TargetMode="External"/><Relationship Id="rId59" Type="http://schemas.openxmlformats.org/officeDocument/2006/relationships/fontTable" Target="fontTable.xml"/><Relationship Id="rId20" Type="http://schemas.openxmlformats.org/officeDocument/2006/relationships/hyperlink" Target="https://www.itu.int/md/D26-TDAG33-C-0019/en" TargetMode="External"/><Relationship Id="rId41" Type="http://schemas.openxmlformats.org/officeDocument/2006/relationships/hyperlink" Target="https://www.itu.int/md/D26-TDAG33-C-0019/en" TargetMode="External"/><Relationship Id="rId54" Type="http://schemas.openxmlformats.org/officeDocument/2006/relationships/hyperlink" Target="https://www.itu.int/en/ITU-D/Regional-Presence/Europe/Pages/Events/2025/09.23_EMF%20Harmony/National-Workshop.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itu-d/meetings/wtdc25/wp-content/uploads/sites/29/2025/11/090-E.pdf" TargetMode="External"/><Relationship Id="rId23" Type="http://schemas.openxmlformats.org/officeDocument/2006/relationships/hyperlink" Target="https://www.itu.int/md/D26-TDAG33-C-0004/en" TargetMode="External"/><Relationship Id="rId28" Type="http://schemas.openxmlformats.org/officeDocument/2006/relationships/hyperlink" Target="https://www.itu.int/itu-d/meetings/rdf/ams/home/" TargetMode="External"/><Relationship Id="rId36" Type="http://schemas.openxmlformats.org/officeDocument/2006/relationships/hyperlink" Target="https://www.itu.int/md/T25-TSAG-260126-TD-GEN-0313/en" TargetMode="External"/><Relationship Id="rId49" Type="http://schemas.openxmlformats.org/officeDocument/2006/relationships/hyperlink" Target="https://www.itu.int/en/ITU-D/Regional-Presence/AsiaPacific/Pages/Events/2025/ITTLLDC%202025/main.aspx"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itu.int/md/D22-TDAG32-C-0024/en" TargetMode="External"/><Relationship Id="rId44" Type="http://schemas.openxmlformats.org/officeDocument/2006/relationships/hyperlink" Target="https://www.itu.int/en/ITU-R/seminars/rrs/rrs-25-africa/Pages/default.aspx" TargetMode="External"/><Relationship Id="rId52" Type="http://schemas.openxmlformats.org/officeDocument/2006/relationships/hyperlink" Target="https://www.itu.int/en/ITU-D/Regional-Presence/CIS/Pages/EVENTS/2025/FoCForum.aspx" TargetMode="Externa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5-CL-C-010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DF2E-B01F-452E-9FF8-850E69B87E23}">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4c22657-7647-457b-a399-8471255bb16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01B795C-4EAF-4952-8C97-1EAFADF69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DEF9F-9D1B-44DA-9FDE-43D5ED6BD231}">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3</TotalTime>
  <Pages>12</Pages>
  <Words>4379</Words>
  <Characters>29534</Characters>
  <Application>Microsoft Office Word</Application>
  <DocSecurity>0</DocSecurity>
  <Lines>546</Lines>
  <Paragraphs>242</Paragraphs>
  <ScaleCrop>false</ScaleCrop>
  <HeadingPairs>
    <vt:vector size="2" baseType="variant">
      <vt:variant>
        <vt:lpstr>Title</vt:lpstr>
      </vt:variant>
      <vt:variant>
        <vt:i4>1</vt:i4>
      </vt:variant>
    </vt:vector>
  </HeadingPairs>
  <TitlesOfParts>
    <vt:vector size="1" baseType="lpstr">
      <vt:lpstr>Strengthening ITU’s regional presence</vt:lpstr>
    </vt:vector>
  </TitlesOfParts>
  <Manager>General Secretariat</Manager>
  <Company>International Telecommunication Union (ITU)</Company>
  <LinksUpToDate>false</LinksUpToDate>
  <CharactersWithSpaces>33671</CharactersWithSpaces>
  <SharedDoc>false</SharedDoc>
  <HLinks>
    <vt:vector size="300" baseType="variant">
      <vt:variant>
        <vt:i4>3997795</vt:i4>
      </vt:variant>
      <vt:variant>
        <vt:i4>132</vt:i4>
      </vt:variant>
      <vt:variant>
        <vt:i4>0</vt:i4>
      </vt:variant>
      <vt:variant>
        <vt:i4>5</vt:i4>
      </vt:variant>
      <vt:variant>
        <vt:lpwstr>https://digitalregulation.org/category/spectrum-management/</vt:lpwstr>
      </vt:variant>
      <vt:variant>
        <vt:lpwstr/>
      </vt:variant>
      <vt:variant>
        <vt:i4>3932188</vt:i4>
      </vt:variant>
      <vt:variant>
        <vt:i4>129</vt:i4>
      </vt:variant>
      <vt:variant>
        <vt:i4>0</vt:i4>
      </vt:variant>
      <vt:variant>
        <vt:i4>5</vt:i4>
      </vt:variant>
      <vt:variant>
        <vt:lpwstr>https://www.itu.int/en/ITU-D/Regional-Presence/Europe/Pages/Events/2025/09.23_EMF Harmony/National-Workshop.aspx</vt:lpwstr>
      </vt:variant>
      <vt:variant>
        <vt:lpwstr/>
      </vt:variant>
      <vt:variant>
        <vt:i4>6553717</vt:i4>
      </vt:variant>
      <vt:variant>
        <vt:i4>126</vt:i4>
      </vt:variant>
      <vt:variant>
        <vt:i4>0</vt:i4>
      </vt:variant>
      <vt:variant>
        <vt:i4>5</vt:i4>
      </vt:variant>
      <vt:variant>
        <vt:lpwstr>https://www.itu.int/en/ITU-R/seminars/rrs/RRS-26-Europe/Pages/default.aspx</vt:lpwstr>
      </vt:variant>
      <vt:variant>
        <vt:lpwstr/>
      </vt:variant>
      <vt:variant>
        <vt:i4>6881377</vt:i4>
      </vt:variant>
      <vt:variant>
        <vt:i4>123</vt:i4>
      </vt:variant>
      <vt:variant>
        <vt:i4>0</vt:i4>
      </vt:variant>
      <vt:variant>
        <vt:i4>5</vt:i4>
      </vt:variant>
      <vt:variant>
        <vt:lpwstr>https://www.itu.int/en/ITU-D/Regional-Presence/CIS/Pages/EVENTS/2025/FoCForum.aspx</vt:lpwstr>
      </vt:variant>
      <vt:variant>
        <vt:lpwstr/>
      </vt:variant>
      <vt:variant>
        <vt:i4>6488100</vt:i4>
      </vt:variant>
      <vt:variant>
        <vt:i4>120</vt:i4>
      </vt:variant>
      <vt:variant>
        <vt:i4>0</vt:i4>
      </vt:variant>
      <vt:variant>
        <vt:i4>5</vt:i4>
      </vt:variant>
      <vt:variant>
        <vt:lpwstr>https://u4ssc.itu.int/</vt:lpwstr>
      </vt:variant>
      <vt:variant>
        <vt:lpwstr/>
      </vt:variant>
      <vt:variant>
        <vt:i4>4194377</vt:i4>
      </vt:variant>
      <vt:variant>
        <vt:i4>117</vt:i4>
      </vt:variant>
      <vt:variant>
        <vt:i4>0</vt:i4>
      </vt:variant>
      <vt:variant>
        <vt:i4>5</vt:i4>
      </vt:variant>
      <vt:variant>
        <vt:lpwstr>https://www.itu.int/en/ITU-D/Regional-Presence/AsiaPacific/Pages/Projects/EW4All/EW4ALL.aspx</vt:lpwstr>
      </vt:variant>
      <vt:variant>
        <vt:lpwstr/>
      </vt:variant>
      <vt:variant>
        <vt:i4>8257660</vt:i4>
      </vt:variant>
      <vt:variant>
        <vt:i4>114</vt:i4>
      </vt:variant>
      <vt:variant>
        <vt:i4>0</vt:i4>
      </vt:variant>
      <vt:variant>
        <vt:i4>5</vt:i4>
      </vt:variant>
      <vt:variant>
        <vt:lpwstr>https://www.itu.int/en/ITU-D/Regional-Presence/AsiaPacific/Pages/Events/2025/ITTLLDC 2025/main.aspx</vt:lpwstr>
      </vt:variant>
      <vt:variant>
        <vt:lpwstr/>
      </vt:variant>
      <vt:variant>
        <vt:i4>5177358</vt:i4>
      </vt:variant>
      <vt:variant>
        <vt:i4>111</vt:i4>
      </vt:variant>
      <vt:variant>
        <vt:i4>0</vt:i4>
      </vt:variant>
      <vt:variant>
        <vt:i4>5</vt:i4>
      </vt:variant>
      <vt:variant>
        <vt:lpwstr>https://www.itu.int/en/ITU-R/seminars/rrs/rrs-25-asia&amp;pacific/Pages/default.aspx</vt:lpwstr>
      </vt:variant>
      <vt:variant>
        <vt:lpwstr/>
      </vt:variant>
      <vt:variant>
        <vt:i4>5177358</vt:i4>
      </vt:variant>
      <vt:variant>
        <vt:i4>108</vt:i4>
      </vt:variant>
      <vt:variant>
        <vt:i4>0</vt:i4>
      </vt:variant>
      <vt:variant>
        <vt:i4>5</vt:i4>
      </vt:variant>
      <vt:variant>
        <vt:lpwstr>https://www.itu.int/en/ITU-R/seminars/rrs/rrs-25-asia&amp;pacific/Pages/default.aspx</vt:lpwstr>
      </vt:variant>
      <vt:variant>
        <vt:lpwstr/>
      </vt:variant>
      <vt:variant>
        <vt:i4>786437</vt:i4>
      </vt:variant>
      <vt:variant>
        <vt:i4>105</vt:i4>
      </vt:variant>
      <vt:variant>
        <vt:i4>0</vt:i4>
      </vt:variant>
      <vt:variant>
        <vt:i4>5</vt:i4>
      </vt:variant>
      <vt:variant>
        <vt:lpwstr>https://www.itu.int/en/ITU-R/seminars/rrs/RRS-25-Americas/Pages/default.aspx</vt:lpwstr>
      </vt:variant>
      <vt:variant>
        <vt:lpwstr/>
      </vt:variant>
      <vt:variant>
        <vt:i4>8257581</vt:i4>
      </vt:variant>
      <vt:variant>
        <vt:i4>102</vt:i4>
      </vt:variant>
      <vt:variant>
        <vt:i4>0</vt:i4>
      </vt:variant>
      <vt:variant>
        <vt:i4>5</vt:i4>
      </vt:variant>
      <vt:variant>
        <vt:lpwstr>https://www.itu.int/en/ITU-D/Regional-Presence/Africa/Pages/EVENTS/2025/GSMA-.aspx</vt:lpwstr>
      </vt:variant>
      <vt:variant>
        <vt:lpwstr/>
      </vt:variant>
      <vt:variant>
        <vt:i4>7340132</vt:i4>
      </vt:variant>
      <vt:variant>
        <vt:i4>99</vt:i4>
      </vt:variant>
      <vt:variant>
        <vt:i4>0</vt:i4>
      </vt:variant>
      <vt:variant>
        <vt:i4>5</vt:i4>
      </vt:variant>
      <vt:variant>
        <vt:lpwstr>https://www.itu.int/en/ITU-R/seminars/rrs/rrs-25-africa/Pages/default.aspx</vt:lpwstr>
      </vt:variant>
      <vt:variant>
        <vt:lpwstr/>
      </vt:variant>
      <vt:variant>
        <vt:i4>3014752</vt:i4>
      </vt:variant>
      <vt:variant>
        <vt:i4>96</vt:i4>
      </vt:variant>
      <vt:variant>
        <vt:i4>0</vt:i4>
      </vt:variant>
      <vt:variant>
        <vt:i4>5</vt:i4>
      </vt:variant>
      <vt:variant>
        <vt:lpwstr>https://www.itu.int/md/D26-TDAG33-C-0008/en</vt:lpwstr>
      </vt:variant>
      <vt:variant>
        <vt:lpwstr/>
      </vt:variant>
      <vt:variant>
        <vt:i4>2556001</vt:i4>
      </vt:variant>
      <vt:variant>
        <vt:i4>93</vt:i4>
      </vt:variant>
      <vt:variant>
        <vt:i4>0</vt:i4>
      </vt:variant>
      <vt:variant>
        <vt:i4>5</vt:i4>
      </vt:variant>
      <vt:variant>
        <vt:lpwstr>https://www.itu.int/md/D22-TDAG32-C-0005/en</vt:lpwstr>
      </vt:variant>
      <vt:variant>
        <vt:lpwstr/>
      </vt:variant>
      <vt:variant>
        <vt:i4>3080289</vt:i4>
      </vt:variant>
      <vt:variant>
        <vt:i4>90</vt:i4>
      </vt:variant>
      <vt:variant>
        <vt:i4>0</vt:i4>
      </vt:variant>
      <vt:variant>
        <vt:i4>5</vt:i4>
      </vt:variant>
      <vt:variant>
        <vt:lpwstr>https://www.itu.int/md/D26-TDAG33-C-0019/en</vt:lpwstr>
      </vt:variant>
      <vt:variant>
        <vt:lpwstr/>
      </vt:variant>
      <vt:variant>
        <vt:i4>2228320</vt:i4>
      </vt:variant>
      <vt:variant>
        <vt:i4>87</vt:i4>
      </vt:variant>
      <vt:variant>
        <vt:i4>0</vt:i4>
      </vt:variant>
      <vt:variant>
        <vt:i4>5</vt:i4>
      </vt:variant>
      <vt:variant>
        <vt:lpwstr>https://www.itu.int/md/D26-TDAG33-C-0004/en</vt:lpwstr>
      </vt:variant>
      <vt:variant>
        <vt:lpwstr/>
      </vt:variant>
      <vt:variant>
        <vt:i4>4718605</vt:i4>
      </vt:variant>
      <vt:variant>
        <vt:i4>84</vt:i4>
      </vt:variant>
      <vt:variant>
        <vt:i4>0</vt:i4>
      </vt:variant>
      <vt:variant>
        <vt:i4>5</vt:i4>
      </vt:variant>
      <vt:variant>
        <vt:lpwstr>https://www.itu.int/md/D22-TDAG32-INF-0004/en</vt:lpwstr>
      </vt:variant>
      <vt:variant>
        <vt:lpwstr/>
      </vt:variant>
      <vt:variant>
        <vt:i4>4653086</vt:i4>
      </vt:variant>
      <vt:variant>
        <vt:i4>81</vt:i4>
      </vt:variant>
      <vt:variant>
        <vt:i4>0</vt:i4>
      </vt:variant>
      <vt:variant>
        <vt:i4>5</vt:i4>
      </vt:variant>
      <vt:variant>
        <vt:lpwstr>https://www.itu.int/md/R23-RAG-C-0066/en</vt:lpwstr>
      </vt:variant>
      <vt:variant>
        <vt:lpwstr/>
      </vt:variant>
      <vt:variant>
        <vt:i4>2097249</vt:i4>
      </vt:variant>
      <vt:variant>
        <vt:i4>78</vt:i4>
      </vt:variant>
      <vt:variant>
        <vt:i4>0</vt:i4>
      </vt:variant>
      <vt:variant>
        <vt:i4>5</vt:i4>
      </vt:variant>
      <vt:variant>
        <vt:lpwstr>https://www.itu.int/md/D26-TDAG33-C-0016/en</vt:lpwstr>
      </vt:variant>
      <vt:variant>
        <vt:lpwstr/>
      </vt:variant>
      <vt:variant>
        <vt:i4>720982</vt:i4>
      </vt:variant>
      <vt:variant>
        <vt:i4>75</vt:i4>
      </vt:variant>
      <vt:variant>
        <vt:i4>0</vt:i4>
      </vt:variant>
      <vt:variant>
        <vt:i4>5</vt:i4>
      </vt:variant>
      <vt:variant>
        <vt:lpwstr>https://www.itu.int/md/T25-TSAG-260126-TD-GEN-0313/en</vt:lpwstr>
      </vt:variant>
      <vt:variant>
        <vt:lpwstr/>
      </vt:variant>
      <vt:variant>
        <vt:i4>5046273</vt:i4>
      </vt:variant>
      <vt:variant>
        <vt:i4>72</vt:i4>
      </vt:variant>
      <vt:variant>
        <vt:i4>0</vt:i4>
      </vt:variant>
      <vt:variant>
        <vt:i4>5</vt:i4>
      </vt:variant>
      <vt:variant>
        <vt:lpwstr>https://www.itu.int/md/S26-CWGFHR22-C-0004/en</vt:lpwstr>
      </vt:variant>
      <vt:variant>
        <vt:lpwstr/>
      </vt:variant>
      <vt:variant>
        <vt:i4>2490477</vt:i4>
      </vt:variant>
      <vt:variant>
        <vt:i4>69</vt:i4>
      </vt:variant>
      <vt:variant>
        <vt:i4>0</vt:i4>
      </vt:variant>
      <vt:variant>
        <vt:i4>5</vt:i4>
      </vt:variant>
      <vt:variant>
        <vt:lpwstr>https://www.itu.int/md/S26-CWGFHR22-INF-0001/en</vt:lpwstr>
      </vt:variant>
      <vt:variant>
        <vt:lpwstr/>
      </vt:variant>
      <vt:variant>
        <vt:i4>5046273</vt:i4>
      </vt:variant>
      <vt:variant>
        <vt:i4>66</vt:i4>
      </vt:variant>
      <vt:variant>
        <vt:i4>0</vt:i4>
      </vt:variant>
      <vt:variant>
        <vt:i4>5</vt:i4>
      </vt:variant>
      <vt:variant>
        <vt:lpwstr>https://www.itu.int/md/S26-CWGFHR22-C-0004/en</vt:lpwstr>
      </vt:variant>
      <vt:variant>
        <vt:lpwstr/>
      </vt:variant>
      <vt:variant>
        <vt:i4>7536700</vt:i4>
      </vt:variant>
      <vt:variant>
        <vt:i4>63</vt:i4>
      </vt:variant>
      <vt:variant>
        <vt:i4>0</vt:i4>
      </vt:variant>
      <vt:variant>
        <vt:i4>5</vt:i4>
      </vt:variant>
      <vt:variant>
        <vt:lpwstr>https://www.itu.int/md/S25-CL-C-0105/en</vt:lpwstr>
      </vt:variant>
      <vt:variant>
        <vt:lpwstr/>
      </vt:variant>
      <vt:variant>
        <vt:i4>2490467</vt:i4>
      </vt:variant>
      <vt:variant>
        <vt:i4>60</vt:i4>
      </vt:variant>
      <vt:variant>
        <vt:i4>0</vt:i4>
      </vt:variant>
      <vt:variant>
        <vt:i4>5</vt:i4>
      </vt:variant>
      <vt:variant>
        <vt:lpwstr>https://www.itu.int/md/D22-TDAG32-C-0024/en</vt:lpwstr>
      </vt:variant>
      <vt:variant>
        <vt:lpwstr/>
      </vt:variant>
      <vt:variant>
        <vt:i4>458775</vt:i4>
      </vt:variant>
      <vt:variant>
        <vt:i4>57</vt:i4>
      </vt:variant>
      <vt:variant>
        <vt:i4>0</vt:i4>
      </vt:variant>
      <vt:variant>
        <vt:i4>5</vt:i4>
      </vt:variant>
      <vt:variant>
        <vt:lpwstr>https://www.itu.int/itu-d/meetings/rdf/cis/home/</vt:lpwstr>
      </vt:variant>
      <vt:variant>
        <vt:lpwstr/>
      </vt:variant>
      <vt:variant>
        <vt:i4>3014717</vt:i4>
      </vt:variant>
      <vt:variant>
        <vt:i4>54</vt:i4>
      </vt:variant>
      <vt:variant>
        <vt:i4>0</vt:i4>
      </vt:variant>
      <vt:variant>
        <vt:i4>5</vt:i4>
      </vt:variant>
      <vt:variant>
        <vt:lpwstr>https://www.itu.int/itu-d/meetings/rdf/afr/</vt:lpwstr>
      </vt:variant>
      <vt:variant>
        <vt:lpwstr/>
      </vt:variant>
      <vt:variant>
        <vt:i4>327699</vt:i4>
      </vt:variant>
      <vt:variant>
        <vt:i4>51</vt:i4>
      </vt:variant>
      <vt:variant>
        <vt:i4>0</vt:i4>
      </vt:variant>
      <vt:variant>
        <vt:i4>5</vt:i4>
      </vt:variant>
      <vt:variant>
        <vt:lpwstr>https://www.itu.int/itu-d/meetings/rdf/ams/home/</vt:lpwstr>
      </vt:variant>
      <vt:variant>
        <vt:lpwstr/>
      </vt:variant>
      <vt:variant>
        <vt:i4>2883624</vt:i4>
      </vt:variant>
      <vt:variant>
        <vt:i4>48</vt:i4>
      </vt:variant>
      <vt:variant>
        <vt:i4>0</vt:i4>
      </vt:variant>
      <vt:variant>
        <vt:i4>5</vt:i4>
      </vt:variant>
      <vt:variant>
        <vt:lpwstr>https://www.itu.int/itu-d/meetings/rdf/asp/</vt:lpwstr>
      </vt:variant>
      <vt:variant>
        <vt:lpwstr/>
      </vt:variant>
      <vt:variant>
        <vt:i4>2752558</vt:i4>
      </vt:variant>
      <vt:variant>
        <vt:i4>45</vt:i4>
      </vt:variant>
      <vt:variant>
        <vt:i4>0</vt:i4>
      </vt:variant>
      <vt:variant>
        <vt:i4>5</vt:i4>
      </vt:variant>
      <vt:variant>
        <vt:lpwstr>https://www.itu.int/itu-d/meetings/rdf/eur/</vt:lpwstr>
      </vt:variant>
      <vt:variant>
        <vt:lpwstr/>
      </vt:variant>
      <vt:variant>
        <vt:i4>4063273</vt:i4>
      </vt:variant>
      <vt:variant>
        <vt:i4>42</vt:i4>
      </vt:variant>
      <vt:variant>
        <vt:i4>0</vt:i4>
      </vt:variant>
      <vt:variant>
        <vt:i4>5</vt:i4>
      </vt:variant>
      <vt:variant>
        <vt:lpwstr>https://www.itu.int/itu-d/meetings/rdf/arb/</vt:lpwstr>
      </vt:variant>
      <vt:variant>
        <vt:lpwstr/>
      </vt:variant>
      <vt:variant>
        <vt:i4>2556018</vt:i4>
      </vt:variant>
      <vt:variant>
        <vt:i4>39</vt:i4>
      </vt:variant>
      <vt:variant>
        <vt:i4>0</vt:i4>
      </vt:variant>
      <vt:variant>
        <vt:i4>5</vt:i4>
      </vt:variant>
      <vt:variant>
        <vt:lpwstr>https://www.itu.int/md/D22-WTDC25-C-0002/en</vt:lpwstr>
      </vt:variant>
      <vt:variant>
        <vt:lpwstr/>
      </vt:variant>
      <vt:variant>
        <vt:i4>2228320</vt:i4>
      </vt:variant>
      <vt:variant>
        <vt:i4>36</vt:i4>
      </vt:variant>
      <vt:variant>
        <vt:i4>0</vt:i4>
      </vt:variant>
      <vt:variant>
        <vt:i4>5</vt:i4>
      </vt:variant>
      <vt:variant>
        <vt:lpwstr>https://www.itu.int/md/D26-TDAG33-C-0004/en</vt:lpwstr>
      </vt:variant>
      <vt:variant>
        <vt:lpwstr/>
      </vt:variant>
      <vt:variant>
        <vt:i4>3014752</vt:i4>
      </vt:variant>
      <vt:variant>
        <vt:i4>33</vt:i4>
      </vt:variant>
      <vt:variant>
        <vt:i4>0</vt:i4>
      </vt:variant>
      <vt:variant>
        <vt:i4>5</vt:i4>
      </vt:variant>
      <vt:variant>
        <vt:lpwstr>https://www.itu.int/md/D26-TDAG33-C-0008/en</vt:lpwstr>
      </vt:variant>
      <vt:variant>
        <vt:lpwstr/>
      </vt:variant>
      <vt:variant>
        <vt:i4>2097249</vt:i4>
      </vt:variant>
      <vt:variant>
        <vt:i4>30</vt:i4>
      </vt:variant>
      <vt:variant>
        <vt:i4>0</vt:i4>
      </vt:variant>
      <vt:variant>
        <vt:i4>5</vt:i4>
      </vt:variant>
      <vt:variant>
        <vt:lpwstr>https://www.itu.int/md/D26-TDAG33-C-0016/en</vt:lpwstr>
      </vt:variant>
      <vt:variant>
        <vt:lpwstr/>
      </vt:variant>
      <vt:variant>
        <vt:i4>3080289</vt:i4>
      </vt:variant>
      <vt:variant>
        <vt:i4>27</vt:i4>
      </vt:variant>
      <vt:variant>
        <vt:i4>0</vt:i4>
      </vt:variant>
      <vt:variant>
        <vt:i4>5</vt:i4>
      </vt:variant>
      <vt:variant>
        <vt:lpwstr>https://www.itu.int/md/D26-TDAG33-C-0019/en</vt:lpwstr>
      </vt:variant>
      <vt:variant>
        <vt:lpwstr/>
      </vt:variant>
      <vt:variant>
        <vt:i4>2556018</vt:i4>
      </vt:variant>
      <vt:variant>
        <vt:i4>24</vt:i4>
      </vt:variant>
      <vt:variant>
        <vt:i4>0</vt:i4>
      </vt:variant>
      <vt:variant>
        <vt:i4>5</vt:i4>
      </vt:variant>
      <vt:variant>
        <vt:lpwstr>https://www.itu.int/md/D22-WTDC25-C-0002/en</vt:lpwstr>
      </vt:variant>
      <vt:variant>
        <vt:lpwstr/>
      </vt:variant>
      <vt:variant>
        <vt:i4>2490467</vt:i4>
      </vt:variant>
      <vt:variant>
        <vt:i4>21</vt:i4>
      </vt:variant>
      <vt:variant>
        <vt:i4>0</vt:i4>
      </vt:variant>
      <vt:variant>
        <vt:i4>5</vt:i4>
      </vt:variant>
      <vt:variant>
        <vt:lpwstr>https://www.itu.int/md/D22-TDAG32-C-0024/en</vt:lpwstr>
      </vt:variant>
      <vt:variant>
        <vt:lpwstr/>
      </vt:variant>
      <vt:variant>
        <vt:i4>7471166</vt:i4>
      </vt:variant>
      <vt:variant>
        <vt:i4>18</vt:i4>
      </vt:variant>
      <vt:variant>
        <vt:i4>0</vt:i4>
      </vt:variant>
      <vt:variant>
        <vt:i4>5</vt:i4>
      </vt:variant>
      <vt:variant>
        <vt:lpwstr>https://www.itu.int/md/S25-CL-C-0025/en</vt:lpwstr>
      </vt:variant>
      <vt:variant>
        <vt:lpwstr/>
      </vt:variant>
      <vt:variant>
        <vt:i4>5505118</vt:i4>
      </vt:variant>
      <vt:variant>
        <vt:i4>15</vt:i4>
      </vt:variant>
      <vt:variant>
        <vt:i4>0</vt:i4>
      </vt:variant>
      <vt:variant>
        <vt:i4>5</vt:i4>
      </vt:variant>
      <vt:variant>
        <vt:lpwstr>http://itu.int/go/wtdc25-final-report</vt:lpwstr>
      </vt:variant>
      <vt:variant>
        <vt:lpwstr/>
      </vt:variant>
      <vt:variant>
        <vt:i4>7078007</vt:i4>
      </vt:variant>
      <vt:variant>
        <vt:i4>12</vt:i4>
      </vt:variant>
      <vt:variant>
        <vt:i4>0</vt:i4>
      </vt:variant>
      <vt:variant>
        <vt:i4>5</vt:i4>
      </vt:variant>
      <vt:variant>
        <vt:lpwstr>https://www.itu.int/itu-d/meetings/wtdc25/wp-content/uploads/sites/29/2025/11/090-E.pdf</vt:lpwstr>
      </vt:variant>
      <vt:variant>
        <vt:lpwstr/>
      </vt:variant>
      <vt:variant>
        <vt:i4>4915227</vt:i4>
      </vt:variant>
      <vt:variant>
        <vt:i4>9</vt:i4>
      </vt:variant>
      <vt:variant>
        <vt:i4>0</vt:i4>
      </vt:variant>
      <vt:variant>
        <vt:i4>5</vt:i4>
      </vt:variant>
      <vt:variant>
        <vt:lpwstr>https://www.itu.int/en/publications/ITU-D/pages/publications.aspx?parent=D-TDC-WTDC-2022&amp;media=electronic</vt:lpwstr>
      </vt:variant>
      <vt:variant>
        <vt:lpwstr/>
      </vt:variant>
      <vt:variant>
        <vt:i4>7012448</vt:i4>
      </vt:variant>
      <vt:variant>
        <vt:i4>6</vt:i4>
      </vt:variant>
      <vt:variant>
        <vt:i4>0</vt:i4>
      </vt:variant>
      <vt:variant>
        <vt:i4>5</vt:i4>
      </vt:variant>
      <vt:variant>
        <vt:lpwstr>https://www.itu.int/en/council/Documents/basic-texts-2023/RES-157-E.pdf</vt:lpwstr>
      </vt:variant>
      <vt:variant>
        <vt:lpwstr/>
      </vt:variant>
      <vt:variant>
        <vt:i4>7143522</vt:i4>
      </vt:variant>
      <vt:variant>
        <vt:i4>3</vt:i4>
      </vt:variant>
      <vt:variant>
        <vt:i4>0</vt:i4>
      </vt:variant>
      <vt:variant>
        <vt:i4>5</vt:i4>
      </vt:variant>
      <vt:variant>
        <vt:lpwstr>https://www.itu.int/en/council/Documents/basic-texts-2023/RES-135-E.pdf</vt:lpwstr>
      </vt:variant>
      <vt:variant>
        <vt:lpwstr/>
      </vt:variant>
      <vt:variant>
        <vt:i4>7077987</vt:i4>
      </vt:variant>
      <vt:variant>
        <vt:i4>0</vt:i4>
      </vt:variant>
      <vt:variant>
        <vt:i4>0</vt:i4>
      </vt:variant>
      <vt:variant>
        <vt:i4>5</vt:i4>
      </vt:variant>
      <vt:variant>
        <vt:lpwstr>https://www.itu.int/en/council/Documents/basic-texts-2023/RES-025-E.pdf</vt:lpwstr>
      </vt:variant>
      <vt:variant>
        <vt:lpwstr/>
      </vt:variant>
      <vt:variant>
        <vt:i4>7536700</vt:i4>
      </vt:variant>
      <vt:variant>
        <vt:i4>0</vt:i4>
      </vt:variant>
      <vt:variant>
        <vt:i4>0</vt:i4>
      </vt:variant>
      <vt:variant>
        <vt:i4>5</vt:i4>
      </vt:variant>
      <vt:variant>
        <vt:lpwstr>https://www.itu.int/md/S25-CL-C-0105/en</vt:lpwstr>
      </vt:variant>
      <vt:variant>
        <vt:lpwstr/>
      </vt:variant>
      <vt:variant>
        <vt:i4>25</vt:i4>
      </vt:variant>
      <vt:variant>
        <vt:i4>3</vt:i4>
      </vt:variant>
      <vt:variant>
        <vt:i4>0</vt:i4>
      </vt:variant>
      <vt:variant>
        <vt:i4>5</vt:i4>
      </vt:variant>
      <vt:variant>
        <vt:lpwstr>https://council.itu.int/2026/en/</vt:lpwstr>
      </vt:variant>
      <vt:variant>
        <vt:lpwstr/>
      </vt:variant>
      <vt:variant>
        <vt:i4>7798786</vt:i4>
      </vt:variant>
      <vt:variant>
        <vt:i4>6</vt:i4>
      </vt:variant>
      <vt:variant>
        <vt:i4>0</vt:i4>
      </vt:variant>
      <vt:variant>
        <vt:i4>5</vt:i4>
      </vt:variant>
      <vt:variant>
        <vt:lpwstr>mailto:bruno.ramos@itu.int</vt:lpwstr>
      </vt:variant>
      <vt:variant>
        <vt:lpwstr/>
      </vt:variant>
      <vt:variant>
        <vt:i4>5570622</vt:i4>
      </vt:variant>
      <vt:variant>
        <vt:i4>3</vt:i4>
      </vt:variant>
      <vt:variant>
        <vt:i4>0</vt:i4>
      </vt:variant>
      <vt:variant>
        <vt:i4>5</vt:i4>
      </vt:variant>
      <vt:variant>
        <vt:lpwstr>mailto:emmanuel.manasseh@itu.int</vt:lpwstr>
      </vt:variant>
      <vt:variant>
        <vt:lpwstr/>
      </vt:variant>
      <vt:variant>
        <vt:i4>7012376</vt:i4>
      </vt:variant>
      <vt:variant>
        <vt:i4>0</vt:i4>
      </vt:variant>
      <vt:variant>
        <vt:i4>0</vt:i4>
      </vt:variant>
      <vt:variant>
        <vt:i4>5</vt:i4>
      </vt:variant>
      <vt:variant>
        <vt:lpwstr>mailto:archana.gulati@itu.int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ITU’s regional presence</dc:title>
  <dc:subject>ITU Council 2026</dc:subject>
  <dc:creator/>
  <cp:keywords>C26; C2026; Council 2026; PP26</cp:keywords>
  <dc:description/>
  <cp:lastModifiedBy>GBS</cp:lastModifiedBy>
  <cp:revision>3</cp:revision>
  <cp:lastPrinted>2000-07-18T22:30:00Z</cp:lastPrinted>
  <dcterms:created xsi:type="dcterms:W3CDTF">2026-03-30T19:55:00Z</dcterms:created>
  <dcterms:modified xsi:type="dcterms:W3CDTF">2026-03-30T19:58:00Z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