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4E0DD2" w:rsidRPr="00BB6FD8" w14:paraId="66B24541" w14:textId="77777777" w:rsidTr="00C4421B">
        <w:trPr>
          <w:cantSplit/>
          <w:trHeight w:val="23"/>
        </w:trPr>
        <w:tc>
          <w:tcPr>
            <w:tcW w:w="3969" w:type="dxa"/>
            <w:vMerge w:val="restart"/>
            <w:tcMar>
              <w:left w:w="0" w:type="dxa"/>
            </w:tcMar>
          </w:tcPr>
          <w:p w14:paraId="71C9D244" w14:textId="2F296176" w:rsidR="004E0DD2" w:rsidRPr="001A3BB4" w:rsidRDefault="004E0DD2" w:rsidP="004E0DD2">
            <w:pPr>
              <w:tabs>
                <w:tab w:val="left" w:pos="851"/>
              </w:tabs>
              <w:spacing w:before="0" w:line="240" w:lineRule="atLeast"/>
              <w:rPr>
                <w:b/>
                <w:lang w:val="en-GB"/>
              </w:rPr>
            </w:pPr>
            <w:bookmarkStart w:id="0" w:name="_Hlk133421839"/>
            <w:r w:rsidRPr="001A3BB4">
              <w:rPr>
                <w:b/>
                <w:lang w:val="en-GB"/>
              </w:rPr>
              <w:t xml:space="preserve">Punto del </w:t>
            </w:r>
            <w:proofErr w:type="spellStart"/>
            <w:r w:rsidRPr="001A3BB4">
              <w:rPr>
                <w:b/>
                <w:lang w:val="en-GB"/>
              </w:rPr>
              <w:t>orden</w:t>
            </w:r>
            <w:proofErr w:type="spellEnd"/>
            <w:r w:rsidRPr="001A3BB4">
              <w:rPr>
                <w:b/>
                <w:lang w:val="en-GB"/>
              </w:rPr>
              <w:t xml:space="preserve"> del día: </w:t>
            </w:r>
            <w:r w:rsidRPr="00F51009">
              <w:rPr>
                <w:rFonts w:asciiTheme="minorHAnsi" w:hAnsiTheme="minorHAnsi" w:cstheme="minorHAnsi"/>
                <w:b/>
                <w:lang w:val="es-ES"/>
              </w:rPr>
              <w:t>PL-2</w:t>
            </w:r>
          </w:p>
        </w:tc>
        <w:tc>
          <w:tcPr>
            <w:tcW w:w="5245" w:type="dxa"/>
          </w:tcPr>
          <w:p w14:paraId="669469F8" w14:textId="7B3DD1A8" w:rsidR="004E0DD2" w:rsidRPr="00BB6FD8" w:rsidRDefault="004E0DD2" w:rsidP="004E0DD2">
            <w:pPr>
              <w:tabs>
                <w:tab w:val="left" w:pos="851"/>
              </w:tabs>
              <w:spacing w:before="0" w:line="240" w:lineRule="atLeast"/>
              <w:jc w:val="right"/>
              <w:rPr>
                <w:b/>
              </w:rPr>
            </w:pPr>
            <w:r w:rsidRPr="00F51009">
              <w:rPr>
                <w:rFonts w:asciiTheme="minorHAnsi" w:hAnsiTheme="minorHAnsi" w:cstheme="minorHAnsi"/>
                <w:b/>
                <w:lang w:val="es-ES"/>
              </w:rPr>
              <w:t>Documento C26/24-S</w:t>
            </w:r>
          </w:p>
        </w:tc>
      </w:tr>
      <w:tr w:rsidR="004E0DD2" w:rsidRPr="00666D09" w14:paraId="574E2CEA" w14:textId="77777777" w:rsidTr="00C4421B">
        <w:trPr>
          <w:cantSplit/>
        </w:trPr>
        <w:tc>
          <w:tcPr>
            <w:tcW w:w="3969" w:type="dxa"/>
            <w:vMerge/>
          </w:tcPr>
          <w:p w14:paraId="6017B99C" w14:textId="77777777" w:rsidR="004E0DD2" w:rsidRPr="00BB6FD8" w:rsidRDefault="004E0DD2" w:rsidP="004E0DD2">
            <w:pPr>
              <w:tabs>
                <w:tab w:val="left" w:pos="851"/>
              </w:tabs>
              <w:spacing w:line="240" w:lineRule="atLeast"/>
              <w:rPr>
                <w:b/>
              </w:rPr>
            </w:pPr>
          </w:p>
        </w:tc>
        <w:tc>
          <w:tcPr>
            <w:tcW w:w="5245" w:type="dxa"/>
          </w:tcPr>
          <w:p w14:paraId="09387E33" w14:textId="79C5B28A" w:rsidR="004E0DD2" w:rsidRPr="00666D09" w:rsidRDefault="004E0DD2" w:rsidP="004E0DD2">
            <w:pPr>
              <w:tabs>
                <w:tab w:val="left" w:pos="851"/>
              </w:tabs>
              <w:spacing w:before="0"/>
              <w:jc w:val="right"/>
              <w:rPr>
                <w:b/>
                <w:lang w:val="en-GB"/>
              </w:rPr>
            </w:pPr>
            <w:r w:rsidRPr="00F51009">
              <w:rPr>
                <w:rFonts w:asciiTheme="minorHAnsi" w:hAnsiTheme="minorHAnsi" w:cstheme="minorHAnsi"/>
                <w:b/>
                <w:lang w:val="es-ES"/>
              </w:rPr>
              <w:t>30 de marzo de 2026</w:t>
            </w:r>
          </w:p>
        </w:tc>
      </w:tr>
      <w:tr w:rsidR="004E0DD2" w:rsidRPr="00BB6FD8" w14:paraId="6949F1F8" w14:textId="77777777" w:rsidTr="00C4421B">
        <w:trPr>
          <w:cantSplit/>
          <w:trHeight w:val="23"/>
        </w:trPr>
        <w:tc>
          <w:tcPr>
            <w:tcW w:w="3969" w:type="dxa"/>
            <w:vMerge/>
          </w:tcPr>
          <w:p w14:paraId="6D1DE44C" w14:textId="77777777" w:rsidR="004E0DD2" w:rsidRPr="00666D09" w:rsidRDefault="004E0DD2" w:rsidP="004E0DD2">
            <w:pPr>
              <w:tabs>
                <w:tab w:val="left" w:pos="851"/>
              </w:tabs>
              <w:spacing w:line="240" w:lineRule="atLeast"/>
              <w:rPr>
                <w:b/>
                <w:lang w:val="en-GB"/>
              </w:rPr>
            </w:pPr>
          </w:p>
        </w:tc>
        <w:tc>
          <w:tcPr>
            <w:tcW w:w="5245" w:type="dxa"/>
          </w:tcPr>
          <w:p w14:paraId="2ECC28E7" w14:textId="53206055" w:rsidR="004E0DD2" w:rsidRPr="00BB6FD8" w:rsidRDefault="004E0DD2" w:rsidP="004E0DD2">
            <w:pPr>
              <w:tabs>
                <w:tab w:val="left" w:pos="851"/>
              </w:tabs>
              <w:spacing w:before="0" w:line="240" w:lineRule="atLeast"/>
              <w:jc w:val="right"/>
              <w:rPr>
                <w:b/>
                <w:bCs/>
              </w:rPr>
            </w:pPr>
            <w:r w:rsidRPr="00F51009">
              <w:rPr>
                <w:rFonts w:asciiTheme="minorHAnsi" w:hAnsiTheme="minorHAnsi" w:cstheme="minorHAnsi"/>
                <w:b/>
                <w:lang w:val="es-ES"/>
              </w:rPr>
              <w:t>Original: inglés</w:t>
            </w:r>
          </w:p>
        </w:tc>
      </w:tr>
      <w:tr w:rsidR="00FE57F6" w:rsidRPr="00BB6FD8" w14:paraId="3A7B2515" w14:textId="77777777" w:rsidTr="00C4421B">
        <w:trPr>
          <w:cantSplit/>
          <w:trHeight w:val="23"/>
        </w:trPr>
        <w:tc>
          <w:tcPr>
            <w:tcW w:w="3969" w:type="dxa"/>
          </w:tcPr>
          <w:p w14:paraId="54D49EF2" w14:textId="77777777" w:rsidR="00FE57F6" w:rsidRPr="00BB6FD8" w:rsidRDefault="00FE57F6" w:rsidP="00C4421B">
            <w:pPr>
              <w:tabs>
                <w:tab w:val="left" w:pos="851"/>
              </w:tabs>
              <w:spacing w:line="240" w:lineRule="atLeast"/>
              <w:rPr>
                <w:b/>
              </w:rPr>
            </w:pPr>
          </w:p>
        </w:tc>
        <w:tc>
          <w:tcPr>
            <w:tcW w:w="5245" w:type="dxa"/>
          </w:tcPr>
          <w:p w14:paraId="7BE27A4F" w14:textId="77777777" w:rsidR="00FE57F6" w:rsidRPr="00BB6FD8" w:rsidRDefault="00FE57F6" w:rsidP="00C4421B">
            <w:pPr>
              <w:tabs>
                <w:tab w:val="left" w:pos="851"/>
              </w:tabs>
              <w:spacing w:before="0" w:line="240" w:lineRule="atLeast"/>
              <w:jc w:val="right"/>
              <w:rPr>
                <w:b/>
              </w:rPr>
            </w:pPr>
          </w:p>
        </w:tc>
      </w:tr>
      <w:tr w:rsidR="00FE57F6" w:rsidRPr="00CC1FAF" w14:paraId="3D0C1CD2" w14:textId="77777777" w:rsidTr="00C4421B">
        <w:trPr>
          <w:cantSplit/>
        </w:trPr>
        <w:tc>
          <w:tcPr>
            <w:tcW w:w="9214" w:type="dxa"/>
            <w:gridSpan w:val="2"/>
            <w:tcMar>
              <w:left w:w="0" w:type="dxa"/>
            </w:tcMar>
          </w:tcPr>
          <w:p w14:paraId="214A5E30" w14:textId="77777777" w:rsidR="00FE57F6" w:rsidRPr="00CC1FAF" w:rsidRDefault="00157AC4" w:rsidP="00C4421B">
            <w:pPr>
              <w:pStyle w:val="Source"/>
              <w:jc w:val="left"/>
              <w:rPr>
                <w:sz w:val="34"/>
                <w:szCs w:val="34"/>
                <w:lang w:val="es-ES"/>
              </w:rPr>
            </w:pPr>
            <w:r w:rsidRPr="00CC1FAF">
              <w:rPr>
                <w:rFonts w:cstheme="minorHAnsi"/>
                <w:sz w:val="34"/>
                <w:szCs w:val="34"/>
                <w:lang w:val="es-ES"/>
              </w:rPr>
              <w:t>Informe de la Secretaria General</w:t>
            </w:r>
          </w:p>
        </w:tc>
      </w:tr>
      <w:tr w:rsidR="00FE57F6" w:rsidRPr="00BB6FD8" w14:paraId="52AABC78" w14:textId="77777777" w:rsidTr="00C4421B">
        <w:trPr>
          <w:cantSplit/>
        </w:trPr>
        <w:tc>
          <w:tcPr>
            <w:tcW w:w="9214" w:type="dxa"/>
            <w:gridSpan w:val="2"/>
            <w:tcMar>
              <w:left w:w="0" w:type="dxa"/>
            </w:tcMar>
          </w:tcPr>
          <w:p w14:paraId="14BA85C6" w14:textId="10F1CDD3" w:rsidR="00FE57F6" w:rsidRPr="004E0DD2" w:rsidRDefault="004E0DD2" w:rsidP="00C4421B">
            <w:pPr>
              <w:pStyle w:val="Subtitle"/>
              <w:framePr w:hSpace="0" w:wrap="auto" w:hAnchor="text" w:xAlign="left" w:yAlign="inline"/>
              <w:rPr>
                <w:lang w:val="es-ES"/>
              </w:rPr>
            </w:pPr>
            <w:r w:rsidRPr="00F51009">
              <w:rPr>
                <w:rFonts w:asciiTheme="minorHAnsi" w:hAnsiTheme="minorHAnsi" w:cstheme="minorHAnsi"/>
                <w:lang w:val="es-ES"/>
              </w:rPr>
              <w:t>EXAMEN DE LA PRESENCIA REGIONAL DE LA UIT</w:t>
            </w:r>
          </w:p>
        </w:tc>
      </w:tr>
      <w:tr w:rsidR="00FE57F6" w:rsidRPr="00BB6FD8" w14:paraId="41FEA67B" w14:textId="77777777" w:rsidTr="00C4421B">
        <w:trPr>
          <w:cantSplit/>
        </w:trPr>
        <w:tc>
          <w:tcPr>
            <w:tcW w:w="9214" w:type="dxa"/>
            <w:gridSpan w:val="2"/>
            <w:tcBorders>
              <w:top w:val="single" w:sz="4" w:space="0" w:color="auto"/>
              <w:bottom w:val="single" w:sz="4" w:space="0" w:color="auto"/>
            </w:tcBorders>
            <w:tcMar>
              <w:left w:w="0" w:type="dxa"/>
            </w:tcMar>
          </w:tcPr>
          <w:p w14:paraId="7B0D22A1" w14:textId="77777777" w:rsidR="00FE57F6" w:rsidRPr="00CC1FAF" w:rsidRDefault="00F24B71" w:rsidP="00C4421B">
            <w:pPr>
              <w:spacing w:before="160"/>
              <w:rPr>
                <w:b/>
                <w:bCs/>
                <w:sz w:val="26"/>
                <w:szCs w:val="26"/>
                <w:lang w:val="es-ES"/>
              </w:rPr>
            </w:pPr>
            <w:r w:rsidRPr="00CC1FAF">
              <w:rPr>
                <w:b/>
                <w:bCs/>
                <w:sz w:val="26"/>
                <w:szCs w:val="26"/>
                <w:lang w:val="es-ES"/>
              </w:rPr>
              <w:t>Finalidad</w:t>
            </w:r>
          </w:p>
          <w:p w14:paraId="13138D00" w14:textId="6B98A233" w:rsidR="004E0DD2" w:rsidRPr="00F51009" w:rsidRDefault="004E0DD2" w:rsidP="00944930">
            <w:pPr>
              <w:rPr>
                <w:rFonts w:asciiTheme="minorHAnsi" w:hAnsiTheme="minorHAnsi" w:cstheme="minorBidi"/>
                <w:lang w:val="es-ES"/>
              </w:rPr>
            </w:pPr>
            <w:r w:rsidRPr="00F51009">
              <w:rPr>
                <w:rFonts w:asciiTheme="minorHAnsi" w:hAnsiTheme="minorHAnsi" w:cstheme="minorBidi"/>
                <w:lang w:val="es-ES"/>
              </w:rPr>
              <w:t>El presente documento contiene información sobre el examen de la presencia regional de la UIT llevado a cabo de conformidad con las recomendaciones formuladas por el Consejo en su reunión de 2025. Este se complementa con un documento de información (</w:t>
            </w:r>
            <w:hyperlink r:id="rId7">
              <w:r w:rsidRPr="00F51009">
                <w:rPr>
                  <w:rStyle w:val="Hyperlink"/>
                  <w:rFonts w:asciiTheme="minorHAnsi" w:hAnsiTheme="minorHAnsi"/>
                  <w:lang w:val="es-ES"/>
                </w:rPr>
                <w:t>C26/INF/10</w:t>
              </w:r>
            </w:hyperlink>
            <w:r w:rsidRPr="00F51009">
              <w:rPr>
                <w:rFonts w:asciiTheme="minorHAnsi" w:hAnsiTheme="minorHAnsi" w:cstheme="minorBidi"/>
                <w:lang w:val="es-ES"/>
              </w:rPr>
              <w:t xml:space="preserve">), en el que se abordan los antecedentes y el contexto del examen, la metodología especificada por el Consejo y las conclusiones detalladas que se desprenden del mismo. </w:t>
            </w:r>
          </w:p>
          <w:p w14:paraId="260A5E6E" w14:textId="77777777" w:rsidR="00FE57F6" w:rsidRPr="00CC1FAF" w:rsidRDefault="00F24B71" w:rsidP="00C4421B">
            <w:pPr>
              <w:spacing w:before="160"/>
              <w:rPr>
                <w:b/>
                <w:bCs/>
                <w:sz w:val="26"/>
                <w:szCs w:val="26"/>
                <w:lang w:val="es-ES"/>
              </w:rPr>
            </w:pPr>
            <w:r w:rsidRPr="00CC1FAF">
              <w:rPr>
                <w:b/>
                <w:bCs/>
                <w:sz w:val="26"/>
                <w:szCs w:val="26"/>
                <w:lang w:val="es-ES"/>
              </w:rPr>
              <w:t xml:space="preserve">Acción solicitada </w:t>
            </w:r>
            <w:r w:rsidR="00677A97" w:rsidRPr="00CC1FAF">
              <w:rPr>
                <w:b/>
                <w:bCs/>
                <w:sz w:val="26"/>
                <w:szCs w:val="26"/>
                <w:lang w:val="es-ES"/>
              </w:rPr>
              <w:t>al</w:t>
            </w:r>
            <w:r w:rsidRPr="00CC1FAF">
              <w:rPr>
                <w:b/>
                <w:bCs/>
                <w:sz w:val="26"/>
                <w:szCs w:val="26"/>
                <w:lang w:val="es-ES"/>
              </w:rPr>
              <w:t xml:space="preserve"> Consejo</w:t>
            </w:r>
          </w:p>
          <w:p w14:paraId="652F206F" w14:textId="77777777" w:rsidR="004E0DD2" w:rsidRDefault="004E0DD2" w:rsidP="00C4421B">
            <w:pPr>
              <w:spacing w:before="160"/>
              <w:rPr>
                <w:rFonts w:asciiTheme="minorHAnsi" w:hAnsiTheme="minorHAnsi" w:cstheme="minorHAnsi"/>
                <w:lang w:val="es-ES"/>
              </w:rPr>
            </w:pPr>
            <w:r w:rsidRPr="00F51009">
              <w:rPr>
                <w:rFonts w:asciiTheme="minorHAnsi" w:hAnsiTheme="minorHAnsi" w:cstheme="minorHAnsi"/>
                <w:lang w:val="es-ES"/>
              </w:rPr>
              <w:t xml:space="preserve">Se invita al Consejo </w:t>
            </w:r>
            <w:r w:rsidRPr="00F51009">
              <w:rPr>
                <w:rFonts w:asciiTheme="minorHAnsi" w:hAnsiTheme="minorHAnsi" w:cstheme="minorHAnsi"/>
                <w:b/>
                <w:bCs/>
                <w:lang w:val="es-ES"/>
              </w:rPr>
              <w:t xml:space="preserve">examinar </w:t>
            </w:r>
            <w:r w:rsidRPr="00F51009">
              <w:rPr>
                <w:rFonts w:asciiTheme="minorHAnsi" w:hAnsiTheme="minorHAnsi" w:cstheme="minorHAnsi"/>
                <w:lang w:val="es-ES"/>
              </w:rPr>
              <w:t xml:space="preserve">el presente informe y a </w:t>
            </w:r>
            <w:r w:rsidRPr="00F51009">
              <w:rPr>
                <w:rFonts w:asciiTheme="minorHAnsi" w:hAnsiTheme="minorHAnsi" w:cstheme="minorHAnsi"/>
                <w:b/>
                <w:bCs/>
                <w:lang w:val="es-ES"/>
              </w:rPr>
              <w:t>tomar nota</w:t>
            </w:r>
            <w:r w:rsidRPr="00F51009">
              <w:rPr>
                <w:rFonts w:asciiTheme="minorHAnsi" w:hAnsiTheme="minorHAnsi" w:cstheme="minorHAnsi"/>
                <w:lang w:val="es-ES"/>
              </w:rPr>
              <w:t xml:space="preserve"> </w:t>
            </w:r>
            <w:proofErr w:type="gramStart"/>
            <w:r w:rsidRPr="00F51009">
              <w:rPr>
                <w:rFonts w:asciiTheme="minorHAnsi" w:hAnsiTheme="minorHAnsi" w:cstheme="minorHAnsi"/>
                <w:lang w:val="es-ES"/>
              </w:rPr>
              <w:t>del mismo</w:t>
            </w:r>
            <w:proofErr w:type="gramEnd"/>
            <w:r w:rsidRPr="00F51009">
              <w:rPr>
                <w:rFonts w:asciiTheme="minorHAnsi" w:hAnsiTheme="minorHAnsi" w:cstheme="minorHAnsi"/>
                <w:lang w:val="es-ES"/>
              </w:rPr>
              <w:t>.</w:t>
            </w:r>
          </w:p>
          <w:p w14:paraId="727A8D00" w14:textId="1DB28899" w:rsidR="00F92BED" w:rsidRPr="00F24B71" w:rsidRDefault="00F92BED" w:rsidP="00C4421B">
            <w:pPr>
              <w:spacing w:before="160"/>
              <w:rPr>
                <w:b/>
                <w:bCs/>
                <w:sz w:val="26"/>
                <w:szCs w:val="26"/>
                <w:lang w:val="es-ES"/>
              </w:rPr>
            </w:pPr>
            <w:r w:rsidRPr="00F24B71">
              <w:rPr>
                <w:b/>
                <w:bCs/>
                <w:sz w:val="26"/>
                <w:szCs w:val="26"/>
                <w:lang w:val="es-ES"/>
              </w:rPr>
              <w:t>Vínculo</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pertinente</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con el Plan Estratégico</w:t>
            </w:r>
          </w:p>
          <w:p w14:paraId="62803BC0" w14:textId="3F8AE028" w:rsidR="00F92BED" w:rsidRPr="00F24B71" w:rsidRDefault="004E0DD2" w:rsidP="00C4421B">
            <w:pPr>
              <w:rPr>
                <w:lang w:val="es-ES"/>
              </w:rPr>
            </w:pPr>
            <w:r w:rsidRPr="00F51009">
              <w:rPr>
                <w:rFonts w:asciiTheme="minorHAnsi" w:hAnsiTheme="minorHAnsi" w:cstheme="minorHAnsi"/>
                <w:lang w:val="es-ES"/>
              </w:rPr>
              <w:t>Presencia regional.</w:t>
            </w:r>
          </w:p>
          <w:p w14:paraId="6C810D3D" w14:textId="77777777" w:rsidR="00F92BED" w:rsidRPr="001A3BB4" w:rsidRDefault="00F92BED" w:rsidP="00C4421B">
            <w:pPr>
              <w:spacing w:before="160"/>
              <w:rPr>
                <w:b/>
                <w:bCs/>
                <w:sz w:val="26"/>
                <w:szCs w:val="26"/>
                <w:lang w:val="en-GB"/>
              </w:rPr>
            </w:pPr>
            <w:proofErr w:type="spellStart"/>
            <w:r w:rsidRPr="001A3BB4">
              <w:rPr>
                <w:b/>
                <w:bCs/>
                <w:sz w:val="26"/>
                <w:szCs w:val="26"/>
                <w:lang w:val="en-GB"/>
              </w:rPr>
              <w:t>Repercusiones</w:t>
            </w:r>
            <w:proofErr w:type="spellEnd"/>
            <w:r w:rsidRPr="001A3BB4">
              <w:rPr>
                <w:b/>
                <w:bCs/>
                <w:sz w:val="26"/>
                <w:szCs w:val="26"/>
                <w:lang w:val="en-GB"/>
              </w:rPr>
              <w:t xml:space="preserve"> </w:t>
            </w:r>
            <w:proofErr w:type="spellStart"/>
            <w:r w:rsidRPr="001A3BB4">
              <w:rPr>
                <w:b/>
                <w:bCs/>
                <w:sz w:val="26"/>
                <w:szCs w:val="26"/>
                <w:lang w:val="en-GB"/>
              </w:rPr>
              <w:t>financieras</w:t>
            </w:r>
            <w:proofErr w:type="spellEnd"/>
          </w:p>
          <w:p w14:paraId="2DE5CADB" w14:textId="6303B8E7" w:rsidR="00F92BED" w:rsidRPr="001A3BB4" w:rsidRDefault="004E0DD2" w:rsidP="00C4421B">
            <w:pPr>
              <w:rPr>
                <w:lang w:val="en-GB"/>
              </w:rPr>
            </w:pPr>
            <w:r w:rsidRPr="00F51009">
              <w:rPr>
                <w:rFonts w:asciiTheme="minorHAnsi" w:hAnsiTheme="minorHAnsi" w:cstheme="minorHAnsi"/>
                <w:lang w:val="es-ES"/>
              </w:rPr>
              <w:t>No hay repercusiones financieras inmediatas.</w:t>
            </w:r>
          </w:p>
          <w:p w14:paraId="63A40A66" w14:textId="77777777" w:rsidR="00FE57F6" w:rsidRPr="001A3BB4" w:rsidRDefault="00FE57F6" w:rsidP="00C4421B">
            <w:pPr>
              <w:spacing w:before="160"/>
              <w:rPr>
                <w:caps/>
                <w:sz w:val="22"/>
                <w:lang w:val="en-GB"/>
              </w:rPr>
            </w:pPr>
            <w:r w:rsidRPr="001A3BB4">
              <w:rPr>
                <w:sz w:val="22"/>
                <w:lang w:val="en-GB"/>
              </w:rPr>
              <w:t>__________________</w:t>
            </w:r>
          </w:p>
          <w:p w14:paraId="272FD8E7" w14:textId="77777777" w:rsidR="00FE57F6" w:rsidRPr="001A3BB4" w:rsidRDefault="00F24B71" w:rsidP="00C4421B">
            <w:pPr>
              <w:spacing w:before="160"/>
              <w:rPr>
                <w:b/>
                <w:bCs/>
                <w:sz w:val="26"/>
                <w:szCs w:val="26"/>
                <w:lang w:val="en-GB"/>
              </w:rPr>
            </w:pPr>
            <w:proofErr w:type="spellStart"/>
            <w:r w:rsidRPr="001A3BB4">
              <w:rPr>
                <w:b/>
                <w:bCs/>
                <w:sz w:val="26"/>
                <w:szCs w:val="26"/>
                <w:lang w:val="en-GB"/>
              </w:rPr>
              <w:t>Referencia</w:t>
            </w:r>
            <w:r w:rsidR="00F92BED" w:rsidRPr="001A3BB4">
              <w:rPr>
                <w:b/>
                <w:bCs/>
                <w:sz w:val="26"/>
                <w:szCs w:val="26"/>
                <w:lang w:val="en-GB"/>
              </w:rPr>
              <w:t>s</w:t>
            </w:r>
            <w:proofErr w:type="spellEnd"/>
            <w:r w:rsidR="00D375E0" w:rsidRPr="001A3BB4">
              <w:rPr>
                <w:sz w:val="26"/>
                <w:szCs w:val="26"/>
                <w:lang w:val="en-GB"/>
              </w:rPr>
              <w:t xml:space="preserve"> </w:t>
            </w:r>
          </w:p>
          <w:p w14:paraId="71A0D455" w14:textId="1EF8F604" w:rsidR="00FE57F6" w:rsidRPr="004E0DD2" w:rsidRDefault="004E0DD2" w:rsidP="00C4421B">
            <w:pPr>
              <w:spacing w:after="160"/>
              <w:rPr>
                <w:i/>
                <w:iCs/>
                <w:szCs w:val="24"/>
              </w:rPr>
            </w:pPr>
            <w:hyperlink r:id="rId8" w:history="1">
              <w:r w:rsidRPr="004E0DD2">
                <w:rPr>
                  <w:i/>
                  <w:iCs/>
                  <w:szCs w:val="24"/>
                  <w:lang w:val="es-ES"/>
                </w:rPr>
                <w:t>Resolución</w:t>
              </w:r>
              <w:r w:rsidRPr="004E0DD2">
                <w:rPr>
                  <w:rStyle w:val="Hyperlink"/>
                  <w:rFonts w:asciiTheme="minorHAnsi" w:hAnsiTheme="minorHAnsi" w:cstheme="minorHAnsi"/>
                  <w:i/>
                  <w:iCs/>
                  <w:spacing w:val="-2"/>
                  <w:szCs w:val="24"/>
                  <w:lang w:val="es-ES"/>
                </w:rPr>
                <w:t xml:space="preserve"> 25 (Rev. Bucarest, 2022)</w:t>
              </w:r>
            </w:hyperlink>
            <w:r w:rsidRPr="004E0DD2">
              <w:rPr>
                <w:rFonts w:asciiTheme="minorHAnsi" w:hAnsiTheme="minorHAnsi" w:cstheme="minorHAnsi"/>
                <w:i/>
                <w:iCs/>
                <w:spacing w:val="-2"/>
                <w:szCs w:val="24"/>
                <w:lang w:val="es-ES"/>
              </w:rPr>
              <w:t xml:space="preserve"> de la Conferencia de Plenipotenciarios; </w:t>
            </w:r>
            <w:r w:rsidRPr="004E0DD2">
              <w:rPr>
                <w:rStyle w:val="Hyperlink"/>
                <w:rFonts w:asciiTheme="minorHAnsi" w:hAnsiTheme="minorHAnsi" w:cstheme="minorHAnsi"/>
                <w:i/>
                <w:iCs/>
                <w:spacing w:val="-2"/>
                <w:szCs w:val="24"/>
                <w:lang w:val="es-ES"/>
              </w:rPr>
              <w:t>Resoluciones</w:t>
            </w:r>
            <w:hyperlink r:id="rId9">
              <w:r w:rsidRPr="004E0DD2">
                <w:rPr>
                  <w:rStyle w:val="Hyperlink"/>
                  <w:rFonts w:asciiTheme="minorHAnsi" w:hAnsiTheme="minorHAnsi" w:cstheme="minorHAnsi"/>
                  <w:i/>
                  <w:iCs/>
                  <w:spacing w:val="-2"/>
                  <w:szCs w:val="24"/>
                  <w:lang w:val="es-ES"/>
                </w:rPr>
                <w:t xml:space="preserve"> 17 (Rev. Bakú, 2025)</w:t>
              </w:r>
              <w:r w:rsidRPr="00944930">
                <w:t xml:space="preserve"> y </w:t>
              </w:r>
              <w:r w:rsidRPr="004E0DD2">
                <w:rPr>
                  <w:rStyle w:val="Hyperlink"/>
                  <w:rFonts w:asciiTheme="minorHAnsi" w:hAnsiTheme="minorHAnsi" w:cstheme="minorHAnsi"/>
                  <w:i/>
                  <w:iCs/>
                  <w:spacing w:val="-2"/>
                  <w:szCs w:val="24"/>
                  <w:lang w:val="es-ES"/>
                </w:rPr>
                <w:t>31 (Rev. Bakú, 2025)</w:t>
              </w:r>
            </w:hyperlink>
            <w:r w:rsidRPr="004E0DD2">
              <w:rPr>
                <w:rFonts w:asciiTheme="minorHAnsi" w:hAnsiTheme="minorHAnsi" w:cstheme="minorHAnsi"/>
                <w:i/>
                <w:iCs/>
                <w:szCs w:val="24"/>
                <w:lang w:val="es-ES"/>
              </w:rPr>
              <w:t xml:space="preserve"> de la </w:t>
            </w:r>
            <w:hyperlink r:id="rId10" w:history="1">
              <w:r w:rsidRPr="00944930">
                <w:rPr>
                  <w:rStyle w:val="Hyperlink"/>
                  <w:rFonts w:asciiTheme="minorHAnsi" w:hAnsiTheme="minorHAnsi" w:cstheme="minorHAnsi"/>
                  <w:i/>
                  <w:iCs/>
                  <w:szCs w:val="24"/>
                  <w:lang w:val="es-ES"/>
                </w:rPr>
                <w:t>Conferencia Mundial de Desarrollo de las Telecomunicaciones (CMDT)</w:t>
              </w:r>
            </w:hyperlink>
            <w:r w:rsidRPr="00944930">
              <w:t xml:space="preserve">; </w:t>
            </w:r>
            <w:r w:rsidRPr="004E0DD2">
              <w:rPr>
                <w:rFonts w:asciiTheme="minorHAnsi" w:hAnsiTheme="minorHAnsi" w:cstheme="minorHAnsi"/>
                <w:i/>
                <w:iCs/>
                <w:szCs w:val="24"/>
                <w:lang w:val="es-ES"/>
              </w:rPr>
              <w:t xml:space="preserve">Informe final de la </w:t>
            </w:r>
            <w:hyperlink r:id="rId11">
              <w:r w:rsidRPr="004E0DD2">
                <w:rPr>
                  <w:rStyle w:val="Hyperlink"/>
                  <w:rFonts w:asciiTheme="minorHAnsi" w:hAnsiTheme="minorHAnsi" w:cstheme="minorHAnsi"/>
                  <w:i/>
                  <w:iCs/>
                  <w:szCs w:val="24"/>
                  <w:lang w:val="es-ES"/>
                </w:rPr>
                <w:t>CMDT-22 (Plan de Acción de Kigali)</w:t>
              </w:r>
            </w:hyperlink>
            <w:r w:rsidRPr="004E0DD2">
              <w:rPr>
                <w:rStyle w:val="Hyperlink"/>
                <w:rFonts w:asciiTheme="minorHAnsi" w:hAnsiTheme="minorHAnsi" w:cstheme="minorHAnsi"/>
                <w:i/>
                <w:iCs/>
                <w:szCs w:val="24"/>
                <w:lang w:val="es-ES"/>
              </w:rPr>
              <w:t xml:space="preserve">; </w:t>
            </w:r>
            <w:hyperlink r:id="rId12" w:anchor="/es" w:tgtFrame="_blank" w:history="1">
              <w:r w:rsidRPr="004E0DD2">
                <w:rPr>
                  <w:rStyle w:val="Hyperlink"/>
                  <w:rFonts w:asciiTheme="minorHAnsi" w:hAnsiTheme="minorHAnsi" w:cstheme="minorHAnsi"/>
                  <w:i/>
                  <w:iCs/>
                  <w:szCs w:val="24"/>
                  <w:lang w:val="es-ES"/>
                </w:rPr>
                <w:t>sitio web del GTC-RHF</w:t>
              </w:r>
            </w:hyperlink>
            <w:r w:rsidRPr="004E0DD2">
              <w:rPr>
                <w:rFonts w:asciiTheme="minorHAnsi" w:hAnsiTheme="minorHAnsi" w:cstheme="minorHAnsi"/>
                <w:i/>
                <w:iCs/>
                <w:szCs w:val="24"/>
                <w:lang w:val="es-ES"/>
              </w:rPr>
              <w:t xml:space="preserve">; Documentos </w:t>
            </w:r>
            <w:hyperlink r:id="rId13" w:history="1">
              <w:r w:rsidRPr="004E0DD2">
                <w:rPr>
                  <w:rStyle w:val="Hyperlink"/>
                  <w:rFonts w:asciiTheme="minorHAnsi" w:hAnsiTheme="minorHAnsi" w:cstheme="minorHAnsi"/>
                  <w:i/>
                  <w:iCs/>
                  <w:szCs w:val="24"/>
                  <w:lang w:val="es-ES"/>
                </w:rPr>
                <w:t>C26/25</w:t>
              </w:r>
            </w:hyperlink>
            <w:r w:rsidRPr="004E0DD2">
              <w:rPr>
                <w:rFonts w:asciiTheme="minorHAnsi" w:hAnsiTheme="minorHAnsi" w:cstheme="minorHAnsi"/>
                <w:i/>
                <w:iCs/>
                <w:szCs w:val="24"/>
                <w:lang w:val="es-ES"/>
              </w:rPr>
              <w:t xml:space="preserve">, </w:t>
            </w:r>
            <w:hyperlink r:id="rId14" w:tgtFrame="_blank" w:history="1">
              <w:r w:rsidRPr="004E0DD2">
                <w:rPr>
                  <w:rStyle w:val="Hyperlink"/>
                  <w:rFonts w:asciiTheme="minorHAnsi" w:hAnsiTheme="minorHAnsi" w:cstheme="minorHAnsi"/>
                  <w:i/>
                  <w:iCs/>
                  <w:szCs w:val="24"/>
                  <w:lang w:val="es-ES"/>
                </w:rPr>
                <w:t>C25/25</w:t>
              </w:r>
            </w:hyperlink>
            <w:r w:rsidRPr="004E0DD2">
              <w:rPr>
                <w:rFonts w:asciiTheme="minorHAnsi" w:hAnsiTheme="minorHAnsi" w:cstheme="minorHAnsi"/>
                <w:i/>
                <w:iCs/>
                <w:szCs w:val="24"/>
                <w:lang w:val="es-ES"/>
              </w:rPr>
              <w:t xml:space="preserve">, </w:t>
            </w:r>
            <w:hyperlink r:id="rId15" w:tgtFrame="_blank" w:history="1">
              <w:r w:rsidRPr="004E0DD2">
                <w:rPr>
                  <w:rStyle w:val="Hyperlink"/>
                  <w:rFonts w:asciiTheme="minorHAnsi" w:hAnsiTheme="minorHAnsi" w:cstheme="minorHAnsi"/>
                  <w:i/>
                  <w:iCs/>
                  <w:szCs w:val="24"/>
                  <w:lang w:val="es-ES"/>
                </w:rPr>
                <w:t>C25/105</w:t>
              </w:r>
            </w:hyperlink>
            <w:r w:rsidRPr="004E0DD2">
              <w:rPr>
                <w:rFonts w:asciiTheme="minorHAnsi" w:hAnsiTheme="minorHAnsi" w:cstheme="minorHAnsi"/>
                <w:i/>
                <w:iCs/>
                <w:szCs w:val="24"/>
                <w:lang w:val="es-ES"/>
              </w:rPr>
              <w:t xml:space="preserve">, </w:t>
            </w:r>
            <w:hyperlink r:id="rId16" w:tgtFrame="_blank" w:history="1">
              <w:r w:rsidRPr="004E0DD2">
                <w:rPr>
                  <w:rStyle w:val="Hyperlink"/>
                  <w:rFonts w:asciiTheme="minorHAnsi" w:hAnsiTheme="minorHAnsi" w:cstheme="minorHAnsi"/>
                  <w:i/>
                  <w:iCs/>
                  <w:szCs w:val="24"/>
                  <w:lang w:val="es-ES"/>
                </w:rPr>
                <w:t>C25/DL/6</w:t>
              </w:r>
            </w:hyperlink>
            <w:r w:rsidRPr="004E0DD2">
              <w:rPr>
                <w:rFonts w:asciiTheme="minorHAnsi" w:hAnsiTheme="minorHAnsi" w:cstheme="minorHAnsi"/>
                <w:i/>
                <w:iCs/>
                <w:szCs w:val="24"/>
                <w:lang w:val="es-ES"/>
              </w:rPr>
              <w:t xml:space="preserve">, </w:t>
            </w:r>
            <w:hyperlink r:id="rId17" w:tgtFrame="_blank" w:history="1">
              <w:r w:rsidRPr="004E0DD2">
                <w:rPr>
                  <w:rStyle w:val="Hyperlink"/>
                  <w:rFonts w:asciiTheme="minorHAnsi" w:hAnsiTheme="minorHAnsi" w:cstheme="minorHAnsi"/>
                  <w:i/>
                  <w:iCs/>
                  <w:szCs w:val="24"/>
                  <w:lang w:val="es-ES"/>
                </w:rPr>
                <w:t>C25/69</w:t>
              </w:r>
            </w:hyperlink>
            <w:r w:rsidRPr="004E0DD2">
              <w:rPr>
                <w:rFonts w:asciiTheme="minorHAnsi" w:hAnsiTheme="minorHAnsi" w:cstheme="minorHAnsi"/>
                <w:i/>
                <w:iCs/>
                <w:szCs w:val="24"/>
                <w:lang w:val="es-ES"/>
              </w:rPr>
              <w:t xml:space="preserve"> y </w:t>
            </w:r>
            <w:hyperlink r:id="rId18" w:history="1">
              <w:r w:rsidRPr="004E0DD2">
                <w:rPr>
                  <w:rStyle w:val="Hyperlink"/>
                  <w:rFonts w:asciiTheme="minorHAnsi" w:hAnsiTheme="minorHAnsi" w:cstheme="minorHAnsi"/>
                  <w:i/>
                  <w:iCs/>
                  <w:szCs w:val="24"/>
                  <w:lang w:val="es-ES"/>
                </w:rPr>
                <w:t>C26/INF/10</w:t>
              </w:r>
            </w:hyperlink>
            <w:r w:rsidRPr="004E0DD2">
              <w:rPr>
                <w:rFonts w:asciiTheme="minorHAnsi" w:hAnsiTheme="minorHAnsi" w:cstheme="minorHAnsi"/>
                <w:i/>
                <w:iCs/>
                <w:szCs w:val="24"/>
                <w:lang w:val="es-ES"/>
              </w:rPr>
              <w:t xml:space="preserve"> del Consejo</w:t>
            </w:r>
            <w:r w:rsidR="001D646B">
              <w:rPr>
                <w:rFonts w:asciiTheme="minorHAnsi" w:hAnsiTheme="minorHAnsi" w:cstheme="minorHAnsi"/>
                <w:i/>
                <w:iCs/>
                <w:szCs w:val="24"/>
                <w:lang w:val="es-ES"/>
              </w:rPr>
              <w:t>.</w:t>
            </w:r>
          </w:p>
        </w:tc>
      </w:tr>
      <w:bookmarkEnd w:id="0"/>
    </w:tbl>
    <w:p w14:paraId="6145A236" w14:textId="77777777" w:rsidR="00093EEB" w:rsidRPr="00BB6FD8" w:rsidRDefault="00093EEB"/>
    <w:p w14:paraId="476CD02D" w14:textId="77777777" w:rsidR="001559F5" w:rsidRPr="00BB6FD8" w:rsidRDefault="001559F5">
      <w:pPr>
        <w:tabs>
          <w:tab w:val="clear" w:pos="567"/>
          <w:tab w:val="clear" w:pos="1134"/>
          <w:tab w:val="clear" w:pos="1701"/>
          <w:tab w:val="clear" w:pos="2268"/>
          <w:tab w:val="clear" w:pos="2835"/>
        </w:tabs>
        <w:overflowPunct/>
        <w:autoSpaceDE/>
        <w:autoSpaceDN/>
        <w:adjustRightInd/>
        <w:spacing w:before="0"/>
        <w:textAlignment w:val="auto"/>
      </w:pPr>
      <w:r w:rsidRPr="00BB6FD8">
        <w:br w:type="page"/>
      </w:r>
    </w:p>
    <w:p w14:paraId="05BB85D4" w14:textId="5F6C4A67" w:rsidR="004E0DD2" w:rsidRPr="00F51009" w:rsidRDefault="004E0DD2" w:rsidP="009B0F2D">
      <w:pPr>
        <w:rPr>
          <w:rFonts w:eastAsia="Batang"/>
          <w:lang w:val="es-ES"/>
        </w:rPr>
      </w:pPr>
      <w:r w:rsidRPr="00F51009">
        <w:rPr>
          <w:lang w:val="es-ES"/>
        </w:rPr>
        <w:lastRenderedPageBreak/>
        <w:t>El presente documento contiene un resumen de las conclusiones principales del informe final sobre el examen de la presencia regional de la UIT, que se ha llevado a cabo en nombre de la Secretaria General d</w:t>
      </w:r>
      <w:r w:rsidRPr="00F51009">
        <w:rPr>
          <w:rFonts w:asciiTheme="minorHAnsi" w:hAnsiTheme="minorHAnsi" w:cstheme="minorBidi"/>
          <w:lang w:val="es-ES"/>
        </w:rPr>
        <w:t>e conformidad con las recomendaciones formuladas por el Consejo en su reunión de 2025</w:t>
      </w:r>
      <w:r w:rsidRPr="00F51009">
        <w:rPr>
          <w:lang w:val="es-ES"/>
        </w:rPr>
        <w:t xml:space="preserve"> (véase el Informe de la Presidenta de la Comisión Permanente sobre Administración y Gestión, Documento </w:t>
      </w:r>
      <w:hyperlink r:id="rId19">
        <w:r w:rsidRPr="00F51009">
          <w:rPr>
            <w:rStyle w:val="Hyperlink"/>
            <w:rFonts w:asciiTheme="minorHAnsi" w:hAnsiTheme="minorHAnsi"/>
            <w:lang w:val="es-ES"/>
          </w:rPr>
          <w:t>C25/105</w:t>
        </w:r>
      </w:hyperlink>
      <w:r w:rsidRPr="00F51009">
        <w:rPr>
          <w:lang w:val="es-ES"/>
        </w:rPr>
        <w:t xml:space="preserve">, § 26 y Anexos H, A y 1). En el Documento </w:t>
      </w:r>
      <w:hyperlink r:id="rId20">
        <w:r w:rsidRPr="00F51009">
          <w:rPr>
            <w:rStyle w:val="Hyperlink"/>
            <w:rFonts w:asciiTheme="minorHAnsi" w:hAnsiTheme="minorHAnsi"/>
            <w:lang w:val="es-ES"/>
          </w:rPr>
          <w:t>C26/INF/10</w:t>
        </w:r>
      </w:hyperlink>
      <w:r w:rsidRPr="00F51009">
        <w:rPr>
          <w:lang w:val="es-ES"/>
        </w:rPr>
        <w:t xml:space="preserve"> se abordan los antecedentes y el contexto del examen, la metodología especificada por el Consejo </w:t>
      </w:r>
      <w:r w:rsidRPr="00F51009">
        <w:rPr>
          <w:rFonts w:asciiTheme="minorHAnsi" w:hAnsiTheme="minorHAnsi" w:cstheme="minorBidi"/>
          <w:lang w:val="es-ES"/>
        </w:rPr>
        <w:t>y las conclusiones detalladas que se desprenden del mismo</w:t>
      </w:r>
      <w:r w:rsidRPr="00F51009">
        <w:rPr>
          <w:lang w:val="es-ES"/>
        </w:rPr>
        <w:t>.</w:t>
      </w:r>
    </w:p>
    <w:p w14:paraId="0609D94E" w14:textId="77777777" w:rsidR="004E0DD2" w:rsidRPr="00F51009" w:rsidRDefault="004E0DD2" w:rsidP="004E0DD2">
      <w:pPr>
        <w:pStyle w:val="Heading1"/>
        <w:rPr>
          <w:lang w:val="es-ES"/>
        </w:rPr>
      </w:pPr>
      <w:r w:rsidRPr="00F51009">
        <w:rPr>
          <w:lang w:val="es-ES"/>
        </w:rPr>
        <w:t>1</w:t>
      </w:r>
      <w:r w:rsidRPr="00F51009">
        <w:rPr>
          <w:lang w:val="es-ES"/>
        </w:rPr>
        <w:tab/>
        <w:t>Antecedentes</w:t>
      </w:r>
    </w:p>
    <w:p w14:paraId="42E23D28" w14:textId="77777777" w:rsidR="004E0DD2" w:rsidRPr="00F51009" w:rsidRDefault="004E0DD2" w:rsidP="009B0F2D">
      <w:pPr>
        <w:rPr>
          <w:lang w:val="es-ES"/>
        </w:rPr>
      </w:pPr>
      <w:r w:rsidRPr="00F51009">
        <w:rPr>
          <w:lang w:val="es-ES"/>
        </w:rPr>
        <w:t>1.1</w:t>
      </w:r>
      <w:r w:rsidRPr="00F51009">
        <w:rPr>
          <w:lang w:val="es-ES"/>
        </w:rPr>
        <w:tab/>
        <w:t>En su 19.ª reunión (30 de septiembre – 11 de octubre de 2024), el Grupo de Trabajo del Consejo sobre Recursos Humanos y Financieros (GTC-RHF) decidió crear un Grupo por Correspondencia en Línea (GCL) encargado de elaborar un mandato para el examen de la presencia regional, conforme a lo estipulado en la Resolución</w:t>
      </w:r>
      <w:hyperlink r:id="rId21" w:history="1">
        <w:r w:rsidRPr="00F51009">
          <w:rPr>
            <w:rStyle w:val="Hyperlink"/>
            <w:rFonts w:asciiTheme="minorHAnsi" w:hAnsiTheme="minorHAnsi"/>
            <w:lang w:val="es-ES"/>
          </w:rPr>
          <w:t xml:space="preserve"> 25 (Rev. Bucarest, 2022)</w:t>
        </w:r>
      </w:hyperlink>
      <w:r w:rsidRPr="00F51009">
        <w:rPr>
          <w:lang w:val="es-ES"/>
        </w:rPr>
        <w:t xml:space="preserve"> de la Conferencia de Plenipotenciarios sobre el fortalecimiento de la presencia regional de la UIT.</w:t>
      </w:r>
    </w:p>
    <w:p w14:paraId="7C510DBB" w14:textId="77777777" w:rsidR="004E0DD2" w:rsidRPr="00F51009" w:rsidRDefault="004E0DD2" w:rsidP="009B0F2D">
      <w:pPr>
        <w:rPr>
          <w:lang w:val="es-ES"/>
        </w:rPr>
      </w:pPr>
      <w:r w:rsidRPr="00F51009">
        <w:rPr>
          <w:lang w:val="es-ES"/>
        </w:rPr>
        <w:t>1.2</w:t>
      </w:r>
      <w:r w:rsidRPr="00F51009">
        <w:rPr>
          <w:lang w:val="es-ES"/>
        </w:rPr>
        <w:tab/>
      </w:r>
      <w:proofErr w:type="spellStart"/>
      <w:r w:rsidRPr="00F51009">
        <w:rPr>
          <w:lang w:val="es-ES"/>
        </w:rPr>
        <w:t>El</w:t>
      </w:r>
      <w:proofErr w:type="spellEnd"/>
      <w:r w:rsidRPr="00F51009">
        <w:rPr>
          <w:lang w:val="es-ES"/>
        </w:rPr>
        <w:t xml:space="preserve"> </w:t>
      </w:r>
      <w:r w:rsidRPr="00F51009">
        <w:rPr>
          <w:i/>
          <w:iCs/>
          <w:lang w:val="es-ES"/>
        </w:rPr>
        <w:t xml:space="preserve">encarga al Secretario General </w:t>
      </w:r>
      <w:r w:rsidRPr="00F51009">
        <w:rPr>
          <w:lang w:val="es-ES"/>
        </w:rPr>
        <w:t>4 de dicha Resolución reza lo siguiente:</w:t>
      </w:r>
    </w:p>
    <w:p w14:paraId="4C88B5D8" w14:textId="0B2029B0" w:rsidR="004E0DD2" w:rsidRPr="00F51009" w:rsidRDefault="004E0DD2" w:rsidP="009B0F2D">
      <w:pPr>
        <w:pStyle w:val="enumlev1"/>
        <w:tabs>
          <w:tab w:val="clear" w:pos="567"/>
          <w:tab w:val="clear" w:pos="1134"/>
          <w:tab w:val="clear" w:pos="1701"/>
          <w:tab w:val="clear" w:pos="2268"/>
          <w:tab w:val="clear" w:pos="2835"/>
        </w:tabs>
        <w:rPr>
          <w:lang w:val="es-ES"/>
        </w:rPr>
      </w:pPr>
      <w:r w:rsidRPr="00F51009">
        <w:rPr>
          <w:lang w:val="es-ES"/>
        </w:rPr>
        <w:tab/>
      </w:r>
      <w:r w:rsidR="00CB7538">
        <w:rPr>
          <w:lang w:val="es-ES"/>
        </w:rPr>
        <w:t>"</w:t>
      </w:r>
      <w:r w:rsidRPr="00F51009">
        <w:rPr>
          <w:lang w:val="es-ES"/>
        </w:rPr>
        <w:t>que, con sujeción a los recursos financieros existentes, realice cada cuatro años una encuesta sobre el nivel de satisfacción de los Estados Miembros, Miembros de Sector y organizaciones regionales de telecomunicaciones respecto de la presencia regional de la UIT y que presente los resultados en un informe a la Sesión del Consejo anterior a cada Conferencia de Plenipotenciarios</w:t>
      </w:r>
      <w:r w:rsidR="00CB7538">
        <w:rPr>
          <w:lang w:val="es-ES"/>
        </w:rPr>
        <w:t>"</w:t>
      </w:r>
      <w:r w:rsidRPr="00F51009">
        <w:rPr>
          <w:lang w:val="es-ES"/>
        </w:rPr>
        <w:t>.</w:t>
      </w:r>
    </w:p>
    <w:p w14:paraId="33B50380" w14:textId="4DBF9CDA" w:rsidR="004E0DD2" w:rsidRPr="00F51009" w:rsidRDefault="004E0DD2" w:rsidP="009B0F2D">
      <w:pPr>
        <w:rPr>
          <w:spacing w:val="-3"/>
          <w:lang w:val="es-ES"/>
        </w:rPr>
      </w:pPr>
      <w:r w:rsidRPr="00F51009">
        <w:rPr>
          <w:spacing w:val="-3"/>
          <w:lang w:val="es-ES"/>
        </w:rPr>
        <w:t>1.3</w:t>
      </w:r>
      <w:r w:rsidRPr="00F51009">
        <w:rPr>
          <w:spacing w:val="-3"/>
          <w:lang w:val="es-ES"/>
        </w:rPr>
        <w:tab/>
        <w:t xml:space="preserve">En su 20.ª reunión (10-21 de febrero de 2025), el GTC-RHF examinó el mandato revisado. Los informes de dichas reuniones pueden consultarse en los Documentos </w:t>
      </w:r>
      <w:hyperlink r:id="rId22" w:history="1">
        <w:r w:rsidRPr="00F51009">
          <w:rPr>
            <w:rStyle w:val="Hyperlink"/>
            <w:rFonts w:asciiTheme="minorHAnsi" w:hAnsiTheme="minorHAnsi"/>
            <w:spacing w:val="-3"/>
            <w:lang w:val="es-ES"/>
          </w:rPr>
          <w:t>CWG-FHR-19/15</w:t>
        </w:r>
      </w:hyperlink>
      <w:r w:rsidRPr="00F51009">
        <w:rPr>
          <w:color w:val="000000" w:themeColor="text1"/>
          <w:spacing w:val="-3"/>
          <w:lang w:val="es-ES"/>
        </w:rPr>
        <w:t xml:space="preserve"> y </w:t>
      </w:r>
      <w:hyperlink r:id="rId23">
        <w:r w:rsidRPr="00F51009">
          <w:rPr>
            <w:rStyle w:val="Hyperlink"/>
            <w:rFonts w:asciiTheme="minorHAnsi" w:hAnsiTheme="minorHAnsi"/>
            <w:spacing w:val="-3"/>
            <w:lang w:val="es-ES"/>
          </w:rPr>
          <w:t>CWG-FHR-20/32</w:t>
        </w:r>
      </w:hyperlink>
      <w:r w:rsidRPr="00F51009">
        <w:rPr>
          <w:color w:val="000000" w:themeColor="text1"/>
          <w:spacing w:val="-3"/>
          <w:lang w:val="es-ES"/>
        </w:rPr>
        <w:t xml:space="preserve">. </w:t>
      </w:r>
    </w:p>
    <w:p w14:paraId="42540BC8" w14:textId="77777777" w:rsidR="004E0DD2" w:rsidRPr="00F51009" w:rsidRDefault="004E0DD2" w:rsidP="009B0F2D">
      <w:pPr>
        <w:rPr>
          <w:lang w:val="es-ES"/>
        </w:rPr>
      </w:pPr>
      <w:r w:rsidRPr="00F51009">
        <w:rPr>
          <w:lang w:val="es-ES"/>
        </w:rPr>
        <w:t>1.4</w:t>
      </w:r>
      <w:r w:rsidRPr="00F51009">
        <w:rPr>
          <w:lang w:val="es-ES"/>
        </w:rPr>
        <w:tab/>
        <w:t xml:space="preserve">Previa deliberación en su reunión de 2025, el Consejo proporcionó las siguientes instrucciones a la secretaría de la Unión Internacional de Telecomunicaciones (UIT) y a la Oficina de Desarrollo de las Telecomunicaciones (BDT): </w:t>
      </w:r>
    </w:p>
    <w:p w14:paraId="2D54E008" w14:textId="77777777" w:rsidR="004E0DD2" w:rsidRPr="00F51009" w:rsidRDefault="004E0DD2" w:rsidP="009B0F2D">
      <w:pPr>
        <w:pStyle w:val="enumlev1"/>
        <w:rPr>
          <w:lang w:val="es-ES"/>
        </w:rPr>
      </w:pPr>
      <w:r w:rsidRPr="00F51009">
        <w:rPr>
          <w:lang w:val="es-ES"/>
        </w:rPr>
        <w:t>a)</w:t>
      </w:r>
      <w:r w:rsidRPr="00F51009">
        <w:rPr>
          <w:lang w:val="es-ES"/>
        </w:rPr>
        <w:tab/>
        <w:t>El examen de la presencia regional de la UIT será realizado por la Secretaria General, con el apoyo del Grupo de Tareas Intersectorial formado por los Directores de las tres Oficinas y las personas que estos designen, así como los Directores Regionales, y estará presidido por el Vicesecretario General de la UIT.</w:t>
      </w:r>
    </w:p>
    <w:p w14:paraId="2C236DB9" w14:textId="77777777" w:rsidR="004E0DD2" w:rsidRPr="00F51009" w:rsidRDefault="004E0DD2" w:rsidP="009B0F2D">
      <w:pPr>
        <w:pStyle w:val="enumlev1"/>
        <w:rPr>
          <w:lang w:val="es-ES"/>
        </w:rPr>
      </w:pPr>
      <w:r w:rsidRPr="00F51009">
        <w:rPr>
          <w:lang w:val="es-ES"/>
        </w:rPr>
        <w:t>b)</w:t>
      </w:r>
      <w:r w:rsidRPr="00F51009">
        <w:rPr>
          <w:lang w:val="es-ES"/>
        </w:rPr>
        <w:tab/>
        <w:t xml:space="preserve">El examen se realizará respetando el presupuesto aprobado por la UIT y los recursos humanos existentes de la Unión. No se recurrirá a consultores externos. </w:t>
      </w:r>
    </w:p>
    <w:p w14:paraId="66350B60" w14:textId="77777777" w:rsidR="004E0DD2" w:rsidRPr="00F51009" w:rsidRDefault="004E0DD2" w:rsidP="009B0F2D">
      <w:pPr>
        <w:pStyle w:val="enumlev1"/>
        <w:rPr>
          <w:lang w:val="es-ES"/>
        </w:rPr>
      </w:pPr>
      <w:r w:rsidRPr="00F51009">
        <w:rPr>
          <w:lang w:val="es-ES"/>
        </w:rPr>
        <w:t>c)</w:t>
      </w:r>
      <w:r w:rsidRPr="00F51009">
        <w:rPr>
          <w:lang w:val="es-ES"/>
        </w:rPr>
        <w:tab/>
        <w:t xml:space="preserve">El Grupo de Tareas Intersectorial dependerá principalmente de las aportaciones de la BDT a lo largo de todo el examen. La BDT se encargará de llevar a cabo la Fase 2 (recopilación de datos, ejercicio comparativo y análisis inicial) del examen (véanse las cuatro fases en la sección 2 </w:t>
      </w:r>
      <w:r w:rsidRPr="00F51009">
        <w:rPr>
          <w:i/>
          <w:iCs/>
          <w:lang w:val="es-ES"/>
        </w:rPr>
        <w:t>infra</w:t>
      </w:r>
      <w:r w:rsidRPr="00F51009">
        <w:rPr>
          <w:lang w:val="es-ES"/>
        </w:rPr>
        <w:t xml:space="preserve">). </w:t>
      </w:r>
    </w:p>
    <w:p w14:paraId="1C02526B" w14:textId="77777777" w:rsidR="004E0DD2" w:rsidRPr="00F51009" w:rsidRDefault="004E0DD2" w:rsidP="009B0F2D">
      <w:pPr>
        <w:pStyle w:val="enumlev1"/>
        <w:rPr>
          <w:lang w:val="es-ES"/>
        </w:rPr>
      </w:pPr>
      <w:r w:rsidRPr="00F51009">
        <w:rPr>
          <w:lang w:val="es-ES"/>
        </w:rPr>
        <w:t>d)</w:t>
      </w:r>
      <w:r w:rsidRPr="00F51009">
        <w:rPr>
          <w:lang w:val="es-ES"/>
        </w:rPr>
        <w:tab/>
        <w:t>Se acuerda que la participación de los Estados Miembros es un componente fundamental del examen. La Secretaria General informará sobre la ejecución del examen al GTC</w:t>
      </w:r>
      <w:r w:rsidRPr="00F51009">
        <w:rPr>
          <w:lang w:val="es-ES"/>
        </w:rPr>
        <w:noBreakHyphen/>
        <w:t xml:space="preserve">RHF y al Consejo de la UIT según proceda. </w:t>
      </w:r>
    </w:p>
    <w:p w14:paraId="2020A5F8" w14:textId="77777777" w:rsidR="004E0DD2" w:rsidRPr="00F51009" w:rsidRDefault="004E0DD2" w:rsidP="009B0F2D">
      <w:pPr>
        <w:rPr>
          <w:highlight w:val="yellow"/>
          <w:lang w:val="es-ES"/>
        </w:rPr>
      </w:pPr>
      <w:r w:rsidRPr="00F51009">
        <w:rPr>
          <w:lang w:val="es-ES"/>
        </w:rPr>
        <w:t>1.5</w:t>
      </w:r>
      <w:r w:rsidRPr="00F51009">
        <w:rPr>
          <w:lang w:val="es-ES"/>
        </w:rPr>
        <w:tab/>
        <w:t xml:space="preserve">Se ha creado un Grupo de Tareas Intersectorial a efectos del examen de la presencia regional, presidido por el Vicesecretario General e integrado por los Directores de las tres Oficinas, los Directores Regionales y otros representantes de la Oficina de Desarrollo, la </w:t>
      </w:r>
      <w:r w:rsidRPr="00F51009">
        <w:rPr>
          <w:lang w:val="es-ES"/>
        </w:rPr>
        <w:lastRenderedPageBreak/>
        <w:t xml:space="preserve">Oficina de Radiocomunicaciones y la Oficina de Normalización, así como de la Secretaría General. </w:t>
      </w:r>
    </w:p>
    <w:p w14:paraId="1F8BDF6E" w14:textId="77777777" w:rsidR="004E0DD2" w:rsidRPr="00F51009" w:rsidRDefault="004E0DD2" w:rsidP="004E0DD2">
      <w:pPr>
        <w:pStyle w:val="Heading1"/>
        <w:rPr>
          <w:lang w:val="es-ES"/>
        </w:rPr>
      </w:pPr>
      <w:r w:rsidRPr="00F51009">
        <w:rPr>
          <w:lang w:val="es-ES"/>
        </w:rPr>
        <w:t>2</w:t>
      </w:r>
      <w:r w:rsidRPr="00F51009">
        <w:rPr>
          <w:lang w:val="es-ES"/>
        </w:rPr>
        <w:tab/>
        <w:t xml:space="preserve">Estructura del examen, plazos y resultados previstos </w:t>
      </w:r>
    </w:p>
    <w:p w14:paraId="54074B9D" w14:textId="6756EFEE" w:rsidR="004E0DD2" w:rsidRPr="00F51009" w:rsidRDefault="004E0DD2" w:rsidP="009B0F2D">
      <w:pPr>
        <w:rPr>
          <w:rFonts w:asciiTheme="minorHAnsi" w:hAnsiTheme="minorHAnsi" w:cstheme="minorBidi"/>
          <w:lang w:val="es-ES"/>
        </w:rPr>
      </w:pPr>
      <w:r w:rsidRPr="00F51009">
        <w:rPr>
          <w:rFonts w:asciiTheme="minorHAnsi" w:hAnsiTheme="minorHAnsi" w:cstheme="minorBidi"/>
          <w:lang w:val="es-ES"/>
        </w:rPr>
        <w:t>2.1</w:t>
      </w:r>
      <w:r w:rsidRPr="00F51009">
        <w:rPr>
          <w:lang w:val="es-ES"/>
        </w:rPr>
        <w:tab/>
        <w:t>El examen</w:t>
      </w:r>
      <w:r w:rsidRPr="00F51009">
        <w:rPr>
          <w:rFonts w:asciiTheme="minorHAnsi" w:hAnsiTheme="minorHAnsi" w:cstheme="minorBidi"/>
          <w:lang w:val="es-ES"/>
        </w:rPr>
        <w:t xml:space="preserve"> se llevó a cabo durante los 10 meses comprendidos entre julio de 2025 y abril de 2026, y se organizó en cuatro fases, según se indica en el Documento </w:t>
      </w:r>
      <w:hyperlink r:id="rId24">
        <w:r w:rsidRPr="00F51009">
          <w:rPr>
            <w:rStyle w:val="Hyperlink"/>
            <w:rFonts w:asciiTheme="minorHAnsi" w:hAnsiTheme="minorHAnsi"/>
            <w:lang w:val="es-ES"/>
          </w:rPr>
          <w:t>C25/69(Rev.1)</w:t>
        </w:r>
      </w:hyperlink>
      <w:r w:rsidRPr="00F51009">
        <w:rPr>
          <w:lang w:val="es-ES"/>
        </w:rPr>
        <w:t xml:space="preserve"> y se resume en el siguiente cuadro. Los plazos se ajustaron conforme a </w:t>
      </w:r>
      <w:r w:rsidRPr="00F51009">
        <w:rPr>
          <w:rFonts w:asciiTheme="minorHAnsi" w:hAnsiTheme="minorHAnsi" w:cstheme="minorBidi"/>
          <w:lang w:val="es-ES"/>
        </w:rPr>
        <w:t xml:space="preserve">las aportaciones recibidas durante la sesión especial que tuvo lugar en el marco de la Conferencia Mundial de Desarrollo de las Telecomunicaciones. </w:t>
      </w:r>
    </w:p>
    <w:p w14:paraId="36EC98E8" w14:textId="77777777" w:rsidR="004E0DD2" w:rsidRPr="00F51009" w:rsidRDefault="004E0DD2" w:rsidP="004E0DD2">
      <w:pPr>
        <w:tabs>
          <w:tab w:val="clear" w:pos="567"/>
          <w:tab w:val="clear" w:pos="1134"/>
          <w:tab w:val="clear" w:pos="1701"/>
          <w:tab w:val="clear" w:pos="2268"/>
          <w:tab w:val="clear" w:pos="2835"/>
        </w:tabs>
        <w:spacing w:before="0"/>
        <w:jc w:val="both"/>
        <w:rPr>
          <w:rFonts w:asciiTheme="minorHAnsi" w:hAnsiTheme="minorHAnsi" w:cstheme="minorBidi"/>
          <w:lang w:val="es-ES"/>
        </w:rPr>
      </w:pPr>
    </w:p>
    <w:tbl>
      <w:tblPr>
        <w:tblStyle w:val="TableGrid1"/>
        <w:tblW w:w="0" w:type="auto"/>
        <w:tblLook w:val="04A0" w:firstRow="1" w:lastRow="0" w:firstColumn="1" w:lastColumn="0" w:noHBand="0" w:noVBand="1"/>
      </w:tblPr>
      <w:tblGrid>
        <w:gridCol w:w="1635"/>
        <w:gridCol w:w="2471"/>
        <w:gridCol w:w="4955"/>
      </w:tblGrid>
      <w:tr w:rsidR="004E0DD2" w:rsidRPr="00F51009" w14:paraId="2F67B742" w14:textId="77777777" w:rsidTr="009B0F2D">
        <w:trPr>
          <w:trHeight w:val="300"/>
        </w:trPr>
        <w:tc>
          <w:tcPr>
            <w:tcW w:w="1635" w:type="dxa"/>
          </w:tcPr>
          <w:p w14:paraId="2DB2D213" w14:textId="77777777" w:rsidR="004E0DD2" w:rsidRPr="00F51009" w:rsidRDefault="004E0DD2" w:rsidP="0000747F">
            <w:pPr>
              <w:pStyle w:val="Tablehead"/>
              <w:rPr>
                <w:lang w:val="es-ES"/>
              </w:rPr>
            </w:pPr>
            <w:r w:rsidRPr="00F51009">
              <w:rPr>
                <w:lang w:val="es-ES"/>
              </w:rPr>
              <w:t xml:space="preserve">Fase </w:t>
            </w:r>
            <w:r w:rsidRPr="00F51009">
              <w:rPr>
                <w:lang w:val="es-ES"/>
              </w:rPr>
              <w:br/>
              <w:t xml:space="preserve">(Progreso) </w:t>
            </w:r>
          </w:p>
        </w:tc>
        <w:tc>
          <w:tcPr>
            <w:tcW w:w="2471" w:type="dxa"/>
          </w:tcPr>
          <w:p w14:paraId="4031FBEB" w14:textId="77777777" w:rsidR="004E0DD2" w:rsidRPr="00F51009" w:rsidRDefault="004E0DD2" w:rsidP="0000747F">
            <w:pPr>
              <w:pStyle w:val="Tablehead"/>
              <w:rPr>
                <w:lang w:val="es-ES"/>
              </w:rPr>
            </w:pPr>
            <w:r w:rsidRPr="00F51009">
              <w:rPr>
                <w:lang w:val="es-ES"/>
              </w:rPr>
              <w:t>Periodo</w:t>
            </w:r>
          </w:p>
        </w:tc>
        <w:tc>
          <w:tcPr>
            <w:tcW w:w="4955" w:type="dxa"/>
          </w:tcPr>
          <w:p w14:paraId="589A381E" w14:textId="77777777" w:rsidR="004E0DD2" w:rsidRPr="00F51009" w:rsidRDefault="004E0DD2" w:rsidP="0000747F">
            <w:pPr>
              <w:pStyle w:val="Tablehead"/>
              <w:rPr>
                <w:lang w:val="es-ES"/>
              </w:rPr>
            </w:pPr>
            <w:r w:rsidRPr="00F51009">
              <w:rPr>
                <w:lang w:val="es-ES"/>
              </w:rPr>
              <w:t>Resultados</w:t>
            </w:r>
          </w:p>
        </w:tc>
      </w:tr>
      <w:tr w:rsidR="004E0DD2" w:rsidRPr="00F51009" w14:paraId="3F5F77DF" w14:textId="77777777" w:rsidTr="009B0F2D">
        <w:trPr>
          <w:trHeight w:val="300"/>
        </w:trPr>
        <w:tc>
          <w:tcPr>
            <w:tcW w:w="1635" w:type="dxa"/>
          </w:tcPr>
          <w:p w14:paraId="38EE2915" w14:textId="63C2B3B8" w:rsidR="004E0DD2" w:rsidRPr="00F51009" w:rsidRDefault="004E0DD2" w:rsidP="0000747F">
            <w:pPr>
              <w:pStyle w:val="Tabletext"/>
              <w:rPr>
                <w:lang w:val="es-ES"/>
              </w:rPr>
            </w:pPr>
            <w:r w:rsidRPr="00F51009">
              <w:rPr>
                <w:b/>
                <w:bCs/>
                <w:lang w:val="es-ES"/>
              </w:rPr>
              <w:t>Fase 1:</w:t>
            </w:r>
            <w:r w:rsidR="009B0F2D">
              <w:rPr>
                <w:b/>
                <w:bCs/>
                <w:lang w:val="es-ES"/>
              </w:rPr>
              <w:br/>
            </w:r>
            <w:r w:rsidRPr="00F51009">
              <w:rPr>
                <w:lang w:val="es-ES"/>
              </w:rPr>
              <w:t>Evaluación preliminar</w:t>
            </w:r>
          </w:p>
        </w:tc>
        <w:tc>
          <w:tcPr>
            <w:tcW w:w="2471" w:type="dxa"/>
          </w:tcPr>
          <w:p w14:paraId="23AAD6C2" w14:textId="77777777" w:rsidR="004E0DD2" w:rsidRPr="00F51009" w:rsidRDefault="004E0DD2" w:rsidP="0000747F">
            <w:pPr>
              <w:pStyle w:val="Tabletext"/>
              <w:rPr>
                <w:lang w:val="es-ES"/>
              </w:rPr>
            </w:pPr>
            <w:r w:rsidRPr="00F51009">
              <w:rPr>
                <w:lang w:val="es-ES"/>
              </w:rPr>
              <w:t>Julio – agosto de 2025</w:t>
            </w:r>
          </w:p>
        </w:tc>
        <w:tc>
          <w:tcPr>
            <w:tcW w:w="4955" w:type="dxa"/>
          </w:tcPr>
          <w:p w14:paraId="6BFD98EE" w14:textId="77777777" w:rsidR="004E0DD2" w:rsidRPr="00F51009" w:rsidRDefault="004E0DD2" w:rsidP="0000747F">
            <w:pPr>
              <w:pStyle w:val="Tabletext"/>
              <w:ind w:left="284" w:hanging="284"/>
              <w:rPr>
                <w:lang w:val="es-ES"/>
              </w:rPr>
            </w:pPr>
            <w:bookmarkStart w:id="1" w:name="_Hlk226447548"/>
            <w:r w:rsidRPr="00F51009">
              <w:rPr>
                <w:rFonts w:ascii="Symbol" w:hAnsi="Symbol"/>
                <w:lang w:val="es-ES"/>
              </w:rPr>
              <w:t></w:t>
            </w:r>
            <w:r w:rsidRPr="00F51009">
              <w:rPr>
                <w:lang w:val="es-ES"/>
              </w:rPr>
              <w:tab/>
            </w:r>
            <w:bookmarkEnd w:id="1"/>
            <w:r w:rsidRPr="00F51009">
              <w:rPr>
                <w:lang w:val="es-ES"/>
              </w:rPr>
              <w:t>Formación del equipo de examen y definición de los protocolos de trabajo.</w:t>
            </w:r>
          </w:p>
          <w:p w14:paraId="7AE0D519" w14:textId="77777777" w:rsidR="004E0DD2" w:rsidRPr="00B93D88" w:rsidRDefault="004E0DD2" w:rsidP="0000747F">
            <w:pPr>
              <w:pStyle w:val="Tabletext"/>
              <w:ind w:left="284" w:hanging="284"/>
              <w:rPr>
                <w:lang w:val="es-ES"/>
              </w:rPr>
            </w:pPr>
            <w:r w:rsidRPr="00F51009">
              <w:rPr>
                <w:rFonts w:ascii="Symbol" w:hAnsi="Symbol"/>
                <w:lang w:val="es-ES"/>
              </w:rPr>
              <w:t></w:t>
            </w:r>
            <w:r w:rsidRPr="00F51009">
              <w:rPr>
                <w:lang w:val="es-ES"/>
              </w:rPr>
              <w:tab/>
            </w:r>
            <w:r w:rsidRPr="00B93D88">
              <w:rPr>
                <w:lang w:val="es-ES"/>
              </w:rPr>
              <w:t>Articulación del objetivo del examen y la metodología.</w:t>
            </w:r>
          </w:p>
          <w:p w14:paraId="1E5C1CFD" w14:textId="77777777" w:rsidR="004E0DD2" w:rsidRPr="00B93D88" w:rsidRDefault="004E0DD2" w:rsidP="0000747F">
            <w:pPr>
              <w:pStyle w:val="Tabletext"/>
              <w:ind w:left="284" w:hanging="284"/>
              <w:rPr>
                <w:lang w:val="es-ES"/>
              </w:rPr>
            </w:pPr>
            <w:r w:rsidRPr="00F51009">
              <w:rPr>
                <w:rFonts w:ascii="Symbol" w:hAnsi="Symbol"/>
                <w:lang w:val="es-ES"/>
              </w:rPr>
              <w:t></w:t>
            </w:r>
            <w:r w:rsidRPr="00F51009">
              <w:rPr>
                <w:lang w:val="es-ES"/>
              </w:rPr>
              <w:tab/>
            </w:r>
            <w:r w:rsidRPr="00B93D88">
              <w:rPr>
                <w:lang w:val="es-ES"/>
              </w:rPr>
              <w:t>Desarrollo de herramientas adaptadas a la recopilación de datos (por ejemplo, encuestas, preguntas para entrevistas).</w:t>
            </w:r>
          </w:p>
          <w:p w14:paraId="4ED0E7F5" w14:textId="77777777" w:rsidR="004E0DD2" w:rsidRPr="00F51009" w:rsidRDefault="004E0DD2" w:rsidP="0000747F">
            <w:pPr>
              <w:pStyle w:val="Tabletext"/>
              <w:ind w:left="284" w:hanging="284"/>
              <w:rPr>
                <w:lang w:val="es-ES"/>
              </w:rPr>
            </w:pPr>
            <w:r w:rsidRPr="00F51009">
              <w:rPr>
                <w:rFonts w:ascii="Symbol" w:hAnsi="Symbol"/>
                <w:lang w:val="es-ES"/>
              </w:rPr>
              <w:t></w:t>
            </w:r>
            <w:r w:rsidRPr="00F51009">
              <w:rPr>
                <w:lang w:val="es-ES"/>
              </w:rPr>
              <w:tab/>
            </w:r>
            <w:r w:rsidRPr="00B93D88">
              <w:rPr>
                <w:lang w:val="es-ES"/>
              </w:rPr>
              <w:t>Armonización de los parámetros de examen con los IFR y los objetivos estratégicos de la UIT.</w:t>
            </w:r>
          </w:p>
        </w:tc>
      </w:tr>
      <w:tr w:rsidR="004E0DD2" w:rsidRPr="00F51009" w14:paraId="6CB1D827" w14:textId="77777777" w:rsidTr="009B0F2D">
        <w:trPr>
          <w:trHeight w:val="300"/>
        </w:trPr>
        <w:tc>
          <w:tcPr>
            <w:tcW w:w="1635" w:type="dxa"/>
          </w:tcPr>
          <w:p w14:paraId="4C8685FF" w14:textId="77777777" w:rsidR="004E0DD2" w:rsidRPr="00F51009" w:rsidRDefault="004E0DD2" w:rsidP="0000747F">
            <w:pPr>
              <w:pStyle w:val="Tabletext"/>
              <w:rPr>
                <w:lang w:val="es-ES"/>
              </w:rPr>
            </w:pPr>
            <w:r w:rsidRPr="00F51009">
              <w:rPr>
                <w:b/>
                <w:bCs/>
                <w:lang w:val="es-ES"/>
              </w:rPr>
              <w:t xml:space="preserve">Fase 2: </w:t>
            </w:r>
            <w:r w:rsidRPr="00F51009">
              <w:rPr>
                <w:b/>
                <w:bCs/>
                <w:lang w:val="es-ES"/>
              </w:rPr>
              <w:br/>
            </w:r>
            <w:r w:rsidRPr="00F51009">
              <w:rPr>
                <w:lang w:val="es-ES"/>
              </w:rPr>
              <w:t>Recopilación de datos y análisis inicial</w:t>
            </w:r>
          </w:p>
        </w:tc>
        <w:tc>
          <w:tcPr>
            <w:tcW w:w="2471" w:type="dxa"/>
          </w:tcPr>
          <w:p w14:paraId="5FCF5543" w14:textId="77777777" w:rsidR="004E0DD2" w:rsidRPr="00F51009" w:rsidRDefault="004E0DD2" w:rsidP="0000747F">
            <w:pPr>
              <w:pStyle w:val="Tabletext"/>
              <w:rPr>
                <w:lang w:val="es-ES"/>
              </w:rPr>
            </w:pPr>
            <w:r w:rsidRPr="00F51009">
              <w:rPr>
                <w:lang w:val="es-ES"/>
              </w:rPr>
              <w:t>Septiembre – noviembre de 2025</w:t>
            </w:r>
          </w:p>
        </w:tc>
        <w:tc>
          <w:tcPr>
            <w:tcW w:w="4955" w:type="dxa"/>
          </w:tcPr>
          <w:p w14:paraId="3006CC13" w14:textId="77777777" w:rsidR="004E0DD2" w:rsidRPr="00F51009" w:rsidRDefault="004E0DD2" w:rsidP="0000747F">
            <w:pPr>
              <w:pStyle w:val="Tabletext"/>
              <w:ind w:left="284" w:hanging="284"/>
              <w:rPr>
                <w:lang w:val="es-ES"/>
              </w:rPr>
            </w:pPr>
            <w:r w:rsidRPr="00F51009">
              <w:rPr>
                <w:rFonts w:ascii="Symbol" w:hAnsi="Symbol"/>
                <w:lang w:val="es-ES"/>
              </w:rPr>
              <w:t></w:t>
            </w:r>
            <w:r w:rsidRPr="00F51009">
              <w:rPr>
                <w:lang w:val="es-ES"/>
              </w:rPr>
              <w:tab/>
              <w:t>Realización de entrevistas y encuestas a distintos grupos de interesados.</w:t>
            </w:r>
          </w:p>
          <w:p w14:paraId="0FCFBB7D" w14:textId="77777777" w:rsidR="004E0DD2" w:rsidRPr="00E32406" w:rsidRDefault="004E0DD2" w:rsidP="0000747F">
            <w:pPr>
              <w:pStyle w:val="Tabletext"/>
              <w:ind w:left="284" w:hanging="284"/>
              <w:rPr>
                <w:lang w:val="es-ES"/>
              </w:rPr>
            </w:pPr>
            <w:r w:rsidRPr="00F51009">
              <w:rPr>
                <w:rFonts w:ascii="Symbol" w:hAnsi="Symbol"/>
                <w:lang w:val="es-ES"/>
              </w:rPr>
              <w:t></w:t>
            </w:r>
            <w:r w:rsidRPr="00F51009">
              <w:rPr>
                <w:lang w:val="es-ES"/>
              </w:rPr>
              <w:tab/>
            </w:r>
            <w:r w:rsidRPr="00E32406">
              <w:rPr>
                <w:lang w:val="es-ES"/>
              </w:rPr>
              <w:t>Ejercicios de evaluación comparativa.</w:t>
            </w:r>
          </w:p>
          <w:p w14:paraId="2F5861EF" w14:textId="77777777" w:rsidR="004E0DD2" w:rsidRPr="00F51009" w:rsidRDefault="004E0DD2" w:rsidP="0000747F">
            <w:pPr>
              <w:pStyle w:val="Tabletext"/>
              <w:ind w:left="284" w:hanging="284"/>
              <w:rPr>
                <w:lang w:val="es-ES"/>
              </w:rPr>
            </w:pPr>
            <w:r w:rsidRPr="00F51009">
              <w:rPr>
                <w:rFonts w:ascii="Symbol" w:hAnsi="Symbol"/>
                <w:lang w:val="es-ES"/>
              </w:rPr>
              <w:t></w:t>
            </w:r>
            <w:r w:rsidRPr="00F51009">
              <w:rPr>
                <w:lang w:val="es-ES"/>
              </w:rPr>
              <w:tab/>
            </w:r>
            <w:r w:rsidRPr="00E32406">
              <w:rPr>
                <w:lang w:val="es-ES"/>
              </w:rPr>
              <w:t>Análisis e identificación iniciales de patrones incipientes y temas clave.</w:t>
            </w:r>
          </w:p>
        </w:tc>
      </w:tr>
      <w:tr w:rsidR="004E0DD2" w:rsidRPr="00F51009" w14:paraId="2A9EE5D9" w14:textId="77777777" w:rsidTr="009B0F2D">
        <w:trPr>
          <w:trHeight w:val="300"/>
        </w:trPr>
        <w:tc>
          <w:tcPr>
            <w:tcW w:w="1635" w:type="dxa"/>
          </w:tcPr>
          <w:p w14:paraId="7DBE3132" w14:textId="1AF76ED0" w:rsidR="004E0DD2" w:rsidRPr="00F51009" w:rsidRDefault="004E0DD2" w:rsidP="0000747F">
            <w:pPr>
              <w:pStyle w:val="Tabletext"/>
              <w:rPr>
                <w:lang w:val="es-ES"/>
              </w:rPr>
            </w:pPr>
            <w:r w:rsidRPr="00F51009">
              <w:rPr>
                <w:b/>
                <w:bCs/>
                <w:lang w:val="es-ES"/>
              </w:rPr>
              <w:t>Fase 3:</w:t>
            </w:r>
            <w:r w:rsidR="009B0F2D">
              <w:rPr>
                <w:b/>
                <w:bCs/>
                <w:lang w:val="es-ES"/>
              </w:rPr>
              <w:br/>
            </w:r>
            <w:r w:rsidRPr="00F51009">
              <w:rPr>
                <w:lang w:val="es-ES"/>
              </w:rPr>
              <w:t>Análisis detallado y preparación del proyecto</w:t>
            </w:r>
          </w:p>
        </w:tc>
        <w:tc>
          <w:tcPr>
            <w:tcW w:w="2471" w:type="dxa"/>
          </w:tcPr>
          <w:p w14:paraId="04725410" w14:textId="77777777" w:rsidR="004E0DD2" w:rsidRPr="00F51009" w:rsidRDefault="004E0DD2" w:rsidP="0000747F">
            <w:pPr>
              <w:pStyle w:val="Tabletext"/>
              <w:rPr>
                <w:lang w:val="es-ES"/>
              </w:rPr>
            </w:pPr>
            <w:r w:rsidRPr="00F51009">
              <w:rPr>
                <w:lang w:val="es-ES"/>
              </w:rPr>
              <w:t xml:space="preserve">Diciembre de 2025 – febrero de 2026 </w:t>
            </w:r>
          </w:p>
        </w:tc>
        <w:tc>
          <w:tcPr>
            <w:tcW w:w="4955" w:type="dxa"/>
          </w:tcPr>
          <w:p w14:paraId="310F97E5" w14:textId="77777777" w:rsidR="004E0DD2" w:rsidRPr="00F51009" w:rsidRDefault="004E0DD2" w:rsidP="0000747F">
            <w:pPr>
              <w:pStyle w:val="Tabletext"/>
              <w:ind w:left="284" w:hanging="284"/>
              <w:rPr>
                <w:lang w:val="es-ES"/>
              </w:rPr>
            </w:pPr>
            <w:r w:rsidRPr="00F51009">
              <w:rPr>
                <w:rFonts w:ascii="Symbol" w:hAnsi="Symbol"/>
                <w:lang w:val="es-ES"/>
              </w:rPr>
              <w:t></w:t>
            </w:r>
            <w:r w:rsidRPr="00F51009">
              <w:rPr>
                <w:lang w:val="es-ES"/>
              </w:rPr>
              <w:tab/>
              <w:t>Análisis exhaustivo de los hallazgos en base a las conclusiones y el análisis inicial.</w:t>
            </w:r>
          </w:p>
          <w:p w14:paraId="3E42FADE" w14:textId="77777777" w:rsidR="004E0DD2" w:rsidRPr="00F51009" w:rsidRDefault="004E0DD2" w:rsidP="0000747F">
            <w:pPr>
              <w:pStyle w:val="Tabletext"/>
              <w:ind w:left="284" w:hanging="284"/>
              <w:rPr>
                <w:lang w:val="es-ES"/>
              </w:rPr>
            </w:pPr>
            <w:r w:rsidRPr="00F51009">
              <w:rPr>
                <w:rFonts w:ascii="Symbol" w:hAnsi="Symbol"/>
                <w:lang w:val="es-ES"/>
              </w:rPr>
              <w:t></w:t>
            </w:r>
            <w:r w:rsidRPr="00F51009">
              <w:rPr>
                <w:lang w:val="es-ES"/>
              </w:rPr>
              <w:tab/>
            </w:r>
            <w:r w:rsidRPr="00E32406">
              <w:rPr>
                <w:lang w:val="es-ES"/>
              </w:rPr>
              <w:t>Preparación de un proyecto de informe de examen con una serie de recomendaciones preliminares.</w:t>
            </w:r>
          </w:p>
        </w:tc>
      </w:tr>
      <w:tr w:rsidR="004E0DD2" w:rsidRPr="00F51009" w14:paraId="402C7E85" w14:textId="77777777" w:rsidTr="009B0F2D">
        <w:trPr>
          <w:trHeight w:val="2304"/>
        </w:trPr>
        <w:tc>
          <w:tcPr>
            <w:tcW w:w="1635" w:type="dxa"/>
          </w:tcPr>
          <w:p w14:paraId="2CE48F73" w14:textId="6AC40D93" w:rsidR="004E0DD2" w:rsidRPr="00F51009" w:rsidRDefault="004E0DD2" w:rsidP="0000747F">
            <w:pPr>
              <w:pStyle w:val="Tabletext"/>
              <w:rPr>
                <w:lang w:val="es-ES"/>
              </w:rPr>
            </w:pPr>
            <w:r w:rsidRPr="00F51009">
              <w:rPr>
                <w:b/>
                <w:bCs/>
                <w:lang w:val="es-ES"/>
              </w:rPr>
              <w:t>Fase 4:</w:t>
            </w:r>
            <w:r w:rsidR="009B0F2D">
              <w:rPr>
                <w:b/>
                <w:bCs/>
                <w:lang w:val="es-ES"/>
              </w:rPr>
              <w:br/>
            </w:r>
            <w:r w:rsidRPr="00F51009">
              <w:rPr>
                <w:lang w:val="es-ES"/>
              </w:rPr>
              <w:t>Validación y elaboración del informe</w:t>
            </w:r>
          </w:p>
        </w:tc>
        <w:tc>
          <w:tcPr>
            <w:tcW w:w="2471" w:type="dxa"/>
          </w:tcPr>
          <w:p w14:paraId="575FEB8B" w14:textId="77777777" w:rsidR="004E0DD2" w:rsidRPr="00F51009" w:rsidRDefault="004E0DD2" w:rsidP="0000747F">
            <w:pPr>
              <w:pStyle w:val="Tabletext"/>
              <w:rPr>
                <w:lang w:val="es-ES"/>
              </w:rPr>
            </w:pPr>
            <w:r w:rsidRPr="00F51009">
              <w:rPr>
                <w:lang w:val="es-ES"/>
              </w:rPr>
              <w:t>Marzo – abril de 2026</w:t>
            </w:r>
          </w:p>
        </w:tc>
        <w:tc>
          <w:tcPr>
            <w:tcW w:w="4955" w:type="dxa"/>
          </w:tcPr>
          <w:p w14:paraId="15DC1940" w14:textId="77777777" w:rsidR="004E0DD2" w:rsidRPr="00F51009" w:rsidRDefault="004E0DD2" w:rsidP="0000747F">
            <w:pPr>
              <w:pStyle w:val="Tabletext"/>
              <w:ind w:left="284" w:hanging="284"/>
              <w:rPr>
                <w:lang w:val="es-ES"/>
              </w:rPr>
            </w:pPr>
            <w:r w:rsidRPr="00F51009">
              <w:rPr>
                <w:rFonts w:ascii="Symbol" w:hAnsi="Symbol"/>
                <w:lang w:val="es-ES"/>
              </w:rPr>
              <w:t></w:t>
            </w:r>
            <w:r w:rsidRPr="00F51009">
              <w:rPr>
                <w:rFonts w:ascii="Symbol" w:hAnsi="Symbol"/>
                <w:lang w:val="es-ES"/>
              </w:rPr>
              <w:tab/>
            </w:r>
            <w:r w:rsidRPr="00F51009">
              <w:rPr>
                <w:lang w:val="es-ES"/>
              </w:rPr>
              <w:t>Validación del proyecto de informe de examen.</w:t>
            </w:r>
          </w:p>
          <w:p w14:paraId="37C1795A" w14:textId="77777777" w:rsidR="004E0DD2" w:rsidRPr="00E32406" w:rsidRDefault="004E0DD2" w:rsidP="0000747F">
            <w:pPr>
              <w:pStyle w:val="Tabletext"/>
              <w:ind w:left="284" w:hanging="284"/>
              <w:rPr>
                <w:lang w:val="es-ES"/>
              </w:rPr>
            </w:pPr>
            <w:r w:rsidRPr="00F51009">
              <w:rPr>
                <w:rFonts w:ascii="Symbol" w:hAnsi="Symbol"/>
                <w:lang w:val="es-ES"/>
              </w:rPr>
              <w:t></w:t>
            </w:r>
            <w:r w:rsidRPr="00F51009">
              <w:rPr>
                <w:rFonts w:ascii="Symbol" w:hAnsi="Symbol"/>
                <w:lang w:val="es-ES"/>
              </w:rPr>
              <w:tab/>
            </w:r>
            <w:r w:rsidRPr="00E32406">
              <w:rPr>
                <w:lang w:val="es-ES"/>
              </w:rPr>
              <w:t>Incorporación de las observaciones formuladas durante la fase de validación.</w:t>
            </w:r>
          </w:p>
          <w:p w14:paraId="14594804" w14:textId="77777777" w:rsidR="004E0DD2" w:rsidRPr="00F51009" w:rsidRDefault="004E0DD2" w:rsidP="0000747F">
            <w:pPr>
              <w:pStyle w:val="Tabletext"/>
              <w:ind w:left="284" w:hanging="284"/>
              <w:rPr>
                <w:lang w:val="es-ES"/>
              </w:rPr>
            </w:pPr>
            <w:r w:rsidRPr="00F51009">
              <w:rPr>
                <w:rFonts w:ascii="Symbol" w:hAnsi="Symbol"/>
                <w:lang w:val="es-ES"/>
              </w:rPr>
              <w:t></w:t>
            </w:r>
            <w:r w:rsidRPr="00F51009">
              <w:rPr>
                <w:rFonts w:ascii="Symbol" w:hAnsi="Symbol"/>
                <w:lang w:val="es-ES"/>
              </w:rPr>
              <w:tab/>
            </w:r>
            <w:r w:rsidRPr="00E32406">
              <w:rPr>
                <w:lang w:val="es-ES"/>
              </w:rPr>
              <w:t>Redacción de la versión final del informe de examen para su consideración por el Consejo y la Conferencia de Plenipotenciarios de 2026 (PP</w:t>
            </w:r>
            <w:r w:rsidRPr="00E32406">
              <w:rPr>
                <w:lang w:val="es-ES"/>
              </w:rPr>
              <w:noBreakHyphen/>
              <w:t>26)</w:t>
            </w:r>
            <w:r w:rsidRPr="00F51009">
              <w:rPr>
                <w:lang w:val="es-ES"/>
              </w:rPr>
              <w:t>.</w:t>
            </w:r>
          </w:p>
        </w:tc>
      </w:tr>
    </w:tbl>
    <w:p w14:paraId="11D703C0" w14:textId="77777777" w:rsidR="004E0DD2" w:rsidRPr="00F51009" w:rsidRDefault="004E0DD2" w:rsidP="004E0DD2">
      <w:pPr>
        <w:pStyle w:val="Heading1"/>
        <w:rPr>
          <w:lang w:val="es-ES"/>
        </w:rPr>
      </w:pPr>
      <w:r w:rsidRPr="00F51009">
        <w:rPr>
          <w:lang w:val="es-ES"/>
        </w:rPr>
        <w:t>3</w:t>
      </w:r>
      <w:r w:rsidRPr="00F51009">
        <w:rPr>
          <w:lang w:val="es-ES"/>
        </w:rPr>
        <w:tab/>
        <w:t>Trabajo realizado por la BDT</w:t>
      </w:r>
    </w:p>
    <w:p w14:paraId="00B78E35" w14:textId="77777777" w:rsidR="004E0DD2" w:rsidRPr="00F51009" w:rsidRDefault="004E0DD2" w:rsidP="009B0F2D">
      <w:pPr>
        <w:rPr>
          <w:b/>
          <w:bCs/>
          <w:lang w:val="es-ES"/>
        </w:rPr>
      </w:pPr>
      <w:r w:rsidRPr="00F51009">
        <w:rPr>
          <w:lang w:val="es-ES"/>
        </w:rPr>
        <w:t>3.1</w:t>
      </w:r>
      <w:r w:rsidRPr="00F51009">
        <w:rPr>
          <w:lang w:val="es-ES"/>
        </w:rPr>
        <w:tab/>
        <w:t>A fin de contribuir a la elaboración del informe de la Secretaria General de la UIT, la BDT ha llevado a cabo las siguientes actividades:</w:t>
      </w:r>
    </w:p>
    <w:p w14:paraId="1CD7363D" w14:textId="4B57EDB4" w:rsidR="004E0DD2" w:rsidRPr="00F51009" w:rsidRDefault="004E0DD2" w:rsidP="009B0F2D">
      <w:pPr>
        <w:pStyle w:val="enumlev1"/>
        <w:rPr>
          <w:lang w:val="es-ES"/>
        </w:rPr>
      </w:pPr>
      <w:r w:rsidRPr="00F51009">
        <w:rPr>
          <w:rFonts w:eastAsia="Aptos"/>
          <w:lang w:val="es-ES"/>
        </w:rPr>
        <w:t>1</w:t>
      </w:r>
      <w:r w:rsidR="009B0F2D">
        <w:rPr>
          <w:rFonts w:eastAsia="Aptos"/>
          <w:lang w:val="es-ES"/>
        </w:rPr>
        <w:t>)</w:t>
      </w:r>
      <w:r w:rsidRPr="00F51009">
        <w:rPr>
          <w:rFonts w:eastAsia="Aptos"/>
          <w:lang w:val="es-ES"/>
        </w:rPr>
        <w:tab/>
        <w:t>d</w:t>
      </w:r>
      <w:r w:rsidRPr="00F51009">
        <w:rPr>
          <w:lang w:val="es-ES"/>
        </w:rPr>
        <w:t>iseño y puesta en marcha de una encuesta a los miembros de la UIT;</w:t>
      </w:r>
    </w:p>
    <w:p w14:paraId="0748715F" w14:textId="0746E304" w:rsidR="004E0DD2" w:rsidRPr="00F51009" w:rsidRDefault="004E0DD2" w:rsidP="009B0F2D">
      <w:pPr>
        <w:pStyle w:val="enumlev1"/>
        <w:rPr>
          <w:lang w:val="es-ES"/>
        </w:rPr>
      </w:pPr>
      <w:r w:rsidRPr="00F51009">
        <w:rPr>
          <w:rFonts w:eastAsia="Aptos"/>
          <w:lang w:val="es-ES"/>
        </w:rPr>
        <w:t>2</w:t>
      </w:r>
      <w:r w:rsidR="009B0F2D">
        <w:rPr>
          <w:rFonts w:eastAsia="Aptos"/>
          <w:lang w:val="es-ES"/>
        </w:rPr>
        <w:t>)</w:t>
      </w:r>
      <w:r w:rsidRPr="00F51009">
        <w:rPr>
          <w:rFonts w:eastAsia="Aptos"/>
          <w:lang w:val="es-ES"/>
        </w:rPr>
        <w:tab/>
        <w:t>realización de un e</w:t>
      </w:r>
      <w:r w:rsidRPr="00F51009">
        <w:rPr>
          <w:lang w:val="es-ES"/>
        </w:rPr>
        <w:t>xamen documental;</w:t>
      </w:r>
    </w:p>
    <w:p w14:paraId="0131F2C4" w14:textId="457FD503" w:rsidR="004E0DD2" w:rsidRPr="00F51009" w:rsidRDefault="004E0DD2" w:rsidP="009B0F2D">
      <w:pPr>
        <w:pStyle w:val="enumlev1"/>
        <w:rPr>
          <w:lang w:val="es-ES"/>
        </w:rPr>
      </w:pPr>
      <w:r w:rsidRPr="00F51009">
        <w:rPr>
          <w:rFonts w:eastAsia="Aptos"/>
          <w:lang w:val="es-ES"/>
        </w:rPr>
        <w:t>3</w:t>
      </w:r>
      <w:r w:rsidR="009B0F2D">
        <w:rPr>
          <w:rFonts w:eastAsia="Aptos"/>
          <w:lang w:val="es-ES"/>
        </w:rPr>
        <w:t>)</w:t>
      </w:r>
      <w:r w:rsidRPr="00F51009">
        <w:rPr>
          <w:rFonts w:eastAsia="Aptos"/>
          <w:lang w:val="es-ES"/>
        </w:rPr>
        <w:tab/>
        <w:t>celebración de c</w:t>
      </w:r>
      <w:r w:rsidRPr="00F51009">
        <w:rPr>
          <w:lang w:val="es-ES"/>
        </w:rPr>
        <w:t>onsultas con partes interesadas, incluido el diseño y la puesta en marcha de una encuesta de evaluación interna, y entrevistas con organizaciones regionales de telecomunicaciones (ORT);</w:t>
      </w:r>
    </w:p>
    <w:p w14:paraId="743AE93B" w14:textId="541BB5A5" w:rsidR="004E0DD2" w:rsidRPr="00F51009" w:rsidRDefault="004E0DD2" w:rsidP="009B0F2D">
      <w:pPr>
        <w:pStyle w:val="enumlev1"/>
        <w:rPr>
          <w:lang w:val="es-ES"/>
        </w:rPr>
      </w:pPr>
      <w:r w:rsidRPr="00F51009">
        <w:rPr>
          <w:rFonts w:eastAsia="Aptos"/>
          <w:lang w:val="es-ES"/>
        </w:rPr>
        <w:t>4</w:t>
      </w:r>
      <w:r w:rsidR="009B0F2D">
        <w:rPr>
          <w:rFonts w:eastAsia="Aptos"/>
          <w:lang w:val="es-ES"/>
        </w:rPr>
        <w:t>)</w:t>
      </w:r>
      <w:r w:rsidRPr="00F51009">
        <w:rPr>
          <w:rFonts w:eastAsia="Aptos"/>
          <w:lang w:val="es-ES"/>
        </w:rPr>
        <w:tab/>
        <w:t>e</w:t>
      </w:r>
      <w:r w:rsidRPr="00F51009">
        <w:rPr>
          <w:lang w:val="es-ES"/>
        </w:rPr>
        <w:t>laboración de informes periódicos, conforme a lo estipulado por el GTC-RHF y el Consejo.</w:t>
      </w:r>
    </w:p>
    <w:p w14:paraId="13128272" w14:textId="6476045B" w:rsidR="004E0DD2" w:rsidRPr="00F51009" w:rsidRDefault="004E0DD2" w:rsidP="009B0F2D">
      <w:pPr>
        <w:tabs>
          <w:tab w:val="clear" w:pos="567"/>
          <w:tab w:val="clear" w:pos="1134"/>
          <w:tab w:val="clear" w:pos="1701"/>
          <w:tab w:val="clear" w:pos="2268"/>
          <w:tab w:val="clear" w:pos="2835"/>
        </w:tabs>
        <w:rPr>
          <w:rFonts w:asciiTheme="minorHAnsi" w:hAnsiTheme="minorHAnsi" w:cstheme="minorBidi"/>
          <w:lang w:val="es-ES"/>
        </w:rPr>
      </w:pPr>
      <w:r w:rsidRPr="00F51009">
        <w:rPr>
          <w:rFonts w:asciiTheme="minorHAnsi" w:hAnsiTheme="minorHAnsi" w:cstheme="minorBidi"/>
          <w:lang w:val="es-ES"/>
        </w:rPr>
        <w:t xml:space="preserve">Para obtener más información sobre las actividades antes mencionadas, véase el documento de información </w:t>
      </w:r>
      <w:hyperlink r:id="rId25">
        <w:r w:rsidRPr="00F51009">
          <w:rPr>
            <w:rStyle w:val="Hyperlink"/>
            <w:rFonts w:asciiTheme="minorHAnsi" w:hAnsiTheme="minorHAnsi"/>
            <w:lang w:val="es-ES"/>
          </w:rPr>
          <w:t>C26/INF/10</w:t>
        </w:r>
      </w:hyperlink>
      <w:r w:rsidRPr="00F51009">
        <w:rPr>
          <w:rFonts w:asciiTheme="minorHAnsi" w:hAnsiTheme="minorHAnsi" w:cstheme="minorBidi"/>
          <w:lang w:val="es-ES"/>
        </w:rPr>
        <w:t>.</w:t>
      </w:r>
    </w:p>
    <w:p w14:paraId="48231C5E" w14:textId="77777777" w:rsidR="004E0DD2" w:rsidRPr="00F51009" w:rsidRDefault="004E0DD2" w:rsidP="004E0DD2">
      <w:pPr>
        <w:pStyle w:val="Heading1"/>
        <w:rPr>
          <w:lang w:val="es-ES"/>
        </w:rPr>
      </w:pPr>
      <w:r w:rsidRPr="00F51009">
        <w:rPr>
          <w:lang w:val="es-ES"/>
        </w:rPr>
        <w:t>4</w:t>
      </w:r>
      <w:r w:rsidRPr="00F51009">
        <w:rPr>
          <w:lang w:val="es-ES"/>
        </w:rPr>
        <w:tab/>
        <w:t>Metodología</w:t>
      </w:r>
    </w:p>
    <w:p w14:paraId="06040A88" w14:textId="11ED2AC6" w:rsidR="004E0DD2" w:rsidRPr="00F51009" w:rsidRDefault="004E0DD2" w:rsidP="004E0DD2">
      <w:pPr>
        <w:tabs>
          <w:tab w:val="clear" w:pos="567"/>
          <w:tab w:val="clear" w:pos="1134"/>
          <w:tab w:val="clear" w:pos="1701"/>
          <w:tab w:val="clear" w:pos="2268"/>
          <w:tab w:val="clear" w:pos="2835"/>
        </w:tabs>
        <w:jc w:val="both"/>
        <w:rPr>
          <w:rFonts w:asciiTheme="minorHAnsi" w:hAnsiTheme="minorHAnsi" w:cstheme="minorBidi"/>
          <w:lang w:val="es-ES"/>
        </w:rPr>
      </w:pPr>
      <w:r w:rsidRPr="00F51009">
        <w:rPr>
          <w:rFonts w:asciiTheme="minorHAnsi" w:hAnsiTheme="minorHAnsi" w:cstheme="minorBidi"/>
          <w:lang w:val="es-ES"/>
        </w:rPr>
        <w:t>4.1</w:t>
      </w:r>
      <w:r w:rsidRPr="00F51009">
        <w:rPr>
          <w:rFonts w:asciiTheme="minorHAnsi" w:hAnsiTheme="minorHAnsi" w:cstheme="minorBidi"/>
          <w:lang w:val="es-ES"/>
        </w:rPr>
        <w:tab/>
        <w:t xml:space="preserve">La metodología de examen aplicada se inscribe en el mandato aprobado por los miembros (véase el Anexo A y el Anexo 1 al Documento </w:t>
      </w:r>
      <w:hyperlink r:id="rId26">
        <w:r w:rsidRPr="00F51009">
          <w:rPr>
            <w:rStyle w:val="Hyperlink"/>
            <w:rFonts w:asciiTheme="minorHAnsi" w:hAnsiTheme="minorHAnsi"/>
            <w:lang w:val="es-ES"/>
          </w:rPr>
          <w:t>C25/105</w:t>
        </w:r>
      </w:hyperlink>
      <w:r w:rsidRPr="00F51009">
        <w:rPr>
          <w:rFonts w:asciiTheme="minorHAnsi" w:hAnsiTheme="minorHAnsi" w:cstheme="minorBidi"/>
          <w:lang w:val="es-ES"/>
        </w:rPr>
        <w:t>) y se resume a continuación.</w:t>
      </w:r>
    </w:p>
    <w:p w14:paraId="6414C8B7" w14:textId="77777777" w:rsidR="004E0DD2" w:rsidRPr="00F51009" w:rsidRDefault="004E0DD2" w:rsidP="004E0DD2">
      <w:pPr>
        <w:tabs>
          <w:tab w:val="clear" w:pos="567"/>
          <w:tab w:val="clear" w:pos="1134"/>
          <w:tab w:val="clear" w:pos="1701"/>
          <w:tab w:val="clear" w:pos="2268"/>
          <w:tab w:val="clear" w:pos="2835"/>
        </w:tabs>
        <w:rPr>
          <w:rFonts w:asciiTheme="minorHAnsi" w:hAnsiTheme="minorHAnsi" w:cstheme="minorBidi"/>
          <w:lang w:val="es-ES"/>
        </w:rPr>
      </w:pPr>
    </w:p>
    <w:tbl>
      <w:tblPr>
        <w:tblStyle w:val="TableGrid1"/>
        <w:tblW w:w="0" w:type="auto"/>
        <w:tblLook w:val="04A0" w:firstRow="1" w:lastRow="0" w:firstColumn="1" w:lastColumn="0" w:noHBand="0" w:noVBand="1"/>
      </w:tblPr>
      <w:tblGrid>
        <w:gridCol w:w="3114"/>
        <w:gridCol w:w="5902"/>
      </w:tblGrid>
      <w:tr w:rsidR="004E0DD2" w:rsidRPr="00F51009" w14:paraId="5EADEE45" w14:textId="77777777" w:rsidTr="0000747F">
        <w:trPr>
          <w:trHeight w:val="300"/>
        </w:trPr>
        <w:tc>
          <w:tcPr>
            <w:tcW w:w="3114" w:type="dxa"/>
          </w:tcPr>
          <w:p w14:paraId="0C64EEFF" w14:textId="77777777" w:rsidR="004E0DD2" w:rsidRPr="00F51009" w:rsidRDefault="004E0DD2" w:rsidP="0000747F">
            <w:pPr>
              <w:pStyle w:val="Tablehead"/>
              <w:rPr>
                <w:b w:val="0"/>
                <w:bCs/>
                <w:lang w:val="es-ES"/>
              </w:rPr>
            </w:pPr>
            <w:r w:rsidRPr="00F51009">
              <w:rPr>
                <w:lang w:val="es-ES"/>
              </w:rPr>
              <w:t>Actividad</w:t>
            </w:r>
          </w:p>
        </w:tc>
        <w:tc>
          <w:tcPr>
            <w:tcW w:w="5902" w:type="dxa"/>
          </w:tcPr>
          <w:p w14:paraId="1731704D" w14:textId="77777777" w:rsidR="004E0DD2" w:rsidRPr="00F51009" w:rsidRDefault="004E0DD2" w:rsidP="0000747F">
            <w:pPr>
              <w:pStyle w:val="Tablehead"/>
              <w:rPr>
                <w:b w:val="0"/>
                <w:bCs/>
                <w:lang w:val="es-ES"/>
              </w:rPr>
            </w:pPr>
            <w:r w:rsidRPr="00F51009">
              <w:rPr>
                <w:lang w:val="es-ES"/>
              </w:rPr>
              <w:t>Descripción</w:t>
            </w:r>
          </w:p>
        </w:tc>
      </w:tr>
      <w:tr w:rsidR="004E0DD2" w:rsidRPr="00F51009" w14:paraId="4F252913" w14:textId="77777777" w:rsidTr="0000747F">
        <w:trPr>
          <w:trHeight w:val="300"/>
        </w:trPr>
        <w:tc>
          <w:tcPr>
            <w:tcW w:w="3114" w:type="dxa"/>
          </w:tcPr>
          <w:p w14:paraId="519AC507" w14:textId="77777777" w:rsidR="004E0DD2" w:rsidRPr="00F51009" w:rsidRDefault="004E0DD2" w:rsidP="0000747F">
            <w:pPr>
              <w:pStyle w:val="Tabletext"/>
              <w:rPr>
                <w:lang w:val="es-ES"/>
              </w:rPr>
            </w:pPr>
            <w:r w:rsidRPr="00F51009">
              <w:rPr>
                <w:lang w:val="es-ES"/>
              </w:rPr>
              <w:t>Análisis de documentos</w:t>
            </w:r>
          </w:p>
        </w:tc>
        <w:tc>
          <w:tcPr>
            <w:tcW w:w="5902" w:type="dxa"/>
          </w:tcPr>
          <w:p w14:paraId="39856FF7" w14:textId="77777777" w:rsidR="004E0DD2" w:rsidRPr="00F51009" w:rsidRDefault="004E0DD2" w:rsidP="0000747F">
            <w:pPr>
              <w:pStyle w:val="Tabletext"/>
              <w:rPr>
                <w:lang w:val="es-ES"/>
              </w:rPr>
            </w:pPr>
            <w:r w:rsidRPr="00F51009">
              <w:rPr>
                <w:lang w:val="es-ES"/>
              </w:rPr>
              <w:t>Realización de un análisis documental de documentos de base, incluida la Resolución 25 y los planes estratégicos de la UIT, así como informes operacionales, de rendimiento y de auditoría.</w:t>
            </w:r>
          </w:p>
        </w:tc>
      </w:tr>
      <w:tr w:rsidR="004E0DD2" w:rsidRPr="00F51009" w14:paraId="065FEA2E" w14:textId="77777777" w:rsidTr="0000747F">
        <w:trPr>
          <w:trHeight w:val="300"/>
        </w:trPr>
        <w:tc>
          <w:tcPr>
            <w:tcW w:w="3114" w:type="dxa"/>
          </w:tcPr>
          <w:p w14:paraId="5FA5AFA4" w14:textId="77777777" w:rsidR="004E0DD2" w:rsidRPr="00F51009" w:rsidRDefault="004E0DD2" w:rsidP="0000747F">
            <w:pPr>
              <w:pStyle w:val="Tabletext"/>
              <w:rPr>
                <w:lang w:val="es-ES"/>
              </w:rPr>
            </w:pPr>
            <w:r w:rsidRPr="00F51009">
              <w:rPr>
                <w:lang w:val="es-ES"/>
              </w:rPr>
              <w:t>Análisis de datos</w:t>
            </w:r>
          </w:p>
        </w:tc>
        <w:tc>
          <w:tcPr>
            <w:tcW w:w="5902" w:type="dxa"/>
          </w:tcPr>
          <w:p w14:paraId="72501C70" w14:textId="77777777" w:rsidR="004E0DD2" w:rsidRPr="00F51009" w:rsidRDefault="004E0DD2" w:rsidP="0000747F">
            <w:pPr>
              <w:pStyle w:val="Tabletext"/>
              <w:rPr>
                <w:lang w:val="es-ES"/>
              </w:rPr>
            </w:pPr>
            <w:r w:rsidRPr="00F51009">
              <w:rPr>
                <w:lang w:val="es-ES"/>
              </w:rPr>
              <w:t>Estudio de información clave, en particular sobre estructuras de personal, partidas presupuestarias y resultados de los proyectos, a fin de analizar tendencias, lagunas y oportunidades de mejora.</w:t>
            </w:r>
          </w:p>
        </w:tc>
      </w:tr>
      <w:tr w:rsidR="004E0DD2" w:rsidRPr="00F51009" w14:paraId="1DAA570F" w14:textId="77777777" w:rsidTr="0000747F">
        <w:trPr>
          <w:trHeight w:val="300"/>
        </w:trPr>
        <w:tc>
          <w:tcPr>
            <w:tcW w:w="3114" w:type="dxa"/>
          </w:tcPr>
          <w:p w14:paraId="28A792FF" w14:textId="77777777" w:rsidR="004E0DD2" w:rsidRPr="00F51009" w:rsidRDefault="004E0DD2" w:rsidP="0000747F">
            <w:pPr>
              <w:pStyle w:val="Tabletext"/>
              <w:rPr>
                <w:lang w:val="es-ES"/>
              </w:rPr>
            </w:pPr>
            <w:r w:rsidRPr="00F51009">
              <w:rPr>
                <w:lang w:val="es-ES"/>
              </w:rPr>
              <w:t>Consultas con las partes interesadas</w:t>
            </w:r>
          </w:p>
        </w:tc>
        <w:tc>
          <w:tcPr>
            <w:tcW w:w="5902" w:type="dxa"/>
          </w:tcPr>
          <w:p w14:paraId="3FBF0186" w14:textId="77777777" w:rsidR="004E0DD2" w:rsidRPr="00F51009" w:rsidRDefault="004E0DD2" w:rsidP="0000747F">
            <w:pPr>
              <w:pStyle w:val="Tabletext"/>
              <w:rPr>
                <w:lang w:val="es-ES"/>
              </w:rPr>
            </w:pPr>
            <w:r w:rsidRPr="00F51009">
              <w:rPr>
                <w:lang w:val="es-ES"/>
              </w:rPr>
              <w:t>Colaboración interna con las principales partes interesadas y realización de consultas con grupos asesores de la UIT para recabar opiniones y proporcionar una orientación estratégica para forjar el futuro de la presencia regional de la UIT.</w:t>
            </w:r>
          </w:p>
        </w:tc>
      </w:tr>
      <w:tr w:rsidR="004E0DD2" w:rsidRPr="00F51009" w14:paraId="6C07DC6C" w14:textId="77777777" w:rsidTr="0000747F">
        <w:trPr>
          <w:trHeight w:val="300"/>
        </w:trPr>
        <w:tc>
          <w:tcPr>
            <w:tcW w:w="3114" w:type="dxa"/>
          </w:tcPr>
          <w:p w14:paraId="2ADAAB13" w14:textId="77777777" w:rsidR="004E0DD2" w:rsidRPr="00F51009" w:rsidRDefault="004E0DD2" w:rsidP="0000747F">
            <w:pPr>
              <w:pStyle w:val="Tabletext"/>
              <w:rPr>
                <w:lang w:val="es-ES"/>
              </w:rPr>
            </w:pPr>
            <w:r w:rsidRPr="00F51009">
              <w:rPr>
                <w:lang w:val="es-ES"/>
              </w:rPr>
              <w:t>Encuestas a las partes interesadas</w:t>
            </w:r>
          </w:p>
        </w:tc>
        <w:tc>
          <w:tcPr>
            <w:tcW w:w="5902" w:type="dxa"/>
          </w:tcPr>
          <w:p w14:paraId="21E1BC77" w14:textId="77777777" w:rsidR="004E0DD2" w:rsidRPr="00F51009" w:rsidRDefault="004E0DD2" w:rsidP="0000747F">
            <w:pPr>
              <w:pStyle w:val="Tabletext"/>
              <w:rPr>
                <w:lang w:val="es-ES"/>
              </w:rPr>
            </w:pPr>
            <w:r w:rsidRPr="00F51009">
              <w:rPr>
                <w:lang w:val="es-ES"/>
              </w:rPr>
              <w:t>Administración y recopilación de información sobre los niveles de satisfacción de los Miembros y de las organizaciones regionales de telecomunicaciones a fin de analizar los efectos de la presencia regional y llevar a cabo una evaluación prioritaria del grado de satisfacción general.</w:t>
            </w:r>
          </w:p>
        </w:tc>
      </w:tr>
    </w:tbl>
    <w:p w14:paraId="0A63CACE" w14:textId="495F3D27" w:rsidR="004E0DD2" w:rsidRPr="00F51009" w:rsidRDefault="004E0DD2" w:rsidP="006B5B56">
      <w:pPr>
        <w:spacing w:before="240" w:after="120"/>
        <w:rPr>
          <w:rFonts w:asciiTheme="minorHAnsi" w:hAnsiTheme="minorHAnsi" w:cstheme="minorBidi"/>
          <w:lang w:val="es-ES"/>
        </w:rPr>
      </w:pPr>
      <w:r w:rsidRPr="00F51009">
        <w:rPr>
          <w:rFonts w:asciiTheme="minorHAnsi" w:hAnsiTheme="minorHAnsi" w:cstheme="minorBidi"/>
          <w:lang w:val="es-ES"/>
        </w:rPr>
        <w:t>4.2</w:t>
      </w:r>
      <w:r w:rsidRPr="00F51009">
        <w:rPr>
          <w:rFonts w:asciiTheme="minorHAnsi" w:hAnsiTheme="minorHAnsi" w:cstheme="minorBidi"/>
          <w:lang w:val="es-ES"/>
        </w:rPr>
        <w:tab/>
        <w:t xml:space="preserve">En consecuencia, la BDT inició su labor tras la primera reunión del </w:t>
      </w:r>
      <w:r w:rsidRPr="00F51009">
        <w:rPr>
          <w:lang w:val="es-ES"/>
        </w:rPr>
        <w:t xml:space="preserve">Grupo de Tareas Intersectorial </w:t>
      </w:r>
      <w:r w:rsidRPr="00F51009">
        <w:rPr>
          <w:rFonts w:asciiTheme="minorHAnsi" w:hAnsiTheme="minorHAnsi" w:cstheme="minorBidi"/>
          <w:lang w:val="es-ES"/>
        </w:rPr>
        <w:t>sobre la presencia regional, celebrada el 17 de julio de 2025, y analizó los 12</w:t>
      </w:r>
      <w:r w:rsidR="009B0F2D">
        <w:rPr>
          <w:rFonts w:asciiTheme="minorHAnsi" w:hAnsiTheme="minorHAnsi" w:cstheme="minorBidi"/>
          <w:lang w:val="es-ES"/>
        </w:rPr>
        <w:t> </w:t>
      </w:r>
      <w:r w:rsidRPr="00F51009">
        <w:rPr>
          <w:rFonts w:asciiTheme="minorHAnsi" w:hAnsiTheme="minorHAnsi" w:cstheme="minorBidi"/>
          <w:lang w:val="es-ES"/>
        </w:rPr>
        <w:t xml:space="preserve">puntos del plan de trabajo descrito en el Anexo A y los 27 indicadores fundamentales de rendimiento (IFR) enumerados en el Anexo 1 al Documento </w:t>
      </w:r>
      <w:hyperlink r:id="rId27">
        <w:r w:rsidRPr="00F51009">
          <w:rPr>
            <w:rStyle w:val="Hyperlink"/>
            <w:rFonts w:asciiTheme="minorHAnsi" w:hAnsiTheme="minorHAnsi"/>
            <w:lang w:val="es-ES"/>
          </w:rPr>
          <w:t>C25/105</w:t>
        </w:r>
      </w:hyperlink>
      <w:r w:rsidRPr="00F51009">
        <w:rPr>
          <w:rFonts w:asciiTheme="minorHAnsi" w:hAnsiTheme="minorHAnsi" w:cstheme="minorBidi"/>
          <w:lang w:val="es-ES"/>
        </w:rPr>
        <w:t xml:space="preserve">. El primer paso consistió en establecer correspondencias entre los IFR y los 12 puntos del plan de trabajo. Los 27 IFR y los 12 puntos se analizaron con el objetivo de evaluar fuentes de datos primarias y secundarias, es decir, de sopesar la posibilidad de derivarlos de encuesta a miembros o consultas con partes interesadas —incluida la encuesta de evaluación interna— o de investigaciones documentales/análisis de documentos. Algunos IFR se asociaron a dos o más fuentes de datos. </w:t>
      </w:r>
    </w:p>
    <w:p w14:paraId="3167EFE4" w14:textId="2D34E757" w:rsidR="004E0DD2" w:rsidRPr="00F51009" w:rsidRDefault="004E0DD2" w:rsidP="005E0C22">
      <w:pPr>
        <w:rPr>
          <w:rFonts w:asciiTheme="minorHAnsi" w:hAnsiTheme="minorHAnsi" w:cstheme="minorBidi"/>
          <w:lang w:val="es-ES"/>
        </w:rPr>
      </w:pPr>
      <w:r w:rsidRPr="00F51009">
        <w:rPr>
          <w:rFonts w:asciiTheme="minorHAnsi" w:hAnsiTheme="minorHAnsi" w:cstheme="minorBidi"/>
          <w:lang w:val="es-ES"/>
        </w:rPr>
        <w:t>4.3</w:t>
      </w:r>
      <w:r w:rsidRPr="00F51009">
        <w:rPr>
          <w:rFonts w:asciiTheme="minorHAnsi" w:hAnsiTheme="minorHAnsi" w:cstheme="minorBidi"/>
          <w:lang w:val="es-ES"/>
        </w:rPr>
        <w:tab/>
        <w:t xml:space="preserve">La BDT diseñó y llevó a cabo una encuesta a los miembros y realizó </w:t>
      </w:r>
      <w:r w:rsidRPr="00F51009">
        <w:rPr>
          <w:rFonts w:eastAsia="Aptos"/>
          <w:lang w:val="es-ES"/>
        </w:rPr>
        <w:t>un e</w:t>
      </w:r>
      <w:r w:rsidRPr="00F51009">
        <w:rPr>
          <w:lang w:val="es-ES"/>
        </w:rPr>
        <w:t>xamen documental,</w:t>
      </w:r>
      <w:r w:rsidRPr="00F51009">
        <w:rPr>
          <w:rFonts w:asciiTheme="minorHAnsi" w:hAnsiTheme="minorHAnsi" w:cstheme="minorBidi"/>
          <w:lang w:val="es-ES"/>
        </w:rPr>
        <w:t xml:space="preserve"> identificando fuentes de información y recopilando datos de fuentes fiables pertinentes. El examen </w:t>
      </w:r>
      <w:r w:rsidRPr="00F51009">
        <w:rPr>
          <w:lang w:val="es-ES"/>
        </w:rPr>
        <w:t xml:space="preserve">documental </w:t>
      </w:r>
      <w:r w:rsidRPr="00F51009">
        <w:rPr>
          <w:rFonts w:asciiTheme="minorHAnsi" w:hAnsiTheme="minorHAnsi" w:cstheme="minorBidi"/>
          <w:lang w:val="es-ES"/>
        </w:rPr>
        <w:t>incluyó asimismo una evaluación comparativa con otras organizaciones del sistema de las Naciones Unidas que se hallaban en situaciones similares. Los resultados de la encuesta a los miembros y del</w:t>
      </w:r>
      <w:r w:rsidRPr="00F51009">
        <w:rPr>
          <w:rFonts w:eastAsia="Aptos"/>
          <w:lang w:val="es-ES"/>
        </w:rPr>
        <w:t xml:space="preserve"> e</w:t>
      </w:r>
      <w:r w:rsidRPr="00F51009">
        <w:rPr>
          <w:lang w:val="es-ES"/>
        </w:rPr>
        <w:t>xamen</w:t>
      </w:r>
      <w:r w:rsidRPr="00F51009">
        <w:rPr>
          <w:rFonts w:asciiTheme="minorHAnsi" w:hAnsiTheme="minorHAnsi" w:cstheme="minorBidi"/>
          <w:lang w:val="es-ES"/>
        </w:rPr>
        <w:t xml:space="preserve"> documental se complementaron con datos de consultas a partes interesadas, incluidas entrevistas a ORT a fin de ampliar la información obtenida a raíz de la encuesta, los resultados de la encuesta de evaluación interna y otras observaciones formuladas por partes interesadas. Una vez recopilados y cotejados los datos, se llevó a cabo un análisis por IFR con miras a inferir conclusiones consolidadas para los 12 puntos del plan de trabajo. Para obtener más información al respecto, véase el Documento </w:t>
      </w:r>
      <w:hyperlink r:id="rId28" w:history="1">
        <w:r w:rsidRPr="00F51009">
          <w:rPr>
            <w:rStyle w:val="Hyperlink"/>
            <w:rFonts w:asciiTheme="minorHAnsi" w:hAnsiTheme="minorHAnsi"/>
            <w:lang w:val="es-ES"/>
          </w:rPr>
          <w:t>C26/INF/10</w:t>
        </w:r>
      </w:hyperlink>
      <w:r w:rsidRPr="00F51009">
        <w:rPr>
          <w:rFonts w:asciiTheme="minorHAnsi" w:hAnsiTheme="minorHAnsi" w:cstheme="minorBidi"/>
          <w:lang w:val="es-ES"/>
        </w:rPr>
        <w:t>.</w:t>
      </w:r>
    </w:p>
    <w:p w14:paraId="7B6ADA5C" w14:textId="77777777" w:rsidR="004E0DD2" w:rsidRPr="00F51009" w:rsidRDefault="004E0DD2" w:rsidP="004E0DD2">
      <w:pPr>
        <w:pStyle w:val="Heading1"/>
        <w:rPr>
          <w:lang w:val="es-ES"/>
        </w:rPr>
      </w:pPr>
      <w:r w:rsidRPr="00F51009">
        <w:rPr>
          <w:lang w:val="es-ES"/>
        </w:rPr>
        <w:t>5</w:t>
      </w:r>
      <w:r w:rsidRPr="00F51009">
        <w:rPr>
          <w:lang w:val="es-ES"/>
        </w:rPr>
        <w:tab/>
        <w:t xml:space="preserve">Conclusiones principales </w:t>
      </w:r>
    </w:p>
    <w:p w14:paraId="4D480823" w14:textId="77777777" w:rsidR="004E0DD2" w:rsidRPr="00F51009" w:rsidRDefault="004E0DD2" w:rsidP="004E0DD2">
      <w:pPr>
        <w:pStyle w:val="Heading2"/>
        <w:rPr>
          <w:lang w:val="es-ES"/>
        </w:rPr>
      </w:pPr>
      <w:r w:rsidRPr="00F51009">
        <w:rPr>
          <w:lang w:val="es-ES"/>
        </w:rPr>
        <w:t>5.1</w:t>
      </w:r>
      <w:r w:rsidRPr="00F51009">
        <w:rPr>
          <w:lang w:val="es-ES"/>
        </w:rPr>
        <w:tab/>
        <w:t>Puntos fuertes</w:t>
      </w:r>
    </w:p>
    <w:p w14:paraId="5F6D0559" w14:textId="77777777" w:rsidR="004E0DD2" w:rsidRPr="00F51009" w:rsidRDefault="004E0DD2" w:rsidP="006F7C0A">
      <w:pPr>
        <w:pStyle w:val="Heading3"/>
        <w:tabs>
          <w:tab w:val="clear" w:pos="567"/>
          <w:tab w:val="left" w:pos="851"/>
        </w:tabs>
        <w:ind w:left="993" w:hanging="993"/>
        <w:rPr>
          <w:lang w:val="es-ES"/>
        </w:rPr>
      </w:pPr>
      <w:r w:rsidRPr="00F51009">
        <w:rPr>
          <w:lang w:val="es-ES"/>
        </w:rPr>
        <w:t>5.1.1</w:t>
      </w:r>
      <w:r w:rsidRPr="00F51009">
        <w:rPr>
          <w:lang w:val="es-ES"/>
        </w:rPr>
        <w:tab/>
        <w:t>Gran satisfacción general con las actividades regionales</w:t>
      </w:r>
    </w:p>
    <w:p w14:paraId="747310FA" w14:textId="3657931B" w:rsidR="004E0DD2" w:rsidRPr="00F51009" w:rsidRDefault="004E0DD2" w:rsidP="005E0C22">
      <w:pPr>
        <w:rPr>
          <w:rFonts w:asciiTheme="minorHAnsi" w:hAnsiTheme="minorHAnsi" w:cstheme="minorHAnsi"/>
          <w:lang w:val="es-ES"/>
        </w:rPr>
      </w:pPr>
      <w:r w:rsidRPr="00F51009">
        <w:rPr>
          <w:rFonts w:asciiTheme="minorHAnsi" w:hAnsiTheme="minorHAnsi" w:cstheme="minorBidi"/>
          <w:lang w:val="es-ES"/>
        </w:rPr>
        <w:t>De las respuestas de los miembros se desprende una gran satisfacción general con las actividades llevadas a cabo por las Oficinas Regionales y Zonales de la UIT. Una clara mayoría de los encuestados conviene en que la presencia regional obra en favor de la ejecución del mandato de la UIT y de su incidencia sobre el terreno, dato que refleja la confianza depositada en el papel que desempeñan las oficinas regionales a la hora de adaptar iniciativas mundiales a contextos regionales y nacionales. El 71</w:t>
      </w:r>
      <w:r w:rsidR="005E0C22">
        <w:rPr>
          <w:rFonts w:asciiTheme="minorHAnsi" w:hAnsiTheme="minorHAnsi" w:cstheme="minorBidi"/>
          <w:lang w:val="es-ES"/>
        </w:rPr>
        <w:t> </w:t>
      </w:r>
      <w:r w:rsidRPr="00F51009">
        <w:rPr>
          <w:rFonts w:asciiTheme="minorHAnsi" w:hAnsiTheme="minorHAnsi" w:cstheme="minorBidi"/>
          <w:lang w:val="es-ES"/>
        </w:rPr>
        <w:t>% de los encuestados está de acuerdo con esta afirmación, lo que supone que la mayoría percibe la presencia regional como una extensión operativa eficaz de la labor de la UIT. El nivel de satisfacción con las actividades actuales también es positivo, ya que el 60</w:t>
      </w:r>
      <w:r w:rsidR="005E0C22">
        <w:rPr>
          <w:rFonts w:asciiTheme="minorHAnsi" w:hAnsiTheme="minorHAnsi" w:cstheme="minorBidi"/>
          <w:lang w:val="es-ES"/>
        </w:rPr>
        <w:t> </w:t>
      </w:r>
      <w:r w:rsidRPr="00F51009">
        <w:rPr>
          <w:rFonts w:asciiTheme="minorHAnsi" w:hAnsiTheme="minorHAnsi" w:cstheme="minorBidi"/>
          <w:lang w:val="es-ES"/>
        </w:rPr>
        <w:t xml:space="preserve">% de los encuestados afirma que el alcance de las actividades regionales cumple las expectativas existentes, al tiempo que sugiere que algunos miembros prevén ampliar o intensificar la participación. </w:t>
      </w:r>
    </w:p>
    <w:p w14:paraId="7D5F4B5D" w14:textId="77777777" w:rsidR="004E0DD2" w:rsidRPr="00F51009" w:rsidRDefault="004E0DD2" w:rsidP="005E0C22">
      <w:pPr>
        <w:tabs>
          <w:tab w:val="clear" w:pos="567"/>
          <w:tab w:val="clear" w:pos="1134"/>
          <w:tab w:val="clear" w:pos="1701"/>
          <w:tab w:val="clear" w:pos="2268"/>
          <w:tab w:val="clear" w:pos="2835"/>
        </w:tabs>
        <w:rPr>
          <w:rFonts w:asciiTheme="minorHAnsi" w:hAnsiTheme="minorHAnsi" w:cstheme="minorHAnsi"/>
          <w:lang w:val="es-ES"/>
        </w:rPr>
      </w:pPr>
      <w:r w:rsidRPr="00F51009">
        <w:rPr>
          <w:rFonts w:asciiTheme="minorHAnsi" w:hAnsiTheme="minorHAnsi" w:cstheme="minorHAnsi"/>
          <w:lang w:val="es-ES"/>
        </w:rPr>
        <w:t xml:space="preserve">La percepción globalmente positiva que se infiere de la encuesta a los miembros se ve reforzada por las entrevistas a las partes interesadas. En las conversaciones mantenidas con las ORT se ha destacado la satisfactoria contribución de las oficinas Regionales a la facilitación del diálogo, la prestación de apoyo a iniciativas regionales y la participación en mecanismos de coordinación regional. Los entrevistados describen la cooperación con las Oficinas Regionales como constructiva y receptiva, lo que confirma la percepción positiva que reflejan los resultados de la encuesta. </w:t>
      </w:r>
    </w:p>
    <w:p w14:paraId="4BDB3B6D" w14:textId="77777777" w:rsidR="004E0DD2" w:rsidRPr="00F51009" w:rsidRDefault="004E0DD2" w:rsidP="006B5B56">
      <w:pPr>
        <w:tabs>
          <w:tab w:val="clear" w:pos="567"/>
          <w:tab w:val="clear" w:pos="1134"/>
          <w:tab w:val="clear" w:pos="1701"/>
          <w:tab w:val="clear" w:pos="2268"/>
          <w:tab w:val="clear" w:pos="2835"/>
        </w:tabs>
        <w:rPr>
          <w:rFonts w:asciiTheme="minorHAnsi" w:hAnsiTheme="minorHAnsi" w:cstheme="minorHAnsi"/>
          <w:lang w:val="es-ES"/>
        </w:rPr>
      </w:pPr>
      <w:r w:rsidRPr="00F51009">
        <w:rPr>
          <w:rFonts w:asciiTheme="minorHAnsi" w:hAnsiTheme="minorHAnsi" w:cstheme="minorHAnsi"/>
          <w:lang w:val="es-ES"/>
        </w:rPr>
        <w:t xml:space="preserve">En conjunto, los resultados obtenidos revelan que una mayoría percibe la presencia regional como un componente valioso de la estructura operativa de la UIT, que contribuye a la visibilidad y la accesibilidad de la organización a escala regional. </w:t>
      </w:r>
    </w:p>
    <w:p w14:paraId="34839C31" w14:textId="77777777" w:rsidR="004E0DD2" w:rsidRPr="00F51009" w:rsidRDefault="004E0DD2" w:rsidP="006F7C0A">
      <w:pPr>
        <w:pStyle w:val="Heading3"/>
        <w:tabs>
          <w:tab w:val="clear" w:pos="567"/>
          <w:tab w:val="left" w:pos="851"/>
        </w:tabs>
        <w:ind w:left="993" w:hanging="993"/>
        <w:rPr>
          <w:lang w:val="es-ES"/>
        </w:rPr>
      </w:pPr>
      <w:r w:rsidRPr="00F51009">
        <w:rPr>
          <w:lang w:val="es-ES"/>
        </w:rPr>
        <w:t>5.1.2</w:t>
      </w:r>
      <w:r w:rsidRPr="00F51009">
        <w:rPr>
          <w:lang w:val="es-ES"/>
        </w:rPr>
        <w:tab/>
        <w:t>Firme colaboración con los Estados Miembros y las partes interesadas</w:t>
      </w:r>
    </w:p>
    <w:p w14:paraId="380BC43D" w14:textId="714B5114" w:rsidR="004E0DD2" w:rsidRPr="00F51009" w:rsidRDefault="004E0DD2" w:rsidP="005E0C22">
      <w:pPr>
        <w:tabs>
          <w:tab w:val="clear" w:pos="567"/>
          <w:tab w:val="clear" w:pos="1134"/>
          <w:tab w:val="clear" w:pos="1701"/>
          <w:tab w:val="clear" w:pos="2268"/>
          <w:tab w:val="clear" w:pos="2835"/>
        </w:tabs>
        <w:rPr>
          <w:rFonts w:asciiTheme="minorHAnsi" w:hAnsiTheme="minorHAnsi" w:cstheme="minorHAnsi"/>
          <w:lang w:val="es-ES"/>
        </w:rPr>
      </w:pPr>
      <w:r w:rsidRPr="00F51009">
        <w:rPr>
          <w:rFonts w:asciiTheme="minorHAnsi" w:hAnsiTheme="minorHAnsi" w:cstheme="minorBidi"/>
          <w:lang w:val="es-ES"/>
        </w:rPr>
        <w:t>Los datos evidencian la existencia de una relación de colaboración constante entre las Oficinas Regionales y los miembros de la UIT. La consulta revela niveles elevados, puesto que el 74</w:t>
      </w:r>
      <w:r w:rsidR="005E0C22">
        <w:rPr>
          <w:rFonts w:asciiTheme="minorHAnsi" w:hAnsiTheme="minorHAnsi" w:cstheme="minorBidi"/>
          <w:lang w:val="es-ES"/>
        </w:rPr>
        <w:t> </w:t>
      </w:r>
      <w:r w:rsidRPr="00F51009">
        <w:rPr>
          <w:rFonts w:asciiTheme="minorHAnsi" w:hAnsiTheme="minorHAnsi" w:cstheme="minorBidi"/>
          <w:lang w:val="es-ES"/>
        </w:rPr>
        <w:t xml:space="preserve">% de los encuestados indica haber interactuado con Oficinas Regionales o Zonales durante el período de referencia. Estas interacciones demuestran que las Oficinas Regionales ejercen la función de puntos de contacto activos entre la organización y sus miembros, apoyando el diálogo continuo y permitiendo a los Estados Miembros participar en las actividades e iniciativas de la UIT. </w:t>
      </w:r>
    </w:p>
    <w:p w14:paraId="36743A18" w14:textId="77777777" w:rsidR="004E0DD2" w:rsidRPr="00F51009" w:rsidRDefault="004E0DD2" w:rsidP="005E0C22">
      <w:pPr>
        <w:tabs>
          <w:tab w:val="clear" w:pos="567"/>
          <w:tab w:val="clear" w:pos="1134"/>
          <w:tab w:val="clear" w:pos="1701"/>
          <w:tab w:val="clear" w:pos="2268"/>
          <w:tab w:val="clear" w:pos="2835"/>
        </w:tabs>
        <w:rPr>
          <w:rFonts w:asciiTheme="minorHAnsi" w:hAnsiTheme="minorHAnsi" w:cstheme="minorHAnsi"/>
          <w:lang w:val="es-ES"/>
        </w:rPr>
      </w:pPr>
      <w:r w:rsidRPr="00F51009">
        <w:rPr>
          <w:rFonts w:asciiTheme="minorHAnsi" w:hAnsiTheme="minorHAnsi" w:cstheme="minorHAnsi"/>
          <w:lang w:val="es-ES"/>
        </w:rPr>
        <w:t xml:space="preserve">Las Oficinas Regionales también desempeñan un papel crucial a efectos de la colaboración con diversas organizaciones regionales y otros socios institucionales. De las entrevistas a las partes interesadas se infiere una interacción operativa frecuente entre las Oficinas Regionales y las organizaciones regionales de telecomunicaciones, incluida la participación en reuniones regionales y debates técnicos. Estas interacciones facilitan la armonización de las actividades de la UIT con los procesos políticos y los marcos institucionales regionales. </w:t>
      </w:r>
    </w:p>
    <w:p w14:paraId="23E56DB5" w14:textId="0B2AD6B2" w:rsidR="004E0DD2" w:rsidRPr="00F51009" w:rsidRDefault="004E0DD2" w:rsidP="005E0C22">
      <w:pPr>
        <w:rPr>
          <w:lang w:val="es-ES"/>
        </w:rPr>
      </w:pPr>
      <w:r w:rsidRPr="00F51009">
        <w:rPr>
          <w:lang w:val="es-ES"/>
        </w:rPr>
        <w:t>Los datos relativos a la participación ilustran con más detalle la amplitud de esta colaboración. Entre 2022 y 2025, la UIT organizó más de 1</w:t>
      </w:r>
      <w:r w:rsidR="005E0C22">
        <w:rPr>
          <w:lang w:val="es-ES"/>
        </w:rPr>
        <w:t> </w:t>
      </w:r>
      <w:r w:rsidRPr="00F51009">
        <w:rPr>
          <w:lang w:val="es-ES"/>
        </w:rPr>
        <w:t>000 eventos y más de 1</w:t>
      </w:r>
      <w:r w:rsidR="005E0C22">
        <w:rPr>
          <w:lang w:val="es-ES"/>
        </w:rPr>
        <w:t> </w:t>
      </w:r>
      <w:r w:rsidRPr="00F51009">
        <w:rPr>
          <w:lang w:val="es-ES"/>
        </w:rPr>
        <w:t xml:space="preserve">500 reuniones en más de 100 países anfitriones. En ellos participaron Estados Miembros, Miembros de Sector, instituciones académicas y organizaciones internacionales, hecho que denota un entorno de colaboración amplio y geográficamente diverso, favorecido por la presencia regional. </w:t>
      </w:r>
    </w:p>
    <w:p w14:paraId="33AE7B11" w14:textId="77777777" w:rsidR="004E0DD2" w:rsidRPr="00F51009" w:rsidRDefault="004E0DD2" w:rsidP="005E0C22">
      <w:pPr>
        <w:tabs>
          <w:tab w:val="clear" w:pos="567"/>
          <w:tab w:val="clear" w:pos="1134"/>
          <w:tab w:val="clear" w:pos="1701"/>
          <w:tab w:val="clear" w:pos="2268"/>
          <w:tab w:val="clear" w:pos="2835"/>
        </w:tabs>
        <w:rPr>
          <w:rFonts w:asciiTheme="minorHAnsi" w:hAnsiTheme="minorHAnsi" w:cstheme="minorBidi"/>
          <w:lang w:val="es-ES"/>
        </w:rPr>
      </w:pPr>
      <w:r w:rsidRPr="00F51009">
        <w:rPr>
          <w:rFonts w:asciiTheme="minorHAnsi" w:hAnsiTheme="minorHAnsi" w:cstheme="minorBidi"/>
          <w:lang w:val="es-ES"/>
        </w:rPr>
        <w:t xml:space="preserve">La participación en los eventos y actividades de la UIT puede calificarse como amplia desde un punto de vista geográfico y diversa desde un punto de vista institucional. Concretamente, entre 2022 y 2025, se registró la participación de 173 Estados Miembros y 124 120 participantes individuales. </w:t>
      </w:r>
    </w:p>
    <w:p w14:paraId="47B40B80" w14:textId="77777777" w:rsidR="004E0DD2" w:rsidRPr="00F51009" w:rsidRDefault="004E0DD2" w:rsidP="005E0C22">
      <w:pPr>
        <w:tabs>
          <w:tab w:val="clear" w:pos="567"/>
          <w:tab w:val="clear" w:pos="1134"/>
          <w:tab w:val="clear" w:pos="1701"/>
          <w:tab w:val="clear" w:pos="2268"/>
          <w:tab w:val="clear" w:pos="2835"/>
        </w:tabs>
        <w:rPr>
          <w:rFonts w:asciiTheme="minorHAnsi" w:hAnsiTheme="minorHAnsi" w:cstheme="minorBidi"/>
          <w:lang w:val="es-ES"/>
        </w:rPr>
      </w:pPr>
      <w:r w:rsidRPr="00F51009">
        <w:rPr>
          <w:rFonts w:asciiTheme="minorHAnsi" w:hAnsiTheme="minorHAnsi" w:cstheme="minorBidi"/>
          <w:lang w:val="es-ES"/>
        </w:rPr>
        <w:t xml:space="preserve">El hecho de que las becas se asignen con arreglo a los principios de transparencia, equidad y equilibrio de género favorece aún más una participación inclusiva. </w:t>
      </w:r>
    </w:p>
    <w:p w14:paraId="6129FC8C" w14:textId="77777777" w:rsidR="004E0DD2" w:rsidRPr="00F51009" w:rsidRDefault="004E0DD2" w:rsidP="006F7C0A">
      <w:pPr>
        <w:pStyle w:val="Heading3"/>
        <w:tabs>
          <w:tab w:val="clear" w:pos="567"/>
          <w:tab w:val="left" w:pos="851"/>
        </w:tabs>
        <w:ind w:left="993" w:hanging="993"/>
        <w:rPr>
          <w:lang w:val="es-ES"/>
        </w:rPr>
      </w:pPr>
      <w:r w:rsidRPr="00F51009">
        <w:rPr>
          <w:lang w:val="es-ES"/>
        </w:rPr>
        <w:t>5.1.3</w:t>
      </w:r>
      <w:r w:rsidRPr="00F51009">
        <w:rPr>
          <w:lang w:val="es-ES"/>
        </w:rPr>
        <w:tab/>
        <w:t>Difusión eficaz de información y conocimientos</w:t>
      </w:r>
    </w:p>
    <w:p w14:paraId="22CA78E7" w14:textId="5D0917A7" w:rsidR="004E0DD2" w:rsidRPr="00F51009" w:rsidRDefault="004E0DD2" w:rsidP="005E0C22">
      <w:pPr>
        <w:tabs>
          <w:tab w:val="clear" w:pos="567"/>
          <w:tab w:val="clear" w:pos="1134"/>
          <w:tab w:val="clear" w:pos="1701"/>
          <w:tab w:val="clear" w:pos="2268"/>
          <w:tab w:val="clear" w:pos="2835"/>
        </w:tabs>
        <w:rPr>
          <w:lang w:val="es-ES"/>
        </w:rPr>
      </w:pPr>
      <w:r w:rsidRPr="00F51009">
        <w:rPr>
          <w:lang w:val="es-ES"/>
        </w:rPr>
        <w:t>Una de las esferas en las que se han obtenido mejores resultados es la relacionada con la difusión de información y conocimientos. El 73</w:t>
      </w:r>
      <w:r w:rsidR="005E0C22">
        <w:rPr>
          <w:lang w:val="es-ES"/>
        </w:rPr>
        <w:t> </w:t>
      </w:r>
      <w:r w:rsidRPr="00F51009">
        <w:rPr>
          <w:lang w:val="es-ES"/>
        </w:rPr>
        <w:t>% de los encuestados está de acuerdo en que las Oficinas Regionales difunden eficazmente la información y los datos, y el 70</w:t>
      </w:r>
      <w:r w:rsidR="005E0C22">
        <w:rPr>
          <w:lang w:val="es-ES"/>
        </w:rPr>
        <w:t> </w:t>
      </w:r>
      <w:r w:rsidRPr="00F51009">
        <w:rPr>
          <w:lang w:val="es-ES"/>
        </w:rPr>
        <w:t xml:space="preserve">% considera que las plataformas tecnológicas se utilizan de forma eficiente para compartir información pertinente con las partes interesadas. </w:t>
      </w:r>
    </w:p>
    <w:p w14:paraId="4C8CFAED" w14:textId="77777777" w:rsidR="004E0DD2" w:rsidRPr="00F51009" w:rsidRDefault="004E0DD2" w:rsidP="005E0C22">
      <w:pPr>
        <w:tabs>
          <w:tab w:val="clear" w:pos="567"/>
          <w:tab w:val="clear" w:pos="1134"/>
          <w:tab w:val="clear" w:pos="1701"/>
          <w:tab w:val="clear" w:pos="2268"/>
          <w:tab w:val="clear" w:pos="2835"/>
        </w:tabs>
        <w:rPr>
          <w:lang w:val="es-ES"/>
        </w:rPr>
      </w:pPr>
      <w:r w:rsidRPr="00F51009">
        <w:rPr>
          <w:lang w:val="es-ES"/>
        </w:rPr>
        <w:t xml:space="preserve">Estos resultados apuntan a que las Oficinas Regionales desempeñan un papel importante a fin de garantizar que la información generada por la organización llegue a las partes interesadas nacionales y a los socios regionales. El uso de plataformas digitales y formatos de participación híbridos ha dotado a las Oficinas Regionales de una mayor capacidad para interactuar regularmente con miembros y partes interesadas en distintos contextos geográficos. </w:t>
      </w:r>
    </w:p>
    <w:p w14:paraId="57833B1A" w14:textId="77777777" w:rsidR="004E0DD2" w:rsidRPr="00F51009" w:rsidRDefault="004E0DD2" w:rsidP="005E0C22">
      <w:pPr>
        <w:tabs>
          <w:tab w:val="clear" w:pos="567"/>
          <w:tab w:val="clear" w:pos="1134"/>
          <w:tab w:val="clear" w:pos="1701"/>
          <w:tab w:val="clear" w:pos="2268"/>
          <w:tab w:val="clear" w:pos="2835"/>
        </w:tabs>
        <w:rPr>
          <w:lang w:val="es-ES"/>
        </w:rPr>
      </w:pPr>
      <w:r w:rsidRPr="00F51009">
        <w:rPr>
          <w:lang w:val="es-ES"/>
        </w:rPr>
        <w:t xml:space="preserve">La función de difusión contribuye asimismo al diálogo sobre políticas y al intercambio de conocimientos. Las Oficinas Regionales facilitan la celebración de debates sobre cuestiones normativas y de política, el intercambio de experiencias entre países y la divulgación de iniciativas mundiales de la UIT en contextos regionales. </w:t>
      </w:r>
    </w:p>
    <w:p w14:paraId="607F2897" w14:textId="77777777" w:rsidR="004E0DD2" w:rsidRPr="00F51009" w:rsidRDefault="004E0DD2" w:rsidP="006F7C0A">
      <w:pPr>
        <w:pStyle w:val="Heading3"/>
        <w:tabs>
          <w:tab w:val="clear" w:pos="567"/>
          <w:tab w:val="left" w:pos="851"/>
        </w:tabs>
        <w:ind w:left="993" w:hanging="993"/>
        <w:rPr>
          <w:lang w:val="es-ES"/>
        </w:rPr>
      </w:pPr>
      <w:r w:rsidRPr="00F51009">
        <w:rPr>
          <w:lang w:val="es-ES"/>
        </w:rPr>
        <w:t>5.1.4</w:t>
      </w:r>
      <w:r w:rsidRPr="00F51009">
        <w:rPr>
          <w:lang w:val="es-ES"/>
        </w:rPr>
        <w:tab/>
        <w:t>Notable contribución a la creación de conciencia y al desarrollo de capacidades</w:t>
      </w:r>
    </w:p>
    <w:p w14:paraId="09450206" w14:textId="03409064" w:rsidR="004E0DD2" w:rsidRPr="00F51009" w:rsidRDefault="004E0DD2" w:rsidP="005E0C22">
      <w:pPr>
        <w:tabs>
          <w:tab w:val="clear" w:pos="567"/>
          <w:tab w:val="clear" w:pos="1134"/>
          <w:tab w:val="clear" w:pos="1701"/>
          <w:tab w:val="clear" w:pos="2268"/>
          <w:tab w:val="clear" w:pos="2835"/>
        </w:tabs>
        <w:rPr>
          <w:rFonts w:asciiTheme="minorHAnsi" w:hAnsiTheme="minorHAnsi" w:cstheme="minorBidi"/>
          <w:spacing w:val="-2"/>
          <w:lang w:val="es-ES"/>
        </w:rPr>
      </w:pPr>
      <w:r w:rsidRPr="00F51009">
        <w:rPr>
          <w:rFonts w:asciiTheme="minorHAnsi" w:hAnsiTheme="minorHAnsi" w:cstheme="minorBidi"/>
          <w:spacing w:val="-2"/>
          <w:lang w:val="es-ES"/>
        </w:rPr>
        <w:t>La presencia regional también contribuye a la sensibilización, el desarrollo de competencias y la creación de capacidades entre los Estados Miembros. Según los resultados de la encuesta, el 67</w:t>
      </w:r>
      <w:r w:rsidR="005E0C22">
        <w:rPr>
          <w:rFonts w:asciiTheme="minorHAnsi" w:hAnsiTheme="minorHAnsi" w:cstheme="minorBidi"/>
          <w:spacing w:val="-2"/>
          <w:lang w:val="es-ES"/>
        </w:rPr>
        <w:t> </w:t>
      </w:r>
      <w:r w:rsidRPr="00F51009">
        <w:rPr>
          <w:rFonts w:asciiTheme="minorHAnsi" w:hAnsiTheme="minorHAnsi" w:cstheme="minorBidi"/>
          <w:spacing w:val="-2"/>
          <w:lang w:val="es-ES"/>
        </w:rPr>
        <w:t xml:space="preserve">% de los encuestados está de acuerdo en que las Oficinas Regionales contribuyen eficazmente a la sensibilización, el desarrollo de competencias y la creación de capacidades en las esferas pertinentes. </w:t>
      </w:r>
    </w:p>
    <w:p w14:paraId="376B5980" w14:textId="77777777" w:rsidR="004E0DD2" w:rsidRPr="00F51009" w:rsidRDefault="004E0DD2" w:rsidP="005E0C22">
      <w:pPr>
        <w:tabs>
          <w:tab w:val="clear" w:pos="567"/>
          <w:tab w:val="clear" w:pos="1134"/>
          <w:tab w:val="clear" w:pos="1701"/>
          <w:tab w:val="clear" w:pos="2268"/>
          <w:tab w:val="clear" w:pos="2835"/>
        </w:tabs>
        <w:rPr>
          <w:rFonts w:asciiTheme="minorHAnsi" w:hAnsiTheme="minorHAnsi" w:cstheme="minorBidi"/>
          <w:lang w:val="es-ES"/>
        </w:rPr>
      </w:pPr>
      <w:r w:rsidRPr="00F51009">
        <w:rPr>
          <w:rFonts w:asciiTheme="minorHAnsi" w:hAnsiTheme="minorHAnsi" w:cstheme="minorBidi"/>
          <w:lang w:val="es-ES"/>
        </w:rPr>
        <w:t xml:space="preserve">A tal efecto, se organizan talleres, eventos de formación y diálogos sobre políticas en todas las regiones. Las iniciativas encaminadas a la creación de capacidades facilitan la consolidación de los conocimientos técnicos nacionales, respaldan la aplicación de políticas de TIC y permiten a las partes interesadas participar de una forma más eficaz en los procesos de la UIT. </w:t>
      </w:r>
    </w:p>
    <w:p w14:paraId="2C555B9E" w14:textId="77777777" w:rsidR="004E0DD2" w:rsidRPr="00F51009" w:rsidRDefault="004E0DD2" w:rsidP="006B5B56">
      <w:pPr>
        <w:tabs>
          <w:tab w:val="clear" w:pos="567"/>
          <w:tab w:val="clear" w:pos="1134"/>
          <w:tab w:val="clear" w:pos="1701"/>
          <w:tab w:val="clear" w:pos="2268"/>
          <w:tab w:val="clear" w:pos="2835"/>
        </w:tabs>
        <w:rPr>
          <w:rFonts w:asciiTheme="minorHAnsi" w:hAnsiTheme="minorHAnsi" w:cstheme="minorBidi"/>
          <w:lang w:val="es-ES"/>
        </w:rPr>
      </w:pPr>
      <w:r w:rsidRPr="00F51009">
        <w:rPr>
          <w:rFonts w:asciiTheme="minorHAnsi" w:hAnsiTheme="minorHAnsi" w:cstheme="minorBidi"/>
          <w:lang w:val="es-ES"/>
        </w:rPr>
        <w:t xml:space="preserve">El papel de las Oficinas Regionales en materia de formación y facilitación del intercambio de conocimientos se complementa con la labor de otras plataformas de la UIT, entre ellas los programas de formación digital y las iniciativas de colaboración con diversos socios. </w:t>
      </w:r>
    </w:p>
    <w:p w14:paraId="61A88740" w14:textId="77777777" w:rsidR="004E0DD2" w:rsidRPr="00F51009" w:rsidRDefault="004E0DD2" w:rsidP="005E0C22">
      <w:pPr>
        <w:tabs>
          <w:tab w:val="clear" w:pos="567"/>
          <w:tab w:val="clear" w:pos="1134"/>
          <w:tab w:val="clear" w:pos="1701"/>
          <w:tab w:val="clear" w:pos="2268"/>
          <w:tab w:val="clear" w:pos="2835"/>
        </w:tabs>
        <w:rPr>
          <w:rFonts w:asciiTheme="minorHAnsi" w:hAnsiTheme="minorHAnsi" w:cstheme="minorBidi"/>
          <w:lang w:val="es-ES"/>
        </w:rPr>
      </w:pPr>
      <w:r w:rsidRPr="00F51009">
        <w:rPr>
          <w:rFonts w:asciiTheme="minorHAnsi" w:hAnsiTheme="minorHAnsi" w:cstheme="minorBidi"/>
          <w:lang w:val="es-ES"/>
        </w:rPr>
        <w:t>Las Oficinas Regionales facilitan el acceso a la formación de la Academia de la UIT:</w:t>
      </w:r>
    </w:p>
    <w:p w14:paraId="19598DB3" w14:textId="116A797B" w:rsidR="004E0DD2" w:rsidRPr="00F51009" w:rsidRDefault="004E0DD2" w:rsidP="006B5B56">
      <w:pPr>
        <w:pStyle w:val="enumlev1"/>
        <w:rPr>
          <w:lang w:val="es-ES"/>
        </w:rPr>
      </w:pPr>
      <w:r w:rsidRPr="00F51009">
        <w:rPr>
          <w:lang w:val="es-ES"/>
        </w:rPr>
        <w:t>–</w:t>
      </w:r>
      <w:r w:rsidRPr="00F51009">
        <w:rPr>
          <w:lang w:val="es-ES"/>
        </w:rPr>
        <w:tab/>
        <w:t>12</w:t>
      </w:r>
      <w:r w:rsidR="005E0C22">
        <w:rPr>
          <w:lang w:val="es-ES"/>
        </w:rPr>
        <w:t> </w:t>
      </w:r>
      <w:r w:rsidRPr="00F51009">
        <w:rPr>
          <w:lang w:val="es-ES"/>
        </w:rPr>
        <w:t>333 participantes asistieron a cursos de formación impartidos por instructores entre 2023 y 2025;</w:t>
      </w:r>
    </w:p>
    <w:p w14:paraId="1B9DD1A3" w14:textId="77777777" w:rsidR="004E0DD2" w:rsidRPr="00F51009" w:rsidRDefault="004E0DD2" w:rsidP="006B5B56">
      <w:pPr>
        <w:pStyle w:val="enumlev1"/>
        <w:rPr>
          <w:lang w:val="es-ES"/>
        </w:rPr>
      </w:pPr>
      <w:r w:rsidRPr="00F51009">
        <w:rPr>
          <w:lang w:val="es-ES"/>
        </w:rPr>
        <w:t>–</w:t>
      </w:r>
      <w:r w:rsidRPr="00F51009">
        <w:rPr>
          <w:lang w:val="es-ES"/>
        </w:rPr>
        <w:tab/>
        <w:t xml:space="preserve">se concibieron 79 cursos regionales, cuyo contenido se adecuó a las necesidades y los contextos regionales. </w:t>
      </w:r>
    </w:p>
    <w:p w14:paraId="10802A3E" w14:textId="77777777" w:rsidR="004E0DD2" w:rsidRPr="00F51009" w:rsidRDefault="004E0DD2" w:rsidP="006F7C0A">
      <w:pPr>
        <w:pStyle w:val="Heading3"/>
        <w:tabs>
          <w:tab w:val="clear" w:pos="567"/>
          <w:tab w:val="left" w:pos="851"/>
        </w:tabs>
        <w:ind w:left="993" w:hanging="993"/>
        <w:rPr>
          <w:lang w:val="es-ES"/>
        </w:rPr>
      </w:pPr>
      <w:r w:rsidRPr="00F51009">
        <w:rPr>
          <w:lang w:val="es-ES"/>
        </w:rPr>
        <w:t>5.1.5</w:t>
      </w:r>
      <w:r w:rsidRPr="00F51009">
        <w:rPr>
          <w:lang w:val="es-ES"/>
        </w:rPr>
        <w:tab/>
        <w:t>Plataformas de convocatoria para el diálogo regional dignas de confianza</w:t>
      </w:r>
    </w:p>
    <w:p w14:paraId="1FE13FB4" w14:textId="77777777" w:rsidR="004E0DD2" w:rsidRPr="00F51009" w:rsidRDefault="004E0DD2" w:rsidP="005E0C22">
      <w:pPr>
        <w:rPr>
          <w:lang w:val="es-ES"/>
        </w:rPr>
      </w:pPr>
      <w:r w:rsidRPr="00F51009">
        <w:rPr>
          <w:lang w:val="es-ES"/>
        </w:rPr>
        <w:t xml:space="preserve">Las Oficinas Regionales también ejercen las veces de plataformas de convocatoria dignas de confianza, que conectan a autoridades nacionales, organizaciones regionales y socios internacionales. Los datos obtenidos a partir de las entrevistas con las partes interesadas ponen de relieve la importancia de las Oficinas Regionales con miras a facilitar el diálogo entre las partes interesadas y apoyar la coordinación entre las iniciativas regionales y los procesos mundiales de la UIT. </w:t>
      </w:r>
    </w:p>
    <w:p w14:paraId="1F559231" w14:textId="77777777" w:rsidR="004E0DD2" w:rsidRPr="00F51009" w:rsidRDefault="004E0DD2" w:rsidP="005E0C22">
      <w:pPr>
        <w:tabs>
          <w:tab w:val="clear" w:pos="567"/>
          <w:tab w:val="clear" w:pos="1134"/>
          <w:tab w:val="clear" w:pos="1701"/>
          <w:tab w:val="clear" w:pos="2268"/>
          <w:tab w:val="clear" w:pos="2835"/>
        </w:tabs>
        <w:rPr>
          <w:rFonts w:asciiTheme="minorHAnsi" w:hAnsiTheme="minorHAnsi" w:cstheme="minorBidi"/>
          <w:lang w:val="es-ES"/>
        </w:rPr>
      </w:pPr>
      <w:r w:rsidRPr="00F51009">
        <w:rPr>
          <w:rFonts w:asciiTheme="minorHAnsi" w:hAnsiTheme="minorHAnsi" w:cstheme="minorBidi"/>
          <w:lang w:val="es-ES"/>
        </w:rPr>
        <w:t xml:space="preserve">Mediante su participación en reuniones regionales y debates técnicos, las Oficinas Regionales contribuyen al mantenimiento de un diálogo continuo con los Estados Miembros y las organizaciones regionales. Esta función de convocatoria favorece la armonización de las prioridades regionales con la evolución de las políticas mundiales de TIC e impulsa la visibilidad de la UIT en los marcos institucionales regionales. </w:t>
      </w:r>
    </w:p>
    <w:p w14:paraId="30D62550" w14:textId="77777777" w:rsidR="004E0DD2" w:rsidRPr="00F51009" w:rsidRDefault="004E0DD2" w:rsidP="005E0C22">
      <w:pPr>
        <w:tabs>
          <w:tab w:val="clear" w:pos="567"/>
          <w:tab w:val="clear" w:pos="1134"/>
          <w:tab w:val="clear" w:pos="1701"/>
          <w:tab w:val="clear" w:pos="2268"/>
          <w:tab w:val="clear" w:pos="2835"/>
        </w:tabs>
        <w:rPr>
          <w:rFonts w:asciiTheme="minorHAnsi" w:hAnsiTheme="minorHAnsi" w:cstheme="minorBidi"/>
          <w:lang w:val="es-ES"/>
        </w:rPr>
      </w:pPr>
      <w:r w:rsidRPr="00F51009">
        <w:rPr>
          <w:rFonts w:asciiTheme="minorHAnsi" w:hAnsiTheme="minorHAnsi" w:cstheme="minorBidi"/>
          <w:lang w:val="es-ES"/>
        </w:rPr>
        <w:t xml:space="preserve">La capacidad de las Oficinas Regionales para reunir a partes interesadas de diferentes sectores y entornos institucionales también contribuye a la creación de redes de colaboración en favor de las iniciativas regionales y el diálogo sobre políticas. </w:t>
      </w:r>
    </w:p>
    <w:p w14:paraId="22623ACB" w14:textId="77777777" w:rsidR="004E0DD2" w:rsidRPr="00F51009" w:rsidRDefault="004E0DD2" w:rsidP="006F7C0A">
      <w:pPr>
        <w:pStyle w:val="Heading3"/>
        <w:tabs>
          <w:tab w:val="clear" w:pos="567"/>
          <w:tab w:val="left" w:pos="851"/>
        </w:tabs>
        <w:ind w:left="993" w:hanging="993"/>
        <w:rPr>
          <w:lang w:val="es-ES"/>
        </w:rPr>
      </w:pPr>
      <w:r w:rsidRPr="00F51009">
        <w:rPr>
          <w:lang w:val="es-ES"/>
        </w:rPr>
        <w:t>5.1.6</w:t>
      </w:r>
      <w:r w:rsidRPr="00F51009">
        <w:rPr>
          <w:lang w:val="es-ES"/>
        </w:rPr>
        <w:tab/>
        <w:t>Sólida base para una ejecución basada en la asociación</w:t>
      </w:r>
    </w:p>
    <w:p w14:paraId="2D763139" w14:textId="42850E40" w:rsidR="004E0DD2" w:rsidRPr="00F51009" w:rsidRDefault="004E0DD2" w:rsidP="005E0C22">
      <w:pPr>
        <w:tabs>
          <w:tab w:val="clear" w:pos="567"/>
          <w:tab w:val="clear" w:pos="1134"/>
          <w:tab w:val="clear" w:pos="1701"/>
          <w:tab w:val="clear" w:pos="2268"/>
          <w:tab w:val="clear" w:pos="2835"/>
        </w:tabs>
        <w:rPr>
          <w:rFonts w:asciiTheme="minorHAnsi" w:hAnsiTheme="minorHAnsi" w:cstheme="minorBidi"/>
          <w:lang w:val="es-ES"/>
        </w:rPr>
      </w:pPr>
      <w:r w:rsidRPr="00F51009">
        <w:rPr>
          <w:rFonts w:asciiTheme="minorHAnsi" w:hAnsiTheme="minorHAnsi" w:cstheme="minorBidi"/>
          <w:lang w:val="es-ES"/>
        </w:rPr>
        <w:t>Los datos también ponen de relieve la existencia de una base sólida para la colaboración y la ejecución de iniciativas de la UIT en marcos de asociación. De las respuestas a la encuesta se colige que la gran mayoría de las entidades miembros (en concreto, un 82</w:t>
      </w:r>
      <w:r w:rsidR="005E0C22">
        <w:rPr>
          <w:rFonts w:asciiTheme="minorHAnsi" w:hAnsiTheme="minorHAnsi" w:cstheme="minorBidi"/>
          <w:lang w:val="es-ES"/>
        </w:rPr>
        <w:t> </w:t>
      </w:r>
      <w:r w:rsidRPr="00F51009">
        <w:rPr>
          <w:rFonts w:asciiTheme="minorHAnsi" w:hAnsiTheme="minorHAnsi" w:cstheme="minorBidi"/>
          <w:lang w:val="es-ES"/>
        </w:rPr>
        <w:t>%) están dispuestas a colaborar con las Oficinas Regionales y Zonales, mientras que un 60</w:t>
      </w:r>
      <w:r w:rsidR="005E0C22">
        <w:rPr>
          <w:rFonts w:asciiTheme="minorHAnsi" w:hAnsiTheme="minorHAnsi" w:cstheme="minorBidi"/>
          <w:lang w:val="es-ES"/>
        </w:rPr>
        <w:t> </w:t>
      </w:r>
      <w:r w:rsidRPr="00F51009">
        <w:rPr>
          <w:rFonts w:asciiTheme="minorHAnsi" w:hAnsiTheme="minorHAnsi" w:cstheme="minorBidi"/>
          <w:lang w:val="es-ES"/>
        </w:rPr>
        <w:t xml:space="preserve">% de los encuestados apoya la colaboración con socios. </w:t>
      </w:r>
    </w:p>
    <w:p w14:paraId="2A4B2961" w14:textId="77777777" w:rsidR="004E0DD2" w:rsidRPr="00F51009" w:rsidRDefault="004E0DD2" w:rsidP="005E0C22">
      <w:pPr>
        <w:tabs>
          <w:tab w:val="clear" w:pos="567"/>
          <w:tab w:val="clear" w:pos="1134"/>
          <w:tab w:val="clear" w:pos="1701"/>
          <w:tab w:val="clear" w:pos="2268"/>
          <w:tab w:val="clear" w:pos="2835"/>
        </w:tabs>
        <w:rPr>
          <w:rFonts w:asciiTheme="minorHAnsi" w:hAnsiTheme="minorHAnsi" w:cstheme="minorBidi"/>
          <w:lang w:val="es-ES"/>
        </w:rPr>
      </w:pPr>
      <w:r w:rsidRPr="00F51009">
        <w:rPr>
          <w:rFonts w:asciiTheme="minorHAnsi" w:hAnsiTheme="minorHAnsi" w:cstheme="minorBidi"/>
          <w:lang w:val="es-ES"/>
        </w:rPr>
        <w:t xml:space="preserve">Estos resultados sugieren que la presencia regional se inscribe en un entorno de colaboración favorable al desarrollo de iniciativas conjuntas y actividades coordinadas. La colaboración con organizaciones regionales, socios para el desarrollo y otras partes interesadas brinda diversas oportunidades para la puesta en marcha de proyectos y programas que obren en favor de los objetivos regionales de desarrollo de las TIC. </w:t>
      </w:r>
    </w:p>
    <w:p w14:paraId="207F47A1" w14:textId="77777777" w:rsidR="004E0DD2" w:rsidRPr="00F51009" w:rsidRDefault="004E0DD2" w:rsidP="005E0C22">
      <w:pPr>
        <w:tabs>
          <w:tab w:val="clear" w:pos="567"/>
          <w:tab w:val="clear" w:pos="1134"/>
          <w:tab w:val="clear" w:pos="1701"/>
          <w:tab w:val="clear" w:pos="2268"/>
          <w:tab w:val="clear" w:pos="2835"/>
        </w:tabs>
        <w:rPr>
          <w:rFonts w:asciiTheme="minorHAnsi" w:hAnsiTheme="minorHAnsi" w:cstheme="minorBidi"/>
          <w:lang w:val="es-ES"/>
        </w:rPr>
      </w:pPr>
      <w:r w:rsidRPr="00F51009">
        <w:rPr>
          <w:rFonts w:asciiTheme="minorHAnsi" w:hAnsiTheme="minorHAnsi" w:cstheme="minorBidi"/>
          <w:lang w:val="es-ES"/>
        </w:rPr>
        <w:t xml:space="preserve">Las asociaciones están estrechamente vinculadas a la realización de proyectos y la movilización de recursos. Los datos obtenidos a partir de los análisis del plan de trabajo y los IFR indican que las Oficinas Regionales desempeñan un papel activo en la ejecución de iniciativas regionales y proyectos de desarrollo respaldados por diferentes mecanismos de financiación. </w:t>
      </w:r>
    </w:p>
    <w:p w14:paraId="4DEBB9B7" w14:textId="77777777" w:rsidR="004E0DD2" w:rsidRPr="00F51009" w:rsidRDefault="004E0DD2" w:rsidP="005E0C22">
      <w:pPr>
        <w:tabs>
          <w:tab w:val="clear" w:pos="567"/>
          <w:tab w:val="clear" w:pos="1134"/>
          <w:tab w:val="clear" w:pos="1701"/>
          <w:tab w:val="clear" w:pos="2268"/>
          <w:tab w:val="clear" w:pos="2835"/>
        </w:tabs>
        <w:rPr>
          <w:rFonts w:asciiTheme="minorHAnsi" w:hAnsiTheme="minorHAnsi" w:cstheme="minorBidi"/>
          <w:lang w:val="es-ES"/>
        </w:rPr>
      </w:pPr>
      <w:r w:rsidRPr="00F51009">
        <w:rPr>
          <w:rFonts w:asciiTheme="minorHAnsi" w:hAnsiTheme="minorHAnsi" w:cstheme="minorBidi"/>
          <w:lang w:val="es-ES"/>
        </w:rPr>
        <w:t xml:space="preserve">En general, al combinar una amplia participación de miembros, una difusión eficaz de conocimientos y una colaboración activa con diversas partes interesadas regionales, la presencia regional puede proporcionar una plataforma operativa sólida para la ejecución de las actividades de la UIT en el plano regional. </w:t>
      </w:r>
    </w:p>
    <w:p w14:paraId="67406D3B" w14:textId="77777777" w:rsidR="004E0DD2" w:rsidRPr="00F51009" w:rsidRDefault="004E0DD2" w:rsidP="005E0C22">
      <w:pPr>
        <w:pStyle w:val="Heading3"/>
        <w:tabs>
          <w:tab w:val="clear" w:pos="567"/>
          <w:tab w:val="left" w:pos="851"/>
        </w:tabs>
        <w:ind w:left="851" w:hanging="851"/>
        <w:rPr>
          <w:lang w:val="es-ES"/>
        </w:rPr>
      </w:pPr>
      <w:r w:rsidRPr="00F51009">
        <w:rPr>
          <w:lang w:val="es-ES"/>
        </w:rPr>
        <w:t>5.1.7</w:t>
      </w:r>
      <w:r w:rsidRPr="00F51009">
        <w:rPr>
          <w:lang w:val="es-ES"/>
        </w:rPr>
        <w:tab/>
        <w:t>Presencia regional y ejecución de los planes de la UIT (Plan Estratégico y Plan de Acción de Kigali)</w:t>
      </w:r>
    </w:p>
    <w:p w14:paraId="2DAB62C7" w14:textId="77777777" w:rsidR="004E0DD2" w:rsidRPr="00F51009" w:rsidRDefault="004E0DD2" w:rsidP="005E0C22">
      <w:pPr>
        <w:tabs>
          <w:tab w:val="clear" w:pos="567"/>
          <w:tab w:val="clear" w:pos="1134"/>
          <w:tab w:val="clear" w:pos="1701"/>
          <w:tab w:val="clear" w:pos="2268"/>
          <w:tab w:val="clear" w:pos="2835"/>
        </w:tabs>
        <w:rPr>
          <w:lang w:val="es-ES"/>
        </w:rPr>
      </w:pPr>
      <w:r w:rsidRPr="00F51009">
        <w:rPr>
          <w:lang w:val="es-ES"/>
        </w:rPr>
        <w:t xml:space="preserve">La presencia regional es fundamental para la ejecución del Plan Estratégico y del Plan de Acción de Kigali. Las Oficinas Regionales y Zonales conforman una red medular fundamental para la ejecución de los programas, las iniciativas regionales y las actividades de creación de capacidades de la UIT. </w:t>
      </w:r>
    </w:p>
    <w:p w14:paraId="22F926D0" w14:textId="77777777" w:rsidR="004E0DD2" w:rsidRPr="00F51009" w:rsidRDefault="004E0DD2" w:rsidP="00D21030">
      <w:pPr>
        <w:tabs>
          <w:tab w:val="clear" w:pos="567"/>
          <w:tab w:val="clear" w:pos="1134"/>
          <w:tab w:val="clear" w:pos="1701"/>
          <w:tab w:val="clear" w:pos="2268"/>
          <w:tab w:val="clear" w:pos="2835"/>
        </w:tabs>
        <w:rPr>
          <w:lang w:val="es-ES"/>
        </w:rPr>
      </w:pPr>
      <w:r w:rsidRPr="00F51009">
        <w:rPr>
          <w:lang w:val="es-ES"/>
        </w:rPr>
        <w:t xml:space="preserve">Estas oficinas brindan asistencia técnica y apoyo a proyectos, diálogos sobre políticas y eventos regionales, en consonancia con los marcos estratégico y financiero de la UIT. </w:t>
      </w:r>
    </w:p>
    <w:p w14:paraId="4B52CE15" w14:textId="69C916A2" w:rsidR="004E0DD2" w:rsidRPr="00F51009" w:rsidRDefault="004E0DD2" w:rsidP="005E0C22">
      <w:pPr>
        <w:tabs>
          <w:tab w:val="clear" w:pos="567"/>
          <w:tab w:val="clear" w:pos="1134"/>
          <w:tab w:val="clear" w:pos="1701"/>
          <w:tab w:val="clear" w:pos="2268"/>
          <w:tab w:val="clear" w:pos="2835"/>
        </w:tabs>
        <w:rPr>
          <w:lang w:val="es-ES"/>
        </w:rPr>
      </w:pPr>
      <w:r w:rsidRPr="00F51009">
        <w:rPr>
          <w:lang w:val="es-ES"/>
        </w:rPr>
        <w:t>Los eventos regionales representan el 36</w:t>
      </w:r>
      <w:r w:rsidR="005E0C22">
        <w:rPr>
          <w:lang w:val="es-ES"/>
        </w:rPr>
        <w:t> </w:t>
      </w:r>
      <w:r w:rsidRPr="00F51009">
        <w:rPr>
          <w:lang w:val="es-ES"/>
        </w:rPr>
        <w:t>% de todos los eventos mundiales de la UIT (2022</w:t>
      </w:r>
      <w:r w:rsidR="005E0C22">
        <w:rPr>
          <w:lang w:val="es-ES"/>
        </w:rPr>
        <w:noBreakHyphen/>
      </w:r>
      <w:r w:rsidRPr="00F51009">
        <w:rPr>
          <w:lang w:val="es-ES"/>
        </w:rPr>
        <w:t xml:space="preserve">2025), dato que demuestra la importante contribución que aportan a la prestación mundial. </w:t>
      </w:r>
    </w:p>
    <w:p w14:paraId="42B8D146" w14:textId="6E49BB7F" w:rsidR="004E0DD2" w:rsidRPr="00F51009" w:rsidRDefault="004E0DD2" w:rsidP="006F7C0A">
      <w:pPr>
        <w:pStyle w:val="Heading3"/>
        <w:tabs>
          <w:tab w:val="clear" w:pos="567"/>
          <w:tab w:val="left" w:pos="851"/>
        </w:tabs>
        <w:ind w:left="993" w:hanging="993"/>
        <w:rPr>
          <w:lang w:val="es-ES"/>
        </w:rPr>
      </w:pPr>
      <w:r w:rsidRPr="00F51009">
        <w:rPr>
          <w:lang w:val="es-ES"/>
        </w:rPr>
        <w:t>5.1.8</w:t>
      </w:r>
      <w:r w:rsidR="005E0C22">
        <w:rPr>
          <w:lang w:val="es-ES"/>
        </w:rPr>
        <w:tab/>
      </w:r>
      <w:r w:rsidRPr="00F51009">
        <w:rPr>
          <w:lang w:val="es-ES"/>
        </w:rPr>
        <w:t>Reconocimiento interno positivo del valor regional</w:t>
      </w:r>
    </w:p>
    <w:p w14:paraId="47413582" w14:textId="77777777" w:rsidR="004E0DD2" w:rsidRPr="00F51009" w:rsidRDefault="004E0DD2" w:rsidP="00D21030">
      <w:pPr>
        <w:tabs>
          <w:tab w:val="clear" w:pos="567"/>
          <w:tab w:val="clear" w:pos="1134"/>
          <w:tab w:val="clear" w:pos="1701"/>
          <w:tab w:val="clear" w:pos="2268"/>
          <w:tab w:val="clear" w:pos="2835"/>
        </w:tabs>
        <w:rPr>
          <w:rFonts w:asciiTheme="minorHAnsi" w:hAnsiTheme="minorHAnsi" w:cstheme="minorBidi"/>
          <w:lang w:val="es-ES"/>
        </w:rPr>
      </w:pPr>
      <w:r w:rsidRPr="00F51009">
        <w:rPr>
          <w:rFonts w:asciiTheme="minorHAnsi" w:hAnsiTheme="minorHAnsi" w:cstheme="minorBidi"/>
          <w:lang w:val="es-ES"/>
        </w:rPr>
        <w:t>Los miembros del personal que respondieron a la encuesta y expresaron su opinión reconocieron la contribución que aportaba la presencia regional:</w:t>
      </w:r>
    </w:p>
    <w:p w14:paraId="2BAE9638" w14:textId="69A62E0B" w:rsidR="004E0DD2" w:rsidRPr="00F51009" w:rsidRDefault="004E0DD2" w:rsidP="00D21030">
      <w:pPr>
        <w:pStyle w:val="enumlev1"/>
        <w:rPr>
          <w:lang w:val="es-ES"/>
        </w:rPr>
      </w:pPr>
      <w:r w:rsidRPr="00F51009">
        <w:rPr>
          <w:lang w:val="es-ES"/>
        </w:rPr>
        <w:t>–</w:t>
      </w:r>
      <w:r w:rsidRPr="00F51009">
        <w:rPr>
          <w:lang w:val="es-ES"/>
        </w:rPr>
        <w:tab/>
        <w:t>Entre un 81 y un 82</w:t>
      </w:r>
      <w:r w:rsidR="00D21030">
        <w:rPr>
          <w:lang w:val="es-ES"/>
        </w:rPr>
        <w:t> </w:t>
      </w:r>
      <w:r w:rsidRPr="00F51009">
        <w:rPr>
          <w:lang w:val="es-ES"/>
        </w:rPr>
        <w:t>% considera que la participación de miembros del personal regional en eventos de la UIT mejora la coordinación y la comunicación.</w:t>
      </w:r>
    </w:p>
    <w:p w14:paraId="63C59B96" w14:textId="77777777" w:rsidR="004E0DD2" w:rsidRPr="00F51009" w:rsidRDefault="004E0DD2" w:rsidP="00D21030">
      <w:pPr>
        <w:pStyle w:val="enumlev1"/>
        <w:rPr>
          <w:lang w:val="es-ES"/>
        </w:rPr>
      </w:pPr>
      <w:r w:rsidRPr="00F51009">
        <w:rPr>
          <w:lang w:val="es-ES"/>
        </w:rPr>
        <w:t>–</w:t>
      </w:r>
      <w:r w:rsidRPr="00F51009">
        <w:rPr>
          <w:lang w:val="es-ES"/>
        </w:rPr>
        <w:tab/>
        <w:t xml:space="preserve">Se apoya firmemente la mejora de la formación, la movilidad y la capacidad para reforzar aún más la prestación de servicios a escala regional. </w:t>
      </w:r>
    </w:p>
    <w:p w14:paraId="2EEEC101" w14:textId="77777777" w:rsidR="004E0DD2" w:rsidRPr="00F51009" w:rsidRDefault="004E0DD2" w:rsidP="004E0DD2">
      <w:pPr>
        <w:pStyle w:val="Heading2"/>
        <w:rPr>
          <w:lang w:val="es-ES"/>
        </w:rPr>
      </w:pPr>
      <w:r w:rsidRPr="00F51009">
        <w:rPr>
          <w:lang w:val="es-ES"/>
        </w:rPr>
        <w:t>5.2</w:t>
      </w:r>
      <w:r w:rsidRPr="00F51009">
        <w:rPr>
          <w:lang w:val="es-ES"/>
        </w:rPr>
        <w:tab/>
        <w:t xml:space="preserve">Ámbitos de mejora </w:t>
      </w:r>
    </w:p>
    <w:p w14:paraId="186F1257" w14:textId="77777777" w:rsidR="004E0DD2" w:rsidRPr="00F51009" w:rsidRDefault="004E0DD2" w:rsidP="006F7C0A">
      <w:pPr>
        <w:pStyle w:val="Heading3"/>
        <w:tabs>
          <w:tab w:val="clear" w:pos="567"/>
          <w:tab w:val="left" w:pos="851"/>
        </w:tabs>
        <w:ind w:left="993" w:hanging="993"/>
        <w:rPr>
          <w:lang w:val="es-ES"/>
        </w:rPr>
      </w:pPr>
      <w:r w:rsidRPr="00F51009">
        <w:rPr>
          <w:lang w:val="es-ES"/>
        </w:rPr>
        <w:t>5.2.1</w:t>
      </w:r>
      <w:r w:rsidRPr="00F51009">
        <w:rPr>
          <w:lang w:val="es-ES"/>
        </w:rPr>
        <w:tab/>
        <w:t xml:space="preserve">Adecuación de los recursos a las expectativas </w:t>
      </w:r>
      <w:r w:rsidRPr="00F51009">
        <w:rPr>
          <w:rFonts w:asciiTheme="minorHAnsi" w:hAnsiTheme="minorHAnsi" w:cstheme="minorBidi"/>
          <w:lang w:val="es-ES"/>
        </w:rPr>
        <w:t>operativas</w:t>
      </w:r>
    </w:p>
    <w:p w14:paraId="781F5850" w14:textId="77777777" w:rsidR="004E0DD2" w:rsidRPr="00F51009" w:rsidRDefault="004E0DD2" w:rsidP="00D21030">
      <w:pPr>
        <w:tabs>
          <w:tab w:val="clear" w:pos="567"/>
          <w:tab w:val="clear" w:pos="1134"/>
          <w:tab w:val="clear" w:pos="1701"/>
          <w:tab w:val="clear" w:pos="2268"/>
          <w:tab w:val="clear" w:pos="2835"/>
        </w:tabs>
        <w:rPr>
          <w:rFonts w:asciiTheme="minorHAnsi" w:hAnsiTheme="minorHAnsi" w:cstheme="minorBidi"/>
          <w:lang w:val="es-ES"/>
        </w:rPr>
      </w:pPr>
      <w:r w:rsidRPr="00F51009">
        <w:rPr>
          <w:rFonts w:asciiTheme="minorHAnsi" w:hAnsiTheme="minorHAnsi" w:cstheme="minorBidi"/>
          <w:lang w:val="es-ES"/>
        </w:rPr>
        <w:t xml:space="preserve">Aunque la presencia regional goza de una valoración positiva en términos generales, los datos sugieren que la magnitud de las expectativas operativas depositadas en las Oficinas Regionales podría exceder los recursos disponibles en algunos contextos. Las respuestas a la encuesta y las observaciones formuladas por las partes interesadas revelan un firme apoyo al refuerzo de la presencia regional, incluso mediante el incremento de los recursos humanos y financieros disponibles y la ampliación de las actividades vinculadas a los proyectos. </w:t>
      </w:r>
    </w:p>
    <w:p w14:paraId="658BE48E" w14:textId="77777777" w:rsidR="004E0DD2" w:rsidRPr="00F51009" w:rsidRDefault="004E0DD2" w:rsidP="00D21030">
      <w:pPr>
        <w:tabs>
          <w:tab w:val="clear" w:pos="567"/>
          <w:tab w:val="clear" w:pos="1134"/>
          <w:tab w:val="clear" w:pos="1701"/>
          <w:tab w:val="clear" w:pos="2268"/>
          <w:tab w:val="clear" w:pos="2835"/>
        </w:tabs>
        <w:rPr>
          <w:rFonts w:asciiTheme="minorHAnsi" w:hAnsiTheme="minorHAnsi" w:cstheme="minorBidi"/>
          <w:lang w:val="es-ES"/>
        </w:rPr>
      </w:pPr>
      <w:r w:rsidRPr="00F51009">
        <w:rPr>
          <w:rFonts w:asciiTheme="minorHAnsi" w:hAnsiTheme="minorHAnsi" w:cstheme="minorBidi"/>
          <w:lang w:val="es-ES"/>
        </w:rPr>
        <w:t xml:space="preserve">La disponibilidad de recursos influye en el ritmo y la escala de ejecución de las iniciativas y los proyectos regionales. Las partes interesadas consideran que la existencia de mecanismos de financiación predecibles y niveles de dotación de personal suficientes son factores habilitadores importantes para una ejecución eficaz de las actividades regionales. </w:t>
      </w:r>
    </w:p>
    <w:p w14:paraId="42CC0037" w14:textId="77777777" w:rsidR="004E0DD2" w:rsidRPr="00F51009" w:rsidRDefault="004E0DD2" w:rsidP="00D21030">
      <w:pPr>
        <w:tabs>
          <w:tab w:val="clear" w:pos="567"/>
          <w:tab w:val="clear" w:pos="1134"/>
          <w:tab w:val="clear" w:pos="1701"/>
          <w:tab w:val="clear" w:pos="2268"/>
          <w:tab w:val="clear" w:pos="2835"/>
        </w:tabs>
        <w:rPr>
          <w:rFonts w:asciiTheme="minorHAnsi" w:hAnsiTheme="minorHAnsi" w:cstheme="minorBidi"/>
          <w:lang w:val="es-ES"/>
        </w:rPr>
      </w:pPr>
      <w:r w:rsidRPr="00F51009">
        <w:rPr>
          <w:rFonts w:asciiTheme="minorHAnsi" w:hAnsiTheme="minorHAnsi" w:cstheme="minorBidi"/>
          <w:lang w:val="es-ES"/>
        </w:rPr>
        <w:t>La encuesta también ha revelado un sólido apoyo al aumento de la presencia física de todas las Oficinas en las regiones.</w:t>
      </w:r>
    </w:p>
    <w:p w14:paraId="273115A6" w14:textId="77777777" w:rsidR="004E0DD2" w:rsidRPr="00F51009" w:rsidRDefault="004E0DD2" w:rsidP="006F7C0A">
      <w:pPr>
        <w:pStyle w:val="Heading3"/>
        <w:tabs>
          <w:tab w:val="clear" w:pos="567"/>
          <w:tab w:val="left" w:pos="851"/>
        </w:tabs>
        <w:ind w:left="993" w:hanging="993"/>
        <w:rPr>
          <w:lang w:val="es-ES"/>
        </w:rPr>
      </w:pPr>
      <w:r w:rsidRPr="00F51009">
        <w:rPr>
          <w:lang w:val="es-ES"/>
        </w:rPr>
        <w:t>5.2.2</w:t>
      </w:r>
      <w:r w:rsidRPr="00F51009">
        <w:rPr>
          <w:lang w:val="es-ES"/>
        </w:rPr>
        <w:tab/>
        <w:t>Fortalecimiento de los procesos de contratación y la continuidad del personal</w:t>
      </w:r>
    </w:p>
    <w:p w14:paraId="211848B7" w14:textId="77777777" w:rsidR="004E0DD2" w:rsidRPr="00F51009" w:rsidRDefault="004E0DD2" w:rsidP="00D21030">
      <w:pPr>
        <w:tabs>
          <w:tab w:val="clear" w:pos="567"/>
          <w:tab w:val="clear" w:pos="1134"/>
          <w:tab w:val="clear" w:pos="1701"/>
          <w:tab w:val="clear" w:pos="2268"/>
          <w:tab w:val="clear" w:pos="2835"/>
        </w:tabs>
        <w:rPr>
          <w:rFonts w:asciiTheme="minorHAnsi" w:hAnsiTheme="minorHAnsi" w:cstheme="minorBidi"/>
          <w:lang w:val="es-ES"/>
        </w:rPr>
      </w:pPr>
      <w:r w:rsidRPr="00F51009">
        <w:rPr>
          <w:rFonts w:asciiTheme="minorHAnsi" w:hAnsiTheme="minorHAnsi" w:cstheme="minorBidi"/>
          <w:lang w:val="es-ES"/>
        </w:rPr>
        <w:t xml:space="preserve">Los procesos de contratación para puestos regionales también se perfilan como un ámbito en el que la introducción de mejoras podría potenciar la capacidad operativa. Los análisis de los IFR han permitido identificar vacantes recurrentes y plazos de contratación que podrían incidir en la capacidad de las Oficinas Regionales para movilizar conocimientos técnicos de manera oportuna. </w:t>
      </w:r>
    </w:p>
    <w:p w14:paraId="3BAA4BEE" w14:textId="27413949" w:rsidR="004E0DD2" w:rsidRPr="00F51009" w:rsidRDefault="004E0DD2" w:rsidP="00D21030">
      <w:pPr>
        <w:tabs>
          <w:tab w:val="clear" w:pos="567"/>
          <w:tab w:val="clear" w:pos="1134"/>
          <w:tab w:val="clear" w:pos="1701"/>
          <w:tab w:val="clear" w:pos="2268"/>
          <w:tab w:val="clear" w:pos="2835"/>
        </w:tabs>
        <w:rPr>
          <w:rFonts w:asciiTheme="minorHAnsi" w:hAnsiTheme="minorHAnsi" w:cstheme="minorBidi"/>
          <w:lang w:val="es-ES"/>
        </w:rPr>
      </w:pPr>
      <w:r w:rsidRPr="00F51009">
        <w:rPr>
          <w:rFonts w:asciiTheme="minorHAnsi" w:hAnsiTheme="minorHAnsi" w:cstheme="minorBidi"/>
          <w:lang w:val="es-ES"/>
        </w:rPr>
        <w:t xml:space="preserve">Del mismo modo, las respuestas a la encuesta sugieren un nivel de satisfacción moderado con respecto a los procesos de contratación de gestores de proyectos y expertos técnicos, lo que indica que existe un cierto margen para mejorar las herramientas de contratación y los mecanismos de movilidad del personal. Al incrementar la eficiencia de los procesos de contratación, se podría contribuir al mantenimiento de un nivel adecuado de conocimientos técnicos en las Oficinas Regionales para responder a las demandas operativas. </w:t>
      </w:r>
    </w:p>
    <w:p w14:paraId="0F2FACD3" w14:textId="77777777" w:rsidR="004E0DD2" w:rsidRPr="00F51009" w:rsidRDefault="004E0DD2" w:rsidP="006F7C0A">
      <w:pPr>
        <w:pStyle w:val="Heading3"/>
        <w:tabs>
          <w:tab w:val="clear" w:pos="567"/>
          <w:tab w:val="left" w:pos="851"/>
        </w:tabs>
        <w:ind w:left="993" w:hanging="993"/>
        <w:rPr>
          <w:lang w:val="es-ES"/>
        </w:rPr>
      </w:pPr>
      <w:r w:rsidRPr="00F51009">
        <w:rPr>
          <w:lang w:val="es-ES"/>
        </w:rPr>
        <w:t>5.2.3</w:t>
      </w:r>
      <w:r w:rsidRPr="00F51009">
        <w:rPr>
          <w:lang w:val="es-ES"/>
        </w:rPr>
        <w:tab/>
        <w:t>Mejora del funcionamiento de las asociaciones y la movilización de recursos</w:t>
      </w:r>
    </w:p>
    <w:p w14:paraId="3305D972" w14:textId="77777777" w:rsidR="004E0DD2" w:rsidRPr="00F51009" w:rsidRDefault="004E0DD2" w:rsidP="00D21030">
      <w:pPr>
        <w:tabs>
          <w:tab w:val="clear" w:pos="567"/>
          <w:tab w:val="clear" w:pos="1134"/>
          <w:tab w:val="clear" w:pos="1701"/>
          <w:tab w:val="clear" w:pos="2268"/>
          <w:tab w:val="clear" w:pos="2835"/>
        </w:tabs>
        <w:rPr>
          <w:lang w:val="es-ES"/>
        </w:rPr>
      </w:pPr>
      <w:r w:rsidRPr="00F51009">
        <w:rPr>
          <w:lang w:val="es-ES"/>
        </w:rPr>
        <w:t xml:space="preserve">Aunque, en general, se reconoce que las asociaciones y la colaboración son componentes valiosos de la presencia regional, los encuestados valoraron de una forma más moderada la eficacia de las asociaciones y el apoyo a la movilización de recursos. Los niveles de acuerdo en este ámbito siguen siendo positivos, aunque inferiores a los de otras funciones auxiliares, lo que sugiere la existencia de un margen para fortalecer aún más los mecanismos de colaboración y los procesos de desarrollo de proyectos. </w:t>
      </w:r>
    </w:p>
    <w:p w14:paraId="0273A623" w14:textId="77777777" w:rsidR="004E0DD2" w:rsidRPr="00F51009" w:rsidRDefault="004E0DD2" w:rsidP="00D21030">
      <w:pPr>
        <w:tabs>
          <w:tab w:val="clear" w:pos="567"/>
          <w:tab w:val="clear" w:pos="1134"/>
          <w:tab w:val="clear" w:pos="1701"/>
          <w:tab w:val="clear" w:pos="2268"/>
          <w:tab w:val="clear" w:pos="2835"/>
        </w:tabs>
        <w:rPr>
          <w:lang w:val="es-ES"/>
        </w:rPr>
      </w:pPr>
      <w:r w:rsidRPr="00F51009">
        <w:rPr>
          <w:lang w:val="es-ES"/>
        </w:rPr>
        <w:t xml:space="preserve">En las entrevistas a las partes interesadas se destacó la importancia de contar con mecanismos de financiación predecibles y reforzar la coordinación con las organizaciones regionales para traducir las oportunidades de colaboración en proyectos concretos e iniciativas financiadas. Por tanto, el fortalecimiento de los marcos de colaboración y la mejora de los mecanismos de coordinación podrían contribuir a una ejecución más homogénea de las iniciativas regionales. </w:t>
      </w:r>
    </w:p>
    <w:p w14:paraId="29B93747" w14:textId="77777777" w:rsidR="004E0DD2" w:rsidRPr="00F51009" w:rsidRDefault="004E0DD2" w:rsidP="00D21030">
      <w:pPr>
        <w:tabs>
          <w:tab w:val="clear" w:pos="567"/>
          <w:tab w:val="clear" w:pos="1134"/>
          <w:tab w:val="clear" w:pos="1701"/>
          <w:tab w:val="clear" w:pos="2268"/>
          <w:tab w:val="clear" w:pos="2835"/>
        </w:tabs>
        <w:rPr>
          <w:lang w:val="es-ES"/>
        </w:rPr>
      </w:pPr>
      <w:r w:rsidRPr="00F51009">
        <w:rPr>
          <w:lang w:val="es-ES"/>
        </w:rPr>
        <w:t>Los encuestados también consideraron importante que la UIT entablase una estrecha relación de coordinación con los equipos de las Naciones Unidas en los países, tanto en aquellos en los que la UIT goza de presencia física como en aquellos en los que no.</w:t>
      </w:r>
    </w:p>
    <w:p w14:paraId="418A58DD" w14:textId="77777777" w:rsidR="004E0DD2" w:rsidRPr="00F51009" w:rsidRDefault="004E0DD2" w:rsidP="00D21030">
      <w:pPr>
        <w:pStyle w:val="Heading3"/>
        <w:tabs>
          <w:tab w:val="clear" w:pos="567"/>
          <w:tab w:val="left" w:pos="709"/>
        </w:tabs>
        <w:ind w:left="709" w:hanging="709"/>
        <w:rPr>
          <w:lang w:val="es-ES"/>
        </w:rPr>
      </w:pPr>
      <w:r w:rsidRPr="00F51009">
        <w:rPr>
          <w:lang w:val="es-ES"/>
        </w:rPr>
        <w:t>5.2.4</w:t>
      </w:r>
      <w:r w:rsidRPr="00F51009">
        <w:rPr>
          <w:lang w:val="es-ES"/>
        </w:rPr>
        <w:tab/>
        <w:t>Mejora de la transparencia y la elaboración de informes sobre operaciones regionales</w:t>
      </w:r>
    </w:p>
    <w:p w14:paraId="737FFE5C" w14:textId="77777777" w:rsidR="004E0DD2" w:rsidRPr="00F51009" w:rsidRDefault="004E0DD2" w:rsidP="00D21030">
      <w:pPr>
        <w:tabs>
          <w:tab w:val="clear" w:pos="567"/>
          <w:tab w:val="clear" w:pos="1134"/>
          <w:tab w:val="clear" w:pos="1701"/>
          <w:tab w:val="clear" w:pos="2268"/>
          <w:tab w:val="clear" w:pos="2835"/>
        </w:tabs>
        <w:rPr>
          <w:lang w:val="es-ES"/>
        </w:rPr>
      </w:pPr>
      <w:r w:rsidRPr="00F51009">
        <w:rPr>
          <w:lang w:val="es-ES"/>
        </w:rPr>
        <w:t xml:space="preserve">De los datos de las encuestas y las observaciones formuladas por las partes interesadas también se infiere la importancia de mejorar los datos y la elaboración de informes relativos a los niveles de dotación de personal, los recursos financieros y las actividades de ejecución. Los encuestados destacaron el valor de disponer de información más precisa sobre la forma en que las Oficinas Regionales despliegan los recursos y ejecutan los proyectos. </w:t>
      </w:r>
    </w:p>
    <w:p w14:paraId="104DF4BA" w14:textId="77777777" w:rsidR="004E0DD2" w:rsidRPr="00F51009" w:rsidRDefault="004E0DD2" w:rsidP="00D21030">
      <w:pPr>
        <w:tabs>
          <w:tab w:val="clear" w:pos="567"/>
          <w:tab w:val="clear" w:pos="1134"/>
          <w:tab w:val="clear" w:pos="1701"/>
          <w:tab w:val="clear" w:pos="2268"/>
          <w:tab w:val="clear" w:pos="2835"/>
        </w:tabs>
        <w:rPr>
          <w:lang w:val="es-ES"/>
        </w:rPr>
      </w:pPr>
      <w:r w:rsidRPr="00F51009">
        <w:rPr>
          <w:lang w:val="es-ES"/>
        </w:rPr>
        <w:t xml:space="preserve">El fortalecimiento de los mecanismos de transparencia y elaboración de informes podría obrar en favor de la supervisión, facilitar la planificación estratégica y arrojar luz sobre las necesidades operativas en todas las regiones. </w:t>
      </w:r>
    </w:p>
    <w:p w14:paraId="19B24D3A" w14:textId="77777777" w:rsidR="004E0DD2" w:rsidRPr="00F51009" w:rsidRDefault="004E0DD2" w:rsidP="00D21030">
      <w:pPr>
        <w:pStyle w:val="Heading3"/>
        <w:tabs>
          <w:tab w:val="clear" w:pos="567"/>
          <w:tab w:val="left" w:pos="709"/>
        </w:tabs>
        <w:ind w:left="709" w:hanging="709"/>
        <w:rPr>
          <w:lang w:val="es-ES"/>
        </w:rPr>
      </w:pPr>
      <w:r w:rsidRPr="00F51009">
        <w:rPr>
          <w:lang w:val="es-ES"/>
        </w:rPr>
        <w:t>5.2.5</w:t>
      </w:r>
      <w:r w:rsidRPr="00F51009">
        <w:rPr>
          <w:lang w:val="es-ES"/>
        </w:rPr>
        <w:tab/>
        <w:t>Lagunas en la presencia regional</w:t>
      </w:r>
    </w:p>
    <w:p w14:paraId="684972C0" w14:textId="1B9FB686" w:rsidR="004E0DD2" w:rsidRPr="00F51009" w:rsidRDefault="004E0DD2" w:rsidP="00D21030">
      <w:pPr>
        <w:tabs>
          <w:tab w:val="clear" w:pos="567"/>
          <w:tab w:val="clear" w:pos="1134"/>
          <w:tab w:val="clear" w:pos="1701"/>
          <w:tab w:val="clear" w:pos="2268"/>
          <w:tab w:val="clear" w:pos="2835"/>
        </w:tabs>
        <w:rPr>
          <w:lang w:val="es-ES"/>
        </w:rPr>
      </w:pPr>
      <w:r w:rsidRPr="00F51009">
        <w:rPr>
          <w:lang w:val="es-ES"/>
        </w:rPr>
        <w:t xml:space="preserve">Las encuestas han revelado ciertas lagunas en la presencia regional, especialmente en el Pacífico, donde el alcance actual se ve afectado por </w:t>
      </w:r>
      <w:r w:rsidR="00D21030">
        <w:rPr>
          <w:lang w:val="es-ES"/>
        </w:rPr>
        <w:t>"</w:t>
      </w:r>
      <w:r w:rsidRPr="00F51009">
        <w:rPr>
          <w:lang w:val="es-ES"/>
        </w:rPr>
        <w:t>la distancia y los diferentes husos horarios</w:t>
      </w:r>
      <w:r w:rsidR="00D21030">
        <w:rPr>
          <w:lang w:val="es-ES"/>
        </w:rPr>
        <w:t>"</w:t>
      </w:r>
      <w:r w:rsidRPr="00F51009">
        <w:rPr>
          <w:lang w:val="es-ES"/>
        </w:rPr>
        <w:t>. Los encuestados también propusieron aumentar el número de proyectos y actividades en aquellos países en los que la UIT carecía de oficinas, sin asignar personal de forma física a dichos países a largo plazo.</w:t>
      </w:r>
    </w:p>
    <w:p w14:paraId="64C410EE" w14:textId="77777777" w:rsidR="004E0DD2" w:rsidRPr="00F51009" w:rsidRDefault="004E0DD2" w:rsidP="004E0DD2">
      <w:pPr>
        <w:pStyle w:val="Heading1"/>
        <w:rPr>
          <w:lang w:val="es-ES"/>
        </w:rPr>
      </w:pPr>
      <w:r w:rsidRPr="00F51009">
        <w:rPr>
          <w:lang w:val="es-ES"/>
        </w:rPr>
        <w:t>6</w:t>
      </w:r>
      <w:r w:rsidRPr="00F51009">
        <w:rPr>
          <w:lang w:val="es-ES"/>
        </w:rPr>
        <w:tab/>
        <w:t>Conclusión</w:t>
      </w:r>
    </w:p>
    <w:p w14:paraId="50CA6ADA" w14:textId="77777777" w:rsidR="004E0DD2" w:rsidRPr="00F51009" w:rsidRDefault="004E0DD2" w:rsidP="00D21030">
      <w:pPr>
        <w:rPr>
          <w:rFonts w:asciiTheme="minorHAnsi" w:hAnsiTheme="minorHAnsi" w:cstheme="minorBidi"/>
          <w:lang w:val="es-ES"/>
        </w:rPr>
      </w:pPr>
      <w:r w:rsidRPr="00F51009">
        <w:rPr>
          <w:rFonts w:asciiTheme="minorHAnsi" w:hAnsiTheme="minorHAnsi" w:cstheme="minorBidi"/>
          <w:lang w:val="es-ES"/>
        </w:rPr>
        <w:t>6.1</w:t>
      </w:r>
      <w:r w:rsidRPr="00F51009">
        <w:rPr>
          <w:rFonts w:asciiTheme="minorHAnsi" w:hAnsiTheme="minorHAnsi" w:cstheme="minorBidi"/>
          <w:lang w:val="es-ES"/>
        </w:rPr>
        <w:tab/>
        <w:t xml:space="preserve">En el presente informe, incluidas sus conclusiones, se constata que las Oficinas Regionales y Zonales desempeñan un papel decisivo en la ejecución del Plan Estratégico de la UIT y del Plan de Acción del UIT-D. Estas oficinas actúan como interfaces de confianza con los Estados </w:t>
      </w:r>
      <w:r w:rsidRPr="00F51009">
        <w:rPr>
          <w:lang w:val="es-ES"/>
        </w:rPr>
        <w:t>Miembros</w:t>
      </w:r>
      <w:r w:rsidRPr="00F51009">
        <w:rPr>
          <w:rFonts w:asciiTheme="minorHAnsi" w:hAnsiTheme="minorHAnsi" w:cstheme="minorBidi"/>
          <w:lang w:val="es-ES"/>
        </w:rPr>
        <w:t xml:space="preserve">, facilitan una participación amplia e inclusiva en las actividades de la UIT y prestan apoyo a gran parte de los proyectos, las iniciativas de creación de capacidades y los diálogos sobre políticas a escala regional. La presencia regional se considera receptiva, accesible y eficaz, además de sumamente satisfactoria para Estados Miembros y socios de todas las regiones. Los datos enfatizan de forma sistemática la profesionalidad y la dedicación de los equipos regionales y recalcan su papel como coordinadores clave de las partes interesadas y catalizadores de la transformación digital. </w:t>
      </w:r>
    </w:p>
    <w:p w14:paraId="007218B9" w14:textId="77777777" w:rsidR="004E0DD2" w:rsidRPr="00F51009" w:rsidRDefault="004E0DD2" w:rsidP="00D21030">
      <w:pPr>
        <w:rPr>
          <w:rFonts w:asciiTheme="minorHAnsi" w:hAnsiTheme="minorHAnsi" w:cstheme="minorBidi"/>
          <w:lang w:val="es-ES"/>
        </w:rPr>
      </w:pPr>
      <w:r w:rsidRPr="00F51009">
        <w:rPr>
          <w:rFonts w:asciiTheme="minorHAnsi" w:hAnsiTheme="minorHAnsi" w:cstheme="minorBidi"/>
          <w:lang w:val="es-ES"/>
        </w:rPr>
        <w:t>6.2</w:t>
      </w:r>
      <w:r w:rsidRPr="00F51009">
        <w:rPr>
          <w:lang w:val="es-ES"/>
        </w:rPr>
        <w:tab/>
      </w:r>
      <w:r w:rsidRPr="00F51009">
        <w:rPr>
          <w:rFonts w:asciiTheme="minorHAnsi" w:hAnsiTheme="minorHAnsi" w:cstheme="minorBidi"/>
          <w:lang w:val="es-ES"/>
        </w:rPr>
        <w:t xml:space="preserve">Si bien el examen también pone de manifiesto ámbitos en los que se podría mejorar aún más la gestión de los procesos, los recursos y los conocimientos técnicos, esta información ha de interpretarse como una oportunidad para construir sobre unos cimientos sólidos y funcionales, de tal manera que la presencia regional pueda responder con mayor eficacia a las dinámicas expectativas de los miembros y a la creciente complejidad del entorno de desarrollo digital. Entre las posibles mejoras figuran la racionalización de los recursos humanos y financieros y de los procesos internos, la intensificación de la coordinación intersectorial, la ampliación del acceso a los conocimientos técnicos, el refuerzo de los sistemas de elaboración de informes y la visibilidad financiera, y la consolidación de las asociaciones y los mecanismos de movilización de recursos en la medida de lo posible. Partes interesadas de todo el sistema —Estados Miembros, organizaciones regionales y miembros del personal de la UIT— son firmes partidarias de ampliar las facultades de la presencia regional, con miras a satisfacer las crecientes demandas y hacer frente a un panorama digital cada vez más complejo. </w:t>
      </w:r>
    </w:p>
    <w:p w14:paraId="342B176C" w14:textId="77777777" w:rsidR="004E0DD2" w:rsidRPr="00F51009" w:rsidRDefault="004E0DD2" w:rsidP="00D21030">
      <w:pPr>
        <w:rPr>
          <w:rFonts w:asciiTheme="minorHAnsi" w:hAnsiTheme="minorHAnsi" w:cstheme="minorBidi"/>
          <w:lang w:val="es-ES"/>
        </w:rPr>
      </w:pPr>
      <w:r w:rsidRPr="00F51009">
        <w:rPr>
          <w:rFonts w:asciiTheme="minorHAnsi" w:hAnsiTheme="minorHAnsi" w:cstheme="minorBidi"/>
          <w:lang w:val="es-ES"/>
        </w:rPr>
        <w:t>6.3</w:t>
      </w:r>
      <w:r w:rsidRPr="00F51009">
        <w:rPr>
          <w:rFonts w:asciiTheme="minorHAnsi" w:hAnsiTheme="minorHAnsi" w:cstheme="minorBidi"/>
          <w:lang w:val="es-ES"/>
        </w:rPr>
        <w:tab/>
        <w:t xml:space="preserve">En conjunto, de las conclusiones de este examen se infiere un mensaje claro y constructivo: las Oficinas Regionales y Zonales de la UIT integran un activo estratégico fundamental, desempeñan sus funciones eficazmente y aportan un valor tangible. Con medidas </w:t>
      </w:r>
      <w:r w:rsidRPr="00F51009">
        <w:rPr>
          <w:lang w:val="es-ES"/>
        </w:rPr>
        <w:t xml:space="preserve">específicas </w:t>
      </w:r>
      <w:r w:rsidRPr="00F51009">
        <w:rPr>
          <w:rFonts w:asciiTheme="minorHAnsi" w:hAnsiTheme="minorHAnsi" w:cstheme="minorBidi"/>
          <w:lang w:val="es-ES"/>
        </w:rPr>
        <w:t xml:space="preserve">y apoyo institucional, la presencia regional podría agilizarse aún más, tener mayor repercusión y responder mejor a las expectativas de los Miembros. </w:t>
      </w:r>
    </w:p>
    <w:p w14:paraId="742E5623" w14:textId="77777777" w:rsidR="004E0DD2" w:rsidRPr="00F51009" w:rsidRDefault="004E0DD2" w:rsidP="006B5B56">
      <w:pPr>
        <w:pStyle w:val="Reasons"/>
        <w:rPr>
          <w:lang w:val="es-ES"/>
        </w:rPr>
      </w:pPr>
    </w:p>
    <w:p w14:paraId="78B77C89" w14:textId="775F8CD1" w:rsidR="00F92BED" w:rsidRPr="004E0DD2" w:rsidRDefault="004E0DD2" w:rsidP="00F92BED">
      <w:pPr>
        <w:jc w:val="center"/>
        <w:rPr>
          <w:rFonts w:eastAsia="Batang"/>
          <w:lang w:val="es-ES"/>
        </w:rPr>
      </w:pPr>
      <w:r w:rsidRPr="00F51009">
        <w:rPr>
          <w:lang w:val="es-ES"/>
        </w:rPr>
        <w:t>______________</w:t>
      </w:r>
    </w:p>
    <w:sectPr w:rsidR="00F92BED" w:rsidRPr="004E0DD2" w:rsidSect="00C538FC">
      <w:footerReference w:type="default" r:id="rId29"/>
      <w:headerReference w:type="first" r:id="rId30"/>
      <w:footerReference w:type="first" r:id="rId3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4231C" w14:textId="77777777" w:rsidR="004E0DD2" w:rsidRDefault="004E0DD2">
      <w:r>
        <w:separator/>
      </w:r>
    </w:p>
  </w:endnote>
  <w:endnote w:type="continuationSeparator" w:id="0">
    <w:p w14:paraId="74C793D4" w14:textId="77777777" w:rsidR="004E0DD2" w:rsidRDefault="004E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791FB77E" w14:textId="77777777" w:rsidTr="00E31DCE">
      <w:trPr>
        <w:jc w:val="center"/>
      </w:trPr>
      <w:tc>
        <w:tcPr>
          <w:tcW w:w="1803" w:type="dxa"/>
          <w:vAlign w:val="center"/>
        </w:tcPr>
        <w:p w14:paraId="55A20893" w14:textId="77777777" w:rsidR="003273A4" w:rsidRDefault="002946E2" w:rsidP="003273A4">
          <w:pPr>
            <w:pStyle w:val="Header"/>
            <w:jc w:val="left"/>
            <w:rPr>
              <w:noProof/>
            </w:rPr>
          </w:pPr>
          <w:r>
            <w:rPr>
              <w:noProof/>
            </w:rPr>
            <w:t>gDoc #</w:t>
          </w:r>
        </w:p>
      </w:tc>
      <w:tc>
        <w:tcPr>
          <w:tcW w:w="8261" w:type="dxa"/>
        </w:tcPr>
        <w:p w14:paraId="442FCEDC" w14:textId="4F4B7F4A"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314848">
            <w:rPr>
              <w:bCs/>
            </w:rPr>
            <w:t>24</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50CF5A5A"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3DA9F741" w14:textId="77777777" w:rsidTr="00E31DCE">
      <w:trPr>
        <w:jc w:val="center"/>
      </w:trPr>
      <w:tc>
        <w:tcPr>
          <w:tcW w:w="1803" w:type="dxa"/>
          <w:vAlign w:val="center"/>
        </w:tcPr>
        <w:p w14:paraId="2C4A5AE3"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3B8D7ABA" w14:textId="3BE6DBB7"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4E0DD2">
            <w:rPr>
              <w:bCs/>
            </w:rPr>
            <w:t>24</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3C7F4F9B"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CAA72" w14:textId="77777777" w:rsidR="004E0DD2" w:rsidRDefault="004E0DD2">
      <w:r>
        <w:t>____________________</w:t>
      </w:r>
    </w:p>
  </w:footnote>
  <w:footnote w:type="continuationSeparator" w:id="0">
    <w:p w14:paraId="6DD8A96B" w14:textId="77777777" w:rsidR="004E0DD2" w:rsidRDefault="004E0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A4FE" w14:textId="77777777" w:rsidR="001559F5" w:rsidRPr="00B1560D" w:rsidRDefault="00B1560D" w:rsidP="00B1560D">
    <w:pPr>
      <w:pStyle w:val="Header"/>
    </w:pPr>
    <w:r>
      <w:rPr>
        <w:noProof/>
      </w:rPr>
      <w:drawing>
        <wp:inline distT="0" distB="0" distL="0" distR="0" wp14:anchorId="51ECF0F0" wp14:editId="7373E94A">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D2"/>
    <w:rsid w:val="000007D1"/>
    <w:rsid w:val="0006007D"/>
    <w:rsid w:val="00093EEB"/>
    <w:rsid w:val="000B0D00"/>
    <w:rsid w:val="000B7C15"/>
    <w:rsid w:val="000D1D0F"/>
    <w:rsid w:val="000E3F07"/>
    <w:rsid w:val="000F5290"/>
    <w:rsid w:val="000F5A95"/>
    <w:rsid w:val="0010165C"/>
    <w:rsid w:val="00146BFB"/>
    <w:rsid w:val="001559F5"/>
    <w:rsid w:val="00157AC4"/>
    <w:rsid w:val="0016169C"/>
    <w:rsid w:val="001958F5"/>
    <w:rsid w:val="001A3BB4"/>
    <w:rsid w:val="001B6E2B"/>
    <w:rsid w:val="001D646B"/>
    <w:rsid w:val="001F14A2"/>
    <w:rsid w:val="00277DEA"/>
    <w:rsid w:val="002801AA"/>
    <w:rsid w:val="002946E2"/>
    <w:rsid w:val="002C3F32"/>
    <w:rsid w:val="002C4676"/>
    <w:rsid w:val="002C70B0"/>
    <w:rsid w:val="002F3CC4"/>
    <w:rsid w:val="003032E2"/>
    <w:rsid w:val="0031300A"/>
    <w:rsid w:val="00314848"/>
    <w:rsid w:val="003273A4"/>
    <w:rsid w:val="0034796E"/>
    <w:rsid w:val="004571B0"/>
    <w:rsid w:val="00465C35"/>
    <w:rsid w:val="00473962"/>
    <w:rsid w:val="004B5D49"/>
    <w:rsid w:val="004D3A3C"/>
    <w:rsid w:val="004E0DD2"/>
    <w:rsid w:val="00513630"/>
    <w:rsid w:val="00560125"/>
    <w:rsid w:val="00585553"/>
    <w:rsid w:val="005B34D9"/>
    <w:rsid w:val="005D0CCF"/>
    <w:rsid w:val="005E0C22"/>
    <w:rsid w:val="005F0915"/>
    <w:rsid w:val="005F3BCB"/>
    <w:rsid w:val="005F410F"/>
    <w:rsid w:val="0060149A"/>
    <w:rsid w:val="00601924"/>
    <w:rsid w:val="006447EA"/>
    <w:rsid w:val="0064481D"/>
    <w:rsid w:val="0064731F"/>
    <w:rsid w:val="00664572"/>
    <w:rsid w:val="00665746"/>
    <w:rsid w:val="00666D09"/>
    <w:rsid w:val="00670579"/>
    <w:rsid w:val="006710F6"/>
    <w:rsid w:val="00677A97"/>
    <w:rsid w:val="006B5B56"/>
    <w:rsid w:val="006C1B56"/>
    <w:rsid w:val="006D4761"/>
    <w:rsid w:val="006F7C0A"/>
    <w:rsid w:val="00726872"/>
    <w:rsid w:val="00760F1C"/>
    <w:rsid w:val="007657F0"/>
    <w:rsid w:val="0077110E"/>
    <w:rsid w:val="0077252D"/>
    <w:rsid w:val="007955DA"/>
    <w:rsid w:val="007E5DD3"/>
    <w:rsid w:val="007F350B"/>
    <w:rsid w:val="00820BE4"/>
    <w:rsid w:val="008451E8"/>
    <w:rsid w:val="0084546D"/>
    <w:rsid w:val="008F6ABC"/>
    <w:rsid w:val="00913B9C"/>
    <w:rsid w:val="00927F93"/>
    <w:rsid w:val="00944930"/>
    <w:rsid w:val="00956E77"/>
    <w:rsid w:val="009A338E"/>
    <w:rsid w:val="009A76A8"/>
    <w:rsid w:val="009B0F2D"/>
    <w:rsid w:val="009F4811"/>
    <w:rsid w:val="00A01F4F"/>
    <w:rsid w:val="00A109AF"/>
    <w:rsid w:val="00A94438"/>
    <w:rsid w:val="00AA390C"/>
    <w:rsid w:val="00AD5A4D"/>
    <w:rsid w:val="00AF0EAC"/>
    <w:rsid w:val="00B0200A"/>
    <w:rsid w:val="00B060DF"/>
    <w:rsid w:val="00B1560D"/>
    <w:rsid w:val="00B574DB"/>
    <w:rsid w:val="00B826C2"/>
    <w:rsid w:val="00B8298E"/>
    <w:rsid w:val="00BB6FD8"/>
    <w:rsid w:val="00BD0723"/>
    <w:rsid w:val="00BD2518"/>
    <w:rsid w:val="00BF1D1C"/>
    <w:rsid w:val="00C20C59"/>
    <w:rsid w:val="00C2727F"/>
    <w:rsid w:val="00C4421B"/>
    <w:rsid w:val="00C538FC"/>
    <w:rsid w:val="00C55B1F"/>
    <w:rsid w:val="00CB7538"/>
    <w:rsid w:val="00CC1FAF"/>
    <w:rsid w:val="00CF1A67"/>
    <w:rsid w:val="00D21030"/>
    <w:rsid w:val="00D2750E"/>
    <w:rsid w:val="00D375E0"/>
    <w:rsid w:val="00D50A36"/>
    <w:rsid w:val="00D62446"/>
    <w:rsid w:val="00DA4EA2"/>
    <w:rsid w:val="00DC3D3E"/>
    <w:rsid w:val="00DE2C90"/>
    <w:rsid w:val="00DE3B24"/>
    <w:rsid w:val="00DE7376"/>
    <w:rsid w:val="00E06947"/>
    <w:rsid w:val="00E11319"/>
    <w:rsid w:val="00E21444"/>
    <w:rsid w:val="00E33BC6"/>
    <w:rsid w:val="00E34072"/>
    <w:rsid w:val="00E3592D"/>
    <w:rsid w:val="00E50D76"/>
    <w:rsid w:val="00E8018B"/>
    <w:rsid w:val="00E92DE8"/>
    <w:rsid w:val="00EB1212"/>
    <w:rsid w:val="00ED65AB"/>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63340"/>
  <w15:docId w15:val="{E8423567-C60A-437C-925E-16BC67F7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uiPriority w:val="9"/>
    <w:qFormat/>
    <w:rsid w:val="000F5A95"/>
    <w:pPr>
      <w:keepNext/>
      <w:keepLines/>
      <w:spacing w:before="360"/>
      <w:ind w:left="567" w:hanging="567"/>
      <w:outlineLvl w:val="0"/>
    </w:pPr>
    <w:rPr>
      <w:b/>
      <w:sz w:val="28"/>
    </w:rPr>
  </w:style>
  <w:style w:type="paragraph" w:styleId="Heading2">
    <w:name w:val="heading 2"/>
    <w:basedOn w:val="Heading1"/>
    <w:next w:val="Normal"/>
    <w:link w:val="Heading2Char"/>
    <w:uiPriority w:val="9"/>
    <w:qFormat/>
    <w:rsid w:val="000F5A95"/>
    <w:pPr>
      <w:spacing w:before="200"/>
      <w:outlineLvl w:val="1"/>
    </w:pPr>
    <w:rPr>
      <w:sz w:val="24"/>
    </w:rPr>
  </w:style>
  <w:style w:type="paragraph" w:styleId="Heading3">
    <w:name w:val="heading 3"/>
    <w:basedOn w:val="Heading1"/>
    <w:next w:val="Normal"/>
    <w:link w:val="Heading3Char"/>
    <w:uiPriority w:val="9"/>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paragraph" w:customStyle="1" w:styleId="Tablefin">
    <w:name w:val="Table_fin"/>
    <w:basedOn w:val="Tabletext"/>
    <w:rsid w:val="004E0DD2"/>
    <w:pPr>
      <w:tabs>
        <w:tab w:val="clear" w:pos="567"/>
        <w:tab w:val="clear" w:pos="851"/>
      </w:tabs>
      <w:spacing w:before="0" w:after="0"/>
    </w:pPr>
    <w:rPr>
      <w:rFonts w:eastAsia="SimSun" w:cstheme="minorBidi"/>
      <w:szCs w:val="22"/>
      <w:lang w:val="en-GB"/>
    </w:rPr>
  </w:style>
  <w:style w:type="character" w:customStyle="1" w:styleId="Heading1Char">
    <w:name w:val="Heading 1 Char"/>
    <w:basedOn w:val="DefaultParagraphFont"/>
    <w:link w:val="Heading1"/>
    <w:uiPriority w:val="9"/>
    <w:rsid w:val="004E0DD2"/>
    <w:rPr>
      <w:rFonts w:ascii="Calibri" w:hAnsi="Calibri"/>
      <w:b/>
      <w:sz w:val="28"/>
      <w:lang w:val="fr-FR" w:eastAsia="en-US"/>
    </w:rPr>
  </w:style>
  <w:style w:type="character" w:customStyle="1" w:styleId="Heading2Char">
    <w:name w:val="Heading 2 Char"/>
    <w:basedOn w:val="DefaultParagraphFont"/>
    <w:link w:val="Heading2"/>
    <w:uiPriority w:val="9"/>
    <w:rsid w:val="004E0DD2"/>
    <w:rPr>
      <w:rFonts w:ascii="Calibri" w:hAnsi="Calibri"/>
      <w:b/>
      <w:sz w:val="24"/>
      <w:lang w:val="fr-FR" w:eastAsia="en-US"/>
    </w:rPr>
  </w:style>
  <w:style w:type="character" w:customStyle="1" w:styleId="Heading3Char">
    <w:name w:val="Heading 3 Char"/>
    <w:basedOn w:val="DefaultParagraphFont"/>
    <w:link w:val="Heading3"/>
    <w:uiPriority w:val="9"/>
    <w:rsid w:val="004E0DD2"/>
    <w:rPr>
      <w:rFonts w:ascii="Calibri" w:hAnsi="Calibri"/>
      <w:b/>
      <w:sz w:val="24"/>
      <w:lang w:val="fr-FR" w:eastAsia="en-US"/>
    </w:rPr>
  </w:style>
  <w:style w:type="table" w:customStyle="1" w:styleId="TableGrid1">
    <w:name w:val="Table Grid1"/>
    <w:basedOn w:val="TableNormal"/>
    <w:next w:val="TableGrid"/>
    <w:uiPriority w:val="59"/>
    <w:rsid w:val="004E0DD2"/>
    <w:rPr>
      <w:rFonts w:asciiTheme="minorHAnsi" w:eastAsiaTheme="minorHAnsi" w:hAnsiTheme="minorHAnsi" w:cstheme="minorBidi"/>
      <w:kern w:val="2"/>
      <w:sz w:val="24"/>
      <w:szCs w:val="24"/>
      <w:lang w:val="en-GB"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6-CL-C-0025/es" TargetMode="External"/><Relationship Id="rId18" Type="http://schemas.openxmlformats.org/officeDocument/2006/relationships/hyperlink" Target="https://www.itu.int/md/meetingdoc.asp?lang=es&amp;parent=" TargetMode="External"/><Relationship Id="rId26" Type="http://schemas.openxmlformats.org/officeDocument/2006/relationships/hyperlink" Target="https://www.itu.int/md/S25-CL-C-0105/es" TargetMode="External"/><Relationship Id="rId3" Type="http://schemas.openxmlformats.org/officeDocument/2006/relationships/settings" Target="settings.xml"/><Relationship Id="rId21" Type="http://schemas.openxmlformats.org/officeDocument/2006/relationships/hyperlink" Target="https://www.itu.int/en/council/Documents/basic-texts-2023/RES-025-E.pdf" TargetMode="External"/><Relationship Id="rId7" Type="http://schemas.openxmlformats.org/officeDocument/2006/relationships/hyperlink" Target="https://www.itu.int/md/meetingdoc.asp?lang=es&amp;parent=" TargetMode="External"/><Relationship Id="rId12" Type="http://schemas.openxmlformats.org/officeDocument/2006/relationships/hyperlink" Target="https://www.itu.int/en/council/cwg-fhr/Pages/default.aspx" TargetMode="External"/><Relationship Id="rId17" Type="http://schemas.openxmlformats.org/officeDocument/2006/relationships/hyperlink" Target="https://www.itu.int/md/S25-CL-C-0069/es" TargetMode="External"/><Relationship Id="rId25" Type="http://schemas.openxmlformats.org/officeDocument/2006/relationships/hyperlink" Target="https://www.itu.int/md/meetingdoc.asp?lang=es&amp;paren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tu.int/md/S25-CL-250617-DL-0006/es" TargetMode="External"/><Relationship Id="rId20" Type="http://schemas.openxmlformats.org/officeDocument/2006/relationships/hyperlink" Target="https://www.itu.int/md/meetingdoc.asp?lang=es&amp;paren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es/publications/ITU-D/Pages/publications.aspx?parent=D-TDC-WTDC-2022&amp;media=electronic" TargetMode="External"/><Relationship Id="rId24" Type="http://schemas.openxmlformats.org/officeDocument/2006/relationships/hyperlink" Target="https://www.itu.int/md/S25-CL-C-0069/e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tu.int/md/S25-CL-C-0105/es" TargetMode="External"/><Relationship Id="rId23" Type="http://schemas.openxmlformats.org/officeDocument/2006/relationships/hyperlink" Target="https://www.itu.int/md/S25-CWGFHR20-C-0032/es" TargetMode="External"/><Relationship Id="rId28" Type="http://schemas.openxmlformats.org/officeDocument/2006/relationships/hyperlink" Target="https://www.itu.int/md/meetingdoc.asp?lang=es&amp;parent=" TargetMode="External"/><Relationship Id="rId10" Type="http://schemas.openxmlformats.org/officeDocument/2006/relationships/hyperlink" Target="https://www.itu.int/es/publications/ITU-D/Pages/publications.aspx?parent=D-TDC-WTDC-2022&amp;media=electronic" TargetMode="External"/><Relationship Id="rId19" Type="http://schemas.openxmlformats.org/officeDocument/2006/relationships/hyperlink" Target="https://www.itu.int/md/S25-CL-C-0105/es"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itu.int/pub/D-TDC-WTDC-2025/es" TargetMode="External"/><Relationship Id="rId14" Type="http://schemas.openxmlformats.org/officeDocument/2006/relationships/hyperlink" Target="https://www.itu.int/md/S25-CL-C-0025/es" TargetMode="External"/><Relationship Id="rId22" Type="http://schemas.openxmlformats.org/officeDocument/2006/relationships/hyperlink" Target="https://www.itu.int/md/S24-CWGFHR19-C-0015/es" TargetMode="External"/><Relationship Id="rId27" Type="http://schemas.openxmlformats.org/officeDocument/2006/relationships/hyperlink" Target="https://www.itu.int/md/S25-CL-C-0105/es" TargetMode="External"/><Relationship Id="rId30" Type="http://schemas.openxmlformats.org/officeDocument/2006/relationships/header" Target="header1.xml"/><Relationship Id="rId8" Type="http://schemas.openxmlformats.org/officeDocument/2006/relationships/hyperlink" Target="https://www.itu.int/en/council/Documents/basic-texts-2023/RES-025-E.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3DC42-D81C-4FA7-AA9C-D3A8830E0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PS_Council26</Template>
  <TotalTime>1</TotalTime>
  <Pages>10</Pages>
  <Words>4540</Words>
  <Characters>25017</Characters>
  <Application>Microsoft Office Word</Application>
  <DocSecurity>0</DocSecurity>
  <Lines>454</Lines>
  <Paragraphs>171</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29386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2026 de la UIT</dc:subject>
  <dc:creator>Spanish</dc:creator>
  <cp:keywords>C26; C2026; Council 2026; PP26</cp:keywords>
  <dc:description/>
  <cp:lastModifiedBy>GBS</cp:lastModifiedBy>
  <cp:revision>2</cp:revision>
  <cp:lastPrinted>2006-03-24T09:51:00Z</cp:lastPrinted>
  <dcterms:created xsi:type="dcterms:W3CDTF">2026-04-17T10:56:00Z</dcterms:created>
  <dcterms:modified xsi:type="dcterms:W3CDTF">2026-04-17T10:56:00Z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