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35E8B" w14:paraId="163FA139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2A21803" w14:textId="102AB4B3" w:rsidR="00796BD3" w:rsidRPr="00C35E8B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C35E8B">
              <w:rPr>
                <w:b/>
                <w:lang w:val="ru-RU"/>
              </w:rPr>
              <w:t>Пункт повестки дня:</w:t>
            </w:r>
            <w:r w:rsidR="00EE1578" w:rsidRPr="00C35E8B">
              <w:rPr>
                <w:lang w:val="ru-RU"/>
              </w:rPr>
              <w:t xml:space="preserve"> </w:t>
            </w:r>
            <w:r w:rsidR="00EE1578" w:rsidRPr="00C35E8B">
              <w:rPr>
                <w:b/>
                <w:lang w:val="ru-RU"/>
              </w:rPr>
              <w:t>PL-2</w:t>
            </w:r>
          </w:p>
        </w:tc>
        <w:tc>
          <w:tcPr>
            <w:tcW w:w="5245" w:type="dxa"/>
          </w:tcPr>
          <w:p w14:paraId="6F7FD5F2" w14:textId="1BACA938" w:rsidR="00796BD3" w:rsidRPr="00C35E8B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35E8B">
              <w:rPr>
                <w:b/>
                <w:lang w:val="ru-RU"/>
              </w:rPr>
              <w:t xml:space="preserve">Документ </w:t>
            </w:r>
            <w:r w:rsidR="00796BD3" w:rsidRPr="00C35E8B">
              <w:rPr>
                <w:b/>
                <w:lang w:val="ru-RU"/>
              </w:rPr>
              <w:t>C2</w:t>
            </w:r>
            <w:r w:rsidR="00BE00DD" w:rsidRPr="00C35E8B">
              <w:rPr>
                <w:b/>
                <w:lang w:val="ru-RU"/>
              </w:rPr>
              <w:t>6</w:t>
            </w:r>
            <w:r w:rsidR="00796BD3" w:rsidRPr="00C35E8B">
              <w:rPr>
                <w:b/>
                <w:lang w:val="ru-RU"/>
              </w:rPr>
              <w:t>/</w:t>
            </w:r>
            <w:r w:rsidR="00EE1578" w:rsidRPr="00C35E8B">
              <w:rPr>
                <w:b/>
                <w:lang w:val="ru-RU"/>
              </w:rPr>
              <w:t>24</w:t>
            </w:r>
            <w:r w:rsidR="00796BD3" w:rsidRPr="00C35E8B">
              <w:rPr>
                <w:b/>
                <w:lang w:val="ru-RU"/>
              </w:rPr>
              <w:t>-R</w:t>
            </w:r>
          </w:p>
        </w:tc>
      </w:tr>
      <w:tr w:rsidR="00796BD3" w:rsidRPr="00C35E8B" w14:paraId="40EB0488" w14:textId="77777777" w:rsidTr="00D17718">
        <w:trPr>
          <w:cantSplit/>
        </w:trPr>
        <w:tc>
          <w:tcPr>
            <w:tcW w:w="3969" w:type="dxa"/>
            <w:vMerge/>
          </w:tcPr>
          <w:p w14:paraId="2218C85F" w14:textId="77777777" w:rsidR="00796BD3" w:rsidRPr="00C35E8B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BCBB4FC" w14:textId="515011E3" w:rsidR="00796BD3" w:rsidRPr="00C35E8B" w:rsidRDefault="00EE1578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35E8B">
              <w:rPr>
                <w:rFonts w:asciiTheme="minorHAnsi" w:hAnsiTheme="minorHAnsi" w:cstheme="minorHAnsi"/>
                <w:b/>
                <w:lang w:val="ru-RU"/>
              </w:rPr>
              <w:t>30 марта 2026 года</w:t>
            </w:r>
          </w:p>
        </w:tc>
      </w:tr>
      <w:tr w:rsidR="00796BD3" w:rsidRPr="00C35E8B" w14:paraId="06F7C30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319BF35" w14:textId="77777777" w:rsidR="00796BD3" w:rsidRPr="00C35E8B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DC91A03" w14:textId="77777777" w:rsidR="00796BD3" w:rsidRPr="00C35E8B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35E8B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35E8B" w14:paraId="41BD2167" w14:textId="77777777" w:rsidTr="00D17718">
        <w:trPr>
          <w:cantSplit/>
          <w:trHeight w:val="23"/>
        </w:trPr>
        <w:tc>
          <w:tcPr>
            <w:tcW w:w="3969" w:type="dxa"/>
          </w:tcPr>
          <w:p w14:paraId="6A029B05" w14:textId="77777777" w:rsidR="00796BD3" w:rsidRPr="00C35E8B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101EBBB" w14:textId="77777777" w:rsidR="00796BD3" w:rsidRPr="00C35E8B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C35E8B" w14:paraId="02AAEAA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FB7364D" w14:textId="77777777" w:rsidR="00796BD3" w:rsidRPr="00C35E8B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C35E8B">
              <w:t>Отчет Генерального секретаря</w:t>
            </w:r>
          </w:p>
        </w:tc>
      </w:tr>
      <w:tr w:rsidR="00796BD3" w:rsidRPr="00C35E8B" w14:paraId="7DA1B8F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1F92231" w14:textId="45935982" w:rsidR="00796BD3" w:rsidRPr="00C35E8B" w:rsidRDefault="00EE1578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C35E8B">
              <w:t>ОБЗОР РЕГИОНАЛЬНОГО ПРИСУТСТВИЯ МСЭ</w:t>
            </w:r>
          </w:p>
        </w:tc>
      </w:tr>
      <w:tr w:rsidR="00796BD3" w:rsidRPr="00484CEE" w14:paraId="22C31D2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0420D16" w14:textId="77777777" w:rsidR="00796BD3" w:rsidRPr="00C35E8B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35E8B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40FCDCBC" w14:textId="5E3B0656" w:rsidR="00796BD3" w:rsidRPr="00C35E8B" w:rsidRDefault="00EE1578" w:rsidP="00D17718">
            <w:pPr>
              <w:rPr>
                <w:lang w:val="ru-RU"/>
              </w:rPr>
            </w:pPr>
            <w:r w:rsidRPr="00C35E8B">
              <w:rPr>
                <w:rFonts w:asciiTheme="minorHAnsi" w:hAnsiTheme="minorHAnsi" w:cstheme="minorBidi"/>
                <w:lang w:val="ru-RU"/>
              </w:rPr>
              <w:t>В настоящем документе содержится отчет об обзоре регионального присутствия МСЭ, проведенном в соответствии с рекомендациями Совета-25. Он подкрепляется информационным документом (</w:t>
            </w:r>
            <w:r>
              <w:fldChar w:fldCharType="begin"/>
            </w:r>
            <w:r>
              <w:instrText>HYPERLINK</w:instrText>
            </w:r>
            <w:r w:rsidRPr="00484CE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84CEE">
              <w:rPr>
                <w:lang w:val="ru-RU"/>
              </w:rPr>
              <w:instrText>://</w:instrText>
            </w:r>
            <w:r>
              <w:instrText>www</w:instrText>
            </w:r>
            <w:r w:rsidRPr="00484CEE">
              <w:rPr>
                <w:lang w:val="ru-RU"/>
              </w:rPr>
              <w:instrText>.</w:instrText>
            </w:r>
            <w:r>
              <w:instrText>itu</w:instrText>
            </w:r>
            <w:r w:rsidRPr="00484CEE">
              <w:rPr>
                <w:lang w:val="ru-RU"/>
              </w:rPr>
              <w:instrText>.</w:instrText>
            </w:r>
            <w:r>
              <w:instrText>int</w:instrText>
            </w:r>
            <w:r w:rsidRPr="00484CEE">
              <w:rPr>
                <w:lang w:val="ru-RU"/>
              </w:rPr>
              <w:instrText>/</w:instrText>
            </w:r>
            <w:r>
              <w:instrText>md</w:instrText>
            </w:r>
            <w:r w:rsidRPr="00484CEE">
              <w:rPr>
                <w:lang w:val="ru-RU"/>
              </w:rPr>
              <w:instrText>/</w:instrText>
            </w:r>
            <w:r>
              <w:instrText>S</w:instrText>
            </w:r>
            <w:r w:rsidRPr="00484CEE">
              <w:rPr>
                <w:lang w:val="ru-RU"/>
              </w:rPr>
              <w:instrText>26-</w:instrText>
            </w:r>
            <w:r>
              <w:instrText>CL</w:instrText>
            </w:r>
            <w:r w:rsidRPr="00484CEE">
              <w:rPr>
                <w:lang w:val="ru-RU"/>
              </w:rPr>
              <w:instrText>-</w:instrText>
            </w:r>
            <w:r>
              <w:instrText>INF</w:instrText>
            </w:r>
            <w:r w:rsidRPr="00484CEE">
              <w:rPr>
                <w:lang w:val="ru-RU"/>
              </w:rPr>
              <w:instrText>-0010/</w:instrText>
            </w:r>
            <w:r>
              <w:instrText>en</w:instrText>
            </w:r>
            <w:r w:rsidRPr="00484CEE">
              <w:rPr>
                <w:lang w:val="ru-RU"/>
              </w:rPr>
              <w:instrText>"</w:instrText>
            </w:r>
            <w:r>
              <w:fldChar w:fldCharType="separate"/>
            </w:r>
            <w:proofErr w:type="spellStart"/>
            <w:r w:rsidRPr="004377F9">
              <w:rPr>
                <w:rStyle w:val="Hyperlink"/>
              </w:rPr>
              <w:t>C26</w:t>
            </w:r>
            <w:proofErr w:type="spellEnd"/>
            <w:r w:rsidRPr="004377F9">
              <w:rPr>
                <w:rStyle w:val="Hyperlink"/>
              </w:rPr>
              <w:t>/INF/10</w:t>
            </w:r>
            <w:r>
              <w:fldChar w:fldCharType="end"/>
            </w:r>
            <w:r w:rsidRPr="00C35E8B">
              <w:rPr>
                <w:rFonts w:asciiTheme="minorHAnsi" w:hAnsiTheme="minorHAnsi" w:cstheme="minorBidi"/>
                <w:lang w:val="ru-RU"/>
              </w:rPr>
              <w:t>), в котором содержится базовая информация и контекст обзора, методика, определенная Советом, а также подробные выводы, вытекающие из обзора.</w:t>
            </w:r>
          </w:p>
          <w:p w14:paraId="3FACE6AC" w14:textId="77777777" w:rsidR="00796BD3" w:rsidRPr="00C35E8B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35E8B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71A2E2C" w14:textId="4FE0F788" w:rsidR="00796BD3" w:rsidRPr="00C35E8B" w:rsidRDefault="00EE1578" w:rsidP="00D17718">
            <w:pPr>
              <w:rPr>
                <w:lang w:val="ru-RU"/>
              </w:rPr>
            </w:pPr>
            <w:r w:rsidRPr="00C35E8B">
              <w:rPr>
                <w:rFonts w:asciiTheme="minorHAnsi" w:hAnsiTheme="minorHAnsi" w:cstheme="minorHAnsi"/>
                <w:lang w:val="ru-RU"/>
              </w:rPr>
              <w:t xml:space="preserve">Совету предлагается </w:t>
            </w:r>
            <w:r w:rsidRPr="00C35E8B">
              <w:rPr>
                <w:rFonts w:asciiTheme="minorHAnsi" w:hAnsiTheme="minorHAnsi" w:cstheme="minorHAnsi"/>
                <w:b/>
                <w:bCs/>
                <w:lang w:val="ru-RU"/>
              </w:rPr>
              <w:t>принять к сведению</w:t>
            </w:r>
            <w:r w:rsidRPr="00C35E8B">
              <w:rPr>
                <w:rFonts w:asciiTheme="minorHAnsi" w:hAnsiTheme="minorHAnsi" w:cstheme="minorHAnsi"/>
                <w:lang w:val="ru-RU"/>
              </w:rPr>
              <w:t xml:space="preserve"> и </w:t>
            </w:r>
            <w:r w:rsidRPr="00C35E8B">
              <w:rPr>
                <w:rFonts w:asciiTheme="minorHAnsi" w:hAnsiTheme="minorHAnsi" w:cstheme="minorHAnsi"/>
                <w:b/>
                <w:bCs/>
                <w:lang w:val="ru-RU"/>
              </w:rPr>
              <w:t>рассмотреть</w:t>
            </w:r>
            <w:r w:rsidRPr="00C35E8B">
              <w:rPr>
                <w:rFonts w:asciiTheme="minorHAnsi" w:hAnsiTheme="minorHAnsi" w:cstheme="minorHAnsi"/>
                <w:lang w:val="ru-RU"/>
              </w:rPr>
              <w:t xml:space="preserve"> настоящий отчет.</w:t>
            </w:r>
          </w:p>
          <w:p w14:paraId="726A3815" w14:textId="77777777" w:rsidR="00796BD3" w:rsidRPr="00C35E8B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35E8B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6FF65F42" w14:textId="00450AD4" w:rsidR="00796BD3" w:rsidRPr="00C35E8B" w:rsidRDefault="00EE1578" w:rsidP="00D17718">
            <w:pPr>
              <w:rPr>
                <w:lang w:val="ru-RU"/>
              </w:rPr>
            </w:pPr>
            <w:r w:rsidRPr="00C35E8B">
              <w:rPr>
                <w:rFonts w:asciiTheme="minorHAnsi" w:hAnsiTheme="minorHAnsi" w:cstheme="minorHAnsi"/>
                <w:lang w:val="ru-RU"/>
              </w:rPr>
              <w:t>Региональное присутствие.</w:t>
            </w:r>
          </w:p>
          <w:p w14:paraId="59B15AE4" w14:textId="77777777" w:rsidR="00796BD3" w:rsidRPr="00C35E8B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C35E8B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3F8B6AC" w14:textId="030868D4" w:rsidR="00345D2A" w:rsidRPr="00C35E8B" w:rsidRDefault="00EE1578" w:rsidP="00D17718">
            <w:pPr>
              <w:spacing w:before="160"/>
              <w:rPr>
                <w:szCs w:val="22"/>
                <w:lang w:val="ru-RU"/>
              </w:rPr>
            </w:pPr>
            <w:r w:rsidRPr="00C35E8B">
              <w:rPr>
                <w:rFonts w:asciiTheme="minorHAnsi" w:hAnsiTheme="minorHAnsi" w:cstheme="minorHAnsi"/>
                <w:lang w:val="ru-RU"/>
              </w:rPr>
              <w:t>Непосредственных финансовых последствий не предвидится.</w:t>
            </w:r>
          </w:p>
          <w:p w14:paraId="77848FCA" w14:textId="77777777" w:rsidR="00796BD3" w:rsidRPr="00C35E8B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C35E8B">
              <w:rPr>
                <w:sz w:val="20"/>
                <w:szCs w:val="18"/>
                <w:lang w:val="ru-RU"/>
              </w:rPr>
              <w:t>__________________</w:t>
            </w:r>
          </w:p>
          <w:p w14:paraId="338D3823" w14:textId="77777777" w:rsidR="00796BD3" w:rsidRPr="00C35E8B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C35E8B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4BAF6504" w14:textId="197677CC" w:rsidR="00796BD3" w:rsidRPr="004377F9" w:rsidRDefault="00EE1578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4377F9">
                <w:rPr>
                  <w:i/>
                  <w:iCs/>
                  <w:szCs w:val="22"/>
                  <w:lang w:val="ru-RU"/>
                </w:rPr>
                <w:t xml:space="preserve">Резолюция </w:t>
              </w:r>
              <w:r w:rsidRPr="004377F9">
                <w:rPr>
                  <w:rStyle w:val="Hyperlink"/>
                  <w:i/>
                  <w:iCs/>
                </w:rPr>
                <w:t>25 (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Пересм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 xml:space="preserve">. 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Бухарест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>, 2022 г.)</w:t>
              </w:r>
            </w:hyperlink>
            <w:r w:rsidRPr="004377F9">
              <w:rPr>
                <w:rFonts w:asciiTheme="minorHAnsi" w:hAnsiTheme="minorHAnsi" w:cstheme="minorHAnsi"/>
                <w:i/>
                <w:iCs/>
                <w:spacing w:val="-2"/>
                <w:szCs w:val="22"/>
                <w:lang w:val="ru-RU"/>
              </w:rPr>
              <w:t xml:space="preserve"> Полномочной конференции;</w:t>
            </w:r>
            <w:r w:rsidRPr="004377F9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4377F9">
              <w:rPr>
                <w:rStyle w:val="Hyperlink"/>
                <w:i/>
                <w:iCs/>
              </w:rPr>
              <w:t>Резолюции</w:t>
            </w:r>
            <w:proofErr w:type="spellEnd"/>
            <w:r w:rsidRPr="004377F9">
              <w:rPr>
                <w:rStyle w:val="Hyperlink"/>
                <w:i/>
                <w:iCs/>
              </w:rPr>
              <w:t xml:space="preserve"> </w:t>
            </w:r>
            <w:hyperlink r:id="rId8">
              <w:r w:rsidRPr="004377F9">
                <w:rPr>
                  <w:rStyle w:val="Hyperlink"/>
                  <w:i/>
                  <w:iCs/>
                </w:rPr>
                <w:t>17 (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Пересм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 xml:space="preserve">. 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Баку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>, 2025 г.) и 31 (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Пересм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 xml:space="preserve">. </w:t>
              </w:r>
              <w:proofErr w:type="spellStart"/>
              <w:r w:rsidRPr="004377F9">
                <w:rPr>
                  <w:rStyle w:val="Hyperlink"/>
                  <w:i/>
                  <w:iCs/>
                </w:rPr>
                <w:t>Баку</w:t>
              </w:r>
              <w:proofErr w:type="spellEnd"/>
              <w:r w:rsidRPr="004377F9">
                <w:rPr>
                  <w:rStyle w:val="Hyperlink"/>
                  <w:i/>
                  <w:iCs/>
                </w:rPr>
                <w:t>, 2025 г.)</w:t>
              </w:r>
            </w:hyperlink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Всемирной конференции по развитию электросвязи</w:t>
            </w:r>
            <w:r w:rsidRPr="004377F9">
              <w:rPr>
                <w:rStyle w:val="Hyperlink"/>
                <w:i/>
                <w:iCs/>
              </w:rPr>
              <w:t xml:space="preserve"> (</w:t>
            </w:r>
            <w:proofErr w:type="spellStart"/>
            <w:r w:rsidRPr="004377F9">
              <w:rPr>
                <w:rStyle w:val="Hyperlink"/>
                <w:i/>
                <w:iCs/>
              </w:rPr>
              <w:t>ВКРЭ</w:t>
            </w:r>
            <w:proofErr w:type="spellEnd"/>
            <w:r w:rsidRPr="004377F9">
              <w:rPr>
                <w:rStyle w:val="Hyperlink"/>
                <w:i/>
                <w:iCs/>
              </w:rPr>
              <w:t>)</w:t>
            </w:r>
            <w:r w:rsidR="00054027" w:rsidRPr="004377F9">
              <w:rPr>
                <w:rStyle w:val="Hyperlink"/>
                <w:i/>
                <w:iCs/>
              </w:rPr>
              <w:t>;</w:t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Заключительный отчет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publications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pages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publications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aspx</w:instrText>
            </w:r>
            <w:r w:rsidRPr="004377F9">
              <w:rPr>
                <w:i/>
                <w:iCs/>
                <w:lang w:val="ru-RU"/>
              </w:rPr>
              <w:instrText>?</w:instrText>
            </w:r>
            <w:r w:rsidRPr="004377F9">
              <w:rPr>
                <w:i/>
                <w:iCs/>
              </w:rPr>
              <w:instrText>parent</w:instrText>
            </w:r>
            <w:r w:rsidRPr="004377F9">
              <w:rPr>
                <w:i/>
                <w:iCs/>
                <w:lang w:val="ru-RU"/>
              </w:rPr>
              <w:instrText>=</w:instrText>
            </w:r>
            <w:r w:rsidRPr="004377F9">
              <w:rPr>
                <w:i/>
                <w:iCs/>
              </w:rPr>
              <w:instrText>D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TDC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WTDC</w:instrText>
            </w:r>
            <w:r w:rsidRPr="004377F9">
              <w:rPr>
                <w:i/>
                <w:iCs/>
                <w:lang w:val="ru-RU"/>
              </w:rPr>
              <w:instrText>-2022&amp;</w:instrText>
            </w:r>
            <w:r w:rsidRPr="004377F9">
              <w:rPr>
                <w:i/>
                <w:iCs/>
              </w:rPr>
              <w:instrText>media</w:instrText>
            </w:r>
            <w:r w:rsidRPr="004377F9">
              <w:rPr>
                <w:i/>
                <w:iCs/>
                <w:lang w:val="ru-RU"/>
              </w:rPr>
              <w:instrText>=</w:instrText>
            </w:r>
            <w:r w:rsidRPr="004377F9">
              <w:rPr>
                <w:i/>
                <w:iCs/>
              </w:rPr>
              <w:instrText>electronic</w:instrText>
            </w:r>
            <w:r w:rsidRPr="004377F9">
              <w:rPr>
                <w:i/>
                <w:iCs/>
                <w:lang w:val="ru-RU"/>
              </w:rPr>
              <w:instrText>" \</w:instrText>
            </w:r>
            <w:r w:rsidRPr="004377F9">
              <w:rPr>
                <w:i/>
                <w:iCs/>
              </w:rPr>
              <w:instrText>h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ВКРЭ</w:t>
            </w:r>
            <w:proofErr w:type="spellEnd"/>
            <w:r w:rsidRPr="004377F9">
              <w:rPr>
                <w:rStyle w:val="Hyperlink"/>
                <w:i/>
                <w:iCs/>
              </w:rPr>
              <w:t>-22 (</w:t>
            </w:r>
            <w:proofErr w:type="spellStart"/>
            <w:r w:rsidRPr="004377F9">
              <w:rPr>
                <w:rStyle w:val="Hyperlink"/>
                <w:i/>
                <w:iCs/>
              </w:rPr>
              <w:t>Кигалийский</w:t>
            </w:r>
            <w:proofErr w:type="spellEnd"/>
            <w:r w:rsidRPr="004377F9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4377F9">
              <w:rPr>
                <w:rStyle w:val="Hyperlink"/>
                <w:i/>
                <w:iCs/>
              </w:rPr>
              <w:t>план</w:t>
            </w:r>
            <w:proofErr w:type="spellEnd"/>
            <w:r w:rsidRPr="004377F9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4377F9">
              <w:rPr>
                <w:rStyle w:val="Hyperlink"/>
                <w:i/>
                <w:iCs/>
              </w:rPr>
              <w:t>действий</w:t>
            </w:r>
            <w:proofErr w:type="spellEnd"/>
            <w:r w:rsidRPr="004377F9">
              <w:rPr>
                <w:rStyle w:val="Hyperlink"/>
                <w:i/>
                <w:iCs/>
              </w:rPr>
              <w:t>)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Style w:val="Hyperlink"/>
                <w:i/>
                <w:iCs/>
              </w:rPr>
              <w:t xml:space="preserve">; </w:t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веб-сайт РГС-ФЛР; документы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26-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C</w:instrText>
            </w:r>
            <w:r w:rsidRPr="004377F9">
              <w:rPr>
                <w:i/>
                <w:iCs/>
                <w:lang w:val="ru-RU"/>
              </w:rPr>
              <w:instrText>-0025/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C26</w:t>
            </w:r>
            <w:proofErr w:type="spellEnd"/>
            <w:r w:rsidRPr="004377F9">
              <w:rPr>
                <w:rStyle w:val="Hyperlink"/>
                <w:i/>
                <w:iCs/>
              </w:rPr>
              <w:t>/25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25-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C</w:instrText>
            </w:r>
            <w:r w:rsidRPr="004377F9">
              <w:rPr>
                <w:i/>
                <w:iCs/>
                <w:lang w:val="ru-RU"/>
              </w:rPr>
              <w:instrText>-0025/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 \</w:instrText>
            </w:r>
            <w:r w:rsidRPr="004377F9">
              <w:rPr>
                <w:i/>
                <w:iCs/>
              </w:rPr>
              <w:instrText>t</w:instrText>
            </w:r>
            <w:r w:rsidRPr="004377F9">
              <w:rPr>
                <w:i/>
                <w:iCs/>
                <w:lang w:val="ru-RU"/>
              </w:rPr>
              <w:instrText xml:space="preserve"> "_</w:instrText>
            </w:r>
            <w:r w:rsidRPr="004377F9">
              <w:rPr>
                <w:i/>
                <w:iCs/>
              </w:rPr>
              <w:instrText>blank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C25</w:t>
            </w:r>
            <w:proofErr w:type="spellEnd"/>
            <w:r w:rsidRPr="004377F9">
              <w:rPr>
                <w:rStyle w:val="Hyperlink"/>
                <w:i/>
                <w:iCs/>
              </w:rPr>
              <w:t>/25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25-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C</w:instrText>
            </w:r>
            <w:r w:rsidRPr="004377F9">
              <w:rPr>
                <w:i/>
                <w:iCs/>
                <w:lang w:val="ru-RU"/>
              </w:rPr>
              <w:instrText>-0105/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 \</w:instrText>
            </w:r>
            <w:r w:rsidRPr="004377F9">
              <w:rPr>
                <w:i/>
                <w:iCs/>
              </w:rPr>
              <w:instrText>t</w:instrText>
            </w:r>
            <w:r w:rsidRPr="004377F9">
              <w:rPr>
                <w:i/>
                <w:iCs/>
                <w:lang w:val="ru-RU"/>
              </w:rPr>
              <w:instrText xml:space="preserve"> "_</w:instrText>
            </w:r>
            <w:r w:rsidRPr="004377F9">
              <w:rPr>
                <w:i/>
                <w:iCs/>
              </w:rPr>
              <w:instrText>blank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C25</w:t>
            </w:r>
            <w:proofErr w:type="spellEnd"/>
            <w:r w:rsidRPr="004377F9">
              <w:rPr>
                <w:rStyle w:val="Hyperlink"/>
                <w:i/>
                <w:iCs/>
              </w:rPr>
              <w:t>/105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25-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-250617-</w:instrText>
            </w:r>
            <w:r w:rsidRPr="004377F9">
              <w:rPr>
                <w:i/>
                <w:iCs/>
              </w:rPr>
              <w:instrText>DL</w:instrText>
            </w:r>
            <w:r w:rsidRPr="004377F9">
              <w:rPr>
                <w:i/>
                <w:iCs/>
                <w:lang w:val="ru-RU"/>
              </w:rPr>
              <w:instrText>-0006/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 \</w:instrText>
            </w:r>
            <w:r w:rsidRPr="004377F9">
              <w:rPr>
                <w:i/>
                <w:iCs/>
              </w:rPr>
              <w:instrText>t</w:instrText>
            </w:r>
            <w:r w:rsidRPr="004377F9">
              <w:rPr>
                <w:i/>
                <w:iCs/>
                <w:lang w:val="ru-RU"/>
              </w:rPr>
              <w:instrText xml:space="preserve"> "_</w:instrText>
            </w:r>
            <w:r w:rsidRPr="004377F9">
              <w:rPr>
                <w:i/>
                <w:iCs/>
              </w:rPr>
              <w:instrText>blank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C25</w:t>
            </w:r>
            <w:proofErr w:type="spellEnd"/>
            <w:r w:rsidRPr="004377F9">
              <w:rPr>
                <w:rStyle w:val="Hyperlink"/>
                <w:i/>
                <w:iCs/>
              </w:rPr>
              <w:t>/DL/6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,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25-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C</w:instrText>
            </w:r>
            <w:r w:rsidRPr="004377F9">
              <w:rPr>
                <w:i/>
                <w:iCs/>
                <w:lang w:val="ru-RU"/>
              </w:rPr>
              <w:instrText>-0069/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 \</w:instrText>
            </w:r>
            <w:r w:rsidRPr="004377F9">
              <w:rPr>
                <w:i/>
                <w:iCs/>
              </w:rPr>
              <w:instrText>t</w:instrText>
            </w:r>
            <w:r w:rsidRPr="004377F9">
              <w:rPr>
                <w:i/>
                <w:iCs/>
                <w:lang w:val="ru-RU"/>
              </w:rPr>
              <w:instrText xml:space="preserve"> "_</w:instrText>
            </w:r>
            <w:r w:rsidRPr="004377F9">
              <w:rPr>
                <w:i/>
                <w:iCs/>
              </w:rPr>
              <w:instrText>blank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C25</w:t>
            </w:r>
            <w:proofErr w:type="spellEnd"/>
            <w:r w:rsidRPr="004377F9">
              <w:rPr>
                <w:rStyle w:val="Hyperlink"/>
                <w:i/>
                <w:iCs/>
              </w:rPr>
              <w:t>/69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и </w:t>
            </w:r>
            <w:r w:rsidRPr="004377F9">
              <w:rPr>
                <w:i/>
                <w:iCs/>
              </w:rPr>
              <w:fldChar w:fldCharType="begin"/>
            </w:r>
            <w:r w:rsidRPr="004377F9">
              <w:rPr>
                <w:i/>
                <w:iCs/>
              </w:rPr>
              <w:instrText>HYPERLINK</w:instrText>
            </w:r>
            <w:r w:rsidRPr="004377F9">
              <w:rPr>
                <w:i/>
                <w:iCs/>
                <w:lang w:val="ru-RU"/>
              </w:rPr>
              <w:instrText xml:space="preserve"> "</w:instrText>
            </w:r>
            <w:r w:rsidRPr="004377F9">
              <w:rPr>
                <w:i/>
                <w:iCs/>
              </w:rPr>
              <w:instrText>https</w:instrText>
            </w:r>
            <w:r w:rsidRPr="004377F9">
              <w:rPr>
                <w:i/>
                <w:iCs/>
                <w:lang w:val="ru-RU"/>
              </w:rPr>
              <w:instrText>://</w:instrText>
            </w:r>
            <w:r w:rsidRPr="004377F9">
              <w:rPr>
                <w:i/>
                <w:iCs/>
              </w:rPr>
              <w:instrText>www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itu</w:instrText>
            </w:r>
            <w:r w:rsidRPr="004377F9">
              <w:rPr>
                <w:i/>
                <w:iCs/>
                <w:lang w:val="ru-RU"/>
              </w:rPr>
              <w:instrText>.</w:instrText>
            </w:r>
            <w:r w:rsidRPr="004377F9">
              <w:rPr>
                <w:i/>
                <w:iCs/>
              </w:rPr>
              <w:instrText>int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md</w:instrText>
            </w:r>
            <w:r w:rsidRPr="004377F9">
              <w:rPr>
                <w:i/>
                <w:iCs/>
                <w:lang w:val="ru-RU"/>
              </w:rPr>
              <w:instrText>/</w:instrText>
            </w:r>
            <w:r w:rsidRPr="004377F9">
              <w:rPr>
                <w:i/>
                <w:iCs/>
              </w:rPr>
              <w:instrText>S</w:instrText>
            </w:r>
            <w:r w:rsidRPr="004377F9">
              <w:rPr>
                <w:i/>
                <w:iCs/>
                <w:lang w:val="ru-RU"/>
              </w:rPr>
              <w:instrText>26-</w:instrText>
            </w:r>
            <w:r w:rsidRPr="004377F9">
              <w:rPr>
                <w:i/>
                <w:iCs/>
              </w:rPr>
              <w:instrText>CL</w:instrText>
            </w:r>
            <w:r w:rsidRPr="004377F9">
              <w:rPr>
                <w:i/>
                <w:iCs/>
                <w:lang w:val="ru-RU"/>
              </w:rPr>
              <w:instrText>-</w:instrText>
            </w:r>
            <w:r w:rsidRPr="004377F9">
              <w:rPr>
                <w:i/>
                <w:iCs/>
              </w:rPr>
              <w:instrText>INF</w:instrText>
            </w:r>
            <w:r w:rsidRPr="004377F9">
              <w:rPr>
                <w:i/>
                <w:iCs/>
                <w:lang w:val="ru-RU"/>
              </w:rPr>
              <w:instrText>-0010/</w:instrText>
            </w:r>
            <w:r w:rsidRPr="004377F9">
              <w:rPr>
                <w:i/>
                <w:iCs/>
              </w:rPr>
              <w:instrText>en</w:instrText>
            </w:r>
            <w:r w:rsidRPr="004377F9">
              <w:rPr>
                <w:i/>
                <w:iCs/>
                <w:lang w:val="ru-RU"/>
              </w:rPr>
              <w:instrText>"</w:instrText>
            </w:r>
            <w:r w:rsidRPr="004377F9">
              <w:rPr>
                <w:i/>
                <w:iCs/>
              </w:rPr>
            </w:r>
            <w:r w:rsidRPr="004377F9">
              <w:rPr>
                <w:i/>
                <w:iCs/>
              </w:rPr>
              <w:fldChar w:fldCharType="separate"/>
            </w:r>
            <w:proofErr w:type="spellStart"/>
            <w:r w:rsidRPr="004377F9">
              <w:rPr>
                <w:rStyle w:val="Hyperlink"/>
                <w:i/>
                <w:iCs/>
              </w:rPr>
              <w:t>C26</w:t>
            </w:r>
            <w:proofErr w:type="spellEnd"/>
            <w:r w:rsidRPr="004377F9">
              <w:rPr>
                <w:rStyle w:val="Hyperlink"/>
                <w:i/>
                <w:iCs/>
              </w:rPr>
              <w:t>/INF/10</w:t>
            </w:r>
            <w:r w:rsidRPr="004377F9">
              <w:rPr>
                <w:i/>
                <w:iCs/>
              </w:rPr>
              <w:fldChar w:fldCharType="end"/>
            </w:r>
            <w:r w:rsidRPr="004377F9">
              <w:rPr>
                <w:rFonts w:asciiTheme="minorHAnsi" w:hAnsiTheme="minorHAnsi" w:cstheme="minorHAnsi"/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32430F34" w14:textId="77777777" w:rsidR="00796BD3" w:rsidRPr="00C35E8B" w:rsidRDefault="00796BD3" w:rsidP="00796BD3">
      <w:pPr>
        <w:rPr>
          <w:lang w:val="ru-RU"/>
        </w:rPr>
      </w:pPr>
    </w:p>
    <w:p w14:paraId="51AB1F26" w14:textId="77777777" w:rsidR="00D17718" w:rsidRPr="00C35E8B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2CD6C5CE" w14:textId="77777777" w:rsidR="00165D06" w:rsidRPr="00C35E8B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35E8B">
        <w:rPr>
          <w:lang w:val="ru-RU"/>
        </w:rPr>
        <w:br w:type="page"/>
      </w:r>
    </w:p>
    <w:p w14:paraId="3A7BCE1F" w14:textId="66A8F892" w:rsidR="00EE1578" w:rsidRPr="00C35E8B" w:rsidRDefault="00EE1578" w:rsidP="004377F9">
      <w:pPr>
        <w:jc w:val="both"/>
        <w:rPr>
          <w:rFonts w:eastAsia="Batang"/>
          <w:lang w:val="ru-RU"/>
        </w:rPr>
      </w:pPr>
      <w:r w:rsidRPr="00C35E8B">
        <w:rPr>
          <w:lang w:val="ru-RU"/>
        </w:rPr>
        <w:lastRenderedPageBreak/>
        <w:t xml:space="preserve">В настоящем документе представлено краткое изложение основных выводов заключительного отчета по обзору регионального присутствия МСЭ, проведенному от имени Генерального секретаря в соответствии с рекомендациями Совета-25 (Отчет Председателя Постоянного комитета по администрированию и управлению, Документ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25-</w:instrText>
      </w:r>
      <w:r>
        <w:instrText>CL</w:instrText>
      </w:r>
      <w:r w:rsidRPr="00484CEE">
        <w:rPr>
          <w:lang w:val="ru-RU"/>
        </w:rPr>
        <w:instrText>-</w:instrText>
      </w:r>
      <w:r>
        <w:instrText>C</w:instrText>
      </w:r>
      <w:r w:rsidRPr="00484CEE">
        <w:rPr>
          <w:lang w:val="ru-RU"/>
        </w:rPr>
        <w:instrText>-0105/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proofErr w:type="spellStart"/>
      <w:r w:rsidRPr="004377F9">
        <w:rPr>
          <w:rStyle w:val="Hyperlink"/>
        </w:rPr>
        <w:t>C25</w:t>
      </w:r>
      <w:proofErr w:type="spellEnd"/>
      <w:r w:rsidRPr="004377F9">
        <w:rPr>
          <w:rStyle w:val="Hyperlink"/>
        </w:rPr>
        <w:t>/105</w:t>
      </w:r>
      <w:r>
        <w:fldChar w:fldCharType="end"/>
      </w:r>
      <w:r w:rsidRPr="00C35E8B">
        <w:rPr>
          <w:lang w:val="ru-RU"/>
        </w:rPr>
        <w:t>, п.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26, Приложение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>H, Приложение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>A и Приложение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 xml:space="preserve">1). В Документе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26-</w:instrText>
      </w:r>
      <w:r>
        <w:instrText>CL</w:instrText>
      </w:r>
      <w:r w:rsidRPr="00484CEE">
        <w:rPr>
          <w:lang w:val="ru-RU"/>
        </w:rPr>
        <w:instrText>-</w:instrText>
      </w:r>
      <w:r>
        <w:instrText>INF</w:instrText>
      </w:r>
      <w:r w:rsidRPr="00484CEE">
        <w:rPr>
          <w:lang w:val="ru-RU"/>
        </w:rPr>
        <w:instrText>-0010/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proofErr w:type="spellStart"/>
      <w:r w:rsidRPr="004377F9">
        <w:rPr>
          <w:rStyle w:val="Hyperlink"/>
        </w:rPr>
        <w:t>C26</w:t>
      </w:r>
      <w:proofErr w:type="spellEnd"/>
      <w:r w:rsidRPr="004377F9">
        <w:rPr>
          <w:rStyle w:val="Hyperlink"/>
        </w:rPr>
        <w:t>/INF/10</w:t>
      </w:r>
      <w:r>
        <w:fldChar w:fldCharType="end"/>
      </w:r>
      <w:r w:rsidRPr="00C35E8B">
        <w:rPr>
          <w:lang w:val="ru-RU"/>
        </w:rPr>
        <w:t xml:space="preserve"> содержится базовая информация и контекст обзора, методика, определенная Советом, а также подробные выводы, сделанные по итогам обзора.</w:t>
      </w:r>
    </w:p>
    <w:p w14:paraId="3A9F5720" w14:textId="77777777" w:rsidR="00EE1578" w:rsidRPr="00C35E8B" w:rsidRDefault="00EE1578" w:rsidP="005A318A">
      <w:pPr>
        <w:pStyle w:val="Heading1"/>
      </w:pPr>
      <w:r w:rsidRPr="00C35E8B">
        <w:t>1</w:t>
      </w:r>
      <w:r w:rsidRPr="00C35E8B">
        <w:tab/>
        <w:t>Базовая информация</w:t>
      </w:r>
    </w:p>
    <w:p w14:paraId="0DDE34A1" w14:textId="56941D4D" w:rsidR="00EE1578" w:rsidRPr="00C35E8B" w:rsidRDefault="00EE1578" w:rsidP="004377F9">
      <w:pPr>
        <w:jc w:val="both"/>
        <w:rPr>
          <w:lang w:val="ru-RU"/>
        </w:rPr>
      </w:pPr>
      <w:r w:rsidRPr="00C35E8B">
        <w:rPr>
          <w:lang w:val="ru-RU"/>
        </w:rPr>
        <w:t>1.1</w:t>
      </w:r>
      <w:r w:rsidRPr="00C35E8B">
        <w:rPr>
          <w:lang w:val="ru-RU"/>
        </w:rPr>
        <w:tab/>
        <w:t>На своем 19-м собрании (30 сентября – 11 октября 2024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 xml:space="preserve">г.) Рабочая группа Совета по финансовым и людским ресурсам (РГС-ФЛР) учредила онлайновую группу, работающую по переписке (OCG), с целью разработки круга ведения для обзора регионального присутствия, что требуется в соответствии с Резолюцией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en</w:instrText>
      </w:r>
      <w:r w:rsidRPr="00484CEE">
        <w:rPr>
          <w:lang w:val="ru-RU"/>
        </w:rPr>
        <w:instrText>/</w:instrText>
      </w:r>
      <w:r>
        <w:instrText>council</w:instrText>
      </w:r>
      <w:r w:rsidRPr="00484CEE">
        <w:rPr>
          <w:lang w:val="ru-RU"/>
        </w:rPr>
        <w:instrText>/</w:instrText>
      </w:r>
      <w:r>
        <w:instrText>Documents</w:instrText>
      </w:r>
      <w:r w:rsidRPr="00484CEE">
        <w:rPr>
          <w:lang w:val="ru-RU"/>
        </w:rPr>
        <w:instrText>/</w:instrText>
      </w:r>
      <w:r>
        <w:instrText>basic</w:instrText>
      </w:r>
      <w:r w:rsidRPr="00484CEE">
        <w:rPr>
          <w:lang w:val="ru-RU"/>
        </w:rPr>
        <w:instrText>-</w:instrText>
      </w:r>
      <w:r>
        <w:instrText>texts</w:instrText>
      </w:r>
      <w:r w:rsidRPr="00484CEE">
        <w:rPr>
          <w:lang w:val="ru-RU"/>
        </w:rPr>
        <w:instrText>-2023/</w:instrText>
      </w:r>
      <w:r>
        <w:instrText>RES</w:instrText>
      </w:r>
      <w:r w:rsidRPr="00484CEE">
        <w:rPr>
          <w:lang w:val="ru-RU"/>
        </w:rPr>
        <w:instrText>-025-</w:instrText>
      </w:r>
      <w:r>
        <w:instrText>r</w:instrText>
      </w:r>
      <w:r w:rsidRPr="00484CEE">
        <w:rPr>
          <w:lang w:val="ru-RU"/>
        </w:rPr>
        <w:instrText>.</w:instrText>
      </w:r>
      <w:r>
        <w:instrText>pdf</w:instrText>
      </w:r>
      <w:r w:rsidRPr="00484CEE">
        <w:rPr>
          <w:lang w:val="ru-RU"/>
        </w:rPr>
        <w:instrText>"</w:instrText>
      </w:r>
      <w:r>
        <w:fldChar w:fldCharType="separate"/>
      </w:r>
      <w:r w:rsidRPr="004377F9">
        <w:rPr>
          <w:rStyle w:val="Hyperlink"/>
        </w:rPr>
        <w:t>25 (</w:t>
      </w:r>
      <w:proofErr w:type="spellStart"/>
      <w:r w:rsidRPr="004377F9">
        <w:rPr>
          <w:rStyle w:val="Hyperlink"/>
        </w:rPr>
        <w:t>Пересм</w:t>
      </w:r>
      <w:proofErr w:type="spellEnd"/>
      <w:r w:rsidRPr="004377F9">
        <w:rPr>
          <w:rStyle w:val="Hyperlink"/>
        </w:rPr>
        <w:t xml:space="preserve">. </w:t>
      </w:r>
      <w:proofErr w:type="spellStart"/>
      <w:r w:rsidRPr="004377F9">
        <w:rPr>
          <w:rStyle w:val="Hyperlink"/>
        </w:rPr>
        <w:t>Бухарест</w:t>
      </w:r>
      <w:proofErr w:type="spellEnd"/>
      <w:r w:rsidRPr="004377F9">
        <w:rPr>
          <w:rStyle w:val="Hyperlink"/>
        </w:rPr>
        <w:t>, 2022 г.)</w:t>
      </w:r>
      <w:r>
        <w:fldChar w:fldCharType="end"/>
      </w:r>
      <w:r w:rsidRPr="00C35E8B">
        <w:rPr>
          <w:lang w:val="ru-RU"/>
        </w:rPr>
        <w:t xml:space="preserve"> Полномочной конференции об укреплении регионального присутствия МСЭ.</w:t>
      </w:r>
    </w:p>
    <w:p w14:paraId="2095BB57" w14:textId="77777777" w:rsidR="00EE1578" w:rsidRPr="00C35E8B" w:rsidRDefault="00EE1578" w:rsidP="004377F9">
      <w:pPr>
        <w:jc w:val="both"/>
        <w:rPr>
          <w:lang w:val="ru-RU"/>
        </w:rPr>
      </w:pPr>
      <w:r w:rsidRPr="00C35E8B">
        <w:rPr>
          <w:lang w:val="ru-RU"/>
        </w:rPr>
        <w:t>1.2</w:t>
      </w:r>
      <w:r w:rsidRPr="00C35E8B">
        <w:rPr>
          <w:lang w:val="ru-RU"/>
        </w:rPr>
        <w:tab/>
        <w:t xml:space="preserve">В соответствии с пунктом 4 раздела </w:t>
      </w:r>
      <w:r w:rsidRPr="00C35E8B">
        <w:rPr>
          <w:i/>
          <w:iCs/>
          <w:lang w:val="ru-RU"/>
        </w:rPr>
        <w:t>поручает</w:t>
      </w:r>
      <w:r w:rsidRPr="00C35E8B">
        <w:rPr>
          <w:lang w:val="ru-RU"/>
        </w:rPr>
        <w:t xml:space="preserve"> данной Резолюции Генеральному секретарю необходимо</w:t>
      </w:r>
    </w:p>
    <w:p w14:paraId="2B40AA96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lang w:val="ru-RU"/>
        </w:rPr>
        <w:tab/>
        <w:t>"проводить один раз в четыре года в рамках имеющихся финансовых ресурсов обследование уровня удовлетворенности Государств-Членов, Членов Секторов и региональных организаций электросвязи региональным присутствием МСЭ и представлять полученные результаты в отчете для сессии Совета, которая проходит перед каждой полномочной конференцией".</w:t>
      </w:r>
    </w:p>
    <w:p w14:paraId="6ADCF5E3" w14:textId="296147C7" w:rsidR="00EE1578" w:rsidRPr="00C35E8B" w:rsidRDefault="00EE1578" w:rsidP="004377F9">
      <w:pPr>
        <w:jc w:val="both"/>
        <w:rPr>
          <w:spacing w:val="-3"/>
          <w:lang w:val="ru-RU"/>
        </w:rPr>
      </w:pPr>
      <w:r w:rsidRPr="00C35E8B">
        <w:rPr>
          <w:spacing w:val="-3"/>
          <w:lang w:val="ru-RU"/>
        </w:rPr>
        <w:t>1.3</w:t>
      </w:r>
      <w:r w:rsidRPr="00C35E8B">
        <w:rPr>
          <w:spacing w:val="-3"/>
          <w:lang w:val="ru-RU"/>
        </w:rPr>
        <w:tab/>
      </w:r>
      <w:r w:rsidRPr="00C35E8B">
        <w:rPr>
          <w:color w:val="000000" w:themeColor="text1"/>
          <w:spacing w:val="-3"/>
          <w:lang w:val="ru-RU"/>
        </w:rPr>
        <w:t>Пересмотренный круг ведения был рассмотрен на 20-м собрании РГС-ФЛР (10</w:t>
      </w:r>
      <w:r w:rsidRPr="00C35E8B">
        <w:rPr>
          <w:color w:val="000000" w:themeColor="text1"/>
          <w:spacing w:val="-3"/>
          <w:lang w:val="ru-RU"/>
        </w:rPr>
        <w:sym w:font="Symbol" w:char="F02D"/>
      </w:r>
      <w:r w:rsidRPr="00C35E8B">
        <w:rPr>
          <w:color w:val="000000" w:themeColor="text1"/>
          <w:spacing w:val="-3"/>
          <w:lang w:val="ru-RU"/>
        </w:rPr>
        <w:t xml:space="preserve">21 февраля 2025 г.). Эти отчеты о собраниях содержатся в Документах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24-</w:instrText>
      </w:r>
      <w:r>
        <w:instrText>CWGFHR</w:instrText>
      </w:r>
      <w:r w:rsidRPr="00484CEE">
        <w:rPr>
          <w:lang w:val="ru-RU"/>
        </w:rPr>
        <w:instrText>19-</w:instrText>
      </w:r>
      <w:r>
        <w:instrText>C</w:instrText>
      </w:r>
      <w:r w:rsidRPr="00484CEE">
        <w:rPr>
          <w:lang w:val="ru-RU"/>
        </w:rPr>
        <w:instrText>-0015/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r w:rsidRPr="004377F9">
        <w:rPr>
          <w:rStyle w:val="Hyperlink"/>
        </w:rPr>
        <w:t>CWG-FHR-19/15</w:t>
      </w:r>
      <w:r>
        <w:fldChar w:fldCharType="end"/>
      </w:r>
      <w:r w:rsidRPr="00C35E8B">
        <w:rPr>
          <w:color w:val="000000" w:themeColor="text1"/>
          <w:spacing w:val="-3"/>
          <w:lang w:val="ru-RU"/>
        </w:rPr>
        <w:t xml:space="preserve"> и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25-</w:instrText>
      </w:r>
      <w:r>
        <w:instrText>CWGFHR</w:instrText>
      </w:r>
      <w:r w:rsidRPr="00484CEE">
        <w:rPr>
          <w:lang w:val="ru-RU"/>
        </w:rPr>
        <w:instrText>20-</w:instrText>
      </w:r>
      <w:r>
        <w:instrText>C</w:instrText>
      </w:r>
      <w:r w:rsidRPr="00484CEE">
        <w:rPr>
          <w:lang w:val="ru-RU"/>
        </w:rPr>
        <w:instrText>-0032/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proofErr w:type="spellStart"/>
      <w:r w:rsidRPr="004377F9">
        <w:rPr>
          <w:rStyle w:val="Hyperlink"/>
        </w:rPr>
        <w:t>CWG­FHR­20</w:t>
      </w:r>
      <w:proofErr w:type="spellEnd"/>
      <w:r w:rsidRPr="004377F9">
        <w:rPr>
          <w:rStyle w:val="Hyperlink"/>
        </w:rPr>
        <w:t>/32</w:t>
      </w:r>
      <w:r>
        <w:fldChar w:fldCharType="end"/>
      </w:r>
      <w:r w:rsidRPr="00C35E8B">
        <w:rPr>
          <w:color w:val="000000" w:themeColor="text1"/>
          <w:spacing w:val="-3"/>
          <w:lang w:val="ru-RU"/>
        </w:rPr>
        <w:t>.</w:t>
      </w:r>
    </w:p>
    <w:p w14:paraId="39D1E48D" w14:textId="77777777" w:rsidR="00EE1578" w:rsidRPr="00C35E8B" w:rsidRDefault="00EE1578" w:rsidP="004377F9">
      <w:pPr>
        <w:jc w:val="both"/>
        <w:rPr>
          <w:lang w:val="ru-RU"/>
        </w:rPr>
      </w:pPr>
      <w:r w:rsidRPr="00C35E8B">
        <w:rPr>
          <w:lang w:val="ru-RU"/>
        </w:rPr>
        <w:t>1.4</w:t>
      </w:r>
      <w:r w:rsidRPr="00C35E8B">
        <w:rPr>
          <w:lang w:val="ru-RU"/>
        </w:rPr>
        <w:tab/>
        <w:t>После непродолжительного обсуждения Совет-25 дал следующие инструкции Секретариату Международного союза электросвязи (МСЭ) и Бюро развития электросвязи (БРЭ):</w:t>
      </w:r>
    </w:p>
    <w:p w14:paraId="4439BC08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lang w:val="ru-RU"/>
        </w:rPr>
        <w:t>a)</w:t>
      </w:r>
      <w:r w:rsidRPr="00C35E8B">
        <w:rPr>
          <w:lang w:val="ru-RU"/>
        </w:rPr>
        <w:tab/>
        <w:t>обзор регионального присутствия МСЭ будет проводиться Генеральным секретарем при поддержке Межсекторальной целевой группы в составе Директоров трех Бюро и назначенных ими лиц, а также директоров региональных отделений МСЭ под председательством заместителя Генерального секретаря МСЭ;</w:t>
      </w:r>
    </w:p>
    <w:p w14:paraId="75EF4B55" w14:textId="203A3D49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lang w:val="ru-RU"/>
        </w:rPr>
        <w:t>b)</w:t>
      </w:r>
      <w:r w:rsidRPr="00C35E8B">
        <w:rPr>
          <w:lang w:val="ru-RU"/>
        </w:rPr>
        <w:tab/>
        <w:t>обзор будет проводиться в рамках утвержденного бюджета МСЭ и имеющихся людских ресурсов МСЭ. Внешние консультанты привлекаться не будут;</w:t>
      </w:r>
    </w:p>
    <w:p w14:paraId="7829E034" w14:textId="0922D11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lang w:val="ru-RU"/>
        </w:rPr>
        <w:t>c)</w:t>
      </w:r>
      <w:r w:rsidRPr="00C35E8B">
        <w:rPr>
          <w:lang w:val="ru-RU"/>
        </w:rPr>
        <w:tab/>
        <w:t>Межсекторальная целевая группа в ходе обзора будет в первую очередь ориентироваться на вклад БРЭ. БРЭ отвечает за проведение второго этапа обзора (сбор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>данных, сопоставительный и предварительный анализ) (описание четырех этапов см. в разделе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2 ниже);</w:t>
      </w:r>
    </w:p>
    <w:p w14:paraId="798B337B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lang w:val="ru-RU"/>
        </w:rPr>
        <w:t>d)</w:t>
      </w:r>
      <w:r w:rsidRPr="00C35E8B">
        <w:rPr>
          <w:lang w:val="ru-RU"/>
        </w:rPr>
        <w:tab/>
        <w:t>признается, что участие Государств-Членов является важнейшей составляющей обзора. Генеральный секретарь представит отчет о результатах обзора РГС-ФЛР и Совету МСЭ в соответствии с требованиями.</w:t>
      </w:r>
    </w:p>
    <w:p w14:paraId="6C42FAFB" w14:textId="140B5D0F" w:rsidR="00EE1578" w:rsidRPr="00C35E8B" w:rsidRDefault="00EE1578" w:rsidP="004377F9">
      <w:pPr>
        <w:jc w:val="both"/>
        <w:rPr>
          <w:highlight w:val="yellow"/>
          <w:lang w:val="ru-RU"/>
        </w:rPr>
      </w:pPr>
      <w:r w:rsidRPr="00C35E8B">
        <w:rPr>
          <w:lang w:val="ru-RU"/>
        </w:rPr>
        <w:t>1.5</w:t>
      </w:r>
      <w:r w:rsidRPr="00C35E8B">
        <w:rPr>
          <w:lang w:val="ru-RU"/>
        </w:rPr>
        <w:tab/>
        <w:t>Была создана Межсекторальная целевая группа (МСЦГ) по обзору регионального присутствия под председательством заместителя Генерального секретаря, в состав которой входят Директора трех Бюро, директора региональных отделений и другие представители Бюро развития, Бюро радиосвязи и Бюро стандартизации, а также Генерального секретариата.</w:t>
      </w:r>
    </w:p>
    <w:p w14:paraId="60A34E6A" w14:textId="77777777" w:rsidR="00EE1578" w:rsidRPr="00C35E8B" w:rsidRDefault="00EE1578" w:rsidP="005A318A">
      <w:pPr>
        <w:pStyle w:val="Heading1"/>
      </w:pPr>
      <w:r w:rsidRPr="00C35E8B">
        <w:t>2</w:t>
      </w:r>
      <w:r w:rsidRPr="00C35E8B">
        <w:tab/>
        <w:t>Структура обзора, график и результаты работы</w:t>
      </w:r>
    </w:p>
    <w:p w14:paraId="7404339D" w14:textId="4B3758A0" w:rsidR="00EE1578" w:rsidRPr="00C35E8B" w:rsidRDefault="00EE1578" w:rsidP="004377F9">
      <w:pPr>
        <w:spacing w:after="120"/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2.1</w:t>
      </w:r>
      <w:r w:rsidRPr="00C35E8B">
        <w:rPr>
          <w:lang w:val="ru-RU"/>
        </w:rPr>
        <w:tab/>
      </w:r>
      <w:r w:rsidRPr="00C35E8B">
        <w:rPr>
          <w:rFonts w:asciiTheme="minorHAnsi" w:hAnsiTheme="minorHAnsi" w:cstheme="minorBidi"/>
          <w:lang w:val="ru-RU"/>
        </w:rPr>
        <w:t>Обзор длился 10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месяцев – с июля 2025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года по апрель 2026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 xml:space="preserve">года – и состоял из четырех этапов, как это изложено в Документе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25-</w:instrText>
      </w:r>
      <w:r>
        <w:instrText>CL</w:instrText>
      </w:r>
      <w:r w:rsidRPr="00484CEE">
        <w:rPr>
          <w:lang w:val="ru-RU"/>
        </w:rPr>
        <w:instrText>-</w:instrText>
      </w:r>
      <w:r>
        <w:instrText>C</w:instrText>
      </w:r>
      <w:r w:rsidRPr="00484CEE">
        <w:rPr>
          <w:lang w:val="ru-RU"/>
        </w:rPr>
        <w:instrText>-0069/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proofErr w:type="spellStart"/>
      <w:r w:rsidRPr="004377F9">
        <w:rPr>
          <w:rStyle w:val="Hyperlink"/>
        </w:rPr>
        <w:t>C25</w:t>
      </w:r>
      <w:proofErr w:type="spellEnd"/>
      <w:r w:rsidRPr="004377F9">
        <w:rPr>
          <w:rStyle w:val="Hyperlink"/>
        </w:rPr>
        <w:t>/69(</w:t>
      </w:r>
      <w:proofErr w:type="spellStart"/>
      <w:r w:rsidRPr="004377F9">
        <w:rPr>
          <w:rStyle w:val="Hyperlink"/>
        </w:rPr>
        <w:t>Rev.1</w:t>
      </w:r>
      <w:proofErr w:type="spellEnd"/>
      <w:r w:rsidRPr="004377F9">
        <w:rPr>
          <w:rStyle w:val="Hyperlink"/>
        </w:rPr>
        <w:t>)</w:t>
      </w:r>
      <w:r>
        <w:fldChar w:fldCharType="end"/>
      </w:r>
      <w:r w:rsidRPr="00C35E8B">
        <w:rPr>
          <w:rFonts w:asciiTheme="minorHAnsi" w:hAnsiTheme="minorHAnsi" w:cstheme="minorBidi"/>
          <w:lang w:val="ru-RU"/>
        </w:rPr>
        <w:t xml:space="preserve"> и кратко представлено в таблице ниже. В </w:t>
      </w:r>
      <w:r w:rsidRPr="00C35E8B">
        <w:rPr>
          <w:rFonts w:asciiTheme="minorHAnsi" w:hAnsiTheme="minorHAnsi" w:cstheme="minorBidi"/>
          <w:lang w:val="ru-RU"/>
        </w:rPr>
        <w:lastRenderedPageBreak/>
        <w:t>графики были внесены коррективы в свете вкладов, полученных на специальной сессии, созванной во время Всемирной конференции по развитию электросвязи.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55"/>
        <w:gridCol w:w="1730"/>
        <w:gridCol w:w="5576"/>
      </w:tblGrid>
      <w:tr w:rsidR="00EE1578" w:rsidRPr="00C35E8B" w14:paraId="6C0CF843" w14:textId="77777777" w:rsidTr="00E63DCD">
        <w:trPr>
          <w:trHeight w:val="300"/>
        </w:trPr>
        <w:tc>
          <w:tcPr>
            <w:tcW w:w="968" w:type="pct"/>
            <w:vAlign w:val="center"/>
          </w:tcPr>
          <w:p w14:paraId="1E19515C" w14:textId="254FC080" w:rsidR="00EE1578" w:rsidRPr="00C35E8B" w:rsidRDefault="00EE1578" w:rsidP="00EE1578">
            <w:pPr>
              <w:pStyle w:val="Tablehead"/>
              <w:rPr>
                <w:lang w:val="ru-RU"/>
              </w:rPr>
            </w:pPr>
            <w:r w:rsidRPr="00C35E8B">
              <w:rPr>
                <w:lang w:val="ru-RU"/>
              </w:rPr>
              <w:t>Этап</w:t>
            </w:r>
            <w:r w:rsidRPr="00C35E8B">
              <w:rPr>
                <w:lang w:val="ru-RU"/>
              </w:rPr>
              <w:br/>
              <w:t>(прогресс)</w:t>
            </w:r>
          </w:p>
        </w:tc>
        <w:tc>
          <w:tcPr>
            <w:tcW w:w="955" w:type="pct"/>
            <w:vAlign w:val="center"/>
          </w:tcPr>
          <w:p w14:paraId="4C52F91C" w14:textId="2344C38A" w:rsidR="00EE1578" w:rsidRPr="00C35E8B" w:rsidRDefault="00EE1578" w:rsidP="00EE1578">
            <w:pPr>
              <w:pStyle w:val="Tablehead"/>
              <w:rPr>
                <w:lang w:val="ru-RU"/>
              </w:rPr>
            </w:pPr>
            <w:r w:rsidRPr="00C35E8B">
              <w:rPr>
                <w:lang w:val="ru-RU"/>
              </w:rPr>
              <w:t>Период</w:t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времени</w:t>
            </w:r>
          </w:p>
        </w:tc>
        <w:tc>
          <w:tcPr>
            <w:tcW w:w="3077" w:type="pct"/>
            <w:vAlign w:val="center"/>
          </w:tcPr>
          <w:p w14:paraId="262B73FA" w14:textId="77777777" w:rsidR="00EE1578" w:rsidRPr="00C35E8B" w:rsidRDefault="00EE1578" w:rsidP="00EE1578">
            <w:pPr>
              <w:pStyle w:val="Tablehead"/>
              <w:rPr>
                <w:lang w:val="ru-RU"/>
              </w:rPr>
            </w:pPr>
            <w:r w:rsidRPr="00C35E8B">
              <w:rPr>
                <w:lang w:val="ru-RU"/>
              </w:rPr>
              <w:t>Результаты работы</w:t>
            </w:r>
          </w:p>
        </w:tc>
      </w:tr>
      <w:tr w:rsidR="00EE1578" w:rsidRPr="00484CEE" w14:paraId="148E8166" w14:textId="77777777" w:rsidTr="00E63DCD">
        <w:trPr>
          <w:trHeight w:val="300"/>
        </w:trPr>
        <w:tc>
          <w:tcPr>
            <w:tcW w:w="968" w:type="pct"/>
          </w:tcPr>
          <w:p w14:paraId="489D1641" w14:textId="0B2ACCEE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b/>
                <w:bCs/>
                <w:lang w:val="ru-RU"/>
              </w:rPr>
              <w:t>Этап 1</w:t>
            </w:r>
            <w:r w:rsidRPr="00C35E8B">
              <w:rPr>
                <w:lang w:val="ru-RU"/>
              </w:rPr>
              <w:t>.</w:t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Предварительная оценка</w:t>
            </w:r>
          </w:p>
        </w:tc>
        <w:tc>
          <w:tcPr>
            <w:tcW w:w="955" w:type="pct"/>
          </w:tcPr>
          <w:p w14:paraId="4D6B9574" w14:textId="3B48ED6C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Июль</w:t>
            </w:r>
            <w:r w:rsidR="001606A7" w:rsidRPr="00C35E8B">
              <w:rPr>
                <w:lang w:val="ru-RU"/>
              </w:rPr>
              <w:sym w:font="Symbol" w:char="F02D"/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август 2025 г.</w:t>
            </w:r>
          </w:p>
        </w:tc>
        <w:tc>
          <w:tcPr>
            <w:tcW w:w="3077" w:type="pct"/>
          </w:tcPr>
          <w:p w14:paraId="335154D0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Формирование рабочей группы для проведения обзора и разработка рабочих протоколов.</w:t>
            </w:r>
          </w:p>
          <w:p w14:paraId="522F88F3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Формулирование цели проверки и определение методики.</w:t>
            </w:r>
          </w:p>
          <w:p w14:paraId="04A5C6DF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Разработка специальных инструментов для сбора данных (например, анкет, вопросов для собеседования).</w:t>
            </w:r>
          </w:p>
          <w:p w14:paraId="66CAFE66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Согласование показателей обзора с ключевыми показателями деятельности (KPI) и стратегическими целями МСЭ.</w:t>
            </w:r>
          </w:p>
        </w:tc>
      </w:tr>
      <w:tr w:rsidR="00EE1578" w:rsidRPr="00484CEE" w14:paraId="156FC91F" w14:textId="77777777" w:rsidTr="00E63DCD">
        <w:trPr>
          <w:trHeight w:val="300"/>
        </w:trPr>
        <w:tc>
          <w:tcPr>
            <w:tcW w:w="968" w:type="pct"/>
          </w:tcPr>
          <w:p w14:paraId="3A06E093" w14:textId="61BE8B9F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b/>
                <w:bCs/>
                <w:lang w:val="ru-RU"/>
              </w:rPr>
              <w:t>Этап 2</w:t>
            </w:r>
            <w:r w:rsidRPr="00C35E8B">
              <w:rPr>
                <w:lang w:val="ru-RU"/>
              </w:rPr>
              <w:t>.</w:t>
            </w:r>
            <w:r w:rsidRPr="00C35E8B">
              <w:rPr>
                <w:b/>
                <w:bCs/>
                <w:lang w:val="ru-RU"/>
              </w:rPr>
              <w:br/>
            </w:r>
            <w:r w:rsidRPr="00C35E8B">
              <w:rPr>
                <w:lang w:val="ru-RU"/>
              </w:rPr>
              <w:t xml:space="preserve">Сбор данных и предварительный анализ </w:t>
            </w:r>
          </w:p>
        </w:tc>
        <w:tc>
          <w:tcPr>
            <w:tcW w:w="955" w:type="pct"/>
          </w:tcPr>
          <w:p w14:paraId="34E23BEC" w14:textId="77C90E5D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Сентябрь</w:t>
            </w:r>
            <w:r w:rsidR="001606A7" w:rsidRPr="00C35E8B">
              <w:rPr>
                <w:lang w:val="ru-RU"/>
              </w:rPr>
              <w:sym w:font="Symbol" w:char="F02D"/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ноябрь 2025 г.</w:t>
            </w:r>
          </w:p>
        </w:tc>
        <w:tc>
          <w:tcPr>
            <w:tcW w:w="3077" w:type="pct"/>
          </w:tcPr>
          <w:p w14:paraId="6621A260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Проведение собеседований и опросов среди групп заинтересованных сторон.</w:t>
            </w:r>
          </w:p>
          <w:p w14:paraId="335F2E51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Сравнительный анализ.</w:t>
            </w:r>
          </w:p>
          <w:p w14:paraId="6580B36A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Предварительный анализ и выявление новых тенденций и ключевых тем.</w:t>
            </w:r>
          </w:p>
        </w:tc>
      </w:tr>
      <w:tr w:rsidR="00EE1578" w:rsidRPr="00484CEE" w14:paraId="4C161DFA" w14:textId="77777777" w:rsidTr="00E63DCD">
        <w:trPr>
          <w:trHeight w:val="300"/>
        </w:trPr>
        <w:tc>
          <w:tcPr>
            <w:tcW w:w="968" w:type="pct"/>
          </w:tcPr>
          <w:p w14:paraId="7C83550B" w14:textId="39A18B0D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b/>
                <w:bCs/>
                <w:lang w:val="ru-RU"/>
              </w:rPr>
              <w:t>Этап 3</w:t>
            </w:r>
            <w:r w:rsidRPr="00C35E8B">
              <w:rPr>
                <w:lang w:val="ru-RU"/>
              </w:rPr>
              <w:t>.</w:t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Подробный анализ и подготовка отчета</w:t>
            </w:r>
          </w:p>
        </w:tc>
        <w:tc>
          <w:tcPr>
            <w:tcW w:w="955" w:type="pct"/>
          </w:tcPr>
          <w:p w14:paraId="55627C55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Декабрь 2025 г. – февраль 2026 г.</w:t>
            </w:r>
          </w:p>
        </w:tc>
        <w:tc>
          <w:tcPr>
            <w:tcW w:w="3077" w:type="pct"/>
          </w:tcPr>
          <w:p w14:paraId="3E48B41A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Всесторонний анализ результатов обзора на основе итогов предварительного анализа.</w:t>
            </w:r>
          </w:p>
          <w:p w14:paraId="06322084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Подготовка проекта отчета о проведении обзора, включающего предварительные рекомендации.</w:t>
            </w:r>
          </w:p>
        </w:tc>
      </w:tr>
      <w:tr w:rsidR="00EE1578" w:rsidRPr="00484CEE" w14:paraId="512C9B3D" w14:textId="77777777" w:rsidTr="00E63DCD">
        <w:trPr>
          <w:trHeight w:val="300"/>
        </w:trPr>
        <w:tc>
          <w:tcPr>
            <w:tcW w:w="968" w:type="pct"/>
          </w:tcPr>
          <w:p w14:paraId="0788D83D" w14:textId="59EF289B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b/>
                <w:bCs/>
                <w:lang w:val="ru-RU"/>
              </w:rPr>
              <w:t>Этап 4</w:t>
            </w:r>
            <w:r w:rsidRPr="00C35E8B">
              <w:rPr>
                <w:lang w:val="ru-RU"/>
              </w:rPr>
              <w:t>.</w:t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Проверка информации и представление отчетности</w:t>
            </w:r>
          </w:p>
        </w:tc>
        <w:tc>
          <w:tcPr>
            <w:tcW w:w="955" w:type="pct"/>
          </w:tcPr>
          <w:p w14:paraId="27DC5C86" w14:textId="77390695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Март</w:t>
            </w:r>
            <w:r w:rsidR="001606A7" w:rsidRPr="00C35E8B">
              <w:rPr>
                <w:lang w:val="ru-RU"/>
              </w:rPr>
              <w:sym w:font="Symbol" w:char="F02D"/>
            </w:r>
            <w:r w:rsidR="00E63DCD" w:rsidRPr="00C35E8B">
              <w:rPr>
                <w:lang w:val="ru-RU"/>
              </w:rPr>
              <w:br/>
            </w:r>
            <w:r w:rsidRPr="00C35E8B">
              <w:rPr>
                <w:lang w:val="ru-RU"/>
              </w:rPr>
              <w:t>апрель 2026 г.</w:t>
            </w:r>
          </w:p>
        </w:tc>
        <w:tc>
          <w:tcPr>
            <w:tcW w:w="3077" w:type="pct"/>
          </w:tcPr>
          <w:p w14:paraId="4BD65BA4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Проверка информации, содержащейся в проекте отчета о проведении обзора.</w:t>
            </w:r>
          </w:p>
          <w:p w14:paraId="7986900C" w14:textId="14206ED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Учет отзывов и замечаний по результатам проверки</w:t>
            </w:r>
            <w:r w:rsidR="00E63DCD" w:rsidRPr="00C35E8B">
              <w:rPr>
                <w:lang w:val="ru-RU"/>
              </w:rPr>
              <w:t> </w:t>
            </w:r>
            <w:r w:rsidRPr="00C35E8B">
              <w:rPr>
                <w:lang w:val="ru-RU"/>
              </w:rPr>
              <w:t>информации.</w:t>
            </w:r>
          </w:p>
          <w:p w14:paraId="3A5104A9" w14:textId="77777777" w:rsidR="00EE1578" w:rsidRPr="00C35E8B" w:rsidRDefault="00EE1578" w:rsidP="00E35DD9">
            <w:pPr>
              <w:pStyle w:val="Tabletext"/>
              <w:ind w:left="284" w:hanging="284"/>
              <w:rPr>
                <w:lang w:val="ru-RU"/>
              </w:rPr>
            </w:pPr>
            <w:r w:rsidRPr="00C35E8B">
              <w:rPr>
                <w:rFonts w:ascii="Symbol" w:hAnsi="Symbol"/>
                <w:lang w:val="ru-RU"/>
              </w:rPr>
              <w:t></w:t>
            </w:r>
            <w:r w:rsidRPr="00C35E8B">
              <w:rPr>
                <w:rFonts w:ascii="Symbol" w:hAnsi="Symbol"/>
                <w:lang w:val="ru-RU"/>
              </w:rPr>
              <w:tab/>
            </w:r>
            <w:r w:rsidRPr="00C35E8B">
              <w:rPr>
                <w:lang w:val="ru-RU"/>
              </w:rPr>
              <w:t>Подготовка заключительного отчета о проведении обзора для рассмотрения Советом и Полномочной конференцией 2026 года (ПК-26).</w:t>
            </w:r>
          </w:p>
        </w:tc>
      </w:tr>
    </w:tbl>
    <w:p w14:paraId="06AB59BC" w14:textId="77777777" w:rsidR="00EE1578" w:rsidRPr="00C35E8B" w:rsidRDefault="00EE1578" w:rsidP="005A318A">
      <w:pPr>
        <w:pStyle w:val="Heading1"/>
      </w:pPr>
      <w:r w:rsidRPr="00C35E8B">
        <w:t>3</w:t>
      </w:r>
      <w:r w:rsidRPr="00C35E8B">
        <w:tab/>
        <w:t>Работа, выполненная БРЭ</w:t>
      </w:r>
    </w:p>
    <w:p w14:paraId="769E318C" w14:textId="77777777" w:rsidR="00EE1578" w:rsidRPr="00C35E8B" w:rsidRDefault="00EE1578" w:rsidP="004377F9">
      <w:pPr>
        <w:jc w:val="both"/>
        <w:rPr>
          <w:b/>
          <w:bCs/>
          <w:lang w:val="ru-RU"/>
        </w:rPr>
      </w:pPr>
      <w:r w:rsidRPr="00C35E8B">
        <w:rPr>
          <w:lang w:val="ru-RU"/>
        </w:rPr>
        <w:t>3.1</w:t>
      </w:r>
      <w:r w:rsidRPr="00C35E8B">
        <w:rPr>
          <w:lang w:val="ru-RU"/>
        </w:rPr>
        <w:tab/>
        <w:t>В качестве вклада в подготовку отчета Генерального секретаря МСЭ БРЭ осуществило следующие виды деятельности:</w:t>
      </w:r>
    </w:p>
    <w:p w14:paraId="2DDFC72A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rFonts w:eastAsia="Aptos"/>
          <w:lang w:val="ru-RU"/>
        </w:rPr>
        <w:t>1)</w:t>
      </w:r>
      <w:r w:rsidRPr="00C35E8B">
        <w:rPr>
          <w:rFonts w:eastAsia="Aptos"/>
          <w:lang w:val="ru-RU"/>
        </w:rPr>
        <w:tab/>
      </w:r>
      <w:r w:rsidRPr="00C35E8B">
        <w:rPr>
          <w:lang w:val="ru-RU"/>
        </w:rPr>
        <w:t>подготовка и проведение опроса членов МСЭ;</w:t>
      </w:r>
    </w:p>
    <w:p w14:paraId="7CE8611C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rFonts w:eastAsia="Aptos"/>
          <w:lang w:val="ru-RU"/>
        </w:rPr>
        <w:t>2)</w:t>
      </w:r>
      <w:r w:rsidRPr="00C35E8B">
        <w:rPr>
          <w:rFonts w:eastAsia="Aptos"/>
          <w:lang w:val="ru-RU"/>
        </w:rPr>
        <w:tab/>
      </w:r>
      <w:r w:rsidRPr="00C35E8B">
        <w:rPr>
          <w:lang w:val="ru-RU"/>
        </w:rPr>
        <w:t>аналитический обзор;</w:t>
      </w:r>
    </w:p>
    <w:p w14:paraId="79E25A9E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rFonts w:eastAsia="Aptos"/>
          <w:lang w:val="ru-RU"/>
        </w:rPr>
        <w:t>3)</w:t>
      </w:r>
      <w:r w:rsidRPr="00C35E8B">
        <w:rPr>
          <w:rFonts w:eastAsia="Aptos"/>
          <w:lang w:val="ru-RU"/>
        </w:rPr>
        <w:tab/>
      </w:r>
      <w:r w:rsidRPr="00C35E8B">
        <w:rPr>
          <w:lang w:val="ru-RU"/>
        </w:rPr>
        <w:t>консультации с заинтересованными сторонами, включая разработку и начало проведения обследования по внутренней оценке (IA) и собеседований с представителями РОЭ;</w:t>
      </w:r>
    </w:p>
    <w:p w14:paraId="7BBB4B84" w14:textId="77777777" w:rsidR="00EE1578" w:rsidRPr="00C35E8B" w:rsidRDefault="00EE1578" w:rsidP="004377F9">
      <w:pPr>
        <w:pStyle w:val="enumlev1"/>
        <w:jc w:val="both"/>
        <w:rPr>
          <w:lang w:val="ru-RU"/>
        </w:rPr>
      </w:pPr>
      <w:r w:rsidRPr="00C35E8B">
        <w:rPr>
          <w:rFonts w:eastAsia="Aptos"/>
          <w:lang w:val="ru-RU"/>
        </w:rPr>
        <w:t>4)</w:t>
      </w:r>
      <w:r w:rsidRPr="00C35E8B">
        <w:rPr>
          <w:rFonts w:eastAsia="Aptos"/>
          <w:lang w:val="ru-RU"/>
        </w:rPr>
        <w:tab/>
      </w:r>
      <w:r w:rsidRPr="00C35E8B">
        <w:rPr>
          <w:lang w:val="ru-RU"/>
        </w:rPr>
        <w:t>периодическая отчетность в соответствии с поручениями РГС-ФЛР и Совета.</w:t>
      </w:r>
    </w:p>
    <w:p w14:paraId="5B4D0B5A" w14:textId="77777777" w:rsidR="00EE1578" w:rsidRPr="00C35E8B" w:rsidRDefault="00EE1578" w:rsidP="004377F9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С более подробной информацией об указанных выше видах деятельности можно ознакомиться в информационном документе (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26-</w:instrText>
      </w:r>
      <w:r>
        <w:instrText>CL</w:instrText>
      </w:r>
      <w:r w:rsidRPr="00484CEE">
        <w:rPr>
          <w:lang w:val="ru-RU"/>
        </w:rPr>
        <w:instrText>-</w:instrText>
      </w:r>
      <w:r>
        <w:instrText>INF</w:instrText>
      </w:r>
      <w:r w:rsidRPr="00484CEE">
        <w:rPr>
          <w:lang w:val="ru-RU"/>
        </w:rPr>
        <w:instrText>-0010/</w:instrText>
      </w:r>
      <w:r>
        <w:instrText>en</w:instrText>
      </w:r>
      <w:r w:rsidRPr="00484CEE">
        <w:rPr>
          <w:lang w:val="ru-RU"/>
        </w:rPr>
        <w:instrText>" \</w:instrText>
      </w:r>
      <w:r>
        <w:instrText>h</w:instrText>
      </w:r>
      <w:r>
        <w:fldChar w:fldCharType="separate"/>
      </w:r>
      <w:proofErr w:type="spellStart"/>
      <w:r w:rsidRPr="004377F9">
        <w:rPr>
          <w:rStyle w:val="Hyperlink"/>
        </w:rPr>
        <w:t>C26</w:t>
      </w:r>
      <w:proofErr w:type="spellEnd"/>
      <w:r w:rsidRPr="004377F9">
        <w:rPr>
          <w:rStyle w:val="Hyperlink"/>
        </w:rPr>
        <w:t>/INF/10</w:t>
      </w:r>
      <w:r>
        <w:fldChar w:fldCharType="end"/>
      </w:r>
      <w:r w:rsidRPr="00C35E8B">
        <w:rPr>
          <w:rFonts w:asciiTheme="minorHAnsi" w:hAnsiTheme="minorHAnsi" w:cstheme="minorBidi"/>
          <w:lang w:val="ru-RU"/>
        </w:rPr>
        <w:t>).</w:t>
      </w:r>
    </w:p>
    <w:p w14:paraId="35B95409" w14:textId="77777777" w:rsidR="00EE1578" w:rsidRPr="00C35E8B" w:rsidRDefault="00EE1578" w:rsidP="005A318A">
      <w:pPr>
        <w:pStyle w:val="Heading1"/>
      </w:pPr>
      <w:r w:rsidRPr="00C35E8B">
        <w:t>4</w:t>
      </w:r>
      <w:r w:rsidRPr="00C35E8B">
        <w:tab/>
        <w:t>Методология</w:t>
      </w:r>
    </w:p>
    <w:p w14:paraId="21D9BD08" w14:textId="0FB057F1" w:rsidR="00EE1578" w:rsidRPr="00C35E8B" w:rsidRDefault="00EE1578" w:rsidP="004377F9">
      <w:pPr>
        <w:spacing w:after="120"/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4.1</w:t>
      </w:r>
      <w:r w:rsidRPr="00C35E8B">
        <w:rPr>
          <w:rFonts w:asciiTheme="minorHAnsi" w:hAnsiTheme="minorHAnsi" w:cstheme="minorBidi"/>
          <w:lang w:val="ru-RU"/>
        </w:rPr>
        <w:tab/>
        <w:t>Методика обзора соответствовала кругу ведения, согласованному членами и содержащемуся в Приложении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А и Приложении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 xml:space="preserve">1 к Документу </w:t>
      </w:r>
      <w:r>
        <w:fldChar w:fldCharType="begin"/>
      </w:r>
      <w:r>
        <w:instrText>HYPERLINK</w:instrText>
      </w:r>
      <w:r w:rsidRPr="00484CEE">
        <w:rPr>
          <w:lang w:val="ru-RU"/>
        </w:rPr>
        <w:instrText xml:space="preserve"> "</w:instrText>
      </w:r>
      <w:r>
        <w:instrText>https</w:instrText>
      </w:r>
      <w:r w:rsidRPr="00484CEE">
        <w:rPr>
          <w:lang w:val="ru-RU"/>
        </w:rPr>
        <w:instrText>://</w:instrText>
      </w:r>
      <w:r>
        <w:instrText>www</w:instrText>
      </w:r>
      <w:r w:rsidRPr="00484CEE">
        <w:rPr>
          <w:lang w:val="ru-RU"/>
        </w:rPr>
        <w:instrText>.</w:instrText>
      </w:r>
      <w:r>
        <w:instrText>itu</w:instrText>
      </w:r>
      <w:r w:rsidRPr="00484CEE">
        <w:rPr>
          <w:lang w:val="ru-RU"/>
        </w:rPr>
        <w:instrText>.</w:instrText>
      </w:r>
      <w:r>
        <w:instrText>int</w:instrText>
      </w:r>
      <w:r w:rsidRPr="00484CEE">
        <w:rPr>
          <w:lang w:val="ru-RU"/>
        </w:rPr>
        <w:instrText>/</w:instrText>
      </w:r>
      <w:r>
        <w:instrText>md</w:instrText>
      </w:r>
      <w:r w:rsidRPr="00484CEE">
        <w:rPr>
          <w:lang w:val="ru-RU"/>
        </w:rPr>
        <w:instrText>/</w:instrText>
      </w:r>
      <w:r>
        <w:instrText>S</w:instrText>
      </w:r>
      <w:r w:rsidRPr="00484CEE">
        <w:rPr>
          <w:lang w:val="ru-RU"/>
        </w:rPr>
        <w:instrText>25-</w:instrText>
      </w:r>
      <w:r>
        <w:instrText>CL</w:instrText>
      </w:r>
      <w:r w:rsidRPr="00484CEE">
        <w:rPr>
          <w:lang w:val="ru-RU"/>
        </w:rPr>
        <w:instrText>-</w:instrText>
      </w:r>
      <w:r>
        <w:instrText>C</w:instrText>
      </w:r>
      <w:r w:rsidRPr="00484CEE">
        <w:rPr>
          <w:lang w:val="ru-RU"/>
        </w:rPr>
        <w:instrText>-0105/</w:instrText>
      </w:r>
      <w:r>
        <w:instrText>en</w:instrText>
      </w:r>
      <w:r w:rsidRPr="00484CEE">
        <w:rPr>
          <w:lang w:val="ru-RU"/>
        </w:rPr>
        <w:instrText>"</w:instrText>
      </w:r>
      <w:r>
        <w:fldChar w:fldCharType="separate"/>
      </w:r>
      <w:proofErr w:type="spellStart"/>
      <w:r w:rsidRPr="004377F9">
        <w:rPr>
          <w:rStyle w:val="Hyperlink"/>
        </w:rPr>
        <w:t>C25</w:t>
      </w:r>
      <w:proofErr w:type="spellEnd"/>
      <w:r w:rsidRPr="004377F9">
        <w:rPr>
          <w:rStyle w:val="Hyperlink"/>
        </w:rPr>
        <w:t>/105</w:t>
      </w:r>
      <w:r>
        <w:fldChar w:fldCharType="end"/>
      </w:r>
      <w:r w:rsidRPr="00C35E8B">
        <w:rPr>
          <w:rFonts w:asciiTheme="minorHAnsi" w:hAnsiTheme="minorHAnsi" w:cstheme="minorBidi"/>
          <w:lang w:val="ru-RU"/>
        </w:rPr>
        <w:t>, который представлен в нижеследующей таблице.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E1578" w:rsidRPr="00C35E8B" w14:paraId="78E186B4" w14:textId="77777777" w:rsidTr="00E35DD9">
        <w:trPr>
          <w:trHeight w:val="300"/>
        </w:trPr>
        <w:tc>
          <w:tcPr>
            <w:tcW w:w="3114" w:type="dxa"/>
          </w:tcPr>
          <w:p w14:paraId="5793AB38" w14:textId="77777777" w:rsidR="00EE1578" w:rsidRPr="00C35E8B" w:rsidRDefault="00EE1578" w:rsidP="00E35DD9">
            <w:pPr>
              <w:pStyle w:val="Tablehead"/>
              <w:rPr>
                <w:b w:val="0"/>
                <w:bCs/>
                <w:lang w:val="ru-RU"/>
              </w:rPr>
            </w:pPr>
            <w:r w:rsidRPr="00C35E8B">
              <w:rPr>
                <w:lang w:val="ru-RU"/>
              </w:rPr>
              <w:lastRenderedPageBreak/>
              <w:t>Вид деятельности</w:t>
            </w:r>
          </w:p>
        </w:tc>
        <w:tc>
          <w:tcPr>
            <w:tcW w:w="5902" w:type="dxa"/>
          </w:tcPr>
          <w:p w14:paraId="571C6F2A" w14:textId="77777777" w:rsidR="00EE1578" w:rsidRPr="00C35E8B" w:rsidRDefault="00EE1578" w:rsidP="00E35DD9">
            <w:pPr>
              <w:pStyle w:val="Tablehead"/>
              <w:rPr>
                <w:b w:val="0"/>
                <w:bCs/>
                <w:lang w:val="ru-RU"/>
              </w:rPr>
            </w:pPr>
            <w:r w:rsidRPr="00C35E8B">
              <w:rPr>
                <w:lang w:val="ru-RU"/>
              </w:rPr>
              <w:t>Описание</w:t>
            </w:r>
          </w:p>
        </w:tc>
      </w:tr>
      <w:tr w:rsidR="00EE1578" w:rsidRPr="00484CEE" w14:paraId="04271394" w14:textId="77777777" w:rsidTr="00E35DD9">
        <w:trPr>
          <w:trHeight w:val="300"/>
        </w:trPr>
        <w:tc>
          <w:tcPr>
            <w:tcW w:w="3114" w:type="dxa"/>
          </w:tcPr>
          <w:p w14:paraId="7EF9AF88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Анализ документов</w:t>
            </w:r>
          </w:p>
        </w:tc>
        <w:tc>
          <w:tcPr>
            <w:tcW w:w="5902" w:type="dxa"/>
          </w:tcPr>
          <w:p w14:paraId="4BCFF642" w14:textId="774B44F1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Провести аналитический обзор основополагающих документов, включая Резолюцию</w:t>
            </w:r>
            <w:r w:rsidR="001606A7" w:rsidRPr="00C35E8B">
              <w:rPr>
                <w:lang w:val="ru-RU"/>
              </w:rPr>
              <w:t> </w:t>
            </w:r>
            <w:r w:rsidRPr="00C35E8B">
              <w:rPr>
                <w:lang w:val="ru-RU"/>
              </w:rPr>
              <w:t>25, стратегических планов МСЭ и отчетов о деятельности, о проделанной работе и о результатах аудиторских</w:t>
            </w:r>
            <w:r w:rsidR="001606A7" w:rsidRPr="00C35E8B">
              <w:rPr>
                <w:lang w:val="ru-RU"/>
              </w:rPr>
              <w:t> </w:t>
            </w:r>
            <w:r w:rsidRPr="00C35E8B">
              <w:rPr>
                <w:lang w:val="ru-RU"/>
              </w:rPr>
              <w:t>проверок</w:t>
            </w:r>
          </w:p>
        </w:tc>
      </w:tr>
      <w:tr w:rsidR="00EE1578" w:rsidRPr="00484CEE" w14:paraId="47249861" w14:textId="77777777" w:rsidTr="00E35DD9">
        <w:trPr>
          <w:trHeight w:val="300"/>
        </w:trPr>
        <w:tc>
          <w:tcPr>
            <w:tcW w:w="3114" w:type="dxa"/>
          </w:tcPr>
          <w:p w14:paraId="6A26C0D2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Анализ данных</w:t>
            </w:r>
          </w:p>
        </w:tc>
        <w:tc>
          <w:tcPr>
            <w:tcW w:w="5902" w:type="dxa"/>
          </w:tcPr>
          <w:p w14:paraId="6BC030FF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Проанализировать ключевые данные, включая штатное расписание, бюджетные ассигнования и результаты реализации проектов, чтобы выявить тенденции, недостатки и возможности для повышения эффективности</w:t>
            </w:r>
          </w:p>
        </w:tc>
      </w:tr>
      <w:tr w:rsidR="00EE1578" w:rsidRPr="00484CEE" w14:paraId="5375D272" w14:textId="77777777" w:rsidTr="00E35DD9">
        <w:trPr>
          <w:trHeight w:val="300"/>
        </w:trPr>
        <w:tc>
          <w:tcPr>
            <w:tcW w:w="3114" w:type="dxa"/>
          </w:tcPr>
          <w:p w14:paraId="61F690E3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Консультации с заинтересованными сторонами</w:t>
            </w:r>
          </w:p>
        </w:tc>
        <w:tc>
          <w:tcPr>
            <w:tcW w:w="5902" w:type="dxa"/>
          </w:tcPr>
          <w:p w14:paraId="4B213187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 xml:space="preserve">Наладить взаимодействие внутри организации с ключевыми заинтересованными сторонами и советоваться с консультативными группами МСЭ для получения информации и стратегических рекомендаций для определения направления регионального присутствия МСЭ в будущем </w:t>
            </w:r>
          </w:p>
        </w:tc>
      </w:tr>
      <w:tr w:rsidR="00EE1578" w:rsidRPr="00484CEE" w14:paraId="2DD0AB3F" w14:textId="77777777" w:rsidTr="00E35DD9">
        <w:trPr>
          <w:trHeight w:val="300"/>
        </w:trPr>
        <w:tc>
          <w:tcPr>
            <w:tcW w:w="3114" w:type="dxa"/>
          </w:tcPr>
          <w:p w14:paraId="6A17476A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>Опросы заинтересованных сторон</w:t>
            </w:r>
          </w:p>
        </w:tc>
        <w:tc>
          <w:tcPr>
            <w:tcW w:w="5902" w:type="dxa"/>
          </w:tcPr>
          <w:p w14:paraId="1A1B8BD8" w14:textId="77777777" w:rsidR="00EE1578" w:rsidRPr="00C35E8B" w:rsidRDefault="00EE1578" w:rsidP="00E35DD9">
            <w:pPr>
              <w:pStyle w:val="Tabletext"/>
              <w:rPr>
                <w:lang w:val="ru-RU"/>
              </w:rPr>
            </w:pPr>
            <w:r w:rsidRPr="00C35E8B">
              <w:rPr>
                <w:lang w:val="ru-RU"/>
              </w:rPr>
              <w:t xml:space="preserve">Организовывать опросы и получать от Членов МСЭ и региональных организаций электросвязи (РОЭ) отзывы об уровнях их удовлетворенности, для того чтобы оценить воздействие регионального присутствия, уделяя первоочередное внимание определению общего уровня удовлетворенности </w:t>
            </w:r>
          </w:p>
        </w:tc>
      </w:tr>
    </w:tbl>
    <w:p w14:paraId="79850F7F" w14:textId="77777777" w:rsidR="004377F9" w:rsidRDefault="004377F9" w:rsidP="004377F9">
      <w:pPr>
        <w:pStyle w:val="Tablefin"/>
        <w:rPr>
          <w:lang w:val="es-ES"/>
        </w:rPr>
      </w:pPr>
    </w:p>
    <w:p w14:paraId="5AB23481" w14:textId="3077A86C" w:rsidR="00EE1578" w:rsidRPr="00C35E8B" w:rsidRDefault="00EE1578" w:rsidP="004377F9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4.2</w:t>
      </w:r>
      <w:r w:rsidRPr="00C35E8B">
        <w:rPr>
          <w:rFonts w:asciiTheme="minorHAnsi" w:hAnsiTheme="minorHAnsi" w:cstheme="minorBidi"/>
          <w:lang w:val="ru-RU"/>
        </w:rPr>
        <w:tab/>
        <w:t>В связи с этим, начав свою работу после первого собрания Межсекторальной целевой группы по региональному присутствию, которое состоялось 17 июля 2025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года, БРЭ проанализировало 12 пунктов перечня работ (SoW), перечисленных в Приложении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A, и 27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ключевых показателей деятельности (KPI), перечисленных в Приложении 1 к Документу</w:t>
      </w:r>
      <w:r w:rsidR="00E63DCD" w:rsidRPr="00C35E8B">
        <w:rPr>
          <w:rFonts w:asciiTheme="minorHAnsi" w:hAnsiTheme="minorHAnsi" w:cstheme="minorBidi"/>
          <w:lang w:val="ru-RU"/>
        </w:rPr>
        <w:t> </w:t>
      </w:r>
      <w:hyperlink r:id="rId9" w:history="1">
        <w:r w:rsidRPr="004377F9">
          <w:rPr>
            <w:rStyle w:val="Hyperlink"/>
          </w:rPr>
          <w:t>C</w:t>
        </w:r>
        <w:r w:rsidRPr="004377F9">
          <w:rPr>
            <w:rStyle w:val="Hyperlink"/>
            <w:lang w:val="ru-RU"/>
          </w:rPr>
          <w:t>25/105</w:t>
        </w:r>
      </w:hyperlink>
      <w:r w:rsidRPr="00C35E8B">
        <w:rPr>
          <w:rFonts w:asciiTheme="minorHAnsi" w:hAnsiTheme="minorHAnsi" w:cstheme="minorBidi"/>
          <w:lang w:val="ru-RU"/>
        </w:rPr>
        <w:t>. В качестве первого шага KPI были сопоставлены с 12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позициями SoW. Были изучены 27 KPI и 12 пунктов SoW для оценки первичных и вторичных источников данных, т.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е. для решения вопроса о том, можно ли их получить на основе опроса членов, консультаций с заинтересованными сторонами, включая внутреннее оценочное обследование, или теоретического исследования/анализа документов. Некоторые KPI были сопоставлены с двумя или более источниками данных.</w:t>
      </w:r>
    </w:p>
    <w:p w14:paraId="01951780" w14:textId="0FD12769" w:rsidR="00EE1578" w:rsidRPr="00C35E8B" w:rsidRDefault="00EE1578" w:rsidP="004377F9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4.3</w:t>
      </w:r>
      <w:r w:rsidRPr="00C35E8B">
        <w:rPr>
          <w:rFonts w:asciiTheme="minorHAnsi" w:hAnsiTheme="minorHAnsi" w:cstheme="minorBidi"/>
          <w:lang w:val="ru-RU"/>
        </w:rPr>
        <w:tab/>
        <w:t>БРЭ подготовило и провело опрос членов и организовало теоретическое исследование путем выявления документальных источников и сбора данных из соответствующих надежных источников. Анализ документов также включал проведение сравнительного анализа с находящимися в аналогичном положении организациями системы ООН. Результаты опроса членов и теоретического исследования были дополнены данными консультаций с заинтересованными сторонами, включая собеседования с представителями РОЭ, с тем чтобы дополнить отзывы по итогам опроса членов, результаты обследования по внутренней оценке, а также отзывы других заинтересованных сторон. После того, как данные были собраны и сопоставлены, они были проанализированы в увязке с KPI, чтобы прийти к консолидированным выводам по всем 12 позициям SoW. Подробная информация представлена в Документе</w:t>
      </w:r>
      <w:r w:rsidR="00E63DCD" w:rsidRPr="00C35E8B">
        <w:rPr>
          <w:rFonts w:asciiTheme="minorHAnsi" w:hAnsiTheme="minorHAnsi" w:cstheme="minorBidi"/>
          <w:lang w:val="ru-RU"/>
        </w:rPr>
        <w:t> </w:t>
      </w:r>
      <w:hyperlink r:id="rId10" w:history="1">
        <w:proofErr w:type="spellStart"/>
        <w:r w:rsidRPr="004377F9">
          <w:rPr>
            <w:rStyle w:val="Hyperlink"/>
          </w:rPr>
          <w:t>C26</w:t>
        </w:r>
        <w:proofErr w:type="spellEnd"/>
        <w:r w:rsidRPr="004377F9">
          <w:rPr>
            <w:rStyle w:val="Hyperlink"/>
          </w:rPr>
          <w:t>/INF/10</w:t>
        </w:r>
      </w:hyperlink>
      <w:r w:rsidRPr="00C35E8B">
        <w:rPr>
          <w:rFonts w:asciiTheme="minorHAnsi" w:hAnsiTheme="minorHAnsi" w:cstheme="minorBidi"/>
          <w:lang w:val="ru-RU"/>
        </w:rPr>
        <w:t>.</w:t>
      </w:r>
    </w:p>
    <w:p w14:paraId="4FB34CC9" w14:textId="77777777" w:rsidR="00EE1578" w:rsidRPr="00C35E8B" w:rsidRDefault="00EE1578" w:rsidP="005A318A">
      <w:pPr>
        <w:pStyle w:val="Heading1"/>
      </w:pPr>
      <w:r w:rsidRPr="00C35E8B">
        <w:t>5</w:t>
      </w:r>
      <w:r w:rsidRPr="00C35E8B">
        <w:tab/>
        <w:t>Основные выводы</w:t>
      </w:r>
    </w:p>
    <w:p w14:paraId="2C959935" w14:textId="77777777" w:rsidR="00EE1578" w:rsidRPr="00C35E8B" w:rsidRDefault="00EE1578" w:rsidP="005A318A">
      <w:pPr>
        <w:pStyle w:val="Heading2"/>
      </w:pPr>
      <w:r w:rsidRPr="00C35E8B">
        <w:t>5.1</w:t>
      </w:r>
      <w:r w:rsidRPr="00C35E8B">
        <w:tab/>
      </w:r>
      <w:r w:rsidRPr="005A318A">
        <w:t>Сильные</w:t>
      </w:r>
      <w:r w:rsidRPr="00C35E8B">
        <w:t xml:space="preserve"> стороны</w:t>
      </w:r>
    </w:p>
    <w:p w14:paraId="02235190" w14:textId="77777777" w:rsidR="00EE1578" w:rsidRPr="00C35E8B" w:rsidRDefault="00EE1578" w:rsidP="005A318A">
      <w:pPr>
        <w:pStyle w:val="Heading3"/>
      </w:pPr>
      <w:r w:rsidRPr="00C35E8B">
        <w:t>5.1.1</w:t>
      </w:r>
      <w:r w:rsidRPr="00C35E8B">
        <w:tab/>
        <w:t>Высокий уровень общей удовлетворенности региональной деятельностью</w:t>
      </w:r>
    </w:p>
    <w:p w14:paraId="1FFCA37B" w14:textId="648CD069" w:rsidR="00EE1578" w:rsidRPr="00C35E8B" w:rsidRDefault="00EE1578" w:rsidP="004377F9">
      <w:pPr>
        <w:jc w:val="both"/>
        <w:rPr>
          <w:rFonts w:asciiTheme="minorHAnsi" w:hAnsiTheme="minorHAnsi" w:cstheme="minorHAnsi"/>
          <w:lang w:val="ru-RU"/>
        </w:rPr>
      </w:pPr>
      <w:r w:rsidRPr="00C35E8B">
        <w:rPr>
          <w:rFonts w:asciiTheme="minorHAnsi" w:hAnsiTheme="minorHAnsi" w:cstheme="minorBidi"/>
          <w:lang w:val="ru-RU"/>
        </w:rPr>
        <w:t xml:space="preserve">Отзывы членов свидетельствуют о высоком уровне общей удовлетворенности деятельностью, проводимой региональными и зональными отделениями МСЭ. Явное большинство участников опроса согласны с тем, что региональное присутствие способствует выполнению мандата МСЭ и </w:t>
      </w:r>
      <w:r w:rsidRPr="00C35E8B">
        <w:rPr>
          <w:rFonts w:asciiTheme="minorHAnsi" w:hAnsiTheme="minorHAnsi" w:cstheme="minorBidi"/>
          <w:lang w:val="ru-RU"/>
        </w:rPr>
        <w:lastRenderedPageBreak/>
        <w:t>его воздействию на местах, что отражает уверенность в роли, которую играют региональные отделения в воплощении глобальных инициатив в региональном и национальном контексте. Уровень согласия с этим утверждением достигает 71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процента, что свидетельствует о том, что региональное присутствие широко воспринимается как эффективное расширение оперативной деятельности МСЭ. Удовлетворенность нынешним уровнем деятельности также является положительной: 60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процентов опрошенных выразили согласие с тем, что масштаб региональной деятельности соответствует ожиданиям, но в то же время предположили, что некоторые члены ожидают дальнейшего расширения или углубления участия.</w:t>
      </w:r>
    </w:p>
    <w:p w14:paraId="3A1878EF" w14:textId="53333D43" w:rsidR="00EE1578" w:rsidRPr="00C35E8B" w:rsidRDefault="00EE1578" w:rsidP="004377F9">
      <w:pPr>
        <w:jc w:val="both"/>
        <w:rPr>
          <w:rFonts w:asciiTheme="minorHAnsi" w:hAnsiTheme="minorHAnsi" w:cstheme="minorHAnsi"/>
          <w:lang w:val="ru-RU"/>
        </w:rPr>
      </w:pPr>
      <w:r w:rsidRPr="00C35E8B">
        <w:rPr>
          <w:rFonts w:asciiTheme="minorHAnsi" w:hAnsiTheme="minorHAnsi" w:cstheme="minorHAnsi"/>
          <w:lang w:val="ru-RU"/>
        </w:rPr>
        <w:t>Общее позитивное представление, формирующееся в результате опроса членов, подкрепляется собеседованиями с представителями заинтересованных сторон. Обсуждения с региональными организациями электросвязи (РОЭ) подчеркивают удовлетворенность ролью региональных отделений в содействии диалогу, поддержке региональных инициатив и участии в региональных координационных механизмах. Опрошенные характеризуют сотрудничество с региональными отделениями как конструктивное и учитывающее их нужды, подтверждая позитивное восприятие, отраженное в данных обследования.</w:t>
      </w:r>
    </w:p>
    <w:p w14:paraId="57E42BBC" w14:textId="703F9B3C" w:rsidR="00EE1578" w:rsidRPr="00C35E8B" w:rsidRDefault="00EE1578" w:rsidP="004377F9">
      <w:pPr>
        <w:jc w:val="both"/>
        <w:rPr>
          <w:rFonts w:asciiTheme="minorHAnsi" w:hAnsiTheme="minorHAnsi" w:cstheme="minorHAnsi"/>
          <w:lang w:val="ru-RU"/>
        </w:rPr>
      </w:pPr>
      <w:r w:rsidRPr="00C35E8B">
        <w:rPr>
          <w:rFonts w:asciiTheme="minorHAnsi" w:hAnsiTheme="minorHAnsi" w:cstheme="minorHAnsi"/>
          <w:lang w:val="ru-RU"/>
        </w:rPr>
        <w:t>В совокупности эти выводы показывают, что региональное присутствие широко воспринимается как ценный компонент оперативной структуры МСЭ, способствующий укреплению авторитета организации и ее доступности на региональном уровне.</w:t>
      </w:r>
    </w:p>
    <w:p w14:paraId="676EAD00" w14:textId="1963298B" w:rsidR="00EE1578" w:rsidRPr="00C35E8B" w:rsidRDefault="00EE1578" w:rsidP="005A318A">
      <w:pPr>
        <w:pStyle w:val="Heading3"/>
      </w:pPr>
      <w:r w:rsidRPr="00C35E8B">
        <w:t>5.1.2</w:t>
      </w:r>
      <w:r w:rsidRPr="00C35E8B">
        <w:tab/>
        <w:t>Активное взаимодействие с Государствами-Членами и заинтересованными</w:t>
      </w:r>
      <w:r w:rsidR="00E63DCD" w:rsidRPr="00C35E8B">
        <w:t> </w:t>
      </w:r>
      <w:r w:rsidRPr="00C35E8B">
        <w:t>сторонами</w:t>
      </w:r>
    </w:p>
    <w:p w14:paraId="1BEFD3CF" w14:textId="7C3F601E" w:rsidR="00EE1578" w:rsidRPr="004377F9" w:rsidRDefault="00EE1578" w:rsidP="004377F9">
      <w:pPr>
        <w:jc w:val="both"/>
        <w:rPr>
          <w:rFonts w:asciiTheme="minorHAnsi" w:hAnsiTheme="minorHAnsi" w:cstheme="minorHAnsi"/>
          <w:spacing w:val="-2"/>
          <w:lang w:val="ru-RU"/>
        </w:rPr>
      </w:pPr>
      <w:r w:rsidRPr="004377F9">
        <w:rPr>
          <w:rFonts w:asciiTheme="minorHAnsi" w:hAnsiTheme="minorHAnsi" w:cstheme="minorBidi"/>
          <w:spacing w:val="-2"/>
          <w:lang w:val="ru-RU"/>
        </w:rPr>
        <w:t>Имеющиеся данные свидетельствуют о постоянном взаимодействии между региональными отделениями и членами МСЭ. Активность в плане проведения консультаций находится на высоком уровне; при этом 74</w:t>
      </w:r>
      <w:r w:rsidR="00E22905" w:rsidRPr="004377F9">
        <w:rPr>
          <w:rFonts w:asciiTheme="minorHAnsi" w:hAnsiTheme="minorHAnsi" w:cstheme="minorBidi"/>
          <w:spacing w:val="-2"/>
          <w:lang w:val="en-US"/>
        </w:rPr>
        <w:t> </w:t>
      </w:r>
      <w:r w:rsidRPr="004377F9">
        <w:rPr>
          <w:rFonts w:asciiTheme="minorHAnsi" w:hAnsiTheme="minorHAnsi" w:cstheme="minorBidi"/>
          <w:spacing w:val="-2"/>
          <w:lang w:val="ru-RU"/>
        </w:rPr>
        <w:t>процента респондентов сообщили о взаимодействии с региональными или зональными отделениями в течение рассматриваемого периода. Это</w:t>
      </w:r>
      <w:r w:rsidR="001606A7" w:rsidRPr="004377F9">
        <w:rPr>
          <w:rFonts w:asciiTheme="minorHAnsi" w:hAnsiTheme="minorHAnsi" w:cstheme="minorBidi"/>
          <w:spacing w:val="-2"/>
          <w:lang w:val="ru-RU"/>
        </w:rPr>
        <w:t> </w:t>
      </w:r>
      <w:r w:rsidRPr="004377F9">
        <w:rPr>
          <w:rFonts w:asciiTheme="minorHAnsi" w:hAnsiTheme="minorHAnsi" w:cstheme="minorBidi"/>
          <w:spacing w:val="-2"/>
          <w:lang w:val="ru-RU"/>
        </w:rPr>
        <w:t>взаимодействие показывает, что региональные отделения выполняют функцию динамичных точек соприкосновения между организацией и ее членами, обеспечивая постоянный диалог и позволяя Государствам-Членам участвовать в деятельности и инициативах МСЭ.</w:t>
      </w:r>
    </w:p>
    <w:p w14:paraId="5A9D7ADF" w14:textId="1652A6F4" w:rsidR="00EE1578" w:rsidRPr="00C35E8B" w:rsidRDefault="00EE1578" w:rsidP="004377F9">
      <w:pPr>
        <w:jc w:val="both"/>
        <w:rPr>
          <w:rFonts w:asciiTheme="minorHAnsi" w:hAnsiTheme="minorHAnsi" w:cstheme="minorHAnsi"/>
          <w:lang w:val="ru-RU"/>
        </w:rPr>
      </w:pPr>
      <w:r w:rsidRPr="00C35E8B">
        <w:rPr>
          <w:rFonts w:asciiTheme="minorHAnsi" w:hAnsiTheme="minorHAnsi" w:cstheme="minorHAnsi"/>
          <w:lang w:val="ru-RU"/>
        </w:rPr>
        <w:t>Региональные отделения также играют центральную роль в стимулировании взаимодействия с региональными организациями и другими институциональными партнерами. Данные, полученные в ходе собеседований с представителями заинтересованных сторон, свидетельствуют о регулярном оперативном взаимодействии между региональными отделениями и региональными организациями электросвязи, включая участие в региональных собраниях и технических обсуждениях. Такое взаимодействие способствует увязке деятельности МСЭ с региональными политическими процессами и институциональными</w:t>
      </w:r>
      <w:r w:rsidR="001606A7" w:rsidRPr="00C35E8B">
        <w:rPr>
          <w:rFonts w:asciiTheme="minorHAnsi" w:hAnsiTheme="minorHAnsi" w:cstheme="minorHAnsi"/>
          <w:lang w:val="ru-RU"/>
        </w:rPr>
        <w:t> </w:t>
      </w:r>
      <w:r w:rsidRPr="00C35E8B">
        <w:rPr>
          <w:rFonts w:asciiTheme="minorHAnsi" w:hAnsiTheme="minorHAnsi" w:cstheme="minorHAnsi"/>
          <w:lang w:val="ru-RU"/>
        </w:rPr>
        <w:t>структурами.</w:t>
      </w:r>
    </w:p>
    <w:p w14:paraId="667FB292" w14:textId="2BB29C52" w:rsidR="00EE1578" w:rsidRPr="005A318A" w:rsidRDefault="00EE1578" w:rsidP="004377F9">
      <w:pPr>
        <w:jc w:val="both"/>
        <w:rPr>
          <w:lang w:val="ru-RU"/>
        </w:rPr>
      </w:pPr>
      <w:r w:rsidRPr="005A318A">
        <w:rPr>
          <w:lang w:val="ru-RU"/>
        </w:rPr>
        <w:t>Данные об участии дополнительно иллюстрируют масштабы этого взаимодействия. В период с 2022 по 2025 годы МСЭ организовал свыше 1000 мероприятий и свыше 1500</w:t>
      </w:r>
      <w:r w:rsidR="00E63DCD" w:rsidRPr="005A318A">
        <w:rPr>
          <w:lang w:val="ru-RU"/>
        </w:rPr>
        <w:t> </w:t>
      </w:r>
      <w:r w:rsidRPr="005A318A">
        <w:rPr>
          <w:lang w:val="ru-RU"/>
        </w:rPr>
        <w:t>собраний более чем в 100</w:t>
      </w:r>
      <w:r w:rsidR="001606A7" w:rsidRPr="005A318A">
        <w:rPr>
          <w:lang w:val="ru-RU"/>
        </w:rPr>
        <w:t> </w:t>
      </w:r>
      <w:r w:rsidRPr="005A318A">
        <w:rPr>
          <w:lang w:val="ru-RU"/>
        </w:rPr>
        <w:t>принимающих странах. В числе участников – Государства-Члены, Члены Секторов, академические учреждения и международные организации, что отражает широкий и географически разнообразный ландшафт взаимодействия, поддерживаемого региональным</w:t>
      </w:r>
      <w:r w:rsidR="001606A7" w:rsidRPr="005A318A">
        <w:rPr>
          <w:lang w:val="ru-RU"/>
        </w:rPr>
        <w:t> </w:t>
      </w:r>
      <w:r w:rsidRPr="005A318A">
        <w:rPr>
          <w:lang w:val="ru-RU"/>
        </w:rPr>
        <w:t>присутствием.</w:t>
      </w:r>
    </w:p>
    <w:p w14:paraId="4BF28B04" w14:textId="3BEA474E" w:rsidR="00EE1578" w:rsidRPr="00C35E8B" w:rsidRDefault="00EE1578" w:rsidP="004377F9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Участие в мероприятиях и различных видах деятельности МСЭ является широким в географическом отношении и институционально разнообразным: в период с 2022 по 2025</w:t>
      </w:r>
      <w:r w:rsidR="00E63DCD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годы им были охвачены 173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Государства-Члена и 124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120 уникальных участников.</w:t>
      </w:r>
    </w:p>
    <w:p w14:paraId="32CBFB96" w14:textId="77777777" w:rsidR="00EE1578" w:rsidRPr="00C35E8B" w:rsidRDefault="00EE1578" w:rsidP="004377F9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Стипендии демонстрируют прозрачное, справедливое и сбалансированное в гендерном отношении распределение, что дополнительно способствует инклюзивному участию.</w:t>
      </w:r>
    </w:p>
    <w:p w14:paraId="567F68E1" w14:textId="77777777" w:rsidR="00EE1578" w:rsidRPr="00C35E8B" w:rsidRDefault="00EE1578" w:rsidP="005A318A">
      <w:pPr>
        <w:pStyle w:val="Heading3"/>
      </w:pPr>
      <w:r w:rsidRPr="00C35E8B">
        <w:lastRenderedPageBreak/>
        <w:t>5.1.3</w:t>
      </w:r>
      <w:r w:rsidRPr="00C35E8B">
        <w:tab/>
        <w:t>Эффективное распространение информации и знаний</w:t>
      </w:r>
    </w:p>
    <w:p w14:paraId="70E77333" w14:textId="0E1C1BF6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Одним из наиболее эффективных направлений деятельности является распространение информации и знаний. Ответы на вопросы обследования показывают, что 73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процента респондентов согласны с тем, что региональные отделения эффективно распространяют информацию и данные, а 70</w:t>
      </w:r>
      <w:r w:rsidR="00E63DCD" w:rsidRPr="00C35E8B">
        <w:rPr>
          <w:lang w:val="ru-RU"/>
        </w:rPr>
        <w:t> </w:t>
      </w:r>
      <w:r w:rsidRPr="00C35E8B">
        <w:rPr>
          <w:lang w:val="ru-RU"/>
        </w:rPr>
        <w:t>процентов считают, что технологические платформы эффективно используются для обмена соответствующей информацией с заинтересованными сторонами.</w:t>
      </w:r>
    </w:p>
    <w:p w14:paraId="7A3B6834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Эти выводы свидетельствуют о том, что региональные отделения играют важную роль в обеспечении того, чтобы информация, генерируемая организацией, доходила до национальных заинтересованных сторон и региональных партнеров. Использование цифровых платформ и смешанных форматов взаимодействия еще больше расширило возможности региональных отделений по поддержанию регулярного взаимодействия с членами и заинтересованными сторонами в различных географических условиях.</w:t>
      </w:r>
    </w:p>
    <w:p w14:paraId="54199CAF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Функция распространения информации также способствует политическому диалогу и обмену знаниями. Региональные отделения содействуют обсуждению вопросов регулирования и политики, поддерживают обмен опытом между странами и помогают распространять глобальные инициативы МСЭ в региональном контексте.</w:t>
      </w:r>
    </w:p>
    <w:p w14:paraId="759CC0E9" w14:textId="77777777" w:rsidR="00EE1578" w:rsidRPr="00C35E8B" w:rsidRDefault="00EE1578" w:rsidP="005A318A">
      <w:pPr>
        <w:pStyle w:val="Heading3"/>
      </w:pPr>
      <w:r w:rsidRPr="00C35E8B">
        <w:t>5.1.4</w:t>
      </w:r>
      <w:r w:rsidRPr="00C35E8B">
        <w:tab/>
        <w:t>Весомый вклад в повышение осведомленности и создание потенциала</w:t>
      </w:r>
    </w:p>
    <w:p w14:paraId="19A19499" w14:textId="67695281" w:rsidR="00EE1578" w:rsidRPr="00C35E8B" w:rsidRDefault="00EE1578" w:rsidP="005A318A">
      <w:pPr>
        <w:jc w:val="both"/>
        <w:rPr>
          <w:rFonts w:asciiTheme="minorHAnsi" w:hAnsiTheme="minorHAnsi" w:cstheme="minorBidi"/>
          <w:spacing w:val="-2"/>
          <w:lang w:val="ru-RU"/>
        </w:rPr>
      </w:pPr>
      <w:r w:rsidRPr="00C35E8B">
        <w:rPr>
          <w:rFonts w:asciiTheme="minorHAnsi" w:hAnsiTheme="minorHAnsi" w:cstheme="minorBidi"/>
          <w:spacing w:val="-2"/>
          <w:lang w:val="ru-RU"/>
        </w:rPr>
        <w:t>Региональное присутствие также способствует повышению осведомленности, развитию навыков и созданию потенциала среди Государств-Членов. Результаты обследования показывают, что 67</w:t>
      </w:r>
      <w:r w:rsidR="001606A7" w:rsidRPr="00C35E8B">
        <w:rPr>
          <w:rFonts w:asciiTheme="minorHAnsi" w:hAnsiTheme="minorHAnsi" w:cstheme="minorBidi"/>
          <w:spacing w:val="-2"/>
          <w:lang w:val="ru-RU"/>
        </w:rPr>
        <w:t> </w:t>
      </w:r>
      <w:r w:rsidRPr="00C35E8B">
        <w:rPr>
          <w:rFonts w:asciiTheme="minorHAnsi" w:hAnsiTheme="minorHAnsi" w:cstheme="minorBidi"/>
          <w:spacing w:val="-2"/>
          <w:lang w:val="ru-RU"/>
        </w:rPr>
        <w:t>процентов респондентов согласны с тем, что региональные отделения вносят эффективный вклад в повышение осведомленности, развитие навыков и создание потенциала в соответствующих областях.</w:t>
      </w:r>
    </w:p>
    <w:p w14:paraId="66CE5F10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Эта деятельность осуществляется в форме семинаров-практикумов, учебных мероприятий и диалогов по вопросам политики, организуемых в регионах. Инициативы по созданию потенциала способствуют укреплению национального опыта, поддерживают реализацию политики в области ИКТ и позволяют заинтересованным сторонам более эффективно участвовать в процессах МСЭ.</w:t>
      </w:r>
    </w:p>
    <w:p w14:paraId="1621CC78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Роль региональных отделений в содействии обмену знаниями и профессиональной подготовке дополняется работой других платформ МСЭ, включая цифровые программы профессиональной подготовки и инициативы по сотрудничеству с партнерами.</w:t>
      </w:r>
    </w:p>
    <w:p w14:paraId="29ADE166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Региональные отделения содействуют доступу к программам профессиональной подготовки Академии МСЭ:</w:t>
      </w:r>
    </w:p>
    <w:p w14:paraId="0EACDCAD" w14:textId="4653BEE7" w:rsidR="00EE1578" w:rsidRPr="00C35E8B" w:rsidRDefault="00EE1578" w:rsidP="005A318A">
      <w:pPr>
        <w:pStyle w:val="enumlev1"/>
        <w:jc w:val="both"/>
        <w:rPr>
          <w:lang w:val="ru-RU"/>
        </w:rPr>
      </w:pPr>
      <w:r w:rsidRPr="00C35E8B">
        <w:rPr>
          <w:lang w:val="ru-RU"/>
        </w:rPr>
        <w:t>–</w:t>
      </w:r>
      <w:r w:rsidRPr="00C35E8B">
        <w:rPr>
          <w:lang w:val="ru-RU"/>
        </w:rPr>
        <w:tab/>
        <w:t>в период с 2023 по 2025 годы обучение под руководством инструкторов прошли 12 333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участника;</w:t>
      </w:r>
    </w:p>
    <w:p w14:paraId="189A8B6D" w14:textId="537FF400" w:rsidR="00EE1578" w:rsidRPr="00C35E8B" w:rsidRDefault="00EE1578" w:rsidP="005A318A">
      <w:pPr>
        <w:pStyle w:val="enumlev1"/>
        <w:jc w:val="both"/>
        <w:rPr>
          <w:lang w:val="ru-RU"/>
        </w:rPr>
      </w:pPr>
      <w:r w:rsidRPr="00C35E8B">
        <w:rPr>
          <w:lang w:val="ru-RU"/>
        </w:rPr>
        <w:t>–</w:t>
      </w:r>
      <w:r w:rsidRPr="00C35E8B">
        <w:rPr>
          <w:lang w:val="ru-RU"/>
        </w:rPr>
        <w:tab/>
        <w:t>79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учебных курсов для конкретных регионов обеспечили реагирование на региональные потребности и условия.</w:t>
      </w:r>
    </w:p>
    <w:p w14:paraId="7BE39F5F" w14:textId="2B9D766B" w:rsidR="00EE1578" w:rsidRPr="00C35E8B" w:rsidRDefault="00EE1578" w:rsidP="005A318A">
      <w:pPr>
        <w:pStyle w:val="Heading3"/>
      </w:pPr>
      <w:r w:rsidRPr="00C35E8B">
        <w:t>5.1.5</w:t>
      </w:r>
      <w:r w:rsidRPr="00C35E8B">
        <w:tab/>
        <w:t>Надежная платформа для проведения мероприятий в целях обеспечения регионального диалога</w:t>
      </w:r>
    </w:p>
    <w:p w14:paraId="66660A5A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Региональные отделения также служат надежными платформами для проведения мероприятий, объединяющих национальные органы власти, региональные организации и международных партнеров. Данные, полученные в ходе собеседований с представителями заинтересованных сторон, свидетельствуют о важности региональных отделений в содействии диалогу между заинтересованными сторонами и поддержке координации между региональными инициативами и глобальными процессами МСЭ.</w:t>
      </w:r>
    </w:p>
    <w:p w14:paraId="73A80EDC" w14:textId="367E700D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 xml:space="preserve">Участвуя в региональных собраниях и технических обсуждениях, региональные отделения помогают поддерживать постоянный диалог с Государствами-Членами и региональными </w:t>
      </w:r>
      <w:r w:rsidRPr="00C35E8B">
        <w:rPr>
          <w:rFonts w:asciiTheme="minorHAnsi" w:hAnsiTheme="minorHAnsi" w:cstheme="minorBidi"/>
          <w:lang w:val="ru-RU"/>
        </w:rPr>
        <w:lastRenderedPageBreak/>
        <w:t>организациями. Эта объединяющая роль способствует согласованию региональных приоритетов с изменениями в глобальной политике в области ИКТ и вносит вклад в повышение наглядности деятельности МСЭ в региональных институциональных структурах.</w:t>
      </w:r>
    </w:p>
    <w:p w14:paraId="114F0AE8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Способность региональных отделений объединять заинтересованные стороны из различных секторов и институциональных слоев также способствует созданию сетей сотрудничества, которые поддерживают региональные инициативы и политический диалог.</w:t>
      </w:r>
    </w:p>
    <w:p w14:paraId="206218DC" w14:textId="77777777" w:rsidR="00EE1578" w:rsidRPr="00C35E8B" w:rsidRDefault="00EE1578" w:rsidP="005A318A">
      <w:pPr>
        <w:pStyle w:val="Heading3"/>
      </w:pPr>
      <w:r w:rsidRPr="00C35E8B">
        <w:t>5.1.6</w:t>
      </w:r>
      <w:r w:rsidRPr="00C35E8B">
        <w:tab/>
        <w:t>Прочная основа для реализации мероприятий на основе партнерств</w:t>
      </w:r>
    </w:p>
    <w:p w14:paraId="6E607AB3" w14:textId="0F43C8E3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Эти данные также свидетельствуют о наличии прочной основы для сотрудничества и реализации инициатив МСЭ на основе партнерств. Полученные в ходе обследования ответы показывают высокий уровень готовности организаций-членов сотрудничать с региональными и зональными отделениями, достигающий 82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процентов, тогда как уровень готовности к сотрудничеству с партнерами зафиксирован на уровне 60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процентов.</w:t>
      </w:r>
    </w:p>
    <w:p w14:paraId="06500983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Эти выводы свидетельствуют о том, что региональная деятельность реализуется в условиях сотрудничества, которое служит поддержке совместных инициатив и скоординированных действий. Взаимодействие с региональными организациями, партнерами по развитию и другими заинтересованными сторонами открывает возможности для реализации проектов и программ, способствующих достижению региональных целей в области развития ИКТ.</w:t>
      </w:r>
    </w:p>
    <w:p w14:paraId="47898A08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Партнерские отношения тесно связаны с реализацией проектов и мобилизацией ресурсов. Данные анализа SoW и KPI показывают, что региональные отделения играют активную роль в реализации региональных инициатив и проектов в области развития, поддерживаемых различными механизмами финансирования.</w:t>
      </w:r>
    </w:p>
    <w:p w14:paraId="02812B87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В целом сочетание активного участия членов, эффективного распространения знаний и динамичного сотрудничества с региональными заинтересованными сторонами свидетельствует о том, что региональное присутствие обеспечивает прочную оперативную платформу для реализации деятельности МСЭ на региональном уровне.</w:t>
      </w:r>
    </w:p>
    <w:p w14:paraId="306F8C9F" w14:textId="77777777" w:rsidR="00EE1578" w:rsidRPr="00C35E8B" w:rsidRDefault="00EE1578" w:rsidP="005A318A">
      <w:pPr>
        <w:pStyle w:val="Heading3"/>
      </w:pPr>
      <w:r w:rsidRPr="00C35E8B">
        <w:t>5.1.7</w:t>
      </w:r>
      <w:r w:rsidRPr="00C35E8B">
        <w:tab/>
        <w:t>Региональное присутствие и выполнение планов МСЭ (Стратегического плана действий и Кигалийского плана действий)</w:t>
      </w:r>
    </w:p>
    <w:p w14:paraId="42727A8B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Региональное присутствие играет центральную роль в осуществлении Стратегического плана действий и Кигалийского плана действий. Региональные и зональные отделения обеспечивают оперативную основу для реализации программ МСЭ и региональных инициатив, а также для создания потенциала.</w:t>
      </w:r>
    </w:p>
    <w:p w14:paraId="3CD3FB9D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Их поддержка охватывает проекты, техническую помощь, политический диалог и региональные мероприятия, увязанные со стратегическими и финансовыми рамками МСЭ.</w:t>
      </w:r>
    </w:p>
    <w:p w14:paraId="2B689D10" w14:textId="2FE0DB12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Региональные мероприятия составляют 36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процентов от общего числа мероприятий МСЭ в глобальном масштабе (2022–2025 гг.), что свидетельствует об их существенном вкладе в глобальную реализацию.</w:t>
      </w:r>
    </w:p>
    <w:p w14:paraId="675E3F49" w14:textId="7E15B65B" w:rsidR="00EE1578" w:rsidRPr="00C35E8B" w:rsidRDefault="00EE1578" w:rsidP="005A318A">
      <w:pPr>
        <w:pStyle w:val="Heading3"/>
      </w:pPr>
      <w:r w:rsidRPr="00C35E8B">
        <w:t>5.1.8</w:t>
      </w:r>
      <w:r w:rsidR="00E63DCD" w:rsidRPr="00C35E8B">
        <w:tab/>
      </w:r>
      <w:r w:rsidRPr="00C35E8B">
        <w:t>Положительная внутриорганизационная оценка значимости регионального</w:t>
      </w:r>
      <w:r w:rsidR="00E63DCD" w:rsidRPr="00C35E8B">
        <w:t> </w:t>
      </w:r>
      <w:r w:rsidRPr="00C35E8B">
        <w:t>присутствия</w:t>
      </w:r>
    </w:p>
    <w:p w14:paraId="25AEB082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Сотрудники, принявшие участие в обследовании и высказавшие свое мнение, положительно оценивают вклад регионального присутствия:</w:t>
      </w:r>
    </w:p>
    <w:p w14:paraId="39B62EAA" w14:textId="7F2D8E1B" w:rsidR="00EE1578" w:rsidRPr="00C35E8B" w:rsidRDefault="00EE1578" w:rsidP="005A318A">
      <w:pPr>
        <w:pStyle w:val="enumlev1"/>
        <w:jc w:val="both"/>
        <w:rPr>
          <w:lang w:val="ru-RU"/>
        </w:rPr>
      </w:pPr>
      <w:r w:rsidRPr="00C35E8B">
        <w:rPr>
          <w:lang w:val="ru-RU"/>
        </w:rPr>
        <w:t>–</w:t>
      </w:r>
      <w:r w:rsidRPr="00C35E8B">
        <w:rPr>
          <w:lang w:val="ru-RU"/>
        </w:rPr>
        <w:tab/>
        <w:t>81</w:t>
      </w:r>
      <w:r w:rsidR="00E22905">
        <w:rPr>
          <w:lang w:val="ru-RU"/>
        </w:rPr>
        <w:sym w:font="Symbol" w:char="F02D"/>
      </w:r>
      <w:r w:rsidRPr="00C35E8B">
        <w:rPr>
          <w:lang w:val="ru-RU"/>
        </w:rPr>
        <w:t>82 процента опрошенных считают, что участие регионального персонала в мероприятиях МСЭ улучшает координацию и коммуникацию;</w:t>
      </w:r>
    </w:p>
    <w:p w14:paraId="1D28F585" w14:textId="1F41EAF8" w:rsidR="00EE1578" w:rsidRPr="00C35E8B" w:rsidRDefault="00EE1578" w:rsidP="005A318A">
      <w:pPr>
        <w:pStyle w:val="enumlev1"/>
        <w:jc w:val="both"/>
        <w:rPr>
          <w:lang w:val="ru-RU"/>
        </w:rPr>
      </w:pPr>
      <w:r w:rsidRPr="00C35E8B">
        <w:rPr>
          <w:lang w:val="ru-RU"/>
        </w:rPr>
        <w:t>–</w:t>
      </w:r>
      <w:r w:rsidRPr="00C35E8B">
        <w:rPr>
          <w:lang w:val="ru-RU"/>
        </w:rPr>
        <w:tab/>
        <w:t>сотрудники выражают решительную поддержку усилению профессиональной подготовки, мобильности и потенциала для дальнейшего укрепления региональной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деятельности.</w:t>
      </w:r>
    </w:p>
    <w:p w14:paraId="475FA6EA" w14:textId="77777777" w:rsidR="00EE1578" w:rsidRPr="00C35E8B" w:rsidRDefault="00EE1578" w:rsidP="005A318A">
      <w:pPr>
        <w:pStyle w:val="Heading2"/>
      </w:pPr>
      <w:r w:rsidRPr="00C35E8B">
        <w:lastRenderedPageBreak/>
        <w:t>5.2</w:t>
      </w:r>
      <w:r w:rsidRPr="00C35E8B">
        <w:tab/>
        <w:t>Области, нуждающиеся в улучшении</w:t>
      </w:r>
    </w:p>
    <w:p w14:paraId="3B93304E" w14:textId="77777777" w:rsidR="00EE1578" w:rsidRPr="00C35E8B" w:rsidRDefault="00EE1578" w:rsidP="005A318A">
      <w:pPr>
        <w:pStyle w:val="Heading3"/>
      </w:pPr>
      <w:r w:rsidRPr="00C35E8B">
        <w:t>5.2.1</w:t>
      </w:r>
      <w:r w:rsidRPr="00C35E8B">
        <w:tab/>
        <w:t>Увязка ресурсов с оперативными ожиданиями</w:t>
      </w:r>
    </w:p>
    <w:p w14:paraId="18B0FD40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Хотя региональное присутствие высоко ценится, факты свидетельствуют о том, что масштаб оперативных ожиданий, возлагаемых на региональные отделения, в некоторых случаях может превышать имеющиеся ресурсы. Ответы на вопросы обследования и отзывы заинтересованных сторон свидетельствуют о решительной поддержке укрепления регионального присутствия, в том числе путем выделения дополнительных людских и финансовых ресурсов и расширения деятельности по проектам.</w:t>
      </w:r>
    </w:p>
    <w:p w14:paraId="58F03CB7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Наличие ресурсов влияет на темпы и масштабы реализации региональных инициатив и проектов. Заинтересованные стороны отмечают, что предсказуемые механизмы финансирования и адекватный кадровый потенциал являются важными предпосылками эффективного осуществления региональной деятельности.</w:t>
      </w:r>
    </w:p>
    <w:p w14:paraId="135628BA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Обследование также показало решительную поддержку более широкой физической представленности всех Бюро в регионах.</w:t>
      </w:r>
    </w:p>
    <w:p w14:paraId="6B651ECA" w14:textId="77777777" w:rsidR="00EE1578" w:rsidRPr="00C35E8B" w:rsidRDefault="00EE1578" w:rsidP="005A318A">
      <w:pPr>
        <w:pStyle w:val="Heading3"/>
      </w:pPr>
      <w:r w:rsidRPr="00C35E8B">
        <w:t>5.2.2</w:t>
      </w:r>
      <w:r w:rsidRPr="00C35E8B">
        <w:tab/>
        <w:t>Укрепление процессов набора персонала и преемственность кадрового состава</w:t>
      </w:r>
    </w:p>
    <w:p w14:paraId="215B2691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Процессы набора персонала на региональные должности также становятся областью, в которой улучшения могли бы повысить оперативный потенциал. Анализ KPI позволяет выявить повторяющиеся вакансии и сроки набора, которые могут повлиять на способность региональных отделений своевременно привлекать специалистов.</w:t>
      </w:r>
    </w:p>
    <w:p w14:paraId="40E353D4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Ответы на вопросы обследования также свидетельствуют о среднем уровне удовлетворенности процессами набора руководителей проектов и технических экспертов, что указывает на возможности укрепления инструментов набора персонала и механизмов мобильности сотрудников. Повышение эффективности процессов набора могло бы помочь обеспечить наличие у региональных отделений достаточного опыта, необходимого для удовлетворения оперативных потребностей.</w:t>
      </w:r>
    </w:p>
    <w:p w14:paraId="6C13CCF8" w14:textId="77777777" w:rsidR="00EE1578" w:rsidRPr="00C35E8B" w:rsidRDefault="00EE1578" w:rsidP="005A318A">
      <w:pPr>
        <w:pStyle w:val="Heading3"/>
      </w:pPr>
      <w:r w:rsidRPr="00C35E8B">
        <w:t>5.2.3</w:t>
      </w:r>
      <w:r w:rsidRPr="00C35E8B">
        <w:tab/>
        <w:t>Укрепление партнерств и мобилизация ресурсов</w:t>
      </w:r>
    </w:p>
    <w:p w14:paraId="4EAB47F2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Хотя партнерства и сотрудничество широко признаются в качестве ценных компонентов регионального присутствия, ответы на вопросы обследования указывают на более умеренные оценки эффективности партнерских отношений и поддержки мобилизации ресурсов. Уровни оценки в этой области остаются положительными, но более низкими, чем в отношении других вспомогательных функций, что предполагает возможности для дальнейшего укрепления механизмов партнерства и процессов разработки проектов.</w:t>
      </w:r>
    </w:p>
    <w:p w14:paraId="1BF3E083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В ходе собеседований с представителями заинтересованных сторон подчеркивалась важность предсказуемых механизмов финансирования и более тесной координации с региональными организациями для перевода возможностей партнерства в плоскость конкретных проектов и финансируемых инициатив. Поэтому укрепление рамочных структур партнерских отношений и совершенствование механизмов координации могли бы способствовать более последовательному осуществлению региональных инициатив.</w:t>
      </w:r>
    </w:p>
    <w:p w14:paraId="75F8D402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Респонденты также подчеркнули важность тесной координации деятельности МСЭ со страновыми группами ООН как там, где МСЭ физически присутствует, так и там, где такого присутствия нет.</w:t>
      </w:r>
    </w:p>
    <w:p w14:paraId="65EA496F" w14:textId="39C75FED" w:rsidR="00EE1578" w:rsidRPr="00C35E8B" w:rsidRDefault="00EE1578" w:rsidP="005A318A">
      <w:pPr>
        <w:pStyle w:val="Heading3"/>
      </w:pPr>
      <w:r w:rsidRPr="00C35E8B">
        <w:t>5.2.4</w:t>
      </w:r>
      <w:r w:rsidRPr="00C35E8B">
        <w:tab/>
        <w:t>Повышение прозрачности и укрепление отчетности применительно к региональной</w:t>
      </w:r>
      <w:r w:rsidR="00E63DCD" w:rsidRPr="00C35E8B">
        <w:t> </w:t>
      </w:r>
      <w:r w:rsidRPr="00C35E8B">
        <w:t>деятельности</w:t>
      </w:r>
    </w:p>
    <w:p w14:paraId="68101923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 xml:space="preserve">Данные обследований и отзывы заинтересованных сторон также подчеркивают важность более качественных данных и отчетности по уровням укомплектованности штатов, финансовым </w:t>
      </w:r>
      <w:r w:rsidRPr="00C35E8B">
        <w:rPr>
          <w:lang w:val="ru-RU"/>
        </w:rPr>
        <w:lastRenderedPageBreak/>
        <w:t>ресурсам и деятельности по реализации. Респонденты подчеркнули ценность более полной информации о том, как региональные отделения используют ресурсы и осуществляют проекты.</w:t>
      </w:r>
    </w:p>
    <w:p w14:paraId="4CA1508C" w14:textId="64FA91C5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Укрепление механизмов отчетности и прозрачности могло бы усилить функцию надзора, поддержать стратегическое планирование и углубить понимание оперативных потребностей</w:t>
      </w:r>
      <w:r w:rsidR="00E22905">
        <w:rPr>
          <w:lang w:val="en-US"/>
        </w:rPr>
        <w:t> </w:t>
      </w:r>
      <w:r w:rsidRPr="00C35E8B">
        <w:rPr>
          <w:lang w:val="ru-RU"/>
        </w:rPr>
        <w:t>в</w:t>
      </w:r>
      <w:r w:rsidR="001606A7" w:rsidRPr="00C35E8B">
        <w:rPr>
          <w:lang w:val="ru-RU"/>
        </w:rPr>
        <w:t> </w:t>
      </w:r>
      <w:r w:rsidRPr="00C35E8B">
        <w:rPr>
          <w:lang w:val="ru-RU"/>
        </w:rPr>
        <w:t>регионах.</w:t>
      </w:r>
    </w:p>
    <w:p w14:paraId="639BD5DC" w14:textId="77777777" w:rsidR="00EE1578" w:rsidRPr="00C35E8B" w:rsidRDefault="00EE1578" w:rsidP="005A318A">
      <w:pPr>
        <w:pStyle w:val="Heading3"/>
      </w:pPr>
      <w:r w:rsidRPr="00C35E8B">
        <w:t>5.2.5</w:t>
      </w:r>
      <w:r w:rsidRPr="00C35E8B">
        <w:tab/>
        <w:t>Пробелы в региональном присутствии</w:t>
      </w:r>
    </w:p>
    <w:p w14:paraId="6C68524E" w14:textId="77777777" w:rsidR="00EE1578" w:rsidRPr="00C35E8B" w:rsidRDefault="00EE1578" w:rsidP="005A318A">
      <w:pPr>
        <w:jc w:val="both"/>
        <w:rPr>
          <w:lang w:val="ru-RU"/>
        </w:rPr>
      </w:pPr>
      <w:r w:rsidRPr="00C35E8B">
        <w:rPr>
          <w:lang w:val="ru-RU"/>
        </w:rPr>
        <w:t>В ходе обследований были отмечены определенные пробелы в региональном присутствии, в частности в Тихоокеанском регионе, где существующий охват страдает от "разброса по расстоянию и часовым поясам". Респонденты также предложили активизировать более масштабные проекты и виды деятельности в странах, где отсутствуют отделения МСЭ, без физического прикомандирования персонала в страны в долгосрочной перспективе.</w:t>
      </w:r>
    </w:p>
    <w:p w14:paraId="792A5E10" w14:textId="77777777" w:rsidR="00EE1578" w:rsidRPr="005A318A" w:rsidRDefault="00EE1578" w:rsidP="005A318A">
      <w:pPr>
        <w:pStyle w:val="Heading1"/>
      </w:pPr>
      <w:r w:rsidRPr="00C35E8B">
        <w:t>6</w:t>
      </w:r>
      <w:r w:rsidRPr="00C35E8B">
        <w:tab/>
        <w:t>Заключение</w:t>
      </w:r>
    </w:p>
    <w:p w14:paraId="69678305" w14:textId="7777777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6.1</w:t>
      </w:r>
      <w:r w:rsidRPr="00C35E8B">
        <w:rPr>
          <w:rFonts w:asciiTheme="minorHAnsi" w:hAnsiTheme="minorHAnsi" w:cstheme="minorBidi"/>
          <w:lang w:val="ru-RU"/>
        </w:rPr>
        <w:tab/>
        <w:t>В данном отчете и содержащихся в нем выводах подтверждается, что региональные и зональные отделения играют ключевую роль в реализации Стратегического плана МСЭ и Плана действий МСЭ-D. Они служат надежными связующими звеньями с Государствами-Членами, содействуют широкому и всеохватному участию в деятельности МСЭ и поддерживают значительную долю региональных проектов, создание потенциала и политический диалог. Считается, что отличительными признаками регионального присутствия являются оперативность реагирования, доступность и эффективность, что вызывает глубокое удовлетворение Государств-Членов и партнеров во всех регионах. Имеющиеся данные неизменно свидетельствуют о профессионализме региональных коллективов и их преданности своему делу, подчеркивая их роль в качестве ключевых организаторов заинтересованных сторон и катализаторов цифровой трансформации.</w:t>
      </w:r>
    </w:p>
    <w:p w14:paraId="431A56B8" w14:textId="1CE19A3F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6.2</w:t>
      </w:r>
      <w:r w:rsidRPr="00C35E8B">
        <w:rPr>
          <w:lang w:val="ru-RU"/>
        </w:rPr>
        <w:tab/>
        <w:t>Хотя в обзоре также выделены области, в которых процессы, ресурсы и специальные знания можно было бы укрепить еще больше, их лучше всего рассматривать как возможности для создания прочной и хорошо функционирующей основы, позволяющей региональному присутствию еще эффективнее реагировать на меняющиеся ожидания Членов и растущую сложность ландшафта цифрового развития. К ним относятся рационализация людских и финансовых ресурсов и внутренних процессов, углубление межсекторальной координации, расширение доступа к техническим знаниям, улучшение отчетности и финансовой прозрачности, а также укрепление партнерств и механизмов мобилизации ресурсов, насколько это возможно. Заинтересованные стороны в рамках всей системы – Государства-Члены, региональные организации и персонал МСЭ – выражают решительную поддержку дальнейшему расширению возможностей регионального присутствия для удовлетворения растущих потребностей и ориентирования во все более сложной цифровой среде.</w:t>
      </w:r>
    </w:p>
    <w:p w14:paraId="647DAD01" w14:textId="2A8073A7" w:rsidR="00EE1578" w:rsidRPr="00C35E8B" w:rsidRDefault="00EE1578" w:rsidP="005A318A">
      <w:pPr>
        <w:jc w:val="both"/>
        <w:rPr>
          <w:rFonts w:asciiTheme="minorHAnsi" w:hAnsiTheme="minorHAnsi" w:cstheme="minorBidi"/>
          <w:lang w:val="ru-RU"/>
        </w:rPr>
      </w:pPr>
      <w:r w:rsidRPr="00C35E8B">
        <w:rPr>
          <w:rFonts w:asciiTheme="minorHAnsi" w:hAnsiTheme="minorHAnsi" w:cstheme="minorBidi"/>
          <w:lang w:val="ru-RU"/>
        </w:rPr>
        <w:t>6.3</w:t>
      </w:r>
      <w:r w:rsidRPr="00C35E8B">
        <w:rPr>
          <w:rFonts w:asciiTheme="minorHAnsi" w:hAnsiTheme="minorHAnsi" w:cstheme="minorBidi"/>
          <w:lang w:val="ru-RU"/>
        </w:rPr>
        <w:tab/>
        <w:t>В совокупности результаты данного обзора дают четкое и конструктивное представление о том, что региональные и зональные отделения МСЭ являются важным стратегическим активом, эффективно функционирующим и приносящим ощутимую пользу. Благодаря целенаправленным действиям и институциональной поддержке региональное присутствие может стать еще более гибким, эффективным и соответствующим ожиданиям</w:t>
      </w:r>
      <w:r w:rsidR="001606A7" w:rsidRPr="00C35E8B">
        <w:rPr>
          <w:rFonts w:asciiTheme="minorHAnsi" w:hAnsiTheme="minorHAnsi" w:cstheme="minorBidi"/>
          <w:lang w:val="ru-RU"/>
        </w:rPr>
        <w:t> </w:t>
      </w:r>
      <w:r w:rsidRPr="00C35E8B">
        <w:rPr>
          <w:rFonts w:asciiTheme="minorHAnsi" w:hAnsiTheme="minorHAnsi" w:cstheme="minorBidi"/>
          <w:lang w:val="ru-RU"/>
        </w:rPr>
        <w:t>членов.</w:t>
      </w:r>
    </w:p>
    <w:p w14:paraId="10A234E6" w14:textId="77777777" w:rsidR="00796BD3" w:rsidRPr="00C35E8B" w:rsidRDefault="00C462C5" w:rsidP="00EE1578">
      <w:pPr>
        <w:spacing w:before="720"/>
        <w:jc w:val="center"/>
        <w:rPr>
          <w:lang w:val="ru-RU"/>
        </w:rPr>
      </w:pPr>
      <w:r w:rsidRPr="00C35E8B">
        <w:rPr>
          <w:lang w:val="ru-RU"/>
        </w:rPr>
        <w:t>______________</w:t>
      </w:r>
    </w:p>
    <w:sectPr w:rsidR="00796BD3" w:rsidRPr="00C35E8B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F338" w14:textId="77777777" w:rsidR="00EE1578" w:rsidRDefault="00EE1578">
      <w:r>
        <w:separator/>
      </w:r>
    </w:p>
  </w:endnote>
  <w:endnote w:type="continuationSeparator" w:id="0">
    <w:p w14:paraId="0BD4EE87" w14:textId="77777777" w:rsidR="00EE1578" w:rsidRDefault="00EE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800A7CF" w14:textId="77777777" w:rsidTr="00E31DCE">
      <w:trPr>
        <w:jc w:val="center"/>
      </w:trPr>
      <w:tc>
        <w:tcPr>
          <w:tcW w:w="1803" w:type="dxa"/>
          <w:vAlign w:val="center"/>
        </w:tcPr>
        <w:p w14:paraId="77D7C00D" w14:textId="45C611A5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AEFAE5B" w14:textId="60916B1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E1578">
            <w:rPr>
              <w:bCs/>
            </w:rPr>
            <w:t>24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C32865E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D23DBA7" w14:textId="77777777" w:rsidTr="00E31DCE">
      <w:trPr>
        <w:jc w:val="center"/>
      </w:trPr>
      <w:tc>
        <w:tcPr>
          <w:tcW w:w="1803" w:type="dxa"/>
          <w:vAlign w:val="center"/>
        </w:tcPr>
        <w:p w14:paraId="2C97CDC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6BE49D9" w14:textId="05EF207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EE1578">
            <w:rPr>
              <w:bCs/>
            </w:rPr>
            <w:t>24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AE7CF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98CD" w14:textId="77777777" w:rsidR="00EE1578" w:rsidRDefault="00EE1578">
      <w:r>
        <w:t>____________________</w:t>
      </w:r>
    </w:p>
  </w:footnote>
  <w:footnote w:type="continuationSeparator" w:id="0">
    <w:p w14:paraId="779A5703" w14:textId="77777777" w:rsidR="00EE1578" w:rsidRDefault="00EE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0C16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8"/>
    <w:rsid w:val="00005BE0"/>
    <w:rsid w:val="0002183E"/>
    <w:rsid w:val="00054027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06A7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3542D"/>
    <w:rsid w:val="004377F9"/>
    <w:rsid w:val="00442515"/>
    <w:rsid w:val="0045686C"/>
    <w:rsid w:val="00465C35"/>
    <w:rsid w:val="00484CEE"/>
    <w:rsid w:val="004918C4"/>
    <w:rsid w:val="00497703"/>
    <w:rsid w:val="004A0374"/>
    <w:rsid w:val="004A45B5"/>
    <w:rsid w:val="004D0129"/>
    <w:rsid w:val="00515795"/>
    <w:rsid w:val="00561CAF"/>
    <w:rsid w:val="005A318A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35E8B"/>
    <w:rsid w:val="00C462C5"/>
    <w:rsid w:val="00CD2009"/>
    <w:rsid w:val="00CF629C"/>
    <w:rsid w:val="00D17718"/>
    <w:rsid w:val="00D34648"/>
    <w:rsid w:val="00D631AA"/>
    <w:rsid w:val="00D92EEA"/>
    <w:rsid w:val="00DA5D4E"/>
    <w:rsid w:val="00DA770A"/>
    <w:rsid w:val="00E05752"/>
    <w:rsid w:val="00E06BD5"/>
    <w:rsid w:val="00E176BA"/>
    <w:rsid w:val="00E22905"/>
    <w:rsid w:val="00E423EC"/>
    <w:rsid w:val="00E55121"/>
    <w:rsid w:val="00E63DCD"/>
    <w:rsid w:val="00EB4FCB"/>
    <w:rsid w:val="00EC6BC5"/>
    <w:rsid w:val="00EE1578"/>
    <w:rsid w:val="00F348D0"/>
    <w:rsid w:val="00F35898"/>
    <w:rsid w:val="00F5225B"/>
    <w:rsid w:val="00FA2D7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21441"/>
  <w15:docId w15:val="{83DF05EA-74FA-47ED-874F-1830A2AF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18A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A318A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318A"/>
    <w:rPr>
      <w:rFonts w:ascii="Calibri" w:hAnsi="Calibr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A318A"/>
    <w:rPr>
      <w:rFonts w:ascii="Calibri" w:hAnsi="Calibr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E1578"/>
    <w:rPr>
      <w:rFonts w:asciiTheme="minorHAnsi" w:hAnsiTheme="minorHAnsi"/>
      <w:b/>
      <w:sz w:val="22"/>
      <w:lang w:val="en-GB" w:eastAsia="en-US"/>
    </w:rPr>
  </w:style>
  <w:style w:type="paragraph" w:customStyle="1" w:styleId="Tablefin">
    <w:name w:val="Table_fin"/>
    <w:basedOn w:val="Tabletext"/>
    <w:rsid w:val="00EE1578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0" w:after="0"/>
    </w:pPr>
    <w:rPr>
      <w:rFonts w:eastAsia="SimSun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E1578"/>
    <w:rPr>
      <w:rFonts w:asciiTheme="minorHAnsi" w:eastAsiaTheme="minorHAnsi" w:hAnsiTheme="minorHAnsi" w:cstheme="minorBidi"/>
      <w:kern w:val="2"/>
      <w:sz w:val="24"/>
      <w:szCs w:val="24"/>
      <w:lang w:val="en-GB"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u.int/go/wtdc25-final-repo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-2023/RES-025-r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6-CL-INF-0010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105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5</TotalTime>
  <Pages>9</Pages>
  <Words>3044</Words>
  <Characters>24069</Characters>
  <Application>Microsoft Office Word</Application>
  <DocSecurity>0</DocSecurity>
  <Lines>454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ITU Regional Presence</vt:lpstr>
    </vt:vector>
  </TitlesOfParts>
  <Manager>General Secretariat - Pool</Manager>
  <Company>International Telecommunication Union (ITU)</Company>
  <LinksUpToDate>false</LinksUpToDate>
  <CharactersWithSpaces>26925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ITU Regional Presence</dc:title>
  <dc:subject>ITU Council 2026</dc:subject>
  <cp:keywords>C26; C2026; Council 2026; PP26</cp:keywords>
  <dc:description/>
  <cp:lastPrinted>2006-03-28T16:12:00Z</cp:lastPrinted>
  <dcterms:created xsi:type="dcterms:W3CDTF">2026-04-21T16:52:00Z</dcterms:created>
  <dcterms:modified xsi:type="dcterms:W3CDTF">2026-04-21T16:55:00Z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