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D72F49" w:rsidRPr="00813E5E" w14:paraId="2906FEAB" w14:textId="77777777" w:rsidTr="00796BDB">
        <w:trPr>
          <w:cantSplit/>
          <w:trHeight w:val="23"/>
        </w:trPr>
        <w:tc>
          <w:tcPr>
            <w:tcW w:w="3969" w:type="dxa"/>
            <w:vMerge w:val="restart"/>
            <w:tcMar>
              <w:left w:w="0" w:type="dxa"/>
            </w:tcMar>
          </w:tcPr>
          <w:p w14:paraId="1BDD6149" w14:textId="474DE533" w:rsidR="00D72F49" w:rsidRPr="00E85629" w:rsidRDefault="00D72F49" w:rsidP="00796BDB">
            <w:pPr>
              <w:tabs>
                <w:tab w:val="left" w:pos="851"/>
              </w:tabs>
              <w:spacing w:before="0" w:line="240" w:lineRule="atLeast"/>
              <w:rPr>
                <w:b/>
              </w:rPr>
            </w:pPr>
            <w:r w:rsidRPr="00122CE1">
              <w:rPr>
                <w:b/>
              </w:rPr>
              <w:t xml:space="preserve">Point de l'ordre du </w:t>
            </w:r>
            <w:proofErr w:type="gramStart"/>
            <w:r w:rsidRPr="00122CE1">
              <w:rPr>
                <w:b/>
              </w:rPr>
              <w:t>jour</w:t>
            </w:r>
            <w:r>
              <w:rPr>
                <w:b/>
              </w:rPr>
              <w:t>:</w:t>
            </w:r>
            <w:proofErr w:type="gramEnd"/>
            <w:r w:rsidR="0007790F">
              <w:rPr>
                <w:b/>
              </w:rPr>
              <w:t xml:space="preserve"> </w:t>
            </w:r>
            <w:proofErr w:type="spellStart"/>
            <w:r w:rsidR="0007790F">
              <w:rPr>
                <w:b/>
              </w:rPr>
              <w:t>PL</w:t>
            </w:r>
            <w:r w:rsidR="000D5DEF">
              <w:rPr>
                <w:b/>
              </w:rPr>
              <w:t>-</w:t>
            </w:r>
            <w:r w:rsidR="0007790F">
              <w:rPr>
                <w:b/>
              </w:rPr>
              <w:t>2</w:t>
            </w:r>
            <w:proofErr w:type="spellEnd"/>
          </w:p>
        </w:tc>
        <w:tc>
          <w:tcPr>
            <w:tcW w:w="5245" w:type="dxa"/>
          </w:tcPr>
          <w:p w14:paraId="16E9F920" w14:textId="42340E6F" w:rsidR="00D72F49" w:rsidRPr="00E85629" w:rsidRDefault="00D72F49" w:rsidP="00796BDB">
            <w:pPr>
              <w:tabs>
                <w:tab w:val="left" w:pos="851"/>
              </w:tabs>
              <w:spacing w:before="0" w:line="240" w:lineRule="atLeast"/>
              <w:jc w:val="right"/>
              <w:rPr>
                <w:b/>
              </w:rPr>
            </w:pPr>
            <w:r>
              <w:rPr>
                <w:b/>
              </w:rPr>
              <w:t>Document C2</w:t>
            </w:r>
            <w:r w:rsidR="00E4448E">
              <w:rPr>
                <w:b/>
              </w:rPr>
              <w:t>6</w:t>
            </w:r>
            <w:r>
              <w:rPr>
                <w:b/>
              </w:rPr>
              <w:t>/</w:t>
            </w:r>
            <w:r w:rsidR="0007790F">
              <w:rPr>
                <w:b/>
              </w:rPr>
              <w:t>24</w:t>
            </w:r>
            <w:r>
              <w:rPr>
                <w:b/>
              </w:rPr>
              <w:t>-F</w:t>
            </w:r>
          </w:p>
        </w:tc>
      </w:tr>
      <w:tr w:rsidR="00D72F49" w:rsidRPr="00C049D7" w14:paraId="4C7A7CB3" w14:textId="77777777" w:rsidTr="00796BDB">
        <w:trPr>
          <w:cantSplit/>
        </w:trPr>
        <w:tc>
          <w:tcPr>
            <w:tcW w:w="3969" w:type="dxa"/>
            <w:vMerge/>
          </w:tcPr>
          <w:p w14:paraId="0C64A8E3" w14:textId="77777777" w:rsidR="00D72F49" w:rsidRPr="00813E5E" w:rsidRDefault="00D72F49" w:rsidP="00796BDB">
            <w:pPr>
              <w:tabs>
                <w:tab w:val="left" w:pos="851"/>
              </w:tabs>
              <w:spacing w:line="240" w:lineRule="atLeast"/>
              <w:rPr>
                <w:b/>
              </w:rPr>
            </w:pPr>
          </w:p>
        </w:tc>
        <w:tc>
          <w:tcPr>
            <w:tcW w:w="5245" w:type="dxa"/>
          </w:tcPr>
          <w:p w14:paraId="0CAFB9E0" w14:textId="7ABA9B26" w:rsidR="00D72F49" w:rsidRPr="00FC6D7D" w:rsidRDefault="0007790F" w:rsidP="00796BDB">
            <w:pPr>
              <w:tabs>
                <w:tab w:val="left" w:pos="851"/>
              </w:tabs>
              <w:spacing w:before="0"/>
              <w:jc w:val="right"/>
              <w:rPr>
                <w:b/>
                <w:lang w:val="en-GB"/>
              </w:rPr>
            </w:pPr>
            <w:r>
              <w:rPr>
                <w:b/>
              </w:rPr>
              <w:t>30 mars 2026</w:t>
            </w:r>
          </w:p>
        </w:tc>
      </w:tr>
      <w:tr w:rsidR="00D72F49" w:rsidRPr="00813E5E" w14:paraId="27C5D491" w14:textId="77777777" w:rsidTr="00796BDB">
        <w:trPr>
          <w:cantSplit/>
          <w:trHeight w:val="23"/>
        </w:trPr>
        <w:tc>
          <w:tcPr>
            <w:tcW w:w="3969" w:type="dxa"/>
            <w:vMerge/>
          </w:tcPr>
          <w:p w14:paraId="120EACF5" w14:textId="77777777" w:rsidR="00D72F49" w:rsidRPr="00FC6D7D" w:rsidRDefault="00D72F49" w:rsidP="00796BDB">
            <w:pPr>
              <w:tabs>
                <w:tab w:val="left" w:pos="851"/>
              </w:tabs>
              <w:spacing w:line="240" w:lineRule="atLeast"/>
              <w:rPr>
                <w:b/>
                <w:lang w:val="en-GB"/>
              </w:rPr>
            </w:pPr>
          </w:p>
        </w:tc>
        <w:tc>
          <w:tcPr>
            <w:tcW w:w="5245" w:type="dxa"/>
          </w:tcPr>
          <w:p w14:paraId="580DE2E2" w14:textId="77777777" w:rsidR="00D72F49" w:rsidRPr="00E85629" w:rsidRDefault="00D72F49" w:rsidP="00796BDB">
            <w:pPr>
              <w:tabs>
                <w:tab w:val="left" w:pos="851"/>
              </w:tabs>
              <w:spacing w:before="0" w:line="240" w:lineRule="atLeast"/>
              <w:jc w:val="right"/>
              <w:rPr>
                <w:b/>
              </w:rPr>
            </w:pPr>
            <w:r w:rsidRPr="00122CE1">
              <w:rPr>
                <w:b/>
                <w:lang w:val="fr-CH"/>
              </w:rPr>
              <w:t>Original: anglais</w:t>
            </w:r>
          </w:p>
        </w:tc>
      </w:tr>
      <w:tr w:rsidR="00D72F49" w:rsidRPr="00813E5E" w14:paraId="72209467" w14:textId="77777777" w:rsidTr="00796BDB">
        <w:trPr>
          <w:cantSplit/>
          <w:trHeight w:val="23"/>
        </w:trPr>
        <w:tc>
          <w:tcPr>
            <w:tcW w:w="3969" w:type="dxa"/>
          </w:tcPr>
          <w:p w14:paraId="6B7877B2" w14:textId="77777777" w:rsidR="00D72F49" w:rsidRPr="00813E5E" w:rsidRDefault="00D72F49" w:rsidP="00796BDB">
            <w:pPr>
              <w:tabs>
                <w:tab w:val="left" w:pos="851"/>
              </w:tabs>
              <w:spacing w:line="240" w:lineRule="atLeast"/>
              <w:rPr>
                <w:b/>
              </w:rPr>
            </w:pPr>
          </w:p>
        </w:tc>
        <w:tc>
          <w:tcPr>
            <w:tcW w:w="5245" w:type="dxa"/>
          </w:tcPr>
          <w:p w14:paraId="0794CA46" w14:textId="77777777" w:rsidR="00D72F49" w:rsidRDefault="00D72F49" w:rsidP="00796BDB">
            <w:pPr>
              <w:tabs>
                <w:tab w:val="left" w:pos="851"/>
              </w:tabs>
              <w:spacing w:before="0" w:line="240" w:lineRule="atLeast"/>
              <w:jc w:val="right"/>
              <w:rPr>
                <w:b/>
              </w:rPr>
            </w:pPr>
          </w:p>
        </w:tc>
      </w:tr>
      <w:tr w:rsidR="00D72F49" w:rsidRPr="00122CE1" w14:paraId="3E7572FE" w14:textId="77777777" w:rsidTr="00796BDB">
        <w:trPr>
          <w:cantSplit/>
        </w:trPr>
        <w:tc>
          <w:tcPr>
            <w:tcW w:w="9214" w:type="dxa"/>
            <w:gridSpan w:val="2"/>
            <w:tcMar>
              <w:left w:w="0" w:type="dxa"/>
            </w:tcMar>
          </w:tcPr>
          <w:p w14:paraId="66EA1D5D" w14:textId="77777777" w:rsidR="00D72F49" w:rsidRPr="00C42437" w:rsidRDefault="00D72F49" w:rsidP="000D5DEF">
            <w:pPr>
              <w:pStyle w:val="Source"/>
              <w:framePr w:hSpace="0" w:wrap="auto" w:vAnchor="margin" w:hAnchor="text" w:xAlign="left" w:yAlign="inline"/>
              <w:rPr>
                <w:lang w:val="fr-CH"/>
              </w:rPr>
            </w:pPr>
            <w:r w:rsidRPr="000D5DEF">
              <w:t>Rapport</w:t>
            </w:r>
            <w:r w:rsidRPr="00D72F49">
              <w:t xml:space="preserve"> </w:t>
            </w:r>
            <w:r w:rsidR="00E95647">
              <w:t xml:space="preserve">de la </w:t>
            </w:r>
            <w:r w:rsidRPr="00D72F49">
              <w:t>Secrétaire général</w:t>
            </w:r>
            <w:r w:rsidR="00E95647">
              <w:t>e</w:t>
            </w:r>
          </w:p>
        </w:tc>
      </w:tr>
      <w:tr w:rsidR="00D72F49" w:rsidRPr="00813E5E" w14:paraId="5A253D44" w14:textId="77777777" w:rsidTr="00796BDB">
        <w:trPr>
          <w:cantSplit/>
        </w:trPr>
        <w:tc>
          <w:tcPr>
            <w:tcW w:w="9214" w:type="dxa"/>
            <w:gridSpan w:val="2"/>
            <w:tcMar>
              <w:left w:w="0" w:type="dxa"/>
            </w:tcMar>
          </w:tcPr>
          <w:p w14:paraId="3AC95DEE" w14:textId="2ABA5D67" w:rsidR="00D72F49" w:rsidRPr="0007790F" w:rsidRDefault="00897D8B" w:rsidP="00796BDB">
            <w:pPr>
              <w:pStyle w:val="Subtitle"/>
              <w:framePr w:hSpace="0" w:wrap="auto" w:hAnchor="text" w:xAlign="left" w:yAlign="inline"/>
              <w:rPr>
                <w:sz w:val="32"/>
                <w:szCs w:val="32"/>
                <w:lang w:val="fr-FR"/>
              </w:rPr>
            </w:pPr>
            <w:r w:rsidRPr="0007790F">
              <w:rPr>
                <w:rFonts w:cstheme="minorHAnsi"/>
                <w:sz w:val="32"/>
                <w:szCs w:val="32"/>
                <w:lang w:val="fr-FR"/>
              </w:rPr>
              <w:t>EXAMEN DE LA PRÉSENCE RÉGIONALE DE L'UIT</w:t>
            </w:r>
          </w:p>
        </w:tc>
      </w:tr>
      <w:tr w:rsidR="00D72F49" w:rsidRPr="00813E5E" w14:paraId="32FA38E4" w14:textId="77777777" w:rsidTr="00796BDB">
        <w:trPr>
          <w:cantSplit/>
        </w:trPr>
        <w:tc>
          <w:tcPr>
            <w:tcW w:w="9214" w:type="dxa"/>
            <w:gridSpan w:val="2"/>
            <w:tcBorders>
              <w:top w:val="single" w:sz="4" w:space="0" w:color="auto"/>
              <w:bottom w:val="single" w:sz="4" w:space="0" w:color="auto"/>
            </w:tcBorders>
            <w:tcMar>
              <w:left w:w="0" w:type="dxa"/>
            </w:tcMar>
          </w:tcPr>
          <w:p w14:paraId="61AC3052" w14:textId="77777777" w:rsidR="00D72F49" w:rsidRPr="0099485B" w:rsidRDefault="00F37FE5" w:rsidP="00796BDB">
            <w:pPr>
              <w:spacing w:before="160"/>
              <w:rPr>
                <w:b/>
                <w:bCs/>
                <w:sz w:val="26"/>
                <w:szCs w:val="26"/>
                <w:lang w:val="fr-CH"/>
              </w:rPr>
            </w:pPr>
            <w:r>
              <w:rPr>
                <w:b/>
                <w:bCs/>
                <w:sz w:val="26"/>
                <w:szCs w:val="26"/>
                <w:lang w:val="fr-CH"/>
              </w:rPr>
              <w:t>Objet</w:t>
            </w:r>
          </w:p>
          <w:p w14:paraId="25C692BB" w14:textId="0638C79D" w:rsidR="00D72F49" w:rsidRPr="0099485B" w:rsidRDefault="0007790F" w:rsidP="00796BDB">
            <w:pPr>
              <w:rPr>
                <w:lang w:val="fr-CH"/>
              </w:rPr>
            </w:pPr>
            <w:r w:rsidRPr="0007790F">
              <w:rPr>
                <w:lang w:val="fr-CH"/>
              </w:rPr>
              <w:t xml:space="preserve">Le présent document rend compte de l'examen de la présence régionale de l'UIT mené conformément aux recommandations formulées par le Conseil à sa </w:t>
            </w:r>
            <w:r w:rsidR="00F46E65">
              <w:rPr>
                <w:lang w:val="fr-CH"/>
              </w:rPr>
              <w:t>25ème</w:t>
            </w:r>
            <w:r w:rsidRPr="0007790F">
              <w:rPr>
                <w:lang w:val="fr-CH"/>
              </w:rPr>
              <w:t xml:space="preserve"> session. Il s'appuie sur un document d'information (</w:t>
            </w:r>
            <w:hyperlink r:id="rId7" w:history="1">
              <w:r w:rsidRPr="0007790F">
                <w:rPr>
                  <w:rStyle w:val="Hyperlink"/>
                  <w:rFonts w:eastAsia="Times New Roman" w:cs="Times New Roman"/>
                  <w:szCs w:val="20"/>
                  <w:lang w:val="fr-CH"/>
                </w:rPr>
                <w:t>C26/INF/10</w:t>
              </w:r>
            </w:hyperlink>
            <w:r w:rsidRPr="0007790F">
              <w:rPr>
                <w:lang w:val="fr-CH"/>
              </w:rPr>
              <w:t>) qui présente le cadre général et le contexte de cet examen, la méthodologie spécifiée par le Conseil ainsi que les conclusions détaillées issues de l'examen.</w:t>
            </w:r>
          </w:p>
          <w:p w14:paraId="4DF7DAB6" w14:textId="77777777" w:rsidR="00D72F49" w:rsidRPr="00122CE1" w:rsidRDefault="00D72F49" w:rsidP="00796BDB">
            <w:pPr>
              <w:spacing w:before="160"/>
              <w:rPr>
                <w:b/>
                <w:bCs/>
                <w:sz w:val="26"/>
                <w:szCs w:val="26"/>
                <w:lang w:val="fr-CH"/>
              </w:rPr>
            </w:pPr>
            <w:r w:rsidRPr="00122CE1">
              <w:rPr>
                <w:b/>
                <w:bCs/>
                <w:sz w:val="26"/>
                <w:szCs w:val="26"/>
                <w:lang w:val="fr-CH"/>
              </w:rPr>
              <w:t>Suite à donner par le Conseil</w:t>
            </w:r>
          </w:p>
          <w:p w14:paraId="388E5C99" w14:textId="77801505" w:rsidR="00D72F49" w:rsidRPr="00122CE1" w:rsidRDefault="0007790F" w:rsidP="00796BDB">
            <w:pPr>
              <w:rPr>
                <w:lang w:val="fr-CH"/>
              </w:rPr>
            </w:pPr>
            <w:r w:rsidRPr="0007790F">
              <w:rPr>
                <w:lang w:val="fr-CH"/>
              </w:rPr>
              <w:t xml:space="preserve">Le Conseil est invité à </w:t>
            </w:r>
            <w:r w:rsidRPr="0007790F">
              <w:rPr>
                <w:b/>
                <w:bCs/>
                <w:lang w:val="fr-CH"/>
              </w:rPr>
              <w:t>examiner</w:t>
            </w:r>
            <w:r w:rsidRPr="0007790F">
              <w:rPr>
                <w:lang w:val="fr-CH"/>
              </w:rPr>
              <w:t xml:space="preserve"> le rapport et à en </w:t>
            </w:r>
            <w:r w:rsidRPr="0007790F">
              <w:rPr>
                <w:b/>
                <w:bCs/>
                <w:lang w:val="fr-CH"/>
              </w:rPr>
              <w:t>prendre note</w:t>
            </w:r>
            <w:r w:rsidRPr="0007790F">
              <w:rPr>
                <w:lang w:val="fr-CH"/>
              </w:rPr>
              <w:t>.</w:t>
            </w:r>
          </w:p>
          <w:p w14:paraId="48832350" w14:textId="7752C705" w:rsidR="00D72F49" w:rsidRPr="00122CE1" w:rsidRDefault="00D72F49" w:rsidP="00796BDB">
            <w:pPr>
              <w:spacing w:before="160"/>
              <w:rPr>
                <w:b/>
                <w:bCs/>
                <w:sz w:val="26"/>
                <w:szCs w:val="26"/>
                <w:lang w:val="fr-CH"/>
              </w:rPr>
            </w:pPr>
            <w:r w:rsidRPr="00122CE1">
              <w:rPr>
                <w:b/>
                <w:bCs/>
                <w:sz w:val="26"/>
                <w:szCs w:val="26"/>
                <w:lang w:val="fr-CH"/>
              </w:rPr>
              <w:t xml:space="preserve">Lien pertinent avec le </w:t>
            </w:r>
            <w:r w:rsidR="00F37FE5">
              <w:rPr>
                <w:b/>
                <w:bCs/>
                <w:sz w:val="26"/>
                <w:szCs w:val="26"/>
                <w:lang w:val="fr-CH"/>
              </w:rPr>
              <w:t>p</w:t>
            </w:r>
            <w:r w:rsidRPr="00122CE1">
              <w:rPr>
                <w:b/>
                <w:bCs/>
                <w:sz w:val="26"/>
                <w:szCs w:val="26"/>
                <w:lang w:val="fr-CH"/>
              </w:rPr>
              <w:t>lan stratégique</w:t>
            </w:r>
          </w:p>
          <w:p w14:paraId="69EE83B6" w14:textId="7BA4FCCF" w:rsidR="00D72F49" w:rsidRPr="00122CE1" w:rsidRDefault="0007790F" w:rsidP="00796BDB">
            <w:pPr>
              <w:rPr>
                <w:lang w:val="fr-CH"/>
              </w:rPr>
            </w:pPr>
            <w:r w:rsidRPr="0007790F">
              <w:rPr>
                <w:lang w:val="fr-CH"/>
              </w:rPr>
              <w:t>Présence régionale.</w:t>
            </w:r>
          </w:p>
          <w:p w14:paraId="7E3FBA2D" w14:textId="77777777" w:rsidR="00E95647" w:rsidRDefault="00D72F49" w:rsidP="00796BDB">
            <w:pPr>
              <w:spacing w:before="160"/>
              <w:rPr>
                <w:b/>
                <w:bCs/>
                <w:sz w:val="26"/>
                <w:szCs w:val="26"/>
                <w:lang w:val="fr-CH"/>
              </w:rPr>
            </w:pPr>
            <w:r w:rsidRPr="00122CE1">
              <w:rPr>
                <w:b/>
                <w:bCs/>
                <w:sz w:val="26"/>
                <w:szCs w:val="26"/>
                <w:lang w:val="fr-CH"/>
              </w:rPr>
              <w:t>Incidences financières</w:t>
            </w:r>
          </w:p>
          <w:p w14:paraId="6DD6411D" w14:textId="739BFC49" w:rsidR="00D72F49" w:rsidRPr="00882919" w:rsidRDefault="0007790F" w:rsidP="00796BDB">
            <w:pPr>
              <w:rPr>
                <w:szCs w:val="24"/>
              </w:rPr>
            </w:pPr>
            <w:r w:rsidRPr="0007790F">
              <w:rPr>
                <w:szCs w:val="24"/>
              </w:rPr>
              <w:t>Aucune incidence financière directe.</w:t>
            </w:r>
          </w:p>
          <w:p w14:paraId="4F8CDD9C" w14:textId="77777777" w:rsidR="00D72F49" w:rsidRPr="00813E5E" w:rsidRDefault="00D72F49" w:rsidP="00796BDB">
            <w:pPr>
              <w:spacing w:before="160"/>
              <w:rPr>
                <w:caps/>
                <w:sz w:val="22"/>
              </w:rPr>
            </w:pPr>
            <w:r w:rsidRPr="00813E5E">
              <w:rPr>
                <w:sz w:val="22"/>
              </w:rPr>
              <w:t>____________</w:t>
            </w:r>
            <w:r>
              <w:rPr>
                <w:sz w:val="22"/>
              </w:rPr>
              <w:t>______</w:t>
            </w:r>
          </w:p>
          <w:p w14:paraId="6A1E8F0C" w14:textId="77777777" w:rsidR="00D72F49" w:rsidRDefault="00D72F49" w:rsidP="00796BDB">
            <w:pPr>
              <w:spacing w:before="160"/>
              <w:rPr>
                <w:b/>
                <w:bCs/>
                <w:sz w:val="26"/>
                <w:szCs w:val="26"/>
              </w:rPr>
            </w:pPr>
            <w:r w:rsidRPr="00F16BAB">
              <w:rPr>
                <w:b/>
                <w:bCs/>
                <w:sz w:val="26"/>
                <w:szCs w:val="26"/>
              </w:rPr>
              <w:t>Références</w:t>
            </w:r>
          </w:p>
          <w:p w14:paraId="3162B659" w14:textId="323A10AD" w:rsidR="00D72F49" w:rsidRPr="00897D8B" w:rsidRDefault="0007790F" w:rsidP="00CE5172">
            <w:pPr>
              <w:pStyle w:val="Referencetext"/>
              <w:framePr w:hSpace="0" w:wrap="auto" w:vAnchor="margin" w:hAnchor="text" w:xAlign="left" w:yAlign="inline"/>
            </w:pPr>
            <w:r w:rsidRPr="00897D8B">
              <w:t xml:space="preserve">Résolution </w:t>
            </w:r>
            <w:hyperlink r:id="rId8" w:history="1">
              <w:r w:rsidRPr="00897D8B">
                <w:rPr>
                  <w:rStyle w:val="Hyperlink"/>
                  <w:rFonts w:eastAsia="Times New Roman" w:cs="Times New Roman"/>
                </w:rPr>
                <w:t>25</w:t>
              </w:r>
            </w:hyperlink>
            <w:r w:rsidRPr="00897D8B">
              <w:t xml:space="preserve"> (Rév. Bucarest, 2022) de la Conférence de </w:t>
            </w:r>
            <w:proofErr w:type="gramStart"/>
            <w:r w:rsidRPr="00897D8B">
              <w:t>plénipotentiaires;</w:t>
            </w:r>
            <w:proofErr w:type="gramEnd"/>
            <w:r w:rsidRPr="00897D8B">
              <w:t xml:space="preserve"> Résolutions </w:t>
            </w:r>
            <w:hyperlink r:id="rId9" w:history="1">
              <w:r w:rsidRPr="00897D8B">
                <w:rPr>
                  <w:rStyle w:val="Hyperlink"/>
                  <w:rFonts w:eastAsia="Times New Roman" w:cs="Times New Roman"/>
                </w:rPr>
                <w:t>17</w:t>
              </w:r>
            </w:hyperlink>
            <w:r w:rsidRPr="00897D8B">
              <w:t xml:space="preserve"> (Rév. Bakou, 2025) et </w:t>
            </w:r>
            <w:hyperlink r:id="rId10" w:history="1">
              <w:r w:rsidRPr="00897D8B">
                <w:rPr>
                  <w:rStyle w:val="Hyperlink"/>
                  <w:rFonts w:eastAsia="Times New Roman" w:cs="Times New Roman"/>
                </w:rPr>
                <w:t>31</w:t>
              </w:r>
            </w:hyperlink>
            <w:r w:rsidRPr="00897D8B">
              <w:t xml:space="preserve"> (Rév. Bakou, 2025) de la Conférence mondiale de développement des télécommunications (CMDT); </w:t>
            </w:r>
            <w:hyperlink r:id="rId11" w:history="1">
              <w:r w:rsidRPr="00897D8B">
                <w:rPr>
                  <w:rStyle w:val="Hyperlink"/>
                  <w:rFonts w:eastAsia="Times New Roman" w:cs="Times New Roman"/>
                </w:rPr>
                <w:t>Rapport final de la CMDT-22 (Plan d'action de Kigali)</w:t>
              </w:r>
            </w:hyperlink>
            <w:r w:rsidRPr="00897D8B">
              <w:t xml:space="preserve">; </w:t>
            </w:r>
            <w:hyperlink r:id="rId12" w:anchor="/fr" w:history="1">
              <w:r w:rsidRPr="00897D8B">
                <w:rPr>
                  <w:rStyle w:val="Hyperlink"/>
                  <w:rFonts w:eastAsia="Times New Roman" w:cs="Times New Roman"/>
                </w:rPr>
                <w:t>site web du GTC-FHR</w:t>
              </w:r>
            </w:hyperlink>
            <w:r w:rsidRPr="00897D8B">
              <w:t>; Documents </w:t>
            </w:r>
            <w:hyperlink r:id="rId13" w:history="1">
              <w:r w:rsidRPr="00897D8B">
                <w:rPr>
                  <w:rStyle w:val="Hyperlink"/>
                  <w:rFonts w:eastAsia="Times New Roman" w:cs="Times New Roman"/>
                </w:rPr>
                <w:t>C26/25</w:t>
              </w:r>
            </w:hyperlink>
            <w:r w:rsidRPr="00897D8B">
              <w:t xml:space="preserve">, </w:t>
            </w:r>
            <w:hyperlink r:id="rId14" w:history="1">
              <w:r w:rsidRPr="00897D8B">
                <w:rPr>
                  <w:rStyle w:val="Hyperlink"/>
                  <w:rFonts w:eastAsia="Times New Roman" w:cs="Times New Roman"/>
                </w:rPr>
                <w:t>C25/25</w:t>
              </w:r>
            </w:hyperlink>
            <w:r w:rsidRPr="00897D8B">
              <w:t xml:space="preserve">, </w:t>
            </w:r>
            <w:hyperlink r:id="rId15" w:history="1">
              <w:r w:rsidRPr="00897D8B">
                <w:rPr>
                  <w:rStyle w:val="Hyperlink"/>
                  <w:rFonts w:eastAsia="Times New Roman" w:cs="Times New Roman"/>
                </w:rPr>
                <w:t>C25/105</w:t>
              </w:r>
            </w:hyperlink>
            <w:r w:rsidRPr="00897D8B">
              <w:t xml:space="preserve">, </w:t>
            </w:r>
            <w:hyperlink r:id="rId16" w:history="1">
              <w:r w:rsidRPr="00897D8B">
                <w:rPr>
                  <w:rStyle w:val="Hyperlink"/>
                  <w:rFonts w:eastAsia="Times New Roman" w:cs="Times New Roman"/>
                </w:rPr>
                <w:t>C25/DL/6</w:t>
              </w:r>
            </w:hyperlink>
            <w:r w:rsidRPr="00897D8B">
              <w:t xml:space="preserve">, </w:t>
            </w:r>
            <w:hyperlink r:id="rId17" w:history="1">
              <w:r w:rsidRPr="00897D8B">
                <w:rPr>
                  <w:rStyle w:val="Hyperlink"/>
                  <w:rFonts w:eastAsia="Times New Roman" w:cs="Times New Roman"/>
                </w:rPr>
                <w:t>C25/69</w:t>
              </w:r>
            </w:hyperlink>
            <w:r w:rsidRPr="00897D8B">
              <w:t xml:space="preserve"> et </w:t>
            </w:r>
            <w:hyperlink r:id="rId18" w:history="1">
              <w:r w:rsidRPr="00897D8B">
                <w:rPr>
                  <w:rStyle w:val="Hyperlink"/>
                  <w:rFonts w:eastAsia="Times New Roman" w:cs="Times New Roman"/>
                </w:rPr>
                <w:t>C26/INF/10</w:t>
              </w:r>
            </w:hyperlink>
            <w:r w:rsidRPr="00897D8B">
              <w:t xml:space="preserve"> du Conseil.</w:t>
            </w:r>
          </w:p>
        </w:tc>
      </w:tr>
    </w:tbl>
    <w:p w14:paraId="00C8F07A" w14:textId="77777777" w:rsidR="00A51849" w:rsidRDefault="00A51849">
      <w:pPr>
        <w:tabs>
          <w:tab w:val="clear" w:pos="567"/>
          <w:tab w:val="clear" w:pos="1134"/>
          <w:tab w:val="clear" w:pos="1701"/>
          <w:tab w:val="clear" w:pos="2268"/>
          <w:tab w:val="clear" w:pos="2835"/>
        </w:tabs>
        <w:overflowPunct/>
        <w:autoSpaceDE/>
        <w:autoSpaceDN/>
        <w:adjustRightInd/>
        <w:spacing w:before="0"/>
        <w:textAlignment w:val="auto"/>
      </w:pPr>
      <w:r>
        <w:br w:type="page"/>
      </w:r>
    </w:p>
    <w:p w14:paraId="097E72F2" w14:textId="49604F3D" w:rsidR="0007790F" w:rsidRDefault="0007790F" w:rsidP="00897D8B">
      <w:pPr>
        <w:jc w:val="both"/>
      </w:pPr>
      <w:r>
        <w:lastRenderedPageBreak/>
        <w:t xml:space="preserve">Le présent document récapitule les principales conclusions du rapport final de l'examen de la présence régionale de l'UIT réalisé au nom de la Secrétaire générale conformément aux recommandations formulées par le Conseil à sa </w:t>
      </w:r>
      <w:r w:rsidR="00594960">
        <w:t>25ème</w:t>
      </w:r>
      <w:r>
        <w:t xml:space="preserve"> session (Rapport de la Présidente de la Commission permanente de l'administration et de la gestion, Document </w:t>
      </w:r>
      <w:hyperlink r:id="rId19" w:history="1">
        <w:r w:rsidRPr="0007790F">
          <w:rPr>
            <w:rStyle w:val="Hyperlink"/>
            <w:rFonts w:eastAsia="Times New Roman" w:cs="Times New Roman"/>
            <w:szCs w:val="20"/>
          </w:rPr>
          <w:t>C25/105</w:t>
        </w:r>
      </w:hyperlink>
      <w:r>
        <w:t>, § 26, Annexe</w:t>
      </w:r>
      <w:r w:rsidR="00947985">
        <w:t> </w:t>
      </w:r>
      <w:r>
        <w:t xml:space="preserve">H, Annexe A et Annexe 1). Le Document </w:t>
      </w:r>
      <w:hyperlink r:id="rId20" w:history="1">
        <w:r w:rsidRPr="0007790F">
          <w:rPr>
            <w:rStyle w:val="Hyperlink"/>
            <w:rFonts w:eastAsia="Times New Roman" w:cs="Times New Roman"/>
            <w:szCs w:val="20"/>
          </w:rPr>
          <w:t>C26/INF/10</w:t>
        </w:r>
      </w:hyperlink>
      <w:r>
        <w:t xml:space="preserve"> présente le cadre général et le contexte de cet examen, la méthodologie spécifiée par le Conseil ainsi que les conclusions détaillées issues de l'examen.</w:t>
      </w:r>
    </w:p>
    <w:p w14:paraId="530C5B52" w14:textId="77777777" w:rsidR="0007790F" w:rsidRDefault="0007790F" w:rsidP="0007790F">
      <w:pPr>
        <w:pStyle w:val="Heading1"/>
      </w:pPr>
      <w:r>
        <w:t>1</w:t>
      </w:r>
      <w:r>
        <w:tab/>
        <w:t>Rappel</w:t>
      </w:r>
    </w:p>
    <w:p w14:paraId="1C18357A" w14:textId="1095A0BF" w:rsidR="0007790F" w:rsidRDefault="0007790F" w:rsidP="00897D8B">
      <w:pPr>
        <w:jc w:val="both"/>
      </w:pPr>
      <w:r>
        <w:t>1.1</w:t>
      </w:r>
      <w:r>
        <w:tab/>
        <w:t xml:space="preserve">À sa 19ème réunion (30 septembre – 11 octobre 2024), le Groupe de travail du Conseil sur les ressources financières et humaines (GTC-FHR) a créé un Groupe de travail par correspondance en ligne chargé d'élaborer un mandat pour l'examen de la présence régionale, conformément aux dispositions de la Résolution </w:t>
      </w:r>
      <w:hyperlink r:id="rId21" w:history="1">
        <w:r w:rsidRPr="0007790F">
          <w:rPr>
            <w:rStyle w:val="Hyperlink"/>
            <w:rFonts w:eastAsia="Times New Roman" w:cs="Times New Roman"/>
            <w:szCs w:val="20"/>
          </w:rPr>
          <w:t>25</w:t>
        </w:r>
      </w:hyperlink>
      <w:r>
        <w:t xml:space="preserve"> (Rév. Bucarest, 2022) de la Conférence de plénipotentiaires, qui porte sur le renforcement de la présence régionale de l'UIT.</w:t>
      </w:r>
    </w:p>
    <w:p w14:paraId="67C8573E" w14:textId="77777777" w:rsidR="0007790F" w:rsidRDefault="0007790F" w:rsidP="00897D8B">
      <w:pPr>
        <w:jc w:val="both"/>
      </w:pPr>
      <w:r>
        <w:t>1.2</w:t>
      </w:r>
      <w:r>
        <w:tab/>
        <w:t xml:space="preserve">Conformément au point 4 du </w:t>
      </w:r>
      <w:r w:rsidRPr="00763C34">
        <w:rPr>
          <w:i/>
          <w:iCs/>
        </w:rPr>
        <w:t>charge</w:t>
      </w:r>
      <w:r>
        <w:t xml:space="preserve"> de cette Résolution, le Secrétaire général doit,</w:t>
      </w:r>
    </w:p>
    <w:p w14:paraId="0BC7E222" w14:textId="77777777" w:rsidR="0007790F" w:rsidRDefault="0007790F" w:rsidP="00897D8B">
      <w:pPr>
        <w:ind w:left="567" w:hanging="567"/>
        <w:jc w:val="both"/>
      </w:pPr>
      <w:r>
        <w:tab/>
        <w:t>"mener tous les quatre ans, dans les limites des ressources financières actuelles, une enquête sur le niveau de satisfaction des États Membres, des Membres des Secteurs et des organisations régionales de télécommunication concernant la présence régionale de l'UIT, et [en] présenter les résultats dans un rapport à la session du Conseil précédant chaque Conférence de plénipotentiaires".</w:t>
      </w:r>
    </w:p>
    <w:p w14:paraId="0E3AE874" w14:textId="7FDAC5ED" w:rsidR="0007790F" w:rsidRDefault="0007790F" w:rsidP="00897D8B">
      <w:pPr>
        <w:jc w:val="both"/>
      </w:pPr>
      <w:r>
        <w:t>1.3</w:t>
      </w:r>
      <w:r>
        <w:tab/>
        <w:t>La version révisée du mandat a été examinée à la 20ème réunion du GTC-FHR (10</w:t>
      </w:r>
      <w:r w:rsidR="00763C34">
        <w:noBreakHyphen/>
      </w:r>
      <w:r>
        <w:t>21</w:t>
      </w:r>
      <w:r w:rsidR="00763C34">
        <w:t> </w:t>
      </w:r>
      <w:r>
        <w:t>février 2025). Les rapports des réunions susmentionnées figurent dans les Documents</w:t>
      </w:r>
      <w:r w:rsidR="00763C34">
        <w:t> </w:t>
      </w:r>
      <w:hyperlink r:id="rId22" w:history="1">
        <w:r w:rsidRPr="00763C34">
          <w:rPr>
            <w:rStyle w:val="Hyperlink"/>
            <w:rFonts w:eastAsia="Times New Roman" w:cs="Times New Roman"/>
            <w:szCs w:val="20"/>
          </w:rPr>
          <w:t>CWG-FHR-19/15</w:t>
        </w:r>
      </w:hyperlink>
      <w:r>
        <w:t xml:space="preserve"> et </w:t>
      </w:r>
      <w:hyperlink r:id="rId23" w:history="1">
        <w:r w:rsidRPr="00763C34">
          <w:rPr>
            <w:rStyle w:val="Hyperlink"/>
            <w:rFonts w:eastAsia="Times New Roman" w:cs="Times New Roman"/>
            <w:szCs w:val="20"/>
          </w:rPr>
          <w:t>CWG-FHR-20/32</w:t>
        </w:r>
      </w:hyperlink>
      <w:r>
        <w:t>.</w:t>
      </w:r>
    </w:p>
    <w:p w14:paraId="04F4632A" w14:textId="25C70B73" w:rsidR="0007790F" w:rsidRDefault="0007790F" w:rsidP="00897D8B">
      <w:pPr>
        <w:jc w:val="both"/>
      </w:pPr>
      <w:r>
        <w:t>1.4</w:t>
      </w:r>
      <w:r>
        <w:tab/>
        <w:t xml:space="preserve">À sa </w:t>
      </w:r>
      <w:r w:rsidR="00763C34">
        <w:t>25ème</w:t>
      </w:r>
      <w:r>
        <w:t xml:space="preserve"> session, le Conseil, après délibération, a donné les instructions suivantes au Secrétariat de l'Union internationale des télécommunications (UIT) et au Bureau de développement des télécommunications (BDT):</w:t>
      </w:r>
    </w:p>
    <w:p w14:paraId="2E8CFE80" w14:textId="77777777" w:rsidR="0007790F" w:rsidRDefault="0007790F" w:rsidP="00897D8B">
      <w:pPr>
        <w:pStyle w:val="enumlev1"/>
        <w:jc w:val="both"/>
      </w:pPr>
      <w:r>
        <w:t>a)</w:t>
      </w:r>
      <w:r>
        <w:tab/>
        <w:t>L'examen de la présence régionale de l'UIT sera mené par la Secrétaire générale avec l'appui du Groupe spécial intersectoriel composé des Directeurs des trois Bureaux et des personnes désignées par eux ainsi que des Directeurs régionaux de l'UIT, et sera présidé par le Vice-Secrétaire général de l'UIT.</w:t>
      </w:r>
    </w:p>
    <w:p w14:paraId="720C4FD6" w14:textId="77777777" w:rsidR="0007790F" w:rsidRDefault="0007790F" w:rsidP="00897D8B">
      <w:pPr>
        <w:pStyle w:val="enumlev1"/>
        <w:jc w:val="both"/>
      </w:pPr>
      <w:r>
        <w:t>b)</w:t>
      </w:r>
      <w:r>
        <w:tab/>
        <w:t>L'examen sera mené dans les limites du budget de l'UIT approuvé et des ressources humaines existantes de l'Union. Il ne sera fait appel à aucun consultant extérieur.</w:t>
      </w:r>
    </w:p>
    <w:p w14:paraId="5D5FAEB0" w14:textId="3A860660" w:rsidR="0007790F" w:rsidRDefault="0007790F" w:rsidP="00897D8B">
      <w:pPr>
        <w:pStyle w:val="enumlev1"/>
        <w:jc w:val="both"/>
      </w:pPr>
      <w:r>
        <w:t>c)</w:t>
      </w:r>
      <w:r>
        <w:tab/>
        <w:t xml:space="preserve">Le Groupe spécial intersectoriel s'appuiera principalement sur la contribution du BDT tout au long de l'examen. Le BDT est chargé de mener à bien la </w:t>
      </w:r>
      <w:r w:rsidR="00763C34">
        <w:t>P</w:t>
      </w:r>
      <w:r>
        <w:t>hase 2 (collecte de données, analyses comparatives et analyse initiale) de l'examen.</w:t>
      </w:r>
    </w:p>
    <w:p w14:paraId="3ABD9025" w14:textId="606C8B54" w:rsidR="0007790F" w:rsidRDefault="0007790F" w:rsidP="00897D8B">
      <w:pPr>
        <w:pStyle w:val="enumlev1"/>
        <w:jc w:val="both"/>
      </w:pPr>
      <w:r>
        <w:t>d)</w:t>
      </w:r>
      <w:r>
        <w:tab/>
        <w:t>Il est convenu que la mobilisation des États Membres est un élément essentiel de l'examen. La Secrétaire générale rendra compte de la mise en œuvre de l'examen au</w:t>
      </w:r>
      <w:r w:rsidR="00763C34">
        <w:t> </w:t>
      </w:r>
      <w:r>
        <w:t>GTC-FHR et au Conseil de l'UIT, selon qu'il convient.</w:t>
      </w:r>
    </w:p>
    <w:p w14:paraId="154FBF19" w14:textId="4ACCB9D2" w:rsidR="0007790F" w:rsidRDefault="0007790F" w:rsidP="00897D8B">
      <w:pPr>
        <w:jc w:val="both"/>
      </w:pPr>
      <w:r>
        <w:t>1.5</w:t>
      </w:r>
      <w:r>
        <w:tab/>
        <w:t>Un Groupe spécial intersectoriel chargé de l'examen de la présence régionale a été constitué; il est présidé par le Vice-Secrétaire général et se compose des Directeurs des trois</w:t>
      </w:r>
      <w:r w:rsidR="00763C34">
        <w:t> </w:t>
      </w:r>
      <w:r>
        <w:t xml:space="preserve">Bureaux, des Directeurs régionaux et d'autres représentants du Bureau de </w:t>
      </w:r>
      <w:r>
        <w:lastRenderedPageBreak/>
        <w:t xml:space="preserve">développement des télécommunications, du Bureau des radiocommunications et du Bureau de la normalisation des télécommunications, ainsi que du Secrétariat général. </w:t>
      </w:r>
    </w:p>
    <w:p w14:paraId="2F62EBE3" w14:textId="432E8D71" w:rsidR="0007790F" w:rsidRDefault="0007790F" w:rsidP="00763C34">
      <w:pPr>
        <w:pStyle w:val="Heading1"/>
      </w:pPr>
      <w:r>
        <w:t>2</w:t>
      </w:r>
      <w:r>
        <w:tab/>
        <w:t>Structure de l'examen, calendrier et résultats attendus</w:t>
      </w:r>
    </w:p>
    <w:p w14:paraId="1532E7D4" w14:textId="09AEF8A3" w:rsidR="006A11AE" w:rsidRDefault="0007790F" w:rsidP="00897D8B">
      <w:pPr>
        <w:spacing w:after="120"/>
        <w:jc w:val="both"/>
      </w:pPr>
      <w:r>
        <w:t>2.1</w:t>
      </w:r>
      <w:r>
        <w:tab/>
        <w:t xml:space="preserve">L'examen s'est déroulé sur une période de dix mois allant de juillet 2025 à avril 2026, selon la structure en quatre phases indiquée dans le </w:t>
      </w:r>
      <w:r w:rsidR="00763C34">
        <w:t>D</w:t>
      </w:r>
      <w:r>
        <w:t xml:space="preserve">ocument </w:t>
      </w:r>
      <w:hyperlink r:id="rId24" w:history="1">
        <w:r w:rsidRPr="00763C34">
          <w:rPr>
            <w:rStyle w:val="Hyperlink"/>
            <w:rFonts w:eastAsia="Times New Roman" w:cs="Times New Roman"/>
            <w:szCs w:val="20"/>
          </w:rPr>
          <w:t>C25/69(R</w:t>
        </w:r>
        <w:r w:rsidR="00763C34" w:rsidRPr="00763C34">
          <w:rPr>
            <w:rStyle w:val="Hyperlink"/>
            <w:rFonts w:eastAsia="Times New Roman" w:cs="Times New Roman"/>
            <w:szCs w:val="20"/>
          </w:rPr>
          <w:t>é</w:t>
        </w:r>
        <w:r w:rsidRPr="00763C34">
          <w:rPr>
            <w:rStyle w:val="Hyperlink"/>
            <w:rFonts w:eastAsia="Times New Roman" w:cs="Times New Roman"/>
            <w:szCs w:val="20"/>
          </w:rPr>
          <w:t>v.1)</w:t>
        </w:r>
      </w:hyperlink>
      <w:r>
        <w:t xml:space="preserve"> et résumée dans le tableau ci-dessous. Des ajustements ont été opérés dans le calendrier en fonction des contributions reçues lors de la session extraordinaire organisée pendant la Conférence mondiale de développement des télécommunications.</w:t>
      </w:r>
    </w:p>
    <w:tbl>
      <w:tblPr>
        <w:tblStyle w:val="TableGrid1"/>
        <w:tblW w:w="0" w:type="auto"/>
        <w:tblLook w:val="04A0" w:firstRow="1" w:lastRow="0" w:firstColumn="1" w:lastColumn="0" w:noHBand="0" w:noVBand="1"/>
      </w:tblPr>
      <w:tblGrid>
        <w:gridCol w:w="2122"/>
        <w:gridCol w:w="2268"/>
        <w:gridCol w:w="4671"/>
      </w:tblGrid>
      <w:tr w:rsidR="0007790F" w:rsidRPr="00DB101C" w14:paraId="4EC42299" w14:textId="77777777" w:rsidTr="00763C34">
        <w:trPr>
          <w:trHeight w:val="300"/>
        </w:trPr>
        <w:tc>
          <w:tcPr>
            <w:tcW w:w="2122" w:type="dxa"/>
          </w:tcPr>
          <w:p w14:paraId="58C7B5F2" w14:textId="7B711089" w:rsidR="0007790F" w:rsidRPr="00763C34" w:rsidRDefault="0007790F" w:rsidP="00763C34">
            <w:pPr>
              <w:pStyle w:val="Tablehead"/>
            </w:pPr>
            <w:r w:rsidRPr="00763C34">
              <w:t xml:space="preserve">Phase </w:t>
            </w:r>
            <w:r w:rsidRPr="00763C34">
              <w:br/>
              <w:t>(état d'avancement)</w:t>
            </w:r>
          </w:p>
        </w:tc>
        <w:tc>
          <w:tcPr>
            <w:tcW w:w="2268" w:type="dxa"/>
          </w:tcPr>
          <w:p w14:paraId="009BE20E" w14:textId="77777777" w:rsidR="0007790F" w:rsidRPr="00763C34" w:rsidRDefault="0007790F" w:rsidP="00763C34">
            <w:pPr>
              <w:pStyle w:val="Tablehead"/>
            </w:pPr>
            <w:r w:rsidRPr="00763C34">
              <w:t xml:space="preserve">Période </w:t>
            </w:r>
          </w:p>
        </w:tc>
        <w:tc>
          <w:tcPr>
            <w:tcW w:w="4671" w:type="dxa"/>
          </w:tcPr>
          <w:p w14:paraId="773BDE17" w14:textId="77777777" w:rsidR="0007790F" w:rsidRPr="00763C34" w:rsidRDefault="0007790F" w:rsidP="00763C34">
            <w:pPr>
              <w:pStyle w:val="Tablehead"/>
            </w:pPr>
            <w:r w:rsidRPr="00763C34">
              <w:t>Produits attendus</w:t>
            </w:r>
          </w:p>
        </w:tc>
      </w:tr>
      <w:tr w:rsidR="0007790F" w:rsidRPr="00A8211B" w14:paraId="51DF2DC6" w14:textId="77777777" w:rsidTr="00763C34">
        <w:trPr>
          <w:trHeight w:val="300"/>
        </w:trPr>
        <w:tc>
          <w:tcPr>
            <w:tcW w:w="2122" w:type="dxa"/>
          </w:tcPr>
          <w:p w14:paraId="557031E7" w14:textId="42A9D81B" w:rsidR="0007790F" w:rsidRPr="00DB101C" w:rsidRDefault="0007790F" w:rsidP="00DE798C">
            <w:pPr>
              <w:pStyle w:val="Tabletext"/>
            </w:pPr>
            <w:r w:rsidRPr="00DB101C">
              <w:rPr>
                <w:b/>
                <w:bCs/>
              </w:rPr>
              <w:t>Phase 1</w:t>
            </w:r>
            <w:r w:rsidRPr="00763C34">
              <w:rPr>
                <w:b/>
                <w:bCs/>
              </w:rPr>
              <w:t>:</w:t>
            </w:r>
            <w:r w:rsidR="00763C34">
              <w:br/>
            </w:r>
            <w:r w:rsidRPr="00481DAF">
              <w:t>Évaluation préliminaire</w:t>
            </w:r>
          </w:p>
        </w:tc>
        <w:tc>
          <w:tcPr>
            <w:tcW w:w="2268" w:type="dxa"/>
          </w:tcPr>
          <w:p w14:paraId="4C376174" w14:textId="7985D73B" w:rsidR="0007790F" w:rsidRPr="00DB101C" w:rsidRDefault="00947985" w:rsidP="00947985">
            <w:pPr>
              <w:pStyle w:val="Tabletext"/>
              <w:jc w:val="center"/>
            </w:pPr>
            <w:r>
              <w:t>J</w:t>
            </w:r>
            <w:r w:rsidR="0007790F" w:rsidRPr="00481DAF">
              <w:t>uillet-août 2025</w:t>
            </w:r>
          </w:p>
        </w:tc>
        <w:tc>
          <w:tcPr>
            <w:tcW w:w="4671" w:type="dxa"/>
          </w:tcPr>
          <w:p w14:paraId="03A2869F" w14:textId="77777777" w:rsidR="0007790F" w:rsidRPr="00763C34" w:rsidRDefault="0007790F" w:rsidP="00763C34">
            <w:pPr>
              <w:pStyle w:val="Tabletext"/>
              <w:ind w:left="284" w:hanging="284"/>
            </w:pPr>
            <w:r w:rsidRPr="00763C34">
              <w:rPr>
                <w:rFonts w:ascii="Symbol" w:hAnsi="Symbol"/>
              </w:rPr>
              <w:t></w:t>
            </w:r>
            <w:r w:rsidRPr="00763C34">
              <w:rPr>
                <w:rFonts w:ascii="Symbol" w:hAnsi="Symbol"/>
              </w:rPr>
              <w:tab/>
            </w:r>
            <w:r w:rsidRPr="00763C34">
              <w:t>Création de l'équipe chargée de l'examen et élaboration des protocoles de travail.</w:t>
            </w:r>
          </w:p>
          <w:p w14:paraId="0D132F52" w14:textId="77777777" w:rsidR="0007790F" w:rsidRPr="00763C34" w:rsidRDefault="0007790F" w:rsidP="00763C34">
            <w:pPr>
              <w:pStyle w:val="Tabletext"/>
              <w:ind w:left="284" w:hanging="284"/>
            </w:pPr>
            <w:r w:rsidRPr="00763C34">
              <w:rPr>
                <w:rFonts w:ascii="Symbol" w:hAnsi="Symbol"/>
              </w:rPr>
              <w:t></w:t>
            </w:r>
            <w:r w:rsidRPr="00763C34">
              <w:rPr>
                <w:rFonts w:ascii="Symbol" w:hAnsi="Symbol"/>
              </w:rPr>
              <w:tab/>
            </w:r>
            <w:r w:rsidRPr="00763C34">
              <w:t>Articulation de l'objectif de l'examen avec la méthode.</w:t>
            </w:r>
          </w:p>
          <w:p w14:paraId="340B210D" w14:textId="77777777" w:rsidR="0007790F" w:rsidRPr="00763C34" w:rsidRDefault="0007790F" w:rsidP="00763C34">
            <w:pPr>
              <w:pStyle w:val="Tabletext"/>
              <w:ind w:left="284" w:hanging="284"/>
            </w:pPr>
            <w:r w:rsidRPr="00763C34">
              <w:rPr>
                <w:rFonts w:ascii="Symbol" w:hAnsi="Symbol"/>
              </w:rPr>
              <w:t></w:t>
            </w:r>
            <w:r w:rsidRPr="00763C34">
              <w:rPr>
                <w:rFonts w:ascii="Symbol" w:hAnsi="Symbol"/>
              </w:rPr>
              <w:tab/>
            </w:r>
            <w:r w:rsidRPr="00763C34">
              <w:t>Élaboration d'outils adaptés pour la collecte de données (par exemple, enquêtes, questions d'entretien).</w:t>
            </w:r>
          </w:p>
          <w:p w14:paraId="29FFB568" w14:textId="77777777" w:rsidR="0007790F" w:rsidRPr="00481DAF" w:rsidRDefault="0007790F" w:rsidP="00763C34">
            <w:pPr>
              <w:pStyle w:val="Tabletext"/>
              <w:ind w:left="284" w:hanging="284"/>
            </w:pPr>
            <w:r w:rsidRPr="00763C34">
              <w:rPr>
                <w:rFonts w:ascii="Symbol" w:hAnsi="Symbol"/>
              </w:rPr>
              <w:t></w:t>
            </w:r>
            <w:r w:rsidRPr="00763C34">
              <w:rPr>
                <w:rFonts w:ascii="Symbol" w:hAnsi="Symbol"/>
              </w:rPr>
              <w:tab/>
            </w:r>
            <w:r w:rsidRPr="00763C34">
              <w:t>Alignement des critères de mesure utilisés dans l'examen sur les indicateurs fondamentaux de performance et les objectifs stratégiques de l'UIT.</w:t>
            </w:r>
          </w:p>
        </w:tc>
      </w:tr>
      <w:tr w:rsidR="0007790F" w:rsidRPr="00A8211B" w14:paraId="36F2C21B" w14:textId="77777777" w:rsidTr="00763C34">
        <w:trPr>
          <w:trHeight w:val="300"/>
        </w:trPr>
        <w:tc>
          <w:tcPr>
            <w:tcW w:w="2122" w:type="dxa"/>
          </w:tcPr>
          <w:p w14:paraId="79EBDA58" w14:textId="77777777" w:rsidR="0007790F" w:rsidRPr="00481DAF" w:rsidRDefault="0007790F" w:rsidP="00DE798C">
            <w:pPr>
              <w:pStyle w:val="Tabletext"/>
            </w:pPr>
            <w:r w:rsidRPr="00481DAF">
              <w:rPr>
                <w:b/>
                <w:bCs/>
              </w:rPr>
              <w:t xml:space="preserve">Phase 2: </w:t>
            </w:r>
            <w:r w:rsidRPr="00481DAF">
              <w:rPr>
                <w:b/>
                <w:bCs/>
              </w:rPr>
              <w:br/>
            </w:r>
            <w:r w:rsidRPr="00481DAF">
              <w:t>Collecte de données et analyse initiale</w:t>
            </w:r>
          </w:p>
        </w:tc>
        <w:tc>
          <w:tcPr>
            <w:tcW w:w="2268" w:type="dxa"/>
          </w:tcPr>
          <w:p w14:paraId="682464DE" w14:textId="49A23D9D" w:rsidR="0007790F" w:rsidRPr="00DB101C" w:rsidRDefault="00947985" w:rsidP="00947985">
            <w:pPr>
              <w:pStyle w:val="Tabletext"/>
              <w:jc w:val="center"/>
            </w:pPr>
            <w:r>
              <w:t>S</w:t>
            </w:r>
            <w:r w:rsidR="0007790F" w:rsidRPr="00DB101C">
              <w:t>eptemb</w:t>
            </w:r>
            <w:r w:rsidR="0007790F">
              <w:t>re-n</w:t>
            </w:r>
            <w:r w:rsidR="0007790F" w:rsidRPr="00DB101C">
              <w:t>ovemb</w:t>
            </w:r>
            <w:r w:rsidR="0007790F">
              <w:t>re</w:t>
            </w:r>
            <w:r w:rsidR="0007790F" w:rsidRPr="00DB101C">
              <w:t xml:space="preserve"> 2025</w:t>
            </w:r>
          </w:p>
        </w:tc>
        <w:tc>
          <w:tcPr>
            <w:tcW w:w="4671" w:type="dxa"/>
          </w:tcPr>
          <w:p w14:paraId="573E7F13" w14:textId="77777777" w:rsidR="0007790F" w:rsidRPr="00481DAF" w:rsidRDefault="0007790F" w:rsidP="00DE798C">
            <w:pPr>
              <w:pStyle w:val="Tabletext"/>
              <w:ind w:left="284" w:hanging="284"/>
            </w:pPr>
            <w:r w:rsidRPr="00DB101C">
              <w:rPr>
                <w:rFonts w:ascii="Symbol" w:hAnsi="Symbol"/>
              </w:rPr>
              <w:t></w:t>
            </w:r>
            <w:r w:rsidRPr="00481DAF">
              <w:rPr>
                <w:rFonts w:ascii="Symbol" w:hAnsi="Symbol"/>
              </w:rPr>
              <w:tab/>
            </w:r>
            <w:r w:rsidRPr="00481DAF">
              <w:t>Réalisation d'entretiens et de sondages auprès des groupes de parties prenantes.</w:t>
            </w:r>
          </w:p>
          <w:p w14:paraId="139DE15C" w14:textId="77777777" w:rsidR="0007790F" w:rsidRPr="00481DAF" w:rsidRDefault="0007790F" w:rsidP="00DE798C">
            <w:pPr>
              <w:pStyle w:val="Tabletext"/>
              <w:ind w:left="284" w:hanging="284"/>
            </w:pPr>
            <w:r w:rsidRPr="00DB101C">
              <w:rPr>
                <w:rFonts w:ascii="Symbol" w:hAnsi="Symbol"/>
              </w:rPr>
              <w:t></w:t>
            </w:r>
            <w:r w:rsidRPr="00481DAF">
              <w:rPr>
                <w:rFonts w:ascii="Symbol" w:hAnsi="Symbol"/>
              </w:rPr>
              <w:tab/>
            </w:r>
            <w:r w:rsidRPr="00481DAF">
              <w:t>Analyses comparatives.</w:t>
            </w:r>
          </w:p>
          <w:p w14:paraId="2ADB37A7" w14:textId="77777777" w:rsidR="0007790F" w:rsidRPr="00481DAF" w:rsidRDefault="0007790F" w:rsidP="00DE798C">
            <w:pPr>
              <w:pStyle w:val="Tabletext"/>
              <w:ind w:left="284" w:hanging="284"/>
            </w:pPr>
            <w:r w:rsidRPr="00DB101C">
              <w:rPr>
                <w:rFonts w:ascii="Symbol" w:hAnsi="Symbol"/>
              </w:rPr>
              <w:t></w:t>
            </w:r>
            <w:r w:rsidRPr="00481DAF">
              <w:rPr>
                <w:rFonts w:ascii="Symbol" w:hAnsi="Symbol"/>
              </w:rPr>
              <w:tab/>
            </w:r>
            <w:r w:rsidRPr="00481DAF">
              <w:t>Analyse initiale et identification des modèles émergents et des thèmes clés.</w:t>
            </w:r>
          </w:p>
        </w:tc>
      </w:tr>
      <w:tr w:rsidR="0007790F" w:rsidRPr="00A8211B" w14:paraId="6A560B12" w14:textId="77777777" w:rsidTr="00763C34">
        <w:trPr>
          <w:trHeight w:val="300"/>
        </w:trPr>
        <w:tc>
          <w:tcPr>
            <w:tcW w:w="2122" w:type="dxa"/>
          </w:tcPr>
          <w:p w14:paraId="1A0D67BE" w14:textId="08D44AFF" w:rsidR="0007790F" w:rsidRPr="00481DAF" w:rsidRDefault="0007790F" w:rsidP="00DE798C">
            <w:pPr>
              <w:pStyle w:val="Tabletext"/>
            </w:pPr>
            <w:r w:rsidRPr="00481DAF">
              <w:rPr>
                <w:b/>
                <w:bCs/>
              </w:rPr>
              <w:t>Phase 3:</w:t>
            </w:r>
            <w:r w:rsidRPr="00481DAF">
              <w:t xml:space="preserve"> </w:t>
            </w:r>
            <w:r w:rsidR="00763C34">
              <w:br/>
            </w:r>
            <w:r w:rsidRPr="00481DAF">
              <w:t>Analyse détaillée et rédaction</w:t>
            </w:r>
          </w:p>
        </w:tc>
        <w:tc>
          <w:tcPr>
            <w:tcW w:w="2268" w:type="dxa"/>
          </w:tcPr>
          <w:p w14:paraId="0F51A703" w14:textId="45ECBBF4" w:rsidR="0007790F" w:rsidRPr="00DB101C" w:rsidRDefault="00947985" w:rsidP="00947985">
            <w:pPr>
              <w:pStyle w:val="Tabletext"/>
              <w:jc w:val="center"/>
            </w:pPr>
            <w:r>
              <w:t>D</w:t>
            </w:r>
            <w:r w:rsidR="0007790F">
              <w:t>écembre</w:t>
            </w:r>
            <w:r w:rsidR="0007790F" w:rsidRPr="00DB101C">
              <w:t xml:space="preserve"> 2025</w:t>
            </w:r>
            <w:r w:rsidR="00763C34">
              <w:t xml:space="preserve"> </w:t>
            </w:r>
            <w:r w:rsidR="00763C34" w:rsidRPr="00763C34">
              <w:t>–</w:t>
            </w:r>
            <w:r w:rsidR="00763C34">
              <w:t xml:space="preserve"> </w:t>
            </w:r>
            <w:r w:rsidR="0007790F">
              <w:t>février</w:t>
            </w:r>
            <w:r w:rsidR="0007790F" w:rsidRPr="00DB101C">
              <w:t xml:space="preserve"> 2026</w:t>
            </w:r>
          </w:p>
        </w:tc>
        <w:tc>
          <w:tcPr>
            <w:tcW w:w="4671" w:type="dxa"/>
          </w:tcPr>
          <w:p w14:paraId="4A80E067" w14:textId="77777777" w:rsidR="0007790F" w:rsidRPr="00481DAF" w:rsidRDefault="0007790F" w:rsidP="00DE798C">
            <w:pPr>
              <w:pStyle w:val="Tabletext"/>
              <w:ind w:left="284" w:hanging="284"/>
            </w:pPr>
            <w:r w:rsidRPr="00DB101C">
              <w:rPr>
                <w:rFonts w:ascii="Symbol" w:hAnsi="Symbol"/>
              </w:rPr>
              <w:t></w:t>
            </w:r>
            <w:r w:rsidRPr="00481DAF">
              <w:rPr>
                <w:rFonts w:ascii="Symbol" w:hAnsi="Symbol"/>
              </w:rPr>
              <w:tab/>
            </w:r>
            <w:r w:rsidRPr="00481DAF">
              <w:t>Analyse complète des résultats sur la base des conclusions formulées et de l'analyse initiale.</w:t>
            </w:r>
          </w:p>
          <w:p w14:paraId="4D2D9FBE" w14:textId="77777777" w:rsidR="0007790F" w:rsidRPr="00481DAF" w:rsidRDefault="0007790F" w:rsidP="00DE798C">
            <w:pPr>
              <w:pStyle w:val="Tabletext"/>
              <w:ind w:left="284" w:hanging="284"/>
            </w:pPr>
            <w:r w:rsidRPr="00DB101C">
              <w:rPr>
                <w:rFonts w:ascii="Symbol" w:hAnsi="Symbol"/>
              </w:rPr>
              <w:t></w:t>
            </w:r>
            <w:r w:rsidRPr="00481DAF">
              <w:rPr>
                <w:rFonts w:ascii="Symbol" w:hAnsi="Symbol"/>
              </w:rPr>
              <w:tab/>
            </w:r>
            <w:r w:rsidRPr="00481DAF">
              <w:t>Préparation d'un projet de rapport sur l'examen contenant des recommandations préliminaires.</w:t>
            </w:r>
          </w:p>
        </w:tc>
      </w:tr>
      <w:tr w:rsidR="0007790F" w:rsidRPr="00A8211B" w14:paraId="68DB0AE8" w14:textId="77777777" w:rsidTr="00763C34">
        <w:trPr>
          <w:trHeight w:val="300"/>
        </w:trPr>
        <w:tc>
          <w:tcPr>
            <w:tcW w:w="2122" w:type="dxa"/>
          </w:tcPr>
          <w:p w14:paraId="01F3A396" w14:textId="534DBB2E" w:rsidR="0007790F" w:rsidRPr="00481DAF" w:rsidRDefault="0007790F" w:rsidP="00DE798C">
            <w:pPr>
              <w:pStyle w:val="Tabletext"/>
            </w:pPr>
            <w:r w:rsidRPr="00481DAF">
              <w:rPr>
                <w:b/>
                <w:bCs/>
              </w:rPr>
              <w:t>Phase 4:</w:t>
            </w:r>
            <w:r w:rsidRPr="00481DAF">
              <w:t xml:space="preserve"> </w:t>
            </w:r>
            <w:r w:rsidR="00763C34">
              <w:br/>
            </w:r>
            <w:r w:rsidRPr="00481DAF">
              <w:t>Validation et établissement d</w:t>
            </w:r>
            <w:r>
              <w:t>e rapports</w:t>
            </w:r>
          </w:p>
        </w:tc>
        <w:tc>
          <w:tcPr>
            <w:tcW w:w="2268" w:type="dxa"/>
          </w:tcPr>
          <w:p w14:paraId="7AD75022" w14:textId="52F1A769" w:rsidR="0007790F" w:rsidRPr="00DB101C" w:rsidRDefault="00947985" w:rsidP="00947985">
            <w:pPr>
              <w:pStyle w:val="Tabletext"/>
              <w:jc w:val="center"/>
            </w:pPr>
            <w:r>
              <w:t>M</w:t>
            </w:r>
            <w:r w:rsidR="0007790F">
              <w:t xml:space="preserve">ars-avril </w:t>
            </w:r>
            <w:r w:rsidR="0007790F" w:rsidRPr="00DB101C">
              <w:t>2026</w:t>
            </w:r>
          </w:p>
        </w:tc>
        <w:tc>
          <w:tcPr>
            <w:tcW w:w="4671" w:type="dxa"/>
          </w:tcPr>
          <w:p w14:paraId="312A33B9" w14:textId="77777777" w:rsidR="0007790F" w:rsidRPr="00481DAF" w:rsidRDefault="0007790F" w:rsidP="00DE798C">
            <w:pPr>
              <w:pStyle w:val="Tabletext"/>
              <w:ind w:left="284" w:hanging="284"/>
            </w:pPr>
            <w:r w:rsidRPr="00DB101C">
              <w:rPr>
                <w:rFonts w:ascii="Symbol" w:hAnsi="Symbol"/>
              </w:rPr>
              <w:t></w:t>
            </w:r>
            <w:r w:rsidRPr="00481DAF">
              <w:rPr>
                <w:rFonts w:ascii="Symbol" w:hAnsi="Symbol"/>
              </w:rPr>
              <w:tab/>
            </w:r>
            <w:r w:rsidRPr="00481DAF">
              <w:t>Validation du projet de rapport sur l'examen.</w:t>
            </w:r>
          </w:p>
          <w:p w14:paraId="3B0F0511" w14:textId="77777777" w:rsidR="0007790F" w:rsidRPr="0041111A" w:rsidRDefault="0007790F" w:rsidP="00DE798C">
            <w:pPr>
              <w:pStyle w:val="Tabletext"/>
              <w:ind w:left="284" w:hanging="284"/>
            </w:pPr>
            <w:r w:rsidRPr="00DB101C">
              <w:rPr>
                <w:rFonts w:ascii="Symbol" w:hAnsi="Symbol"/>
              </w:rPr>
              <w:t></w:t>
            </w:r>
            <w:r w:rsidRPr="0041111A">
              <w:rPr>
                <w:rFonts w:ascii="Symbol" w:hAnsi="Symbol"/>
              </w:rPr>
              <w:tab/>
            </w:r>
            <w:r w:rsidRPr="0041111A">
              <w:t>Intégration des observations formulées par l'équipe chargée de la validation.</w:t>
            </w:r>
          </w:p>
          <w:p w14:paraId="4A42343E" w14:textId="77777777" w:rsidR="0007790F" w:rsidRPr="0041111A" w:rsidRDefault="0007790F" w:rsidP="00DE798C">
            <w:pPr>
              <w:pStyle w:val="Tabletext"/>
              <w:ind w:left="284" w:hanging="284"/>
            </w:pPr>
            <w:r w:rsidRPr="00DB101C">
              <w:rPr>
                <w:rFonts w:ascii="Symbol" w:hAnsi="Symbol"/>
              </w:rPr>
              <w:t></w:t>
            </w:r>
            <w:r w:rsidRPr="0041111A">
              <w:rPr>
                <w:rFonts w:ascii="Symbol" w:hAnsi="Symbol"/>
              </w:rPr>
              <w:tab/>
            </w:r>
            <w:r w:rsidRPr="0041111A">
              <w:t>Rédaction du rapport final sur l'examen par le Conseil et la Conférence de plénipotentiaires de 2026 (PP-26</w:t>
            </w:r>
            <w:r>
              <w:t>)</w:t>
            </w:r>
            <w:r w:rsidRPr="0041111A">
              <w:t>.</w:t>
            </w:r>
          </w:p>
        </w:tc>
      </w:tr>
    </w:tbl>
    <w:p w14:paraId="409024E6" w14:textId="77777777" w:rsidR="0007790F" w:rsidRDefault="0007790F" w:rsidP="00763C34">
      <w:pPr>
        <w:pStyle w:val="Heading1"/>
      </w:pPr>
      <w:r>
        <w:t>3</w:t>
      </w:r>
      <w:r>
        <w:tab/>
        <w:t>Activités réalisées par le BDT</w:t>
      </w:r>
    </w:p>
    <w:p w14:paraId="74E46730" w14:textId="77777777" w:rsidR="0007790F" w:rsidRDefault="0007790F" w:rsidP="00897D8B">
      <w:pPr>
        <w:jc w:val="both"/>
      </w:pPr>
      <w:r>
        <w:t>3.1</w:t>
      </w:r>
      <w:r>
        <w:tab/>
        <w:t>Le BDT a contribué à l'élaboration du rapport de la Secrétaire générale de l'UIT en menant les activités suivantes:</w:t>
      </w:r>
    </w:p>
    <w:p w14:paraId="7957A242" w14:textId="4A9E7A5B" w:rsidR="0007790F" w:rsidRDefault="0007790F" w:rsidP="00897D8B">
      <w:pPr>
        <w:pStyle w:val="enumlev1"/>
        <w:jc w:val="both"/>
      </w:pPr>
      <w:r>
        <w:t>1</w:t>
      </w:r>
      <w:r w:rsidR="00763C34">
        <w:t>)</w:t>
      </w:r>
      <w:r>
        <w:tab/>
        <w:t>Conception et lancement de l'enquête auprès des membres de l'UIT</w:t>
      </w:r>
      <w:r w:rsidR="00763C34">
        <w:t>.</w:t>
      </w:r>
    </w:p>
    <w:p w14:paraId="31F8A7B4" w14:textId="3CC8C2E9" w:rsidR="0007790F" w:rsidRDefault="0007790F" w:rsidP="00897D8B">
      <w:pPr>
        <w:pStyle w:val="enumlev1"/>
        <w:jc w:val="both"/>
      </w:pPr>
      <w:r>
        <w:t>2</w:t>
      </w:r>
      <w:r w:rsidR="00763C34">
        <w:t>)</w:t>
      </w:r>
      <w:r>
        <w:tab/>
        <w:t>Étude préliminaire</w:t>
      </w:r>
      <w:r w:rsidR="00763C34">
        <w:t>.</w:t>
      </w:r>
    </w:p>
    <w:p w14:paraId="2B466342" w14:textId="3FD69EF4" w:rsidR="0007790F" w:rsidRDefault="0007790F" w:rsidP="00897D8B">
      <w:pPr>
        <w:pStyle w:val="enumlev1"/>
        <w:jc w:val="both"/>
      </w:pPr>
      <w:r>
        <w:lastRenderedPageBreak/>
        <w:t>3</w:t>
      </w:r>
      <w:r w:rsidR="00763C34">
        <w:t>)</w:t>
      </w:r>
      <w:r>
        <w:tab/>
        <w:t>Consultation des parties prenantes, y compris la conception et le lancement de l'enquête d'évaluation interne, et les entretiens avec les organisations régionales de télécommunication</w:t>
      </w:r>
      <w:r w:rsidR="00763C34">
        <w:t>.</w:t>
      </w:r>
    </w:p>
    <w:p w14:paraId="465A9DAA" w14:textId="26F06CF9" w:rsidR="0007790F" w:rsidRDefault="0007790F" w:rsidP="00897D8B">
      <w:pPr>
        <w:pStyle w:val="enumlev1"/>
        <w:jc w:val="both"/>
      </w:pPr>
      <w:r>
        <w:t>4</w:t>
      </w:r>
      <w:r w:rsidR="00763C34">
        <w:t>)</w:t>
      </w:r>
      <w:r>
        <w:tab/>
        <w:t>Suivi périodique conformément aux instructions du GTC-FHR et du Conseil.</w:t>
      </w:r>
    </w:p>
    <w:p w14:paraId="1D5F4F90" w14:textId="695AEC04" w:rsidR="0007790F" w:rsidRDefault="0007790F" w:rsidP="00897D8B">
      <w:pPr>
        <w:jc w:val="both"/>
      </w:pPr>
      <w:r>
        <w:t xml:space="preserve">On trouvera des renseignements plus détaillés sur les activités ci-dessus dans le </w:t>
      </w:r>
      <w:r w:rsidR="00763C34">
        <w:t>D</w:t>
      </w:r>
      <w:r>
        <w:t>ocument</w:t>
      </w:r>
      <w:r w:rsidR="00763C34">
        <w:t> </w:t>
      </w:r>
      <w:r>
        <w:t xml:space="preserve">d'information </w:t>
      </w:r>
      <w:hyperlink r:id="rId25" w:history="1">
        <w:r w:rsidRPr="009A554B">
          <w:rPr>
            <w:rStyle w:val="Hyperlink"/>
            <w:rFonts w:eastAsia="Times New Roman" w:cs="Times New Roman"/>
            <w:szCs w:val="20"/>
          </w:rPr>
          <w:t>C26/INF/10</w:t>
        </w:r>
      </w:hyperlink>
      <w:r>
        <w:t>.</w:t>
      </w:r>
    </w:p>
    <w:p w14:paraId="6C7C01C1" w14:textId="77777777" w:rsidR="0007790F" w:rsidRDefault="0007790F" w:rsidP="009A554B">
      <w:pPr>
        <w:pStyle w:val="Heading1"/>
      </w:pPr>
      <w:r>
        <w:t>4</w:t>
      </w:r>
      <w:r>
        <w:tab/>
        <w:t>Méthodologie</w:t>
      </w:r>
    </w:p>
    <w:p w14:paraId="09A57BD3" w14:textId="23A19C8D" w:rsidR="0007790F" w:rsidRDefault="0007790F" w:rsidP="00897D8B">
      <w:pPr>
        <w:spacing w:after="120"/>
        <w:jc w:val="both"/>
      </w:pPr>
      <w:r>
        <w:t>4.1</w:t>
      </w:r>
      <w:r>
        <w:tab/>
        <w:t xml:space="preserve">La méthodologie de l'examen a été fixée selon le mandat convenu par les membres figurant à l'Annexe A et à l'Annexe 1 du </w:t>
      </w:r>
      <w:r w:rsidR="000B5A30">
        <w:t>D</w:t>
      </w:r>
      <w:r>
        <w:t xml:space="preserve">ocument </w:t>
      </w:r>
      <w:hyperlink r:id="rId26" w:history="1">
        <w:r w:rsidRPr="000B5A30">
          <w:rPr>
            <w:rStyle w:val="Hyperlink"/>
            <w:rFonts w:eastAsia="Times New Roman" w:cs="Times New Roman"/>
            <w:szCs w:val="20"/>
          </w:rPr>
          <w:t>C25/105</w:t>
        </w:r>
      </w:hyperlink>
      <w:r>
        <w:t>, reproduit dans le tableau ci</w:t>
      </w:r>
      <w:r w:rsidR="009A554B">
        <w:noBreakHyphen/>
      </w:r>
      <w:r>
        <w:t>dessous.</w:t>
      </w:r>
    </w:p>
    <w:tbl>
      <w:tblPr>
        <w:tblStyle w:val="TableGrid1"/>
        <w:tblW w:w="0" w:type="auto"/>
        <w:tblLook w:val="04A0" w:firstRow="1" w:lastRow="0" w:firstColumn="1" w:lastColumn="0" w:noHBand="0" w:noVBand="1"/>
      </w:tblPr>
      <w:tblGrid>
        <w:gridCol w:w="3114"/>
        <w:gridCol w:w="5902"/>
      </w:tblGrid>
      <w:tr w:rsidR="0007790F" w:rsidRPr="00DB101C" w14:paraId="4EB207F8" w14:textId="77777777" w:rsidTr="00DE798C">
        <w:trPr>
          <w:trHeight w:val="300"/>
        </w:trPr>
        <w:tc>
          <w:tcPr>
            <w:tcW w:w="3114" w:type="dxa"/>
          </w:tcPr>
          <w:p w14:paraId="175F8E49" w14:textId="77777777" w:rsidR="0007790F" w:rsidRPr="00DB101C" w:rsidRDefault="0007790F" w:rsidP="00DE798C">
            <w:pPr>
              <w:pStyle w:val="Tablehead"/>
              <w:rPr>
                <w:b w:val="0"/>
                <w:bCs/>
              </w:rPr>
            </w:pPr>
            <w:r w:rsidRPr="00DB101C">
              <w:t>Activit</w:t>
            </w:r>
            <w:r>
              <w:t>é</w:t>
            </w:r>
          </w:p>
        </w:tc>
        <w:tc>
          <w:tcPr>
            <w:tcW w:w="5902" w:type="dxa"/>
          </w:tcPr>
          <w:p w14:paraId="47E2465C" w14:textId="77777777" w:rsidR="0007790F" w:rsidRPr="00DB101C" w:rsidRDefault="0007790F" w:rsidP="00DE798C">
            <w:pPr>
              <w:pStyle w:val="Tablehead"/>
              <w:rPr>
                <w:b w:val="0"/>
                <w:bCs/>
              </w:rPr>
            </w:pPr>
            <w:r w:rsidRPr="00DB101C">
              <w:t>Description</w:t>
            </w:r>
          </w:p>
        </w:tc>
      </w:tr>
      <w:tr w:rsidR="0007790F" w:rsidRPr="00A8211B" w14:paraId="426610C4" w14:textId="77777777" w:rsidTr="00DE798C">
        <w:trPr>
          <w:trHeight w:val="300"/>
        </w:trPr>
        <w:tc>
          <w:tcPr>
            <w:tcW w:w="3114" w:type="dxa"/>
          </w:tcPr>
          <w:p w14:paraId="1EE8990D" w14:textId="77777777" w:rsidR="0007790F" w:rsidRPr="00DB101C" w:rsidRDefault="0007790F" w:rsidP="00DE798C">
            <w:pPr>
              <w:pStyle w:val="Tabletext"/>
            </w:pPr>
            <w:r w:rsidRPr="00A25EA7">
              <w:t>Analyse de documents</w:t>
            </w:r>
          </w:p>
        </w:tc>
        <w:tc>
          <w:tcPr>
            <w:tcW w:w="5902" w:type="dxa"/>
          </w:tcPr>
          <w:p w14:paraId="5C444709" w14:textId="760A5054" w:rsidR="0007790F" w:rsidRPr="00A25EA7" w:rsidRDefault="0007790F" w:rsidP="00DE798C">
            <w:pPr>
              <w:pStyle w:val="Tabletext"/>
            </w:pPr>
            <w:r w:rsidRPr="00A25EA7">
              <w:rPr>
                <w:caps/>
              </w:rPr>
              <w:t>é</w:t>
            </w:r>
            <w:r w:rsidRPr="00A25EA7">
              <w:t>tude préliminaire des documents fondateurs, notamment la Résolution 25, des plans stratégiques de l'UIT ainsi que des rapports d'exploitation, d'évaluation et d'audit</w:t>
            </w:r>
            <w:r w:rsidR="009A554B">
              <w:t>.</w:t>
            </w:r>
          </w:p>
        </w:tc>
      </w:tr>
      <w:tr w:rsidR="0007790F" w:rsidRPr="00A8211B" w14:paraId="46FF14A3" w14:textId="77777777" w:rsidTr="00DE798C">
        <w:trPr>
          <w:trHeight w:val="300"/>
        </w:trPr>
        <w:tc>
          <w:tcPr>
            <w:tcW w:w="3114" w:type="dxa"/>
          </w:tcPr>
          <w:p w14:paraId="609E09A4" w14:textId="77777777" w:rsidR="0007790F" w:rsidRPr="00DB101C" w:rsidRDefault="0007790F" w:rsidP="00DE798C">
            <w:pPr>
              <w:pStyle w:val="Tabletext"/>
            </w:pPr>
            <w:r w:rsidRPr="00A25EA7">
              <w:t>Analyse de données</w:t>
            </w:r>
          </w:p>
        </w:tc>
        <w:tc>
          <w:tcPr>
            <w:tcW w:w="5902" w:type="dxa"/>
          </w:tcPr>
          <w:p w14:paraId="29E4BBA3" w14:textId="04B89D5B" w:rsidR="0007790F" w:rsidRPr="00A25EA7" w:rsidRDefault="0007790F" w:rsidP="00DE798C">
            <w:pPr>
              <w:pStyle w:val="Tabletext"/>
            </w:pPr>
            <w:r>
              <w:t>A</w:t>
            </w:r>
            <w:r w:rsidRPr="00A25EA7">
              <w:t>nalyse de données clés, y compris les structures du personnel, les allocations budgétaires et les résultats des projets, afin d'en dégager des tendances, ainsi que de détecter des lacunes et des possibilités d'amélioration</w:t>
            </w:r>
            <w:r w:rsidR="009A554B">
              <w:t>.</w:t>
            </w:r>
          </w:p>
        </w:tc>
      </w:tr>
      <w:tr w:rsidR="0007790F" w:rsidRPr="00A8211B" w14:paraId="11FA7F71" w14:textId="77777777" w:rsidTr="00DE798C">
        <w:trPr>
          <w:trHeight w:val="300"/>
        </w:trPr>
        <w:tc>
          <w:tcPr>
            <w:tcW w:w="3114" w:type="dxa"/>
          </w:tcPr>
          <w:p w14:paraId="42C78270" w14:textId="77777777" w:rsidR="0007790F" w:rsidRPr="00A25EA7" w:rsidRDefault="0007790F" w:rsidP="00DE798C">
            <w:pPr>
              <w:pStyle w:val="Tabletext"/>
            </w:pPr>
            <w:r w:rsidRPr="00A25EA7">
              <w:t>Consultations avec les parties prenantes</w:t>
            </w:r>
          </w:p>
        </w:tc>
        <w:tc>
          <w:tcPr>
            <w:tcW w:w="5902" w:type="dxa"/>
          </w:tcPr>
          <w:p w14:paraId="7AE3D8A1" w14:textId="397962D5" w:rsidR="0007790F" w:rsidRPr="00A25EA7" w:rsidRDefault="0007790F" w:rsidP="00DE798C">
            <w:pPr>
              <w:pStyle w:val="Tabletext"/>
            </w:pPr>
            <w:r>
              <w:t>D</w:t>
            </w:r>
            <w:r w:rsidRPr="00A25EA7">
              <w:t>ialogue en interne avec les principales parties prenantes et les groupes consultatifs de l'UIT pour obtenir des informations et des orientations stratégiques sur la manière de façonner l'avenir de la présence régionale de l'UIT</w:t>
            </w:r>
            <w:r w:rsidR="009A554B">
              <w:t>.</w:t>
            </w:r>
          </w:p>
        </w:tc>
      </w:tr>
      <w:tr w:rsidR="0007790F" w:rsidRPr="00A8211B" w14:paraId="2256BE82" w14:textId="77777777" w:rsidTr="00DE798C">
        <w:trPr>
          <w:trHeight w:val="300"/>
        </w:trPr>
        <w:tc>
          <w:tcPr>
            <w:tcW w:w="3114" w:type="dxa"/>
          </w:tcPr>
          <w:p w14:paraId="51F7DBB4" w14:textId="77777777" w:rsidR="0007790F" w:rsidRPr="00A25EA7" w:rsidRDefault="0007790F" w:rsidP="00DE798C">
            <w:pPr>
              <w:pStyle w:val="Tabletext"/>
            </w:pPr>
            <w:r w:rsidRPr="00A25EA7">
              <w:t>Enquêtes auprès des parties prenantes</w:t>
            </w:r>
          </w:p>
        </w:tc>
        <w:tc>
          <w:tcPr>
            <w:tcW w:w="5902" w:type="dxa"/>
          </w:tcPr>
          <w:p w14:paraId="2CB47770" w14:textId="00D156C1" w:rsidR="0007790F" w:rsidRPr="00A25EA7" w:rsidRDefault="0007790F" w:rsidP="00DE798C">
            <w:pPr>
              <w:pStyle w:val="Tabletext"/>
            </w:pPr>
            <w:r>
              <w:t>D</w:t>
            </w:r>
            <w:r w:rsidRPr="00A25EA7">
              <w:t>emande et recueil de commentaires sur le niveau de satisfaction des membres et des organisations régionales de télécommunication, notamment sur leur niveau de satisfaction globale vis-à-vis des activités des bureaux régionaux et des bureaux de zone, afin de mesurer les incidences de la présence régionale de l'UIT</w:t>
            </w:r>
            <w:r w:rsidR="009A554B">
              <w:t>.</w:t>
            </w:r>
          </w:p>
        </w:tc>
      </w:tr>
    </w:tbl>
    <w:p w14:paraId="25B23E9E" w14:textId="77777777" w:rsidR="009E6627" w:rsidRDefault="009E6627" w:rsidP="009E6627">
      <w:pPr>
        <w:pStyle w:val="Tablefin"/>
      </w:pPr>
    </w:p>
    <w:p w14:paraId="7FB71091" w14:textId="3FEA9711" w:rsidR="0007790F" w:rsidRDefault="0007790F" w:rsidP="00897D8B">
      <w:pPr>
        <w:jc w:val="both"/>
      </w:pPr>
      <w:r>
        <w:t>4.2</w:t>
      </w:r>
      <w:r>
        <w:tab/>
        <w:t>Ayant engagé ses travaux à l'issue de la première réunion du Groupe spécial intersectoriel sur la présence régionale, le 17 juillet 2025, le BDT a donc analysé les</w:t>
      </w:r>
      <w:r w:rsidR="001B2EF8">
        <w:t> </w:t>
      </w:r>
      <w:r>
        <w:t>12</w:t>
      </w:r>
      <w:r w:rsidR="001B2EF8">
        <w:t> </w:t>
      </w:r>
      <w:r>
        <w:t xml:space="preserve">éléments de cahier des charges et les 27 indicateurs fondamentaux de performance (IFP) figurant à l'Annexe A et à l'Annexe 1 du Document </w:t>
      </w:r>
      <w:hyperlink r:id="rId27" w:history="1">
        <w:r w:rsidRPr="009A554B">
          <w:rPr>
            <w:rStyle w:val="Hyperlink"/>
            <w:rFonts w:eastAsia="Times New Roman" w:cs="Times New Roman"/>
            <w:szCs w:val="20"/>
          </w:rPr>
          <w:t>C25/105</w:t>
        </w:r>
      </w:hyperlink>
      <w:r>
        <w:t>, respectivement. Dans un premier temps, les IFP ont été mis en correspondance avec les 12 éléments de cahier des charges. Les 27 IFP et les 12 éléments de cahier des charges ont été étudiés pour évaluer les sources de données primaires et secondaires, autrement dit si celles-ci pouvaient provenir de l</w:t>
      </w:r>
      <w:r w:rsidR="009A554B">
        <w:t>'</w:t>
      </w:r>
      <w:r>
        <w:t>enquête auprès des membres, des consultations de parties prenantes (y compris de l</w:t>
      </w:r>
      <w:r w:rsidR="009A554B">
        <w:t>'</w:t>
      </w:r>
      <w:r>
        <w:t>enquête d</w:t>
      </w:r>
      <w:r w:rsidR="009A554B">
        <w:t>'</w:t>
      </w:r>
      <w:r>
        <w:t>évaluation interne) ou de l'étude préliminaire/analyse des documents. Certains</w:t>
      </w:r>
      <w:r w:rsidR="000B5A30">
        <w:t> </w:t>
      </w:r>
      <w:r>
        <w:t xml:space="preserve">IFP ont été corrélés avec deux sources de données ou plus. </w:t>
      </w:r>
    </w:p>
    <w:p w14:paraId="2D037A78" w14:textId="61BC35F5" w:rsidR="0007790F" w:rsidRDefault="0007790F" w:rsidP="00897D8B">
      <w:pPr>
        <w:jc w:val="both"/>
      </w:pPr>
      <w:r>
        <w:t>4.3</w:t>
      </w:r>
      <w:r>
        <w:tab/>
        <w:t>Le BDT a conçu et mené à bien l</w:t>
      </w:r>
      <w:r w:rsidR="009A554B">
        <w:t>'</w:t>
      </w:r>
      <w:r>
        <w:t>enquête auprès des membres et effectué une étude préliminaire en repérant des sources documentaires et en recueillant des données auprès des sources fiables utiles. L</w:t>
      </w:r>
      <w:r w:rsidR="009A554B">
        <w:t>'</w:t>
      </w:r>
      <w:r>
        <w:t xml:space="preserve">analyse documentaire a aussi consisté en une analyse comparative avec des organismes des Nations Unies de statut analogue. Les résultats de l'enquête auprès </w:t>
      </w:r>
      <w:r>
        <w:lastRenderedPageBreak/>
        <w:t>des membres et de l'étude préliminaire ont été complétés par des données obtenues en consultant les parties prenantes, notamment en s'entretenant avec les organisations régionales de communication, pour compléter les réactions recueilles dans l'enquête auprès des membres, les résultats de l'enquête d'évaluation interne ainsi que les autres observations formulées par les parties prenantes. Une fois les données recueill</w:t>
      </w:r>
      <w:r w:rsidR="009A554B">
        <w:t>i</w:t>
      </w:r>
      <w:r>
        <w:t>es et compilées, elles ont fait l'objet d'une analyse par IFP pour arriver à des conclusions synthétiques pour l'ensemble des 12 éléments de cahier des charges. On se reportera au Document</w:t>
      </w:r>
      <w:r w:rsidR="009A554B">
        <w:t> </w:t>
      </w:r>
      <w:hyperlink r:id="rId28" w:history="1">
        <w:r w:rsidRPr="009A554B">
          <w:rPr>
            <w:rStyle w:val="Hyperlink"/>
            <w:rFonts w:eastAsia="Times New Roman" w:cs="Times New Roman"/>
            <w:szCs w:val="20"/>
          </w:rPr>
          <w:t>C26/INF/10</w:t>
        </w:r>
      </w:hyperlink>
      <w:r>
        <w:t xml:space="preserve"> pour des informations plus détaillées.</w:t>
      </w:r>
    </w:p>
    <w:p w14:paraId="797E27BB" w14:textId="77777777" w:rsidR="0007790F" w:rsidRDefault="0007790F" w:rsidP="009A554B">
      <w:pPr>
        <w:pStyle w:val="Heading1"/>
      </w:pPr>
      <w:r>
        <w:t>5</w:t>
      </w:r>
      <w:r>
        <w:tab/>
        <w:t>Principales constatations</w:t>
      </w:r>
    </w:p>
    <w:p w14:paraId="77C71E7A" w14:textId="77777777" w:rsidR="0007790F" w:rsidRDefault="0007790F" w:rsidP="009A554B">
      <w:pPr>
        <w:pStyle w:val="Heading2"/>
      </w:pPr>
      <w:r>
        <w:t>5.1</w:t>
      </w:r>
      <w:r>
        <w:tab/>
        <w:t>Points forts</w:t>
      </w:r>
    </w:p>
    <w:p w14:paraId="2CE91DBD" w14:textId="7FA2931A" w:rsidR="0007790F" w:rsidRDefault="0007790F" w:rsidP="009A554B">
      <w:pPr>
        <w:pStyle w:val="Heading3"/>
      </w:pPr>
      <w:r>
        <w:t>5.1.1</w:t>
      </w:r>
      <w:r>
        <w:tab/>
        <w:t xml:space="preserve">Niveau </w:t>
      </w:r>
      <w:r w:rsidR="001B2EF8">
        <w:t>élevé</w:t>
      </w:r>
      <w:r>
        <w:t xml:space="preserve"> de satisfaction globale vis-à-vis des activités régionales</w:t>
      </w:r>
    </w:p>
    <w:p w14:paraId="0626B966" w14:textId="19188044" w:rsidR="0007790F" w:rsidRDefault="0007790F" w:rsidP="00897D8B">
      <w:pPr>
        <w:jc w:val="both"/>
      </w:pPr>
      <w:r>
        <w:t>Les observations des membres témoignent d'un niveau élevé de satisfaction globale vis</w:t>
      </w:r>
      <w:r w:rsidR="009A554B">
        <w:noBreakHyphen/>
      </w:r>
      <w:r>
        <w:t>à</w:t>
      </w:r>
      <w:r w:rsidR="009A554B">
        <w:noBreakHyphen/>
      </w:r>
      <w:r>
        <w:t xml:space="preserve">vis des activités menées par les bureaux régionaux et les bureaux de zone de l'UIT. Une nette majorité s'accorde à considérer que la présence régionale contribue à l'exécution du mandat de l'UIT et à ses retombées sur le terrain, ce qui témoigne de la confiance accordée au rôle exercé par les </w:t>
      </w:r>
      <w:r w:rsidR="001B2EF8">
        <w:t>b</w:t>
      </w:r>
      <w:r>
        <w:t>ureaux régionaux pour adapter les initiatives mondiales au contexte des régions et des pays. Le taux d'approbation de l'énoncé correspondant atteint 71%, ce qui indique que la présence régionale est largement perçue comme un relais opérationnel efficace de l'action de l</w:t>
      </w:r>
      <w:r w:rsidR="009A554B">
        <w:t>'</w:t>
      </w:r>
      <w:r>
        <w:t xml:space="preserve">UIT. La satisfaction vis-à-vis du niveau actuel des activités obtient aussi un résultat favorable, 60% des membres ayant répondu à l'enquête jugeant la portée des activités régionales conforme aux attentes, même si certains souhaitent une collaboration encore plus poussée. </w:t>
      </w:r>
    </w:p>
    <w:p w14:paraId="16A33A73" w14:textId="5D6D62E0" w:rsidR="0007790F" w:rsidRDefault="0007790F" w:rsidP="00897D8B">
      <w:pPr>
        <w:jc w:val="both"/>
      </w:pPr>
      <w:r>
        <w:t>La perception globalement positive qui se dégage de l</w:t>
      </w:r>
      <w:r w:rsidR="009A554B">
        <w:t>'</w:t>
      </w:r>
      <w:r>
        <w:t xml:space="preserve">enquête auprès des membres est confirmée par les entretiens auprès des parties prenantes. Dans ces discussions, les organisations régionales de télécommunication ont noté avec satisfaction le rôle des </w:t>
      </w:r>
      <w:r w:rsidR="001B2EF8">
        <w:t>b</w:t>
      </w:r>
      <w:r>
        <w:t>ureaux régionaux dans la facilitation du dialogue, l'appui aux initiatives régionales et la participation aux mécanismes de coordination régionaux. Les personnes interrogées qualifient la coopération avec les bureaux régionaux de constructive et réactive, ce qui confirme la perception favorable qui ressort des éléments de l</w:t>
      </w:r>
      <w:r w:rsidR="009A554B">
        <w:t>'</w:t>
      </w:r>
      <w:r>
        <w:t>enquête.</w:t>
      </w:r>
    </w:p>
    <w:p w14:paraId="0F0610B1" w14:textId="77777777" w:rsidR="0007790F" w:rsidRDefault="0007790F" w:rsidP="00897D8B">
      <w:pPr>
        <w:jc w:val="both"/>
      </w:pPr>
      <w:r>
        <w:t>Dans l'ensemble, ces résultats montrent que la présence régionale est largement perçue comme un élément très utile de la structure opérationnelle de l'UIT, qui contribue à rendre l'Organisation visible et accessible au niveau régional.</w:t>
      </w:r>
    </w:p>
    <w:p w14:paraId="76BB11A4" w14:textId="77777777" w:rsidR="0007790F" w:rsidRDefault="0007790F" w:rsidP="009A554B">
      <w:pPr>
        <w:pStyle w:val="Heading2"/>
      </w:pPr>
      <w:r>
        <w:t>5.1.2</w:t>
      </w:r>
      <w:r>
        <w:tab/>
        <w:t>Collaboration soutenue avec les États Membres et les parties prenantes</w:t>
      </w:r>
    </w:p>
    <w:p w14:paraId="01A0BB64" w14:textId="4E4969C0" w:rsidR="0007790F" w:rsidRDefault="0007790F" w:rsidP="00897D8B">
      <w:pPr>
        <w:keepLines/>
        <w:jc w:val="both"/>
      </w:pPr>
      <w:r>
        <w:t>Les données montrent que les bureaux régionaux et les États Membres de l'UIT entretiennent une collaboration soutenue. Le niveau de consultation est élevé, 74% des répondants déclarant avoir échangé avec le bureau régional ou le bureau de zone pendant la période considérée. Ces interactions montrent que les bureaux régionaux jouent un rôle actif de point de contact entre l</w:t>
      </w:r>
      <w:r w:rsidR="009A554B">
        <w:t>'</w:t>
      </w:r>
      <w:r>
        <w:t>Organisation et ses membres, ce qui favorise un dialogue régulier et permet aux États Membres de collaborer aux activités et initiatives de l</w:t>
      </w:r>
      <w:r w:rsidR="009A554B">
        <w:t>'</w:t>
      </w:r>
      <w:r>
        <w:t>UIT.</w:t>
      </w:r>
    </w:p>
    <w:p w14:paraId="0E4193B8" w14:textId="3B84E4C3" w:rsidR="0007790F" w:rsidRDefault="0007790F" w:rsidP="00897D8B">
      <w:pPr>
        <w:jc w:val="both"/>
      </w:pPr>
      <w:r>
        <w:t>Les bureaux régionaux jouent aussi un rôle central dans la facilitation du dialogue avec les organisations régionales et d</w:t>
      </w:r>
      <w:r w:rsidR="009A554B">
        <w:t>'</w:t>
      </w:r>
      <w:r>
        <w:t xml:space="preserve">autres partenaires institutionnels. Les données issues des entretiens avec les parties prenantes soulignent que les bureaux régionaux et les </w:t>
      </w:r>
      <w:r>
        <w:lastRenderedPageBreak/>
        <w:t>organisations régionales de télécommunication interagissent régulièrement en pratique, notamment dans le cadre de la participation à des réunions régionales et à des consultations techniques. Ces interactions contribuent à aligner les activités de l</w:t>
      </w:r>
      <w:r w:rsidR="009A554B">
        <w:t>'</w:t>
      </w:r>
      <w:r>
        <w:t>UIT sur les processus de politique générale et les cadres institutionnels au niveau régional.</w:t>
      </w:r>
    </w:p>
    <w:p w14:paraId="04CCA9A7" w14:textId="6903DFBA" w:rsidR="0007790F" w:rsidRDefault="0007790F" w:rsidP="00897D8B">
      <w:pPr>
        <w:jc w:val="both"/>
      </w:pPr>
      <w:r>
        <w:t>Les données relatives à la participation apportent une illustration supplémentaire de l'ampleur de cette participation. Entre 2022 et 2025, l'UIT a organisé plus de 1 000 manifestations et plus de 1 500 réunions dans plus de 100 pays hôtes. Ont participé à celles</w:t>
      </w:r>
      <w:r w:rsidR="001B2EF8">
        <w:noBreakHyphen/>
      </w:r>
      <w:r>
        <w:t>ci des États Membres, des membres des Secteurs, des établissements universitaires et des organisations internationales, ce qui témoigne du caractère étendu et géographiquement diversifié de la participation, et du soutien de la présence régionale à cet égard.</w:t>
      </w:r>
    </w:p>
    <w:p w14:paraId="3A95264D" w14:textId="6B3DFD1D" w:rsidR="0007790F" w:rsidRDefault="0007790F" w:rsidP="00897D8B">
      <w:pPr>
        <w:jc w:val="both"/>
      </w:pPr>
      <w:r>
        <w:t>La participation aux manifestations et activités de l'UIT est large d'un point de vue géographique et diversifiée sur le plan institutionnel, totalisant 173 États Membres et</w:t>
      </w:r>
      <w:r w:rsidR="001B2EF8">
        <w:t> </w:t>
      </w:r>
      <w:r>
        <w:t>124</w:t>
      </w:r>
      <w:r w:rsidR="001B2EF8">
        <w:t> </w:t>
      </w:r>
      <w:r>
        <w:t>120 participants uniques entre 2022 et 2025.</w:t>
      </w:r>
    </w:p>
    <w:p w14:paraId="06EB23C4" w14:textId="77777777" w:rsidR="0007790F" w:rsidRDefault="0007790F" w:rsidP="00897D8B">
      <w:pPr>
        <w:jc w:val="both"/>
      </w:pPr>
      <w:r>
        <w:t>En ce qui concerne les bourses, il apparaît qu'elles sont attribuées avec transparence et équité, dans le respect de la parité hommes-femmes, ce qui favorise également une participation inclusive.</w:t>
      </w:r>
    </w:p>
    <w:p w14:paraId="05C7D273" w14:textId="77777777" w:rsidR="0007790F" w:rsidRDefault="0007790F" w:rsidP="009A554B">
      <w:pPr>
        <w:pStyle w:val="Heading3"/>
      </w:pPr>
      <w:r>
        <w:t>5.1.3</w:t>
      </w:r>
      <w:r>
        <w:tab/>
        <w:t>Diffusion efficace de l'information et des connaissances</w:t>
      </w:r>
    </w:p>
    <w:p w14:paraId="5DE13AC0" w14:textId="77777777" w:rsidR="0007790F" w:rsidRDefault="0007790F" w:rsidP="00897D8B">
      <w:pPr>
        <w:jc w:val="both"/>
      </w:pPr>
      <w:r>
        <w:t>La diffusion de l'information et des connaissances fait partie des domaines où les résultats sont particulièrement convaincants. D'après les réponses à l'enquête, 73% estiment que les bureaux régionaux diffusent efficacement l'information et les données, tandis que 70% considèrent que les plateformes technologiques sont utilisées efficacement pour diffuser les informations utiles aux parties prenantes.</w:t>
      </w:r>
    </w:p>
    <w:p w14:paraId="2497C1B3" w14:textId="2AE07D3B" w:rsidR="0007790F" w:rsidRDefault="0007790F" w:rsidP="00897D8B">
      <w:pPr>
        <w:jc w:val="both"/>
      </w:pPr>
      <w:r>
        <w:t>Cela montre que les bureaux régionaux jouent un rôle important en veillant à ce que les informations produites par l</w:t>
      </w:r>
      <w:r w:rsidR="009A554B">
        <w:t>'</w:t>
      </w:r>
      <w:r>
        <w:t>Organisation parviennent aux acteurs nationaux concernés et aux partenaires régionaux. Le recours aux plateformes numériques et aux modalités de participation hybrides a rendu les bureaux régionaux encore plus à même d'entretenir des liens réguliers avec les membres et les parties prenantes quel que soit le contexte géographique.</w:t>
      </w:r>
    </w:p>
    <w:p w14:paraId="6CEEC3B8" w14:textId="403872E8" w:rsidR="0007790F" w:rsidRDefault="0007790F" w:rsidP="00897D8B">
      <w:pPr>
        <w:keepLines/>
        <w:jc w:val="both"/>
      </w:pPr>
      <w:r>
        <w:t>La fonction de diffusion contribue également au dialogue sur les politiques et à l</w:t>
      </w:r>
      <w:r w:rsidR="009A554B">
        <w:t>'</w:t>
      </w:r>
      <w:r>
        <w:t>échange de connaissances. Les bureaux régionaux facilitent les discussions sur les questions de réglementation et de politique générale, appuient l</w:t>
      </w:r>
      <w:r w:rsidR="009A554B">
        <w:t>'</w:t>
      </w:r>
      <w:r>
        <w:t>échange de données d</w:t>
      </w:r>
      <w:r w:rsidR="009A554B">
        <w:t>'</w:t>
      </w:r>
      <w:r>
        <w:t>expériences entre les pays et aident à faire connaître les initiatives mondiales de l</w:t>
      </w:r>
      <w:r w:rsidR="009A554B">
        <w:t>'</w:t>
      </w:r>
      <w:r>
        <w:t>UIT dans un contexte régional.</w:t>
      </w:r>
    </w:p>
    <w:p w14:paraId="1ED765ED" w14:textId="77777777" w:rsidR="0007790F" w:rsidRDefault="0007790F" w:rsidP="009E6627">
      <w:pPr>
        <w:pStyle w:val="Heading3"/>
      </w:pPr>
      <w:r>
        <w:t>5.1.4</w:t>
      </w:r>
      <w:r>
        <w:tab/>
        <w:t>Contribution importante en matière de sensibilisation et de renforcement des capacités</w:t>
      </w:r>
    </w:p>
    <w:p w14:paraId="486E0725" w14:textId="33953BB4" w:rsidR="0007790F" w:rsidRDefault="0007790F" w:rsidP="00897D8B">
      <w:pPr>
        <w:jc w:val="both"/>
      </w:pPr>
      <w:r>
        <w:t>La présence régionale facilite aussi la sensibilisation, le développement des compétences et le renforcement des capacités dans les États Membres. D'après l</w:t>
      </w:r>
      <w:r w:rsidR="009A554B">
        <w:t>'</w:t>
      </w:r>
      <w:r>
        <w:t>enquête, 67% estiment que les bureaux régionaux contribuent efficacement à la sensibilisation, au développement des compétences et au renforcement des capacités dans les domaines considérés.</w:t>
      </w:r>
    </w:p>
    <w:p w14:paraId="4014EC4F" w14:textId="77777777" w:rsidR="0007790F" w:rsidRDefault="0007790F" w:rsidP="00897D8B">
      <w:pPr>
        <w:jc w:val="both"/>
      </w:pPr>
      <w:r>
        <w:t>Ces activités – ateliers, cours de formation et dialogues sur les politiques – ont lieu dans toutes les régions. Les initiatives de renforcement des capacités aident à renforcer les compétences nationales, facilitent l'application des politiques de TIC et permettent une participation plus efficace aux processus de l'UIT.</w:t>
      </w:r>
    </w:p>
    <w:p w14:paraId="7DBA72AE" w14:textId="77777777" w:rsidR="0007790F" w:rsidRDefault="0007790F" w:rsidP="00897D8B">
      <w:pPr>
        <w:jc w:val="both"/>
      </w:pPr>
      <w:r>
        <w:lastRenderedPageBreak/>
        <w:t>Le rôle des bureaux régionaux s'agissant de faciliter l'échange de connaissances et la formation est complété par l'action d'autres structures de l'UIT, dont les programmes de formation au numérique de l'Union et les initiatives qu'elle mène en collaboration avec des partenaires.</w:t>
      </w:r>
    </w:p>
    <w:p w14:paraId="74CE7132" w14:textId="4AA79C3B" w:rsidR="0007790F" w:rsidRDefault="0007790F" w:rsidP="00897D8B">
      <w:pPr>
        <w:jc w:val="both"/>
      </w:pPr>
      <w:r>
        <w:t>Les bureaux régionaux facilitent l</w:t>
      </w:r>
      <w:r w:rsidR="009A554B">
        <w:t>'</w:t>
      </w:r>
      <w:r>
        <w:t>accès aux formations de l</w:t>
      </w:r>
      <w:r w:rsidR="009A554B">
        <w:t>'</w:t>
      </w:r>
      <w:r>
        <w:t>Académie de l</w:t>
      </w:r>
      <w:r w:rsidR="009A554B">
        <w:t>'</w:t>
      </w:r>
      <w:r>
        <w:t>UIT:</w:t>
      </w:r>
    </w:p>
    <w:p w14:paraId="2ED99243" w14:textId="77777777" w:rsidR="0007790F" w:rsidRDefault="0007790F" w:rsidP="00897D8B">
      <w:pPr>
        <w:pStyle w:val="enumlev1"/>
        <w:jc w:val="both"/>
      </w:pPr>
      <w:r>
        <w:t>–</w:t>
      </w:r>
      <w:r>
        <w:tab/>
        <w:t>12 333 participants ont suivi des formations encadrées par des formateurs entre 2023 et 2025.</w:t>
      </w:r>
    </w:p>
    <w:p w14:paraId="6BCCDAFF" w14:textId="326AFF93" w:rsidR="0007790F" w:rsidRDefault="0007790F" w:rsidP="00897D8B">
      <w:pPr>
        <w:pStyle w:val="enumlev1"/>
        <w:jc w:val="both"/>
      </w:pPr>
      <w:r>
        <w:t>–</w:t>
      </w:r>
      <w:r>
        <w:tab/>
        <w:t>79 cours à vocation régionale ont permis de répondre aux besoins et au contexte de chaque région.</w:t>
      </w:r>
    </w:p>
    <w:p w14:paraId="2CFA4D7E" w14:textId="77777777" w:rsidR="0007790F" w:rsidRDefault="0007790F" w:rsidP="009A554B">
      <w:pPr>
        <w:pStyle w:val="Heading3"/>
      </w:pPr>
      <w:r>
        <w:t>5.1.5</w:t>
      </w:r>
      <w:r>
        <w:tab/>
        <w:t>Plates-formes fédératrices crédibles pour le dialogue régional</w:t>
      </w:r>
    </w:p>
    <w:p w14:paraId="197BA122" w14:textId="419B83F5" w:rsidR="0007790F" w:rsidRDefault="0007790F" w:rsidP="00897D8B">
      <w:pPr>
        <w:jc w:val="both"/>
      </w:pPr>
      <w:r>
        <w:t>Les bureaux régionaux constituent aussi des plates-formes fédératrices crédibles pour mettre en relation les autorités nationales, les organisations régionales et les partenaires internationaux. Les entretiens avec les parties prenantes ont fait ressortir l</w:t>
      </w:r>
      <w:r w:rsidR="009A554B">
        <w:t>'</w:t>
      </w:r>
      <w:r>
        <w:t>importance des bureaux régionaux pour faciliter le dialogue entre les parties prenantes et étayer la coordination entre les initiatives régionales et les processus mondiaux de l</w:t>
      </w:r>
      <w:r w:rsidR="009A554B">
        <w:t>'</w:t>
      </w:r>
      <w:r>
        <w:t>UIT.</w:t>
      </w:r>
    </w:p>
    <w:p w14:paraId="36E15E55" w14:textId="4334BD29" w:rsidR="0007790F" w:rsidRDefault="0007790F" w:rsidP="00897D8B">
      <w:pPr>
        <w:jc w:val="both"/>
      </w:pPr>
      <w:r>
        <w:t>En participant à des réunions et à des discussions techniques au niveau régional, les bureaux régionaux aident à conserver un dialogue régulier avec les États Membres et les organisations régionales. Ce rôle fédérateur concourt à l</w:t>
      </w:r>
      <w:r w:rsidR="009A554B">
        <w:t>'</w:t>
      </w:r>
      <w:r>
        <w:t>alignement des priorités régionales sur les tendances mondiales en matière de politique des TIC et contribue à la visibilité de l</w:t>
      </w:r>
      <w:r w:rsidR="009A554B">
        <w:t>'</w:t>
      </w:r>
      <w:r>
        <w:t>UIT dans les cadres institutionnels régionaux.</w:t>
      </w:r>
    </w:p>
    <w:p w14:paraId="7EECB991" w14:textId="77777777" w:rsidR="0007790F" w:rsidRDefault="0007790F" w:rsidP="00897D8B">
      <w:pPr>
        <w:jc w:val="both"/>
      </w:pPr>
      <w:r>
        <w:t>La capacité des bureaux régionaux de rassembler des parties prenantes venant de secteurs et d'horizons institutionnels différents contribue aussi à créer des réseaux collaboratifs à l'appui des initiatives régionales et du dialogue sur les politiques.</w:t>
      </w:r>
    </w:p>
    <w:p w14:paraId="5A97F5F2" w14:textId="77777777" w:rsidR="0007790F" w:rsidRDefault="0007790F" w:rsidP="009A554B">
      <w:pPr>
        <w:pStyle w:val="Heading3"/>
      </w:pPr>
      <w:r>
        <w:t>5.1.6</w:t>
      </w:r>
      <w:r>
        <w:tab/>
        <w:t xml:space="preserve">Assise solide pour la réalisation en partenariat des initiatives </w:t>
      </w:r>
    </w:p>
    <w:p w14:paraId="12C331F0" w14:textId="3444CF0A" w:rsidR="0007790F" w:rsidRDefault="0007790F" w:rsidP="00897D8B">
      <w:pPr>
        <w:keepLines/>
        <w:jc w:val="both"/>
      </w:pPr>
      <w:r>
        <w:t>D'après les données recueillies, on constate également qu'il existe des bases solides pour la collaboration et pour la réalisation en partenariat des initiatives de l</w:t>
      </w:r>
      <w:r w:rsidR="009A554B">
        <w:t>'</w:t>
      </w:r>
      <w:r>
        <w:t>UIT. Les réponses à l</w:t>
      </w:r>
      <w:r w:rsidR="009A554B">
        <w:t>'</w:t>
      </w:r>
      <w:r>
        <w:t>enquête indiquent une forte volonté de la part des entités des membres de collaborer avec les bureaux régionaux et les bureaux de zone, 82% se déclarant disposées à le faire, tandis</w:t>
      </w:r>
      <w:r w:rsidR="009A554B">
        <w:t> </w:t>
      </w:r>
      <w:r>
        <w:t>que le taux d'approbation atteint 60% pour la collaboration avec des partenaires.</w:t>
      </w:r>
    </w:p>
    <w:p w14:paraId="655F82AD" w14:textId="77777777" w:rsidR="0007790F" w:rsidRDefault="0007790F" w:rsidP="00897D8B">
      <w:pPr>
        <w:jc w:val="both"/>
      </w:pPr>
      <w:r>
        <w:t xml:space="preserve">Il apparaît donc que la présence régionale bénéficie d'un climat de collaboration qui favorise les initiatives communes et les activités concertées. Le dialogue avec des organisations régionales, des partenaires de développement et d'autres parties prenantes permet de réaliser des projets et des programmes qui contribuent aux objectifs régionaux de développement des TIC. </w:t>
      </w:r>
    </w:p>
    <w:p w14:paraId="1C25136C" w14:textId="77777777" w:rsidR="0007790F" w:rsidRDefault="0007790F" w:rsidP="00897D8B">
      <w:pPr>
        <w:jc w:val="both"/>
      </w:pPr>
      <w:r>
        <w:t xml:space="preserve">Les partenariats sont étroitement liés à l'exécution des projets et à la mobilisation des ressources. Les données d'analyse des cahiers des charges et des IFP indiquent que les bureaux régionaux jouent un rôle actif dans la mise en œuvre d'initiatives régionales et de projets de développement soutenus par différents mécanismes de financement. </w:t>
      </w:r>
    </w:p>
    <w:p w14:paraId="5566D147" w14:textId="7796785C" w:rsidR="0007790F" w:rsidRDefault="0007790F" w:rsidP="00897D8B">
      <w:pPr>
        <w:jc w:val="both"/>
      </w:pPr>
      <w:r>
        <w:t>Tous ces éléments conjugués –forte participation des membres, diffusion efficace des connaissances et collaboration active avec les parties prenantes régionales– montrent que la présence régionale offre un cadre opérationnel solide pour mener les activités de l</w:t>
      </w:r>
      <w:r w:rsidR="009A554B">
        <w:t>'</w:t>
      </w:r>
      <w:r>
        <w:t xml:space="preserve">UIT à l'échelon régional. </w:t>
      </w:r>
    </w:p>
    <w:p w14:paraId="64776FBA" w14:textId="332822E2" w:rsidR="0007790F" w:rsidRDefault="0007790F" w:rsidP="009A554B">
      <w:pPr>
        <w:pStyle w:val="Heading3"/>
      </w:pPr>
      <w:r>
        <w:lastRenderedPageBreak/>
        <w:t>5.1.7 Présence régionale et mise en œuvre des plans de l</w:t>
      </w:r>
      <w:r w:rsidR="009A554B">
        <w:t>'</w:t>
      </w:r>
      <w:r>
        <w:t>UIT (</w:t>
      </w:r>
      <w:r w:rsidR="001B2EF8">
        <w:t>P</w:t>
      </w:r>
      <w:r>
        <w:t>lan stratégique et Plan</w:t>
      </w:r>
      <w:r w:rsidR="009A554B">
        <w:t> </w:t>
      </w:r>
      <w:r>
        <w:t>d</w:t>
      </w:r>
      <w:r w:rsidR="009A554B">
        <w:t>'</w:t>
      </w:r>
      <w:r>
        <w:t>action de Kigali)</w:t>
      </w:r>
    </w:p>
    <w:p w14:paraId="550611BA" w14:textId="1312C62F" w:rsidR="0007790F" w:rsidRDefault="0007790F" w:rsidP="00897D8B">
      <w:pPr>
        <w:jc w:val="both"/>
      </w:pPr>
      <w:r>
        <w:t xml:space="preserve">La présence régionale est indispensable à la mise en œuvre du </w:t>
      </w:r>
      <w:r w:rsidR="001B2EF8">
        <w:t>P</w:t>
      </w:r>
      <w:r>
        <w:t>lan stratégique et du Plan d</w:t>
      </w:r>
      <w:r w:rsidR="009A554B">
        <w:t>'</w:t>
      </w:r>
      <w:r>
        <w:t>action de Kigali. Les bureaux régionaux et les bureaux de zone constituent un pivot opérationnel de la mise en œuvre des programmes de l</w:t>
      </w:r>
      <w:r w:rsidR="009A554B">
        <w:t>'</w:t>
      </w:r>
      <w:r>
        <w:t xml:space="preserve">UIT, des initiatives régionales et du renforcement des capacités. </w:t>
      </w:r>
    </w:p>
    <w:p w14:paraId="64E300A2" w14:textId="77777777" w:rsidR="0007790F" w:rsidRDefault="0007790F" w:rsidP="00897D8B">
      <w:pPr>
        <w:jc w:val="both"/>
      </w:pPr>
      <w:r>
        <w:t>L'appui offert concerne les projets, l'assistance technique, le dialogue sur les politiques et les manifestations régionales, et est assuré conformément aux cadres stratégiques et financiers de l'UIT.</w:t>
      </w:r>
    </w:p>
    <w:p w14:paraId="739C2E8D" w14:textId="1D468A96" w:rsidR="0007790F" w:rsidRDefault="0007790F" w:rsidP="00897D8B">
      <w:pPr>
        <w:jc w:val="both"/>
      </w:pPr>
      <w:r>
        <w:t xml:space="preserve">Les manifestations régionales représentent 36% de l'ensemble des manifestations organisées par l'UIT dans le monde (pour la période 2022-2025), ce qui témoigne de leur contribution importante au déploiement à l'échelle internationale. </w:t>
      </w:r>
    </w:p>
    <w:p w14:paraId="49B2C00C" w14:textId="35BAE7F8" w:rsidR="0007790F" w:rsidRDefault="0007790F" w:rsidP="00897D8B">
      <w:pPr>
        <w:pStyle w:val="Heading3"/>
        <w:jc w:val="both"/>
      </w:pPr>
      <w:r>
        <w:t>5.1.8</w:t>
      </w:r>
      <w:r w:rsidR="009A554B">
        <w:tab/>
      </w:r>
      <w:r>
        <w:t>Perception favorable de la contribution de la présence régionale en interne</w:t>
      </w:r>
    </w:p>
    <w:p w14:paraId="697E6AB1" w14:textId="6D60DC30" w:rsidR="0007790F" w:rsidRDefault="0007790F" w:rsidP="00897D8B">
      <w:pPr>
        <w:jc w:val="both"/>
      </w:pPr>
      <w:r>
        <w:t>Les avis et réponses de fonctionnaires recueillis dans l</w:t>
      </w:r>
      <w:r w:rsidR="009A554B">
        <w:t>'</w:t>
      </w:r>
      <w:r>
        <w:t>enquête montrent que ces derniers reconnaissent la contribution de la présence régionale:</w:t>
      </w:r>
    </w:p>
    <w:p w14:paraId="31CFFC71" w14:textId="75544FB0" w:rsidR="0007790F" w:rsidRDefault="0007790F" w:rsidP="00897D8B">
      <w:pPr>
        <w:pStyle w:val="enumlev1"/>
        <w:jc w:val="both"/>
      </w:pPr>
      <w:r>
        <w:t>–</w:t>
      </w:r>
      <w:r>
        <w:tab/>
        <w:t>81 à 82% estiment que la participation de personnel régional aux manifestations de l</w:t>
      </w:r>
      <w:r w:rsidR="009A554B">
        <w:t>'</w:t>
      </w:r>
      <w:r>
        <w:t>UIT améliore la coordination et la communication.</w:t>
      </w:r>
    </w:p>
    <w:p w14:paraId="1314435C" w14:textId="77777777" w:rsidR="0007790F" w:rsidRDefault="0007790F" w:rsidP="00897D8B">
      <w:pPr>
        <w:pStyle w:val="enumlev1"/>
        <w:jc w:val="both"/>
      </w:pPr>
      <w:r>
        <w:t>–</w:t>
      </w:r>
      <w:r>
        <w:tab/>
        <w:t>Le personnel est résolument favorable à une amélioration de la formation, de la mobilité et des capacités de façon à permettre une action encore plus efficace au niveau régional.</w:t>
      </w:r>
    </w:p>
    <w:p w14:paraId="0B68DEC4" w14:textId="77777777" w:rsidR="0007790F" w:rsidRDefault="0007790F" w:rsidP="009A554B">
      <w:pPr>
        <w:pStyle w:val="Heading2"/>
      </w:pPr>
      <w:r>
        <w:t>5.2</w:t>
      </w:r>
      <w:r>
        <w:tab/>
        <w:t xml:space="preserve">Points à améliorer </w:t>
      </w:r>
    </w:p>
    <w:p w14:paraId="5136BD79" w14:textId="77777777" w:rsidR="0007790F" w:rsidRDefault="0007790F" w:rsidP="009A554B">
      <w:pPr>
        <w:pStyle w:val="Heading3"/>
      </w:pPr>
      <w:r>
        <w:t>5.2.1</w:t>
      </w:r>
      <w:r>
        <w:tab/>
        <w:t>Aligner les ressources sur les attentes opérationnelles</w:t>
      </w:r>
    </w:p>
    <w:p w14:paraId="3C0FB49B" w14:textId="77777777" w:rsidR="0007790F" w:rsidRDefault="0007790F" w:rsidP="00897D8B">
      <w:pPr>
        <w:jc w:val="both"/>
      </w:pPr>
      <w:r>
        <w:t>Si la présence régionale est largement appréciée, il ressort de certains éléments que les attentes opérationnelles à l'égard des bureaux régionaux sont peut-être, dans certains contextes, trop élevées au regard des ressources disponibles. Les réponses d'enquête et les observations de parties prenantes se révèlent très favorables à un renforcement de la présence régionale, notamment sous la forme de ressources humaines et financières supplémentaires et d'un développement des activités de projet.</w:t>
      </w:r>
    </w:p>
    <w:p w14:paraId="41907C7E" w14:textId="77777777" w:rsidR="0007790F" w:rsidRDefault="0007790F" w:rsidP="00897D8B">
      <w:pPr>
        <w:jc w:val="both"/>
      </w:pPr>
      <w:r>
        <w:t xml:space="preserve">La disponibilité des ressources influe sur la cadence et l'échelle d'exécution des initiatives et des projets régionaux. Les parties prenantes notent que la prévisibilité des mécanismes de financement et l'existence d'effectifs suffisants sont déterminants pour l'exécution efficace des activités régionales. </w:t>
      </w:r>
    </w:p>
    <w:p w14:paraId="5F04D3F9" w14:textId="77777777" w:rsidR="0007790F" w:rsidRDefault="0007790F" w:rsidP="00897D8B">
      <w:pPr>
        <w:jc w:val="both"/>
      </w:pPr>
      <w:r>
        <w:t>Les réponses à l'enquête sont aussi résolument favorables à une présence physique accrue de tous les bureaux au sein des régions.</w:t>
      </w:r>
    </w:p>
    <w:p w14:paraId="5744EE5E" w14:textId="77777777" w:rsidR="0007790F" w:rsidRDefault="0007790F" w:rsidP="009A554B">
      <w:pPr>
        <w:pStyle w:val="Heading3"/>
      </w:pPr>
      <w:r>
        <w:t>5.2.2</w:t>
      </w:r>
      <w:r>
        <w:tab/>
        <w:t>Renforcer le processus de recrutement et de la continuité des effectifs</w:t>
      </w:r>
    </w:p>
    <w:p w14:paraId="0A79701B" w14:textId="77777777" w:rsidR="0007790F" w:rsidRDefault="0007790F" w:rsidP="00897D8B">
      <w:pPr>
        <w:jc w:val="both"/>
      </w:pPr>
      <w:r>
        <w:t xml:space="preserve">Les processus de recrutement des postes régionaux apparaissent aussi comme un aspect à améliorer dans l'optique de renforcer les capacités opérationnelles. Les analyses d'IFP font ressortir des problèmes récurrents de postes vacants et de délais de recrutement qui peuvent entraver l'aptitude des bureaux régionaux à déployer les compétences en temps utile. </w:t>
      </w:r>
    </w:p>
    <w:p w14:paraId="6FCE7B1F" w14:textId="77777777" w:rsidR="0007790F" w:rsidRDefault="0007790F" w:rsidP="00897D8B">
      <w:pPr>
        <w:jc w:val="both"/>
      </w:pPr>
      <w:r>
        <w:t xml:space="preserve">Les réponses à l'enquête indiquent de même que les processus de recrutement des chefs de projet et des experts techniques sont jugés moyennement satisfaisants; il conviendrait donc </w:t>
      </w:r>
      <w:r>
        <w:lastRenderedPageBreak/>
        <w:t>peut-être d'envisager de renforcer les outils de recrutement et les mécanismes de mobilité du personnel. Améliorer l'efficacité des processus de recrutement serait peut-être un moyen de faire en sorte que les bureaux régionaux disposent de compétences suffisantes pour répondre aux exigences opérationnelles.</w:t>
      </w:r>
    </w:p>
    <w:p w14:paraId="5F5640C2" w14:textId="77777777" w:rsidR="0007790F" w:rsidRDefault="0007790F" w:rsidP="009A554B">
      <w:pPr>
        <w:pStyle w:val="Heading3"/>
      </w:pPr>
      <w:r>
        <w:t>5.2.3</w:t>
      </w:r>
      <w:r>
        <w:tab/>
        <w:t>Renforcer la mise en œuvre des partenariats et la mobilisation des ressources</w:t>
      </w:r>
    </w:p>
    <w:p w14:paraId="0AFF2CEB" w14:textId="1139DB2D" w:rsidR="0007790F" w:rsidRDefault="0007790F" w:rsidP="00897D8B">
      <w:pPr>
        <w:jc w:val="both"/>
      </w:pPr>
      <w:r>
        <w:t>Si les partenariats et la collaboration sont largement reconnus comme un aspect important de la présence régionale, les réponses à l</w:t>
      </w:r>
      <w:r w:rsidR="009A554B">
        <w:t>'</w:t>
      </w:r>
      <w:r>
        <w:t>enquête sont moins tranchées en ce qui concerne l</w:t>
      </w:r>
      <w:r w:rsidR="009A554B">
        <w:t>'</w:t>
      </w:r>
      <w:r>
        <w:t>efficacité des partenariats et l'aide à la mobilisation des ressources. Les taux d'approbation restent positifs pour cette question mais ils sont moins élevés que pour d'autres fonctions d'appui, ce qui laisse penser qu'il est encore possible d'améliorer les mécanismes de partenariat et les processus d</w:t>
      </w:r>
      <w:r w:rsidR="009A554B">
        <w:t>'</w:t>
      </w:r>
      <w:r>
        <w:t>élaboration de projets.</w:t>
      </w:r>
    </w:p>
    <w:p w14:paraId="7A6AF00F" w14:textId="1CD77896" w:rsidR="0007790F" w:rsidRDefault="0007790F" w:rsidP="00897D8B">
      <w:pPr>
        <w:jc w:val="both"/>
      </w:pPr>
      <w:r>
        <w:t>Dans le cadre des entretiens, les parties prenantes ont souligné l</w:t>
      </w:r>
      <w:r w:rsidR="009A554B">
        <w:t>'</w:t>
      </w:r>
      <w:r>
        <w:t>importance de mécanismes de financement prévisibles et d</w:t>
      </w:r>
      <w:r w:rsidR="009A554B">
        <w:t>'</w:t>
      </w:r>
      <w:r>
        <w:t>une coordination renforcée avec les organisations régionales pour traduire les perspectives de partenariat en projets concrets et en initiatives financées. Le renforcement des cadres de partenariat et l</w:t>
      </w:r>
      <w:r w:rsidR="009A554B">
        <w:t>'</w:t>
      </w:r>
      <w:r>
        <w:t>amélioration des mécanismes de coordination peuvent donc contribuer à davantage de cohérence dans la mise en œuvre des initiatives régionales.</w:t>
      </w:r>
    </w:p>
    <w:p w14:paraId="73887498" w14:textId="192ADFC6" w:rsidR="0007790F" w:rsidRDefault="0007790F" w:rsidP="00897D8B">
      <w:pPr>
        <w:jc w:val="both"/>
      </w:pPr>
      <w:r>
        <w:t>Les réponses soulignent aussi l</w:t>
      </w:r>
      <w:r w:rsidR="009A554B">
        <w:t>'</w:t>
      </w:r>
      <w:r>
        <w:t>importance pour l</w:t>
      </w:r>
      <w:r w:rsidR="009A554B">
        <w:t>'</w:t>
      </w:r>
      <w:r>
        <w:t>UIT de coordonner étroitement ses activités avec les équipes de pays des Nations Unies, aussi bien dans les pays où l</w:t>
      </w:r>
      <w:r w:rsidR="009A554B">
        <w:t>'</w:t>
      </w:r>
      <w:r>
        <w:t>UIT a une présence physique que dans ceux où elle n'en dispose pas.</w:t>
      </w:r>
    </w:p>
    <w:p w14:paraId="54EDE2E1" w14:textId="77777777" w:rsidR="0007790F" w:rsidRDefault="0007790F" w:rsidP="009A554B">
      <w:pPr>
        <w:pStyle w:val="Heading3"/>
      </w:pPr>
      <w:r>
        <w:t>5.2.4</w:t>
      </w:r>
      <w:r>
        <w:tab/>
        <w:t>Améliorer la transparence et le suivi des activités régionales</w:t>
      </w:r>
    </w:p>
    <w:p w14:paraId="4525AEB9" w14:textId="739A082A" w:rsidR="0007790F" w:rsidRDefault="0007790F" w:rsidP="00897D8B">
      <w:pPr>
        <w:jc w:val="both"/>
      </w:pPr>
      <w:r>
        <w:t>Les données provenant des enquêtes et des observations des parties prenantes soulignent également qu'il importe d</w:t>
      </w:r>
      <w:r w:rsidR="009A554B">
        <w:t>'</w:t>
      </w:r>
      <w:r>
        <w:t>améliorer les données et la communication d'informations sur les effectifs, les ressources financières et les activités de mise en œuvre. Les auteurs des réponses soulignent qu'il serait utile d'être mieux informé de la façon dont les bureaux régionaux déploient les ressources et exécutent les projets.</w:t>
      </w:r>
    </w:p>
    <w:p w14:paraId="51ACD901" w14:textId="77777777" w:rsidR="0007790F" w:rsidRDefault="0007790F" w:rsidP="00897D8B">
      <w:pPr>
        <w:jc w:val="both"/>
      </w:pPr>
      <w:r>
        <w:t>Renforcer les mécanismes de suivi et de transparence pourrait améliorer le contrôle, faciliter la planification stratégique et améliorer la compréhension des besoins opérationnels des différentes régions.</w:t>
      </w:r>
    </w:p>
    <w:p w14:paraId="6F0DE77B" w14:textId="77777777" w:rsidR="0007790F" w:rsidRDefault="0007790F" w:rsidP="009A554B">
      <w:pPr>
        <w:pStyle w:val="Heading3"/>
      </w:pPr>
      <w:r>
        <w:t>5.2.5</w:t>
      </w:r>
      <w:r>
        <w:tab/>
        <w:t>Lacunes de la présence régionale</w:t>
      </w:r>
    </w:p>
    <w:p w14:paraId="03765E03" w14:textId="77777777" w:rsidR="0007790F" w:rsidRDefault="0007790F" w:rsidP="00897D8B">
      <w:pPr>
        <w:jc w:val="both"/>
      </w:pPr>
      <w:r>
        <w:t>Certaines lacunes de la présence régionale ont été relevées dans les enquêtes, particulièrement en ce qui concerne le Pacifique, où la couverture actuelle se heurte à des "problèmes de distance et de décalage horaire". Les réponses suggèrent aussi de renforcer les projets et les activités dans les pays où il n'existe pas de bureaux de l'UIT, sans pour autant y affecter physiquement du personnel à long terme.</w:t>
      </w:r>
    </w:p>
    <w:p w14:paraId="6F01442C" w14:textId="77777777" w:rsidR="0007790F" w:rsidRDefault="0007790F" w:rsidP="009A554B">
      <w:pPr>
        <w:pStyle w:val="Heading1"/>
      </w:pPr>
      <w:r>
        <w:t>6</w:t>
      </w:r>
      <w:r>
        <w:tab/>
        <w:t>Conclusion</w:t>
      </w:r>
    </w:p>
    <w:p w14:paraId="1EA136D6" w14:textId="6354D8F8" w:rsidR="0007790F" w:rsidRDefault="0007790F" w:rsidP="00897D8B">
      <w:pPr>
        <w:jc w:val="both"/>
      </w:pPr>
      <w:r>
        <w:t>6.1</w:t>
      </w:r>
      <w:r>
        <w:tab/>
        <w:t>Le présent rapport et les conclusions dont il rend compte soulignent que les bureaux régionaux et les bureaux de zone jouent un rôle décisif dans l'exécution du Plan stratégique de l</w:t>
      </w:r>
      <w:r w:rsidR="009A554B">
        <w:t>'</w:t>
      </w:r>
      <w:r>
        <w:t>UIT et du Plan d</w:t>
      </w:r>
      <w:r w:rsidR="009A554B">
        <w:t>'</w:t>
      </w:r>
      <w:r>
        <w:t>action de l</w:t>
      </w:r>
      <w:r w:rsidR="009A554B">
        <w:t>'</w:t>
      </w:r>
      <w:r>
        <w:t>UIT-D. Interlocuteurs de confiance des États Membres, ils facilitent une large participation inclusive aux activités de l</w:t>
      </w:r>
      <w:r w:rsidR="009A554B">
        <w:t>'</w:t>
      </w:r>
      <w:r>
        <w:t xml:space="preserve">UIT et prennent en charge une partie importante des projets régionaux, du renforcement des capacités et du dialogue sur les </w:t>
      </w:r>
      <w:r>
        <w:lastRenderedPageBreak/>
        <w:t>politiques. La présence régionale est perçue comme réactive, accessible et efficace, et les États</w:t>
      </w:r>
      <w:r w:rsidR="001B2EF8">
        <w:t> </w:t>
      </w:r>
      <w:r>
        <w:t>Membres et les partenaires s'en déclarent largement satisfaits dans toutes les régions. Les données recueillies mentionnent systématiquement le professionnalisme et le dévouement des équipes régionales et soulignent leur rôle fédérateur essentiel auprès des parties prenantes et leur rôle de catalyseur de la transformation numérique.</w:t>
      </w:r>
    </w:p>
    <w:p w14:paraId="29C1641E" w14:textId="010DAA81" w:rsidR="0007790F" w:rsidRDefault="0007790F" w:rsidP="00897D8B">
      <w:pPr>
        <w:jc w:val="both"/>
      </w:pPr>
      <w:r>
        <w:t>6.2</w:t>
      </w:r>
      <w:r>
        <w:tab/>
        <w:t>Si l'examen indique aussi plusieurs domaines où les processus, les ressources et les compétences peuvent être encore améliorés, il est préférable d'envisager cela comme une chance à saisir pour construire sur des bases solides et efficaces – afin de permettre à la présence régionale de répondre encore plus efficacement à l'évolution des attentes des États</w:t>
      </w:r>
      <w:r w:rsidR="001B2EF8">
        <w:t> </w:t>
      </w:r>
      <w:r>
        <w:t>Membres et à la complexification du secteur du développement du numérique. Il serait notamment nécessaire de rationaliser les ressources humaines et financières et les processus internes, d</w:t>
      </w:r>
      <w:r w:rsidR="009A554B">
        <w:t>'</w:t>
      </w:r>
      <w:r>
        <w:t>approfondir la coordination intersectorielle, d</w:t>
      </w:r>
      <w:r w:rsidR="009A554B">
        <w:t>'</w:t>
      </w:r>
      <w:r>
        <w:t>améliorer l</w:t>
      </w:r>
      <w:r w:rsidR="009A554B">
        <w:t>'</w:t>
      </w:r>
      <w:r>
        <w:t>accès aux compétences techniques, d</w:t>
      </w:r>
      <w:r w:rsidR="009A554B">
        <w:t>'</w:t>
      </w:r>
      <w:r>
        <w:t>améliorer le suivi et la visibilité financière, et de renforcer les partenariats et les mécanismes de mobilisation des ressources autant que faire se peut. Les parties prenantes à l'échelle du système —États Membres, organisations régionales et personnel de l</w:t>
      </w:r>
      <w:r w:rsidR="009A554B">
        <w:t>'</w:t>
      </w:r>
      <w:r>
        <w:t>UIT— se déclarent résolument favorables à un renforcement des moyens dont la présence régionale dispose pour répondre à des attentes toujours plus élevées et faire face à la complexité croissante des enjeux du numérique.</w:t>
      </w:r>
    </w:p>
    <w:p w14:paraId="2FC0F45A" w14:textId="58878312" w:rsidR="0007790F" w:rsidRDefault="0007790F" w:rsidP="00345A91">
      <w:pPr>
        <w:jc w:val="both"/>
      </w:pPr>
      <w:r>
        <w:t>6.3</w:t>
      </w:r>
      <w:r>
        <w:tab/>
        <w:t>C'est un message clair et constructif qui ressort globalement des conclusions de l'examen: les bureaux régionaux et les bureaux de zone de l</w:t>
      </w:r>
      <w:r w:rsidR="009A554B">
        <w:t>'</w:t>
      </w:r>
      <w:r>
        <w:t>UIT constituent un atout stratégique majeur: ils mènent une action efficace et apportent une véritable valeur ajoutée. Des mesures ciblées s'accompagnant de l'appui institutionnel nécessaire peuvent permettre à la présence régionale d'optimiser encore ses résultats en répondant toujours plus efficacement aux attentes des membres.</w:t>
      </w:r>
    </w:p>
    <w:p w14:paraId="5A9C26C3" w14:textId="77777777" w:rsidR="00345A91" w:rsidRDefault="00345A91" w:rsidP="00345A91">
      <w:pPr>
        <w:jc w:val="both"/>
      </w:pPr>
    </w:p>
    <w:p w14:paraId="5CF475C6" w14:textId="77777777" w:rsidR="00897553" w:rsidRDefault="006A11AE" w:rsidP="002D2336">
      <w:pPr>
        <w:jc w:val="center"/>
      </w:pPr>
      <w:r>
        <w:t>______________</w:t>
      </w:r>
    </w:p>
    <w:sectPr w:rsidR="00897553" w:rsidSect="00D72F49">
      <w:headerReference w:type="even" r:id="rId29"/>
      <w:footerReference w:type="even" r:id="rId30"/>
      <w:footerReference w:type="default" r:id="rId31"/>
      <w:headerReference w:type="first" r:id="rId32"/>
      <w:footerReference w:type="first" r:id="rId33"/>
      <w:pgSz w:w="11907" w:h="16840" w:code="9"/>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109FA" w14:textId="77777777" w:rsidR="000B37FF" w:rsidRDefault="000B37FF">
      <w:r>
        <w:separator/>
      </w:r>
    </w:p>
  </w:endnote>
  <w:endnote w:type="continuationSeparator" w:id="0">
    <w:p w14:paraId="4CEE9D33" w14:textId="77777777" w:rsidR="000B37FF" w:rsidRDefault="000B3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423D4" w14:textId="2205AA6F" w:rsidR="00732045" w:rsidRDefault="001B2EF8">
    <w:pPr>
      <w:pStyle w:val="Footer"/>
    </w:pPr>
    <w:fldSimple w:instr=" FILENAME \p \* MERGEFORMAT ">
      <w:r>
        <w:t>P:\FRA\gDoc\SG\C26\2600727F.docx</w:t>
      </w:r>
    </w:fldSimple>
    <w:r w:rsidR="00732045">
      <w:tab/>
    </w:r>
    <w:r w:rsidR="002F1B76">
      <w:fldChar w:fldCharType="begin"/>
    </w:r>
    <w:r w:rsidR="00732045">
      <w:instrText xml:space="preserve"> savedate \@ dd.MM.yy </w:instrText>
    </w:r>
    <w:r w:rsidR="002F1B76">
      <w:fldChar w:fldCharType="separate"/>
    </w:r>
    <w:r w:rsidR="000D5DEF">
      <w:t>02.04.26</w:t>
    </w:r>
    <w:r w:rsidR="002F1B76">
      <w:fldChar w:fldCharType="end"/>
    </w:r>
    <w:r w:rsidR="00732045">
      <w:tab/>
    </w:r>
    <w:r w:rsidR="002F1B76">
      <w:fldChar w:fldCharType="begin"/>
    </w:r>
    <w:r w:rsidR="00732045">
      <w:instrText xml:space="preserve"> printdate \@ dd.MM.yy </w:instrText>
    </w:r>
    <w:r w:rsidR="002F1B76">
      <w:fldChar w:fldCharType="separate"/>
    </w:r>
    <w:r>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0D0FDEC7" w14:textId="77777777" w:rsidTr="00E31DCE">
      <w:trPr>
        <w:jc w:val="center"/>
      </w:trPr>
      <w:tc>
        <w:tcPr>
          <w:tcW w:w="1803" w:type="dxa"/>
          <w:vAlign w:val="center"/>
        </w:tcPr>
        <w:p w14:paraId="69646E63" w14:textId="0B3037D1" w:rsidR="00A51849" w:rsidRDefault="00763C34" w:rsidP="00A51849">
          <w:pPr>
            <w:pStyle w:val="Header"/>
            <w:jc w:val="left"/>
            <w:rPr>
              <w:noProof/>
            </w:rPr>
          </w:pPr>
          <w:r>
            <w:rPr>
              <w:noProof/>
            </w:rPr>
            <w:t>2600727</w:t>
          </w:r>
        </w:p>
      </w:tc>
      <w:tc>
        <w:tcPr>
          <w:tcW w:w="8261" w:type="dxa"/>
        </w:tcPr>
        <w:p w14:paraId="4CEBCC77" w14:textId="6407CC65"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E4448E">
            <w:rPr>
              <w:bCs/>
            </w:rPr>
            <w:t>6</w:t>
          </w:r>
          <w:proofErr w:type="spellEnd"/>
          <w:r w:rsidRPr="00623AE3">
            <w:rPr>
              <w:bCs/>
            </w:rPr>
            <w:t>/</w:t>
          </w:r>
          <w:r w:rsidR="00763C34">
            <w:rPr>
              <w:bCs/>
            </w:rPr>
            <w:t>24</w:t>
          </w:r>
          <w:r w:rsidRPr="00623AE3">
            <w:rPr>
              <w:bCs/>
            </w:rPr>
            <w:t>-</w:t>
          </w:r>
          <w:r w:rsidR="00973F53">
            <w:rPr>
              <w:bCs/>
            </w:rPr>
            <w:t>F</w:t>
          </w:r>
          <w:r>
            <w:rPr>
              <w:bCs/>
            </w:rPr>
            <w:tab/>
          </w:r>
          <w:r>
            <w:fldChar w:fldCharType="begin"/>
          </w:r>
          <w:r>
            <w:instrText>PAGE</w:instrText>
          </w:r>
          <w:r>
            <w:fldChar w:fldCharType="separate"/>
          </w:r>
          <w:r>
            <w:t>1</w:t>
          </w:r>
          <w:r>
            <w:rPr>
              <w:noProof/>
            </w:rPr>
            <w:fldChar w:fldCharType="end"/>
          </w:r>
        </w:p>
      </w:tc>
    </w:tr>
  </w:tbl>
  <w:p w14:paraId="34E24133" w14:textId="77777777" w:rsidR="00732045" w:rsidRPr="00A51849" w:rsidRDefault="00732045" w:rsidP="00FC6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54010AA8" w14:textId="77777777" w:rsidTr="00E31DCE">
      <w:trPr>
        <w:jc w:val="center"/>
      </w:trPr>
      <w:tc>
        <w:tcPr>
          <w:tcW w:w="1803" w:type="dxa"/>
          <w:vAlign w:val="center"/>
        </w:tcPr>
        <w:p w14:paraId="0766E911" w14:textId="77777777" w:rsidR="00A51849" w:rsidRPr="00FC6D7D" w:rsidRDefault="00E4448E" w:rsidP="00A51849">
          <w:pPr>
            <w:pStyle w:val="Header"/>
            <w:jc w:val="left"/>
            <w:rPr>
              <w:noProof/>
              <w:color w:val="0563C1"/>
            </w:rPr>
          </w:pPr>
          <w:hyperlink r:id="rId1" w:anchor="/fr" w:history="1">
            <w:r>
              <w:rPr>
                <w:rStyle w:val="Hyperlink"/>
              </w:rPr>
              <w:t>council.itu.int/2026</w:t>
            </w:r>
          </w:hyperlink>
        </w:p>
      </w:tc>
      <w:tc>
        <w:tcPr>
          <w:tcW w:w="8261" w:type="dxa"/>
        </w:tcPr>
        <w:p w14:paraId="1207E5A1" w14:textId="71E0709B"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E4448E">
            <w:rPr>
              <w:bCs/>
            </w:rPr>
            <w:t>6</w:t>
          </w:r>
          <w:proofErr w:type="spellEnd"/>
          <w:r w:rsidRPr="00623AE3">
            <w:rPr>
              <w:bCs/>
            </w:rPr>
            <w:t>/</w:t>
          </w:r>
          <w:r w:rsidR="0007790F">
            <w:rPr>
              <w:bCs/>
            </w:rPr>
            <w:t>24</w:t>
          </w:r>
          <w:r w:rsidRPr="00623AE3">
            <w:rPr>
              <w:bCs/>
            </w:rPr>
            <w:t>-</w:t>
          </w:r>
          <w:r w:rsidR="00D72F49">
            <w:rPr>
              <w:bCs/>
            </w:rPr>
            <w:t>F</w:t>
          </w:r>
          <w:r>
            <w:rPr>
              <w:bCs/>
            </w:rPr>
            <w:tab/>
          </w:r>
          <w:r>
            <w:fldChar w:fldCharType="begin"/>
          </w:r>
          <w:r>
            <w:instrText>PAGE</w:instrText>
          </w:r>
          <w:r>
            <w:fldChar w:fldCharType="separate"/>
          </w:r>
          <w:r>
            <w:t>1</w:t>
          </w:r>
          <w:r>
            <w:rPr>
              <w:noProof/>
            </w:rPr>
            <w:fldChar w:fldCharType="end"/>
          </w:r>
        </w:p>
      </w:tc>
    </w:tr>
  </w:tbl>
  <w:p w14:paraId="4702BF93" w14:textId="77777777" w:rsidR="00732045" w:rsidRPr="00A51849" w:rsidRDefault="00732045" w:rsidP="00FC6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40E8A" w14:textId="77777777" w:rsidR="000B37FF" w:rsidRDefault="000B37FF">
      <w:r>
        <w:t>____________________</w:t>
      </w:r>
    </w:p>
  </w:footnote>
  <w:footnote w:type="continuationSeparator" w:id="0">
    <w:p w14:paraId="03C85DD4" w14:textId="77777777" w:rsidR="000B37FF" w:rsidRDefault="000B37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22FFA"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24B75546" w14:textId="77777777" w:rsidR="00732045" w:rsidRDefault="00732045">
    <w:pPr>
      <w:pStyle w:val="Header"/>
    </w:pPr>
    <w:proofErr w:type="spellStart"/>
    <w:r>
      <w:t>C2001</w:t>
    </w:r>
    <w:proofErr w:type="spellEnd"/>
    <w:r>
      <w:t>/#-F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EA848" w14:textId="77777777" w:rsidR="00A51849" w:rsidRPr="001342E0" w:rsidRDefault="001342E0" w:rsidP="001342E0">
    <w:pPr>
      <w:pStyle w:val="Header"/>
    </w:pPr>
    <w:r>
      <w:rPr>
        <w:noProof/>
      </w:rPr>
      <w:drawing>
        <wp:inline distT="0" distB="0" distL="0" distR="0" wp14:anchorId="5ED8E9FD" wp14:editId="1D4E8F16">
          <wp:extent cx="5760085" cy="840740"/>
          <wp:effectExtent l="0" t="0" r="0" b="0"/>
          <wp:docPr id="322889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89409" name="Picture 322889409"/>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8364A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FC17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52E2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324F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BEA3A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3050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D0D2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22DA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4A9B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22DCA6"/>
    <w:lvl w:ilvl="0">
      <w:start w:val="1"/>
      <w:numFmt w:val="bullet"/>
      <w:lvlText w:val=""/>
      <w:lvlJc w:val="left"/>
      <w:pPr>
        <w:tabs>
          <w:tab w:val="num" w:pos="360"/>
        </w:tabs>
        <w:ind w:left="360" w:hanging="360"/>
      </w:pPr>
      <w:rPr>
        <w:rFonts w:ascii="Symbol" w:hAnsi="Symbol" w:hint="default"/>
      </w:rPr>
    </w:lvl>
  </w:abstractNum>
  <w:num w:numId="1" w16cid:durableId="204144983">
    <w:abstractNumId w:val="9"/>
  </w:num>
  <w:num w:numId="2" w16cid:durableId="1042679003">
    <w:abstractNumId w:val="7"/>
  </w:num>
  <w:num w:numId="3" w16cid:durableId="1710033290">
    <w:abstractNumId w:val="6"/>
  </w:num>
  <w:num w:numId="4" w16cid:durableId="1466967443">
    <w:abstractNumId w:val="5"/>
  </w:num>
  <w:num w:numId="5" w16cid:durableId="1019041869">
    <w:abstractNumId w:val="4"/>
  </w:num>
  <w:num w:numId="6" w16cid:durableId="1994942309">
    <w:abstractNumId w:val="8"/>
  </w:num>
  <w:num w:numId="7" w16cid:durableId="1943762712">
    <w:abstractNumId w:val="3"/>
  </w:num>
  <w:num w:numId="8" w16cid:durableId="1210023807">
    <w:abstractNumId w:val="2"/>
  </w:num>
  <w:num w:numId="9" w16cid:durableId="976300499">
    <w:abstractNumId w:val="1"/>
  </w:num>
  <w:num w:numId="10" w16cid:durableId="153841235">
    <w:abstractNumId w:val="0"/>
  </w:num>
  <w:num w:numId="11" w16cid:durableId="401220439">
    <w:abstractNumId w:val="8"/>
  </w:num>
  <w:num w:numId="12" w16cid:durableId="1266042031">
    <w:abstractNumId w:val="3"/>
  </w:num>
  <w:num w:numId="13" w16cid:durableId="1286500294">
    <w:abstractNumId w:val="2"/>
  </w:num>
  <w:num w:numId="14" w16cid:durableId="1804274698">
    <w:abstractNumId w:val="1"/>
  </w:num>
  <w:num w:numId="15" w16cid:durableId="232618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7FF"/>
    <w:rsid w:val="00076A2C"/>
    <w:rsid w:val="0007790F"/>
    <w:rsid w:val="000B37FF"/>
    <w:rsid w:val="000B5A30"/>
    <w:rsid w:val="000D0D0A"/>
    <w:rsid w:val="000D5DEF"/>
    <w:rsid w:val="00103163"/>
    <w:rsid w:val="00106B19"/>
    <w:rsid w:val="001133EF"/>
    <w:rsid w:val="00115D93"/>
    <w:rsid w:val="001247A8"/>
    <w:rsid w:val="001342E0"/>
    <w:rsid w:val="001370B2"/>
    <w:rsid w:val="001378C0"/>
    <w:rsid w:val="001658F9"/>
    <w:rsid w:val="0018694A"/>
    <w:rsid w:val="0019129B"/>
    <w:rsid w:val="001A3287"/>
    <w:rsid w:val="001A6508"/>
    <w:rsid w:val="001B2EF8"/>
    <w:rsid w:val="001D4C31"/>
    <w:rsid w:val="001E4D21"/>
    <w:rsid w:val="00207CD1"/>
    <w:rsid w:val="00226657"/>
    <w:rsid w:val="002477A2"/>
    <w:rsid w:val="00261ACB"/>
    <w:rsid w:val="00263A51"/>
    <w:rsid w:val="00267E02"/>
    <w:rsid w:val="00271321"/>
    <w:rsid w:val="00277DEA"/>
    <w:rsid w:val="002A5D44"/>
    <w:rsid w:val="002C3F32"/>
    <w:rsid w:val="002C4E3D"/>
    <w:rsid w:val="002D2336"/>
    <w:rsid w:val="002E0BC4"/>
    <w:rsid w:val="002F1B76"/>
    <w:rsid w:val="0033568E"/>
    <w:rsid w:val="00345A91"/>
    <w:rsid w:val="00355FF5"/>
    <w:rsid w:val="00361350"/>
    <w:rsid w:val="003C3FAE"/>
    <w:rsid w:val="004038CB"/>
    <w:rsid w:val="0040546F"/>
    <w:rsid w:val="004177BD"/>
    <w:rsid w:val="0042404A"/>
    <w:rsid w:val="0044618F"/>
    <w:rsid w:val="00465C35"/>
    <w:rsid w:val="0046769A"/>
    <w:rsid w:val="00475FB3"/>
    <w:rsid w:val="004C37A9"/>
    <w:rsid w:val="004D1D50"/>
    <w:rsid w:val="004F259E"/>
    <w:rsid w:val="004F633A"/>
    <w:rsid w:val="00504C7F"/>
    <w:rsid w:val="00511F1D"/>
    <w:rsid w:val="00520F36"/>
    <w:rsid w:val="00524E8D"/>
    <w:rsid w:val="00534E13"/>
    <w:rsid w:val="00540615"/>
    <w:rsid w:val="00540A6D"/>
    <w:rsid w:val="00553536"/>
    <w:rsid w:val="00566679"/>
    <w:rsid w:val="00571EEA"/>
    <w:rsid w:val="00575417"/>
    <w:rsid w:val="005768E1"/>
    <w:rsid w:val="00594960"/>
    <w:rsid w:val="005B1938"/>
    <w:rsid w:val="005C3890"/>
    <w:rsid w:val="005F7BFE"/>
    <w:rsid w:val="00600017"/>
    <w:rsid w:val="00602682"/>
    <w:rsid w:val="006235CA"/>
    <w:rsid w:val="0062366E"/>
    <w:rsid w:val="006643AB"/>
    <w:rsid w:val="006A11AE"/>
    <w:rsid w:val="006B224B"/>
    <w:rsid w:val="006F0A53"/>
    <w:rsid w:val="0071402E"/>
    <w:rsid w:val="007210CD"/>
    <w:rsid w:val="00732045"/>
    <w:rsid w:val="0073275D"/>
    <w:rsid w:val="007369DB"/>
    <w:rsid w:val="00763C34"/>
    <w:rsid w:val="0077110E"/>
    <w:rsid w:val="007956C2"/>
    <w:rsid w:val="00796BDB"/>
    <w:rsid w:val="007A187E"/>
    <w:rsid w:val="007C72C2"/>
    <w:rsid w:val="007D4436"/>
    <w:rsid w:val="007F257A"/>
    <w:rsid w:val="007F3665"/>
    <w:rsid w:val="00800037"/>
    <w:rsid w:val="0082299A"/>
    <w:rsid w:val="0083391C"/>
    <w:rsid w:val="0084546D"/>
    <w:rsid w:val="00861D73"/>
    <w:rsid w:val="00882919"/>
    <w:rsid w:val="00897553"/>
    <w:rsid w:val="00897D8B"/>
    <w:rsid w:val="008A4E87"/>
    <w:rsid w:val="008D76E6"/>
    <w:rsid w:val="0092392D"/>
    <w:rsid w:val="0093234A"/>
    <w:rsid w:val="00947985"/>
    <w:rsid w:val="00956A78"/>
    <w:rsid w:val="0097363B"/>
    <w:rsid w:val="00973F53"/>
    <w:rsid w:val="0098348E"/>
    <w:rsid w:val="009A554B"/>
    <w:rsid w:val="009A6BAA"/>
    <w:rsid w:val="009A76A8"/>
    <w:rsid w:val="009C307F"/>
    <w:rsid w:val="009C353C"/>
    <w:rsid w:val="009D5955"/>
    <w:rsid w:val="009E6627"/>
    <w:rsid w:val="009F0FB8"/>
    <w:rsid w:val="00A01F4F"/>
    <w:rsid w:val="00A109AF"/>
    <w:rsid w:val="00A125FB"/>
    <w:rsid w:val="00A2113E"/>
    <w:rsid w:val="00A23A51"/>
    <w:rsid w:val="00A24607"/>
    <w:rsid w:val="00A25CD3"/>
    <w:rsid w:val="00A51849"/>
    <w:rsid w:val="00A709FE"/>
    <w:rsid w:val="00A73C60"/>
    <w:rsid w:val="00A82767"/>
    <w:rsid w:val="00AA332F"/>
    <w:rsid w:val="00AA7BBB"/>
    <w:rsid w:val="00AB64A8"/>
    <w:rsid w:val="00AC0266"/>
    <w:rsid w:val="00AC0F1D"/>
    <w:rsid w:val="00AD24EC"/>
    <w:rsid w:val="00B27B00"/>
    <w:rsid w:val="00B309F9"/>
    <w:rsid w:val="00B32B60"/>
    <w:rsid w:val="00B51005"/>
    <w:rsid w:val="00B61619"/>
    <w:rsid w:val="00BB38C1"/>
    <w:rsid w:val="00BB4545"/>
    <w:rsid w:val="00BD5873"/>
    <w:rsid w:val="00BF4B60"/>
    <w:rsid w:val="00C049D7"/>
    <w:rsid w:val="00C04BE3"/>
    <w:rsid w:val="00C25D29"/>
    <w:rsid w:val="00C2625E"/>
    <w:rsid w:val="00C27A7C"/>
    <w:rsid w:val="00C42437"/>
    <w:rsid w:val="00CA08ED"/>
    <w:rsid w:val="00CC6EAA"/>
    <w:rsid w:val="00CE2E73"/>
    <w:rsid w:val="00CE5172"/>
    <w:rsid w:val="00CF0534"/>
    <w:rsid w:val="00CF183B"/>
    <w:rsid w:val="00D22EFA"/>
    <w:rsid w:val="00D375CD"/>
    <w:rsid w:val="00D37B53"/>
    <w:rsid w:val="00D553A2"/>
    <w:rsid w:val="00D72F49"/>
    <w:rsid w:val="00D774D3"/>
    <w:rsid w:val="00D904E8"/>
    <w:rsid w:val="00DA08C3"/>
    <w:rsid w:val="00DB5A3E"/>
    <w:rsid w:val="00DC22AA"/>
    <w:rsid w:val="00DD1A99"/>
    <w:rsid w:val="00DE62C6"/>
    <w:rsid w:val="00DF74DD"/>
    <w:rsid w:val="00E25AD0"/>
    <w:rsid w:val="00E4428F"/>
    <w:rsid w:val="00E4448E"/>
    <w:rsid w:val="00E47427"/>
    <w:rsid w:val="00E93668"/>
    <w:rsid w:val="00E95647"/>
    <w:rsid w:val="00EB6350"/>
    <w:rsid w:val="00ED799B"/>
    <w:rsid w:val="00F15B57"/>
    <w:rsid w:val="00F35EF4"/>
    <w:rsid w:val="00F37FE5"/>
    <w:rsid w:val="00F427DB"/>
    <w:rsid w:val="00F46E65"/>
    <w:rsid w:val="00F806E4"/>
    <w:rsid w:val="00FA5EB1"/>
    <w:rsid w:val="00FA7439"/>
    <w:rsid w:val="00FC4EC0"/>
    <w:rsid w:val="00FC6D7D"/>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FB8EDD"/>
  <w15:docId w15:val="{F1D0B73E-D70D-44C1-B010-938F15564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6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ED799B"/>
    <w:pPr>
      <w:keepNext/>
      <w:keepLines/>
      <w:spacing w:before="360"/>
      <w:ind w:left="567" w:hanging="567"/>
      <w:outlineLvl w:val="0"/>
    </w:pPr>
    <w:rPr>
      <w:b/>
      <w:sz w:val="28"/>
    </w:rPr>
  </w:style>
  <w:style w:type="paragraph" w:styleId="Heading2">
    <w:name w:val="heading 2"/>
    <w:basedOn w:val="Heading1"/>
    <w:next w:val="Normal"/>
    <w:qFormat/>
    <w:rsid w:val="00ED799B"/>
    <w:pPr>
      <w:spacing w:before="200"/>
      <w:outlineLvl w:val="1"/>
    </w:pPr>
    <w:rPr>
      <w:sz w:val="24"/>
    </w:rPr>
  </w:style>
  <w:style w:type="paragraph" w:styleId="Heading3">
    <w:name w:val="heading 3"/>
    <w:basedOn w:val="Heading1"/>
    <w:next w:val="Normal"/>
    <w:qFormat/>
    <w:rsid w:val="00ED799B"/>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19129B"/>
  </w:style>
  <w:style w:type="paragraph" w:styleId="TOC3">
    <w:name w:val="toc 3"/>
    <w:basedOn w:val="TOC1"/>
    <w:next w:val="Normal"/>
    <w:rsid w:val="001658F9"/>
  </w:style>
  <w:style w:type="paragraph" w:styleId="TOC2">
    <w:name w:val="toc 2"/>
    <w:basedOn w:val="TOC1"/>
    <w:next w:val="Normal"/>
    <w:rsid w:val="001658F9"/>
    <w:pPr>
      <w:spacing w:before="160"/>
    </w:pPr>
  </w:style>
  <w:style w:type="paragraph" w:styleId="TOC1">
    <w:name w:val="toc 1"/>
    <w:basedOn w:val="Normal"/>
    <w:rsid w:val="001658F9"/>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19129B"/>
  </w:style>
  <w:style w:type="paragraph" w:styleId="TOC6">
    <w:name w:val="toc 6"/>
    <w:basedOn w:val="TOC5"/>
    <w:next w:val="Normal"/>
    <w:rsid w:val="0019129B"/>
  </w:style>
  <w:style w:type="paragraph" w:styleId="TOC5">
    <w:name w:val="toc 5"/>
    <w:basedOn w:val="TOC4"/>
    <w:next w:val="Normal"/>
    <w:rsid w:val="0019129B"/>
    <w:rPr>
      <w:lang w:val="fr-CH"/>
    </w:rPr>
  </w:style>
  <w:style w:type="paragraph" w:styleId="TOC4">
    <w:name w:val="toc 4"/>
    <w:basedOn w:val="TOC1"/>
    <w:next w:val="Normal"/>
    <w:rsid w:val="0019129B"/>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ED799B"/>
    <w:pPr>
      <w:keepLines/>
      <w:tabs>
        <w:tab w:val="left" w:pos="256"/>
      </w:tabs>
      <w:ind w:left="256" w:hanging="256"/>
    </w:pPr>
    <w:rPr>
      <w:sz w:val="22"/>
    </w:rPr>
  </w:style>
  <w:style w:type="paragraph" w:styleId="NormalIndent">
    <w:name w:val="Normal Indent"/>
    <w:basedOn w:val="Normal"/>
    <w:rsid w:val="00732045"/>
    <w:pPr>
      <w:ind w:left="567"/>
    </w:pPr>
  </w:style>
  <w:style w:type="paragraph" w:customStyle="1" w:styleId="enumlev1">
    <w:name w:val="enumlev1"/>
    <w:basedOn w:val="Normal"/>
    <w:rsid w:val="009D5955"/>
    <w:pPr>
      <w:spacing w:before="80"/>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9D595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0D5DEF"/>
    <w:pPr>
      <w:framePr w:hSpace="181" w:wrap="around" w:vAnchor="page" w:hAnchor="page" w:x="1589" w:y="2314"/>
      <w:spacing w:before="840"/>
    </w:pPr>
    <w:rPr>
      <w:rFonts w:cstheme="minorHAnsi"/>
      <w:b/>
      <w:color w:val="000000"/>
      <w:sz w:val="32"/>
      <w:szCs w:val="32"/>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ED799B"/>
    <w:pPr>
      <w:spacing w:before="160"/>
      <w:ind w:left="0" w:firstLine="0"/>
      <w:outlineLvl w:val="0"/>
    </w:pPr>
  </w:style>
  <w:style w:type="paragraph" w:customStyle="1" w:styleId="Title1">
    <w:name w:val="Title 1"/>
    <w:basedOn w:val="Normal"/>
    <w:next w:val="Normalaftertitle"/>
    <w:rsid w:val="0071402E"/>
    <w:pPr>
      <w:spacing w:before="360"/>
      <w:jc w:val="center"/>
    </w:pPr>
    <w:rPr>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71402E"/>
    <w:pPr>
      <w:spacing w:before="80"/>
    </w:pPr>
    <w:rPr>
      <w:sz w:val="22"/>
    </w:r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FC6D7D"/>
    <w:rPr>
      <w:rFonts w:eastAsiaTheme="minorHAnsi" w:cstheme="minorBidi"/>
      <w:color w:val="4F81BD" w:themeColor="accent1"/>
      <w:szCs w:val="22"/>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BB38C1"/>
    <w:pPr>
      <w:keepNext/>
      <w:keepLines/>
      <w:spacing w:before="720"/>
      <w:jc w:val="center"/>
    </w:pPr>
    <w:rPr>
      <w:caps/>
      <w:sz w:val="28"/>
    </w:rPr>
  </w:style>
  <w:style w:type="paragraph" w:customStyle="1" w:styleId="Annexref">
    <w:name w:val="Annex_ref"/>
    <w:basedOn w:val="Normal"/>
    <w:next w:val="Annextitle"/>
    <w:rsid w:val="00BB38C1"/>
    <w:pPr>
      <w:keepNext/>
      <w:keepLines/>
      <w:jc w:val="center"/>
    </w:pPr>
    <w:rPr>
      <w:sz w:val="28"/>
    </w:rPr>
  </w:style>
  <w:style w:type="paragraph" w:customStyle="1" w:styleId="Annextitle">
    <w:name w:val="Annex_title"/>
    <w:basedOn w:val="Normal"/>
    <w:next w:val="Normalaftertitle"/>
    <w:rsid w:val="00BB38C1"/>
    <w:pPr>
      <w:keepNext/>
      <w:keepLines/>
      <w:spacing w:before="240" w:after="240"/>
      <w:jc w:val="center"/>
    </w:pPr>
    <w:rPr>
      <w:b/>
      <w:sz w:val="28"/>
    </w:rPr>
  </w:style>
  <w:style w:type="paragraph" w:customStyle="1" w:styleId="AppendixNo">
    <w:name w:val="Appendix_No"/>
    <w:basedOn w:val="AnnexNo"/>
    <w:next w:val="Appendixref"/>
    <w:rsid w:val="00BB38C1"/>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aftertitle"/>
    <w:rsid w:val="00BB38C1"/>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BB38C1"/>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B38C1"/>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aftertitle"/>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Normal"/>
    <w:rsid w:val="009D5955"/>
    <w:pPr>
      <w:spacing w:after="240"/>
      <w:jc w:val="center"/>
    </w:pPr>
  </w:style>
  <w:style w:type="paragraph" w:customStyle="1" w:styleId="Figurelegend">
    <w:name w:val="Figure_legend"/>
    <w:basedOn w:val="Normal"/>
    <w:next w:val="Normal"/>
    <w:rsid w:val="009D5955"/>
    <w:pPr>
      <w:spacing w:before="20" w:after="240"/>
    </w:pPr>
    <w:rPr>
      <w:sz w:val="18"/>
    </w:rPr>
  </w:style>
  <w:style w:type="paragraph" w:customStyle="1" w:styleId="TableNo">
    <w:name w:val="Table_No"/>
    <w:basedOn w:val="Normal"/>
    <w:next w:val="Tabletitle"/>
    <w:rsid w:val="0071402E"/>
    <w:pPr>
      <w:keepNext/>
      <w:keepLines/>
      <w:spacing w:before="480" w:after="120"/>
      <w:jc w:val="center"/>
    </w:pPr>
    <w:rPr>
      <w:caps/>
    </w:rPr>
  </w:style>
  <w:style w:type="paragraph" w:customStyle="1" w:styleId="Tabletitle">
    <w:name w:val="Table_title"/>
    <w:basedOn w:val="TableNo"/>
    <w:next w:val="Tabletext"/>
    <w:rsid w:val="0071402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9D5955"/>
    <w:pPr>
      <w:spacing w:before="120" w:after="0"/>
    </w:pPr>
  </w:style>
  <w:style w:type="paragraph" w:customStyle="1" w:styleId="Figurewithouttitle">
    <w:name w:val="Figure_without_title"/>
    <w:basedOn w:val="Figure"/>
    <w:next w:val="Normal"/>
    <w:rsid w:val="00ED799B"/>
  </w:style>
  <w:style w:type="paragraph" w:customStyle="1" w:styleId="Headingi">
    <w:name w:val="Heading_i"/>
    <w:basedOn w:val="Heading3"/>
    <w:next w:val="Normal"/>
    <w:rsid w:val="00ED799B"/>
    <w:pPr>
      <w:spacing w:before="160"/>
      <w:ind w:left="0" w:firstLine="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1402E"/>
    <w:pPr>
      <w:keepNext/>
      <w:keepLines/>
      <w:spacing w:before="720"/>
      <w:jc w:val="center"/>
    </w:pPr>
    <w:rPr>
      <w:caps/>
      <w:sz w:val="28"/>
    </w:rPr>
  </w:style>
  <w:style w:type="paragraph" w:customStyle="1" w:styleId="Rectitle">
    <w:name w:val="Rec_title"/>
    <w:basedOn w:val="Normal"/>
    <w:next w:val="Heading1"/>
    <w:rsid w:val="0071402E"/>
    <w:pPr>
      <w:keepNext/>
      <w:keepLines/>
      <w:jc w:val="center"/>
    </w:pPr>
    <w:rPr>
      <w:b/>
      <w:sz w:val="28"/>
    </w:rPr>
  </w:style>
  <w:style w:type="paragraph" w:customStyle="1" w:styleId="Recref">
    <w:name w:val="Rec_ref"/>
    <w:basedOn w:val="Rectitle"/>
    <w:next w:val="Recdate"/>
    <w:rsid w:val="005C3890"/>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71402E"/>
  </w:style>
  <w:style w:type="paragraph" w:customStyle="1" w:styleId="QuestionNo">
    <w:name w:val="Question_No"/>
    <w:basedOn w:val="RecNo"/>
    <w:next w:val="Questiontitle"/>
    <w:rsid w:val="0071402E"/>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71402E"/>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1402E"/>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71402E"/>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1402E"/>
    <w:pPr>
      <w:tabs>
        <w:tab w:val="clear" w:pos="1134"/>
        <w:tab w:val="clear" w:pos="1701"/>
        <w:tab w:val="clear" w:pos="2268"/>
        <w:tab w:val="clear" w:pos="2835"/>
        <w:tab w:val="left" w:pos="284"/>
        <w:tab w:val="left" w:pos="851"/>
      </w:tabs>
      <w:spacing w:before="40" w:after="40"/>
    </w:pPr>
    <w:rPr>
      <w:sz w:val="22"/>
    </w:rPr>
  </w:style>
  <w:style w:type="paragraph" w:customStyle="1" w:styleId="Tablehead">
    <w:name w:val="Table_head"/>
    <w:basedOn w:val="Tabletext"/>
    <w:rsid w:val="0071402E"/>
    <w:pPr>
      <w:keepNext/>
      <w:keepLines/>
      <w:spacing w:before="80" w:after="80"/>
      <w:jc w:val="center"/>
    </w:pPr>
    <w:rPr>
      <w:b/>
    </w:rPr>
  </w:style>
  <w:style w:type="paragraph" w:customStyle="1" w:styleId="Tablelegend">
    <w:name w:val="Table_legend"/>
    <w:basedOn w:val="Tabletext"/>
    <w:rsid w:val="0071402E"/>
    <w:pPr>
      <w:ind w:left="284" w:hanging="284"/>
    </w:pPr>
    <w:rPr>
      <w:sz w:val="20"/>
    </w:rPr>
  </w:style>
  <w:style w:type="paragraph" w:customStyle="1" w:styleId="Tableref">
    <w:name w:val="Table_ref"/>
    <w:basedOn w:val="Normal"/>
    <w:next w:val="Tabletitle"/>
    <w:rsid w:val="0071402E"/>
    <w:pPr>
      <w:keepNext/>
      <w:keepLines/>
      <w:jc w:val="center"/>
    </w:pPr>
    <w:rPr>
      <w:sz w:val="20"/>
    </w:rPr>
  </w:style>
  <w:style w:type="paragraph" w:customStyle="1" w:styleId="Title2">
    <w:name w:val="Title 2"/>
    <w:basedOn w:val="Title1"/>
    <w:next w:val="Normalaftertitle"/>
    <w:rsid w:val="006B224B"/>
    <w:pPr>
      <w:keepNext/>
      <w:keepLines/>
      <w:spacing w:before="240"/>
    </w:pPr>
    <w:rPr>
      <w:b/>
      <w:caps w:val="0"/>
    </w:rPr>
  </w:style>
  <w:style w:type="paragraph" w:customStyle="1" w:styleId="Title3">
    <w:name w:val="Title 3"/>
    <w:basedOn w:val="Title2"/>
    <w:next w:val="Normalaftertitle"/>
    <w:rsid w:val="006B224B"/>
    <w:rPr>
      <w:b w:val="0"/>
      <w:caps/>
    </w:rPr>
  </w:style>
  <w:style w:type="paragraph" w:customStyle="1" w:styleId="Title4">
    <w:name w:val="Title 4"/>
    <w:basedOn w:val="Annextitle"/>
    <w:next w:val="Normal"/>
    <w:rsid w:val="00CE5172"/>
    <w:pPr>
      <w:spacing w:after="120"/>
    </w:pPr>
    <w:rPr>
      <w:b w:val="0"/>
    </w:rPr>
  </w:style>
  <w:style w:type="paragraph" w:customStyle="1" w:styleId="FigureNo">
    <w:name w:val="Figure_No"/>
    <w:basedOn w:val="Normal"/>
    <w:next w:val="Figuretitle"/>
    <w:rsid w:val="009D5955"/>
    <w:pPr>
      <w:keepNext/>
      <w:keepLines/>
      <w:spacing w:before="48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PlaceholderText">
    <w:name w:val="Placeholder Text"/>
    <w:basedOn w:val="DefaultParagraphFont"/>
    <w:uiPriority w:val="99"/>
    <w:semiHidden/>
    <w:rsid w:val="00FC6D7D"/>
    <w:rPr>
      <w:color w:val="666666"/>
    </w:rPr>
  </w:style>
  <w:style w:type="character" w:styleId="UnresolvedMention">
    <w:name w:val="Unresolved Mention"/>
    <w:basedOn w:val="DefaultParagraphFont"/>
    <w:uiPriority w:val="99"/>
    <w:semiHidden/>
    <w:unhideWhenUsed/>
    <w:rsid w:val="00FC6D7D"/>
    <w:rPr>
      <w:color w:val="605E5C"/>
      <w:shd w:val="clear" w:color="auto" w:fill="E1DFDD"/>
    </w:rPr>
  </w:style>
  <w:style w:type="paragraph" w:customStyle="1" w:styleId="Referencetext">
    <w:name w:val="Reference_text"/>
    <w:basedOn w:val="Normal"/>
    <w:rsid w:val="00CE5172"/>
    <w:pPr>
      <w:framePr w:hSpace="181" w:wrap="around" w:vAnchor="page" w:hAnchor="page" w:x="1589" w:y="2314"/>
      <w:spacing w:after="160"/>
    </w:pPr>
    <w:rPr>
      <w:i/>
      <w:iCs/>
      <w:sz w:val="22"/>
      <w:szCs w:val="22"/>
    </w:rPr>
  </w:style>
  <w:style w:type="table" w:customStyle="1" w:styleId="TableGrid1">
    <w:name w:val="Table Grid1"/>
    <w:basedOn w:val="TableNormal"/>
    <w:next w:val="TableGrid"/>
    <w:uiPriority w:val="59"/>
    <w:rsid w:val="0007790F"/>
    <w:rPr>
      <w:rFonts w:asciiTheme="minorHAnsi" w:eastAsiaTheme="minorHAnsi" w:hAnsiTheme="minorHAnsi" w:cstheme="minorBidi"/>
      <w:kern w:val="2"/>
      <w:sz w:val="24"/>
      <w:szCs w:val="24"/>
      <w:lang w:val="en-GB" w:eastAsia="en-US"/>
      <w14:ligatures w14:val="standardContextu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fin">
    <w:name w:val="Table_fin"/>
    <w:basedOn w:val="Tabletext"/>
    <w:rsid w:val="009E6627"/>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S26-CL-C-0025/en" TargetMode="External"/><Relationship Id="rId18" Type="http://schemas.openxmlformats.org/officeDocument/2006/relationships/hyperlink" Target="https://www.itu.int/md/S26-CL-INF-0010/en" TargetMode="External"/><Relationship Id="rId26" Type="http://schemas.openxmlformats.org/officeDocument/2006/relationships/hyperlink" Target="https://www.itu.int/md/S25-CL-C-0105/fr" TargetMode="External"/><Relationship Id="rId3" Type="http://schemas.openxmlformats.org/officeDocument/2006/relationships/settings" Target="settings.xml"/><Relationship Id="rId21" Type="http://schemas.openxmlformats.org/officeDocument/2006/relationships/hyperlink" Target="https://www.itu.int/en/council/Documents/basic-texts-2023/RES-025-F.pdf" TargetMode="External"/><Relationship Id="rId34" Type="http://schemas.openxmlformats.org/officeDocument/2006/relationships/fontTable" Target="fontTable.xml"/><Relationship Id="rId7" Type="http://schemas.openxmlformats.org/officeDocument/2006/relationships/hyperlink" Target="https://www.itu.int/md/S26-CL-INF-0010/en" TargetMode="External"/><Relationship Id="rId12" Type="http://schemas.openxmlformats.org/officeDocument/2006/relationships/hyperlink" Target="https://www.itu.int/en/council/cwg-fhr/Pages/default.aspx" TargetMode="External"/><Relationship Id="rId17" Type="http://schemas.openxmlformats.org/officeDocument/2006/relationships/hyperlink" Target="https://www.itu.int/md/S25-CL-C-0069/fr" TargetMode="External"/><Relationship Id="rId25" Type="http://schemas.openxmlformats.org/officeDocument/2006/relationships/hyperlink" Target="https://www.itu.int/md/S26-CL-INF-0010/en"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itu.int/md/S25-CL-250617-DL-0006/en" TargetMode="External"/><Relationship Id="rId20" Type="http://schemas.openxmlformats.org/officeDocument/2006/relationships/hyperlink" Target="https://www.itu.int/md/S26-CL-INF-0010/en"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fr/publications/ITU-D/Pages/publications.aspx?parent=D-TDC-WTDC-2022&amp;media=electronic" TargetMode="External"/><Relationship Id="rId24" Type="http://schemas.openxmlformats.org/officeDocument/2006/relationships/hyperlink" Target="https://www.itu.int/md/S25-CL-C-0069/fr" TargetMode="External"/><Relationship Id="rId32"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www.itu.int/md/S25-CL-C-0105/fr" TargetMode="External"/><Relationship Id="rId23" Type="http://schemas.openxmlformats.org/officeDocument/2006/relationships/hyperlink" Target="https://www.itu.int/md/S25-CWGFHR20-C-0032/en" TargetMode="External"/><Relationship Id="rId28" Type="http://schemas.openxmlformats.org/officeDocument/2006/relationships/hyperlink" Target="https://www.itu.int/md/S26-CL-INF-0010/en" TargetMode="External"/><Relationship Id="rId10" Type="http://schemas.openxmlformats.org/officeDocument/2006/relationships/hyperlink" Target="https://www.itu.int/en/ITU-D/Documents/BAP/D22-WTDC25-C-0090%21%21PDF-F.pdf" TargetMode="External"/><Relationship Id="rId19" Type="http://schemas.openxmlformats.org/officeDocument/2006/relationships/hyperlink" Target="https://www.itu.int/md/S25-CL-C-0105/fr"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itu.int/en/ITU-D/Documents/BAP/D22-WTDC25-C-0090%21%21PDF-F.pdf" TargetMode="External"/><Relationship Id="rId14" Type="http://schemas.openxmlformats.org/officeDocument/2006/relationships/hyperlink" Target="https://www.itu.int/md/S25-CL-C-0025/fr" TargetMode="External"/><Relationship Id="rId22" Type="http://schemas.openxmlformats.org/officeDocument/2006/relationships/hyperlink" Target="https://www.itu.int/md/S24-CWGFHR19-C-0015/en" TargetMode="External"/><Relationship Id="rId27" Type="http://schemas.openxmlformats.org/officeDocument/2006/relationships/hyperlink" Target="https://www.itu.int/md/S25-CL-C-0105/fr"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s://www.itu.int/en/council/Documents/basic-texts-2023/RES-025-F.pdf"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SG\PF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PF_Council26.dotx</Template>
  <TotalTime>5</TotalTime>
  <Pages>10</Pages>
  <Words>4026</Words>
  <Characters>25112</Characters>
  <Application>Microsoft Office Word</Application>
  <DocSecurity>0</DocSecurity>
  <Lines>448</Lines>
  <Paragraphs>170</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28968</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Examen de la présence régionale de l'UIT</dc:title>
  <dc:subject>Conseil 2026 de l'UIT</dc:subject>
  <cp:keywords>C26; C2026; Council 2026; PP26</cp:keywords>
  <dc:description/>
  <cp:lastPrinted>2000-07-18T08:55:00Z</cp:lastPrinted>
  <dcterms:created xsi:type="dcterms:W3CDTF">2026-04-07T13:01:00Z</dcterms:created>
  <dcterms:modified xsi:type="dcterms:W3CDTF">2026-04-07T13:06:00Z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3b117b70c20e9b2783321a6b7cab6c2f080bb257cb74c6787543e88ec12dc3bd</vt:lpwstr>
  </property>
</Properties>
</file>