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DB101C" w14:paraId="723249B6" w14:textId="77777777" w:rsidTr="49104199">
        <w:trPr>
          <w:cantSplit/>
          <w:trHeight w:val="23"/>
        </w:trPr>
        <w:tc>
          <w:tcPr>
            <w:tcW w:w="3969" w:type="dxa"/>
            <w:vMerge w:val="restart"/>
            <w:tcMar>
              <w:left w:w="0" w:type="dxa"/>
            </w:tcMar>
          </w:tcPr>
          <w:p w14:paraId="49F41377" w14:textId="2712A197" w:rsidR="00AD3606" w:rsidRPr="00DB101C" w:rsidRDefault="00AD3606" w:rsidP="00954C49">
            <w:pPr>
              <w:tabs>
                <w:tab w:val="left" w:pos="851"/>
              </w:tabs>
              <w:spacing w:before="0" w:line="240" w:lineRule="atLeast"/>
              <w:rPr>
                <w:rFonts w:asciiTheme="minorHAnsi" w:hAnsiTheme="minorHAnsi" w:cstheme="minorHAnsi"/>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DB101C">
              <w:rPr>
                <w:rFonts w:asciiTheme="minorHAnsi" w:hAnsiTheme="minorHAnsi" w:cstheme="minorHAnsi"/>
                <w:b/>
              </w:rPr>
              <w:t xml:space="preserve">Agenda item: </w:t>
            </w:r>
            <w:r w:rsidR="007E093A" w:rsidRPr="00DB101C">
              <w:rPr>
                <w:rFonts w:asciiTheme="minorHAnsi" w:hAnsiTheme="minorHAnsi" w:cstheme="minorHAnsi"/>
                <w:b/>
              </w:rPr>
              <w:t>PL-2</w:t>
            </w:r>
          </w:p>
        </w:tc>
        <w:tc>
          <w:tcPr>
            <w:tcW w:w="5245" w:type="dxa"/>
          </w:tcPr>
          <w:p w14:paraId="339B91BA" w14:textId="408CEB82" w:rsidR="00AD3606" w:rsidRPr="00DB101C" w:rsidRDefault="00AD3606" w:rsidP="00954C49">
            <w:pPr>
              <w:tabs>
                <w:tab w:val="left" w:pos="851"/>
              </w:tabs>
              <w:spacing w:before="0" w:line="240" w:lineRule="atLeast"/>
              <w:jc w:val="right"/>
              <w:rPr>
                <w:rFonts w:asciiTheme="minorHAnsi" w:hAnsiTheme="minorHAnsi" w:cstheme="minorHAnsi"/>
                <w:b/>
              </w:rPr>
            </w:pPr>
            <w:r w:rsidRPr="00DB101C">
              <w:rPr>
                <w:rFonts w:asciiTheme="minorHAnsi" w:hAnsiTheme="minorHAnsi" w:cstheme="minorHAnsi"/>
                <w:b/>
              </w:rPr>
              <w:t>Document C2</w:t>
            </w:r>
            <w:r w:rsidR="00DE532B" w:rsidRPr="00DB101C">
              <w:rPr>
                <w:rFonts w:asciiTheme="minorHAnsi" w:hAnsiTheme="minorHAnsi" w:cstheme="minorHAnsi"/>
                <w:b/>
              </w:rPr>
              <w:t>6</w:t>
            </w:r>
            <w:r w:rsidRPr="00DB101C">
              <w:rPr>
                <w:rFonts w:asciiTheme="minorHAnsi" w:hAnsiTheme="minorHAnsi" w:cstheme="minorHAnsi"/>
                <w:b/>
              </w:rPr>
              <w:t>/</w:t>
            </w:r>
            <w:r w:rsidR="00507C50" w:rsidRPr="00DB101C">
              <w:rPr>
                <w:rFonts w:asciiTheme="minorHAnsi" w:hAnsiTheme="minorHAnsi" w:cstheme="minorHAnsi"/>
                <w:b/>
              </w:rPr>
              <w:t>24</w:t>
            </w:r>
            <w:r w:rsidRPr="00DB101C">
              <w:rPr>
                <w:rFonts w:asciiTheme="minorHAnsi" w:hAnsiTheme="minorHAnsi" w:cstheme="minorHAnsi"/>
                <w:b/>
              </w:rPr>
              <w:t>-E</w:t>
            </w:r>
          </w:p>
        </w:tc>
      </w:tr>
      <w:tr w:rsidR="00AD3606" w:rsidRPr="00DB101C" w14:paraId="568D25DC" w14:textId="77777777" w:rsidTr="49104199">
        <w:trPr>
          <w:cantSplit/>
        </w:trPr>
        <w:tc>
          <w:tcPr>
            <w:tcW w:w="3969" w:type="dxa"/>
            <w:vMerge/>
          </w:tcPr>
          <w:p w14:paraId="0E42AD5A" w14:textId="77777777" w:rsidR="00AD3606" w:rsidRPr="00DB101C" w:rsidRDefault="00AD3606" w:rsidP="00954C49">
            <w:pPr>
              <w:tabs>
                <w:tab w:val="left" w:pos="851"/>
              </w:tabs>
              <w:spacing w:line="240" w:lineRule="atLeast"/>
              <w:rPr>
                <w:rFonts w:asciiTheme="minorHAnsi" w:hAnsiTheme="minorHAnsi" w:cstheme="minorHAnsi"/>
                <w:b/>
              </w:rPr>
            </w:pPr>
            <w:bookmarkStart w:id="6" w:name="ddate" w:colFirst="1" w:colLast="1"/>
            <w:bookmarkEnd w:id="0"/>
            <w:bookmarkEnd w:id="1"/>
          </w:p>
        </w:tc>
        <w:tc>
          <w:tcPr>
            <w:tcW w:w="5245" w:type="dxa"/>
          </w:tcPr>
          <w:p w14:paraId="2F010E44" w14:textId="5D00605D" w:rsidR="00AD3606" w:rsidRPr="00DB101C" w:rsidRDefault="004C2957" w:rsidP="00954C49">
            <w:pPr>
              <w:tabs>
                <w:tab w:val="left" w:pos="851"/>
              </w:tabs>
              <w:spacing w:before="0"/>
              <w:jc w:val="right"/>
              <w:rPr>
                <w:rFonts w:asciiTheme="minorHAnsi" w:hAnsiTheme="minorHAnsi" w:cstheme="minorHAnsi"/>
                <w:b/>
              </w:rPr>
            </w:pPr>
            <w:r w:rsidRPr="00DB101C">
              <w:rPr>
                <w:rFonts w:asciiTheme="minorHAnsi" w:hAnsiTheme="minorHAnsi" w:cstheme="minorHAnsi"/>
                <w:b/>
              </w:rPr>
              <w:t>30</w:t>
            </w:r>
            <w:r w:rsidR="007E093A" w:rsidRPr="00DB101C">
              <w:rPr>
                <w:rFonts w:asciiTheme="minorHAnsi" w:hAnsiTheme="minorHAnsi" w:cstheme="minorHAnsi"/>
                <w:b/>
              </w:rPr>
              <w:t xml:space="preserve"> March 2026</w:t>
            </w:r>
          </w:p>
        </w:tc>
      </w:tr>
      <w:tr w:rsidR="00AD3606" w:rsidRPr="00DB101C" w14:paraId="0916B4B7" w14:textId="77777777" w:rsidTr="49104199">
        <w:trPr>
          <w:cantSplit/>
          <w:trHeight w:val="23"/>
        </w:trPr>
        <w:tc>
          <w:tcPr>
            <w:tcW w:w="3969" w:type="dxa"/>
            <w:vMerge/>
          </w:tcPr>
          <w:p w14:paraId="7FF25CFB" w14:textId="77777777" w:rsidR="00AD3606" w:rsidRPr="00DB101C" w:rsidRDefault="00AD3606" w:rsidP="00954C49">
            <w:pPr>
              <w:tabs>
                <w:tab w:val="left" w:pos="851"/>
              </w:tabs>
              <w:spacing w:line="240" w:lineRule="atLeast"/>
              <w:rPr>
                <w:rFonts w:asciiTheme="minorHAnsi" w:hAnsiTheme="minorHAnsi" w:cstheme="minorHAnsi"/>
                <w:b/>
              </w:rPr>
            </w:pPr>
            <w:bookmarkStart w:id="7" w:name="dorlang" w:colFirst="1" w:colLast="1"/>
            <w:bookmarkEnd w:id="6"/>
          </w:p>
        </w:tc>
        <w:tc>
          <w:tcPr>
            <w:tcW w:w="5245" w:type="dxa"/>
          </w:tcPr>
          <w:p w14:paraId="0FE61740" w14:textId="77777777" w:rsidR="00AD3606" w:rsidRPr="00DB101C" w:rsidRDefault="00AD3606" w:rsidP="00954C49">
            <w:pPr>
              <w:tabs>
                <w:tab w:val="left" w:pos="851"/>
              </w:tabs>
              <w:spacing w:before="0" w:line="240" w:lineRule="atLeast"/>
              <w:jc w:val="right"/>
              <w:rPr>
                <w:rFonts w:asciiTheme="minorHAnsi" w:hAnsiTheme="minorHAnsi" w:cstheme="minorHAnsi"/>
                <w:b/>
              </w:rPr>
            </w:pPr>
            <w:r w:rsidRPr="00DB101C">
              <w:rPr>
                <w:rFonts w:asciiTheme="minorHAnsi" w:hAnsiTheme="minorHAnsi" w:cstheme="minorHAnsi"/>
                <w:b/>
              </w:rPr>
              <w:t>Original: English</w:t>
            </w:r>
          </w:p>
        </w:tc>
      </w:tr>
      <w:tr w:rsidR="00472BAD" w:rsidRPr="00DB101C" w14:paraId="190470CA" w14:textId="77777777" w:rsidTr="49104199">
        <w:trPr>
          <w:cantSplit/>
          <w:trHeight w:val="23"/>
        </w:trPr>
        <w:tc>
          <w:tcPr>
            <w:tcW w:w="3969" w:type="dxa"/>
          </w:tcPr>
          <w:p w14:paraId="471F8860" w14:textId="77777777" w:rsidR="00472BAD" w:rsidRPr="00DB101C" w:rsidRDefault="00472BAD" w:rsidP="00954C49">
            <w:pPr>
              <w:tabs>
                <w:tab w:val="left" w:pos="851"/>
              </w:tabs>
              <w:spacing w:line="240" w:lineRule="atLeast"/>
              <w:rPr>
                <w:rFonts w:asciiTheme="minorHAnsi" w:hAnsiTheme="minorHAnsi" w:cstheme="minorHAnsi"/>
                <w:b/>
              </w:rPr>
            </w:pPr>
          </w:p>
        </w:tc>
        <w:tc>
          <w:tcPr>
            <w:tcW w:w="5245" w:type="dxa"/>
          </w:tcPr>
          <w:p w14:paraId="1FBFB80C" w14:textId="77777777" w:rsidR="00472BAD" w:rsidRPr="00DB101C" w:rsidRDefault="00472BAD" w:rsidP="00954C49">
            <w:pPr>
              <w:tabs>
                <w:tab w:val="left" w:pos="851"/>
              </w:tabs>
              <w:spacing w:before="0" w:line="240" w:lineRule="atLeast"/>
              <w:jc w:val="right"/>
              <w:rPr>
                <w:rFonts w:asciiTheme="minorHAnsi" w:hAnsiTheme="minorHAnsi" w:cstheme="minorHAnsi"/>
                <w:b/>
              </w:rPr>
            </w:pPr>
          </w:p>
        </w:tc>
      </w:tr>
      <w:tr w:rsidR="00AD3606" w:rsidRPr="00DB101C" w14:paraId="57583F7D" w14:textId="77777777" w:rsidTr="49104199">
        <w:trPr>
          <w:cantSplit/>
        </w:trPr>
        <w:tc>
          <w:tcPr>
            <w:tcW w:w="9214" w:type="dxa"/>
            <w:gridSpan w:val="2"/>
            <w:tcMar>
              <w:left w:w="0" w:type="dxa"/>
            </w:tcMar>
          </w:tcPr>
          <w:p w14:paraId="5A67B359" w14:textId="77777777" w:rsidR="00AD3606" w:rsidRPr="00DB101C" w:rsidRDefault="00AD3606" w:rsidP="00954C49">
            <w:pPr>
              <w:pStyle w:val="Source"/>
              <w:framePr w:hSpace="0" w:wrap="auto" w:vAnchor="margin" w:hAnchor="text" w:yAlign="inline"/>
              <w:rPr>
                <w:rFonts w:asciiTheme="minorHAnsi" w:hAnsiTheme="minorHAnsi" w:cstheme="minorHAnsi"/>
              </w:rPr>
            </w:pPr>
            <w:bookmarkStart w:id="8" w:name="dsource" w:colFirst="0" w:colLast="0"/>
            <w:bookmarkEnd w:id="7"/>
            <w:r w:rsidRPr="00DB101C">
              <w:rPr>
                <w:rFonts w:asciiTheme="minorHAnsi" w:hAnsiTheme="minorHAnsi" w:cstheme="minorHAnsi"/>
              </w:rPr>
              <w:t>Report by the Secretary-General</w:t>
            </w:r>
          </w:p>
        </w:tc>
      </w:tr>
      <w:tr w:rsidR="00AD3606" w:rsidRPr="00DB101C" w14:paraId="612F4448" w14:textId="77777777" w:rsidTr="49104199">
        <w:trPr>
          <w:cantSplit/>
        </w:trPr>
        <w:tc>
          <w:tcPr>
            <w:tcW w:w="9214" w:type="dxa"/>
            <w:gridSpan w:val="2"/>
            <w:tcMar>
              <w:left w:w="0" w:type="dxa"/>
            </w:tcMar>
          </w:tcPr>
          <w:p w14:paraId="6F88764C" w14:textId="71C2AB14" w:rsidR="00AD3606" w:rsidRPr="00DB101C" w:rsidRDefault="001A0AB5" w:rsidP="00954C49">
            <w:pPr>
              <w:pStyle w:val="Subtitle"/>
              <w:framePr w:hSpace="0" w:wrap="auto" w:hAnchor="text" w:xAlign="left" w:yAlign="inline"/>
              <w:rPr>
                <w:rFonts w:asciiTheme="minorHAnsi" w:hAnsiTheme="minorHAnsi" w:cstheme="minorHAnsi"/>
              </w:rPr>
            </w:pPr>
            <w:bookmarkStart w:id="9" w:name="dtitle1" w:colFirst="0" w:colLast="0"/>
            <w:bookmarkEnd w:id="8"/>
            <w:r w:rsidRPr="00DB101C">
              <w:rPr>
                <w:rFonts w:asciiTheme="minorHAnsi" w:hAnsiTheme="minorHAnsi" w:cstheme="minorHAnsi"/>
              </w:rPr>
              <w:t>REVIEW OF THE ITU REGIONAL PRESENCE</w:t>
            </w:r>
          </w:p>
        </w:tc>
      </w:tr>
      <w:tr w:rsidR="00AD3606" w:rsidRPr="00DB101C" w14:paraId="0603F03A" w14:textId="77777777" w:rsidTr="49104199">
        <w:trPr>
          <w:cantSplit/>
        </w:trPr>
        <w:tc>
          <w:tcPr>
            <w:tcW w:w="9214" w:type="dxa"/>
            <w:gridSpan w:val="2"/>
            <w:tcBorders>
              <w:top w:val="single" w:sz="4" w:space="0" w:color="auto"/>
              <w:bottom w:val="single" w:sz="4" w:space="0" w:color="auto"/>
            </w:tcBorders>
            <w:tcMar>
              <w:left w:w="0" w:type="dxa"/>
            </w:tcMar>
          </w:tcPr>
          <w:p w14:paraId="6D5B75F7" w14:textId="77777777" w:rsidR="00AD3606" w:rsidRPr="00DB101C" w:rsidRDefault="00F16BAB" w:rsidP="00954C49">
            <w:pPr>
              <w:spacing w:before="160"/>
              <w:rPr>
                <w:rFonts w:asciiTheme="minorHAnsi" w:hAnsiTheme="minorHAnsi" w:cstheme="minorHAnsi"/>
                <w:b/>
                <w:bCs/>
                <w:sz w:val="26"/>
                <w:szCs w:val="26"/>
              </w:rPr>
            </w:pPr>
            <w:r w:rsidRPr="00DB101C">
              <w:rPr>
                <w:rFonts w:asciiTheme="minorHAnsi" w:hAnsiTheme="minorHAnsi" w:cstheme="minorHAnsi"/>
                <w:b/>
                <w:bCs/>
                <w:sz w:val="26"/>
                <w:szCs w:val="26"/>
              </w:rPr>
              <w:t>Purpose</w:t>
            </w:r>
          </w:p>
          <w:p w14:paraId="68C96F93" w14:textId="4F3CC905" w:rsidR="00AD3606" w:rsidRPr="00DB101C" w:rsidRDefault="5EA0F787" w:rsidP="49104199">
            <w:pPr>
              <w:jc w:val="both"/>
              <w:rPr>
                <w:rFonts w:asciiTheme="minorHAnsi" w:hAnsiTheme="minorHAnsi" w:cstheme="minorBidi"/>
              </w:rPr>
            </w:pPr>
            <w:r w:rsidRPr="00DB101C">
              <w:rPr>
                <w:rFonts w:asciiTheme="minorHAnsi" w:hAnsiTheme="minorHAnsi" w:cstheme="minorBidi"/>
              </w:rPr>
              <w:t xml:space="preserve">This document </w:t>
            </w:r>
            <w:r w:rsidR="07AE972A" w:rsidRPr="00DB101C">
              <w:rPr>
                <w:rFonts w:asciiTheme="minorHAnsi" w:hAnsiTheme="minorHAnsi" w:cstheme="minorBidi"/>
              </w:rPr>
              <w:t>report</w:t>
            </w:r>
            <w:r w:rsidR="77704C57" w:rsidRPr="00DB101C">
              <w:rPr>
                <w:rFonts w:asciiTheme="minorHAnsi" w:hAnsiTheme="minorHAnsi" w:cstheme="minorBidi"/>
              </w:rPr>
              <w:t>s</w:t>
            </w:r>
            <w:r w:rsidR="1D773418" w:rsidRPr="00DB101C">
              <w:rPr>
                <w:rFonts w:asciiTheme="minorHAnsi" w:hAnsiTheme="minorHAnsi" w:cstheme="minorBidi"/>
              </w:rPr>
              <w:t xml:space="preserve"> o</w:t>
            </w:r>
            <w:r w:rsidR="3BEAA28D" w:rsidRPr="00DB101C">
              <w:rPr>
                <w:rFonts w:asciiTheme="minorHAnsi" w:hAnsiTheme="minorHAnsi" w:cstheme="minorBidi"/>
              </w:rPr>
              <w:t>n</w:t>
            </w:r>
            <w:r w:rsidR="1D773418" w:rsidRPr="00DB101C">
              <w:rPr>
                <w:rFonts w:asciiTheme="minorHAnsi" w:hAnsiTheme="minorHAnsi" w:cstheme="minorBidi"/>
              </w:rPr>
              <w:t xml:space="preserve"> the </w:t>
            </w:r>
            <w:r w:rsidR="0575DA8F" w:rsidRPr="00DB101C">
              <w:rPr>
                <w:rFonts w:asciiTheme="minorHAnsi" w:hAnsiTheme="minorHAnsi" w:cstheme="minorBidi"/>
              </w:rPr>
              <w:t>r</w:t>
            </w:r>
            <w:r w:rsidR="1D773418" w:rsidRPr="00DB101C">
              <w:rPr>
                <w:rFonts w:asciiTheme="minorHAnsi" w:hAnsiTheme="minorHAnsi" w:cstheme="minorBidi"/>
              </w:rPr>
              <w:t xml:space="preserve">eview of the ITU Regional </w:t>
            </w:r>
            <w:r w:rsidRPr="00DB101C">
              <w:rPr>
                <w:rFonts w:asciiTheme="minorHAnsi" w:hAnsiTheme="minorHAnsi" w:cstheme="minorBidi"/>
              </w:rPr>
              <w:t xml:space="preserve">Presence </w:t>
            </w:r>
            <w:r w:rsidR="28E1001E" w:rsidRPr="00DB101C">
              <w:rPr>
                <w:rFonts w:asciiTheme="minorHAnsi" w:hAnsiTheme="minorHAnsi" w:cstheme="minorBidi"/>
              </w:rPr>
              <w:t xml:space="preserve">undertaken </w:t>
            </w:r>
            <w:r w:rsidR="09D7CD5C" w:rsidRPr="00DB101C">
              <w:rPr>
                <w:rFonts w:asciiTheme="minorHAnsi" w:hAnsiTheme="minorHAnsi" w:cstheme="minorBidi"/>
              </w:rPr>
              <w:t xml:space="preserve">as </w:t>
            </w:r>
            <w:r w:rsidR="28E1001E" w:rsidRPr="00DB101C">
              <w:rPr>
                <w:rFonts w:asciiTheme="minorHAnsi" w:hAnsiTheme="minorHAnsi" w:cstheme="minorBidi"/>
              </w:rPr>
              <w:t>per the recommendations of Council-25</w:t>
            </w:r>
            <w:r w:rsidR="127B253C" w:rsidRPr="00DB101C">
              <w:rPr>
                <w:rFonts w:asciiTheme="minorHAnsi" w:hAnsiTheme="minorHAnsi" w:cstheme="minorBidi"/>
              </w:rPr>
              <w:t>.</w:t>
            </w:r>
            <w:r w:rsidR="4991D0A8" w:rsidRPr="00DB101C">
              <w:rPr>
                <w:rFonts w:asciiTheme="minorHAnsi" w:hAnsiTheme="minorHAnsi" w:cstheme="minorBidi"/>
              </w:rPr>
              <w:t xml:space="preserve"> It is supported by an information document</w:t>
            </w:r>
            <w:r w:rsidR="7622C245" w:rsidRPr="00DB101C">
              <w:rPr>
                <w:rFonts w:asciiTheme="minorHAnsi" w:hAnsiTheme="minorHAnsi" w:cstheme="minorBidi"/>
              </w:rPr>
              <w:t xml:space="preserve"> (</w:t>
            </w:r>
            <w:hyperlink r:id="rId11">
              <w:r w:rsidR="7622C245" w:rsidRPr="00DB101C">
                <w:rPr>
                  <w:rStyle w:val="Hyperlink"/>
                  <w:rFonts w:asciiTheme="minorHAnsi" w:hAnsiTheme="minorHAnsi" w:cstheme="minorBidi"/>
                </w:rPr>
                <w:t>C26/INF/10</w:t>
              </w:r>
            </w:hyperlink>
            <w:r w:rsidR="7622C245" w:rsidRPr="00DB101C">
              <w:rPr>
                <w:rFonts w:asciiTheme="minorHAnsi" w:hAnsiTheme="minorHAnsi" w:cstheme="minorBidi"/>
              </w:rPr>
              <w:t>)</w:t>
            </w:r>
            <w:r w:rsidR="4991D0A8" w:rsidRPr="00DB101C">
              <w:rPr>
                <w:rFonts w:asciiTheme="minorHAnsi" w:hAnsiTheme="minorHAnsi" w:cstheme="minorBidi"/>
              </w:rPr>
              <w:t xml:space="preserve"> </w:t>
            </w:r>
            <w:r w:rsidR="4093D9C8" w:rsidRPr="00DB101C">
              <w:rPr>
                <w:rFonts w:asciiTheme="minorHAnsi" w:hAnsiTheme="minorHAnsi" w:cstheme="minorBidi"/>
              </w:rPr>
              <w:t xml:space="preserve">which provides the background and context of the Review, the methodology as specified by </w:t>
            </w:r>
            <w:r w:rsidR="0A293D79" w:rsidRPr="00DB101C">
              <w:rPr>
                <w:rFonts w:asciiTheme="minorHAnsi" w:hAnsiTheme="minorHAnsi" w:cstheme="minorBidi"/>
              </w:rPr>
              <w:t xml:space="preserve">the </w:t>
            </w:r>
            <w:r w:rsidR="4093D9C8" w:rsidRPr="00DB101C">
              <w:rPr>
                <w:rFonts w:asciiTheme="minorHAnsi" w:hAnsiTheme="minorHAnsi" w:cstheme="minorBidi"/>
              </w:rPr>
              <w:t>Council as well as the detailed findings emanating from the Review.</w:t>
            </w:r>
            <w:r w:rsidR="4B4F1456" w:rsidRPr="00DB101C">
              <w:rPr>
                <w:rFonts w:asciiTheme="minorHAnsi" w:hAnsiTheme="minorHAnsi" w:cstheme="minorBidi"/>
              </w:rPr>
              <w:t xml:space="preserve"> </w:t>
            </w:r>
          </w:p>
          <w:p w14:paraId="12CA5B82" w14:textId="77777777" w:rsidR="00AD3606" w:rsidRPr="00DB101C" w:rsidRDefault="00AD3606" w:rsidP="00954C49">
            <w:pPr>
              <w:spacing w:before="160"/>
              <w:rPr>
                <w:rFonts w:asciiTheme="minorHAnsi" w:hAnsiTheme="minorHAnsi" w:cstheme="minorHAnsi"/>
                <w:b/>
                <w:bCs/>
                <w:sz w:val="26"/>
                <w:szCs w:val="26"/>
              </w:rPr>
            </w:pPr>
            <w:r w:rsidRPr="00DB101C">
              <w:rPr>
                <w:rFonts w:asciiTheme="minorHAnsi" w:hAnsiTheme="minorHAnsi" w:cstheme="minorHAnsi"/>
                <w:b/>
                <w:bCs/>
                <w:sz w:val="26"/>
                <w:szCs w:val="26"/>
              </w:rPr>
              <w:t>Action required</w:t>
            </w:r>
            <w:r w:rsidR="00F16BAB" w:rsidRPr="00DB101C">
              <w:rPr>
                <w:rFonts w:asciiTheme="minorHAnsi" w:hAnsiTheme="minorHAnsi" w:cstheme="minorHAnsi"/>
                <w:b/>
                <w:bCs/>
                <w:sz w:val="26"/>
                <w:szCs w:val="26"/>
              </w:rPr>
              <w:t xml:space="preserve"> by the Council</w:t>
            </w:r>
          </w:p>
          <w:p w14:paraId="78253C6D" w14:textId="6684391F" w:rsidR="00722551" w:rsidRPr="00DB101C" w:rsidRDefault="00714B94" w:rsidP="00714B94">
            <w:pPr>
              <w:jc w:val="both"/>
              <w:rPr>
                <w:rFonts w:asciiTheme="minorHAnsi" w:hAnsiTheme="minorHAnsi" w:cstheme="minorHAnsi"/>
              </w:rPr>
            </w:pPr>
            <w:r w:rsidRPr="00DB101C">
              <w:rPr>
                <w:rFonts w:asciiTheme="minorHAnsi" w:hAnsiTheme="minorHAnsi" w:cstheme="minorHAnsi"/>
              </w:rPr>
              <w:t xml:space="preserve">The Council is invited to </w:t>
            </w:r>
            <w:r w:rsidRPr="00DB101C">
              <w:rPr>
                <w:rFonts w:asciiTheme="minorHAnsi" w:hAnsiTheme="minorHAnsi" w:cstheme="minorHAnsi"/>
                <w:b/>
                <w:bCs/>
              </w:rPr>
              <w:t xml:space="preserve">note </w:t>
            </w:r>
            <w:r w:rsidR="00E94BF3" w:rsidRPr="00DB101C">
              <w:rPr>
                <w:rFonts w:asciiTheme="minorHAnsi" w:hAnsiTheme="minorHAnsi" w:cstheme="minorHAnsi"/>
              </w:rPr>
              <w:t>and</w:t>
            </w:r>
            <w:r w:rsidR="00E94BF3" w:rsidRPr="00DB101C">
              <w:rPr>
                <w:rFonts w:asciiTheme="minorHAnsi" w:hAnsiTheme="minorHAnsi" w:cstheme="minorHAnsi"/>
                <w:b/>
                <w:bCs/>
              </w:rPr>
              <w:t xml:space="preserve"> consider</w:t>
            </w:r>
            <w:r w:rsidRPr="00DB101C">
              <w:rPr>
                <w:rFonts w:asciiTheme="minorHAnsi" w:hAnsiTheme="minorHAnsi" w:cstheme="minorHAnsi"/>
                <w:b/>
                <w:bCs/>
              </w:rPr>
              <w:t xml:space="preserve"> </w:t>
            </w:r>
            <w:r w:rsidRPr="00DB101C">
              <w:rPr>
                <w:rFonts w:asciiTheme="minorHAnsi" w:hAnsiTheme="minorHAnsi" w:cstheme="minorHAnsi"/>
              </w:rPr>
              <w:t xml:space="preserve">this </w:t>
            </w:r>
            <w:r w:rsidR="00AC3001" w:rsidRPr="00DB101C">
              <w:rPr>
                <w:rFonts w:asciiTheme="minorHAnsi" w:hAnsiTheme="minorHAnsi" w:cstheme="minorHAnsi"/>
              </w:rPr>
              <w:t>report</w:t>
            </w:r>
            <w:r w:rsidRPr="00DB101C">
              <w:rPr>
                <w:rFonts w:asciiTheme="minorHAnsi" w:hAnsiTheme="minorHAnsi" w:cstheme="minorHAnsi"/>
              </w:rPr>
              <w:t>.</w:t>
            </w:r>
          </w:p>
          <w:p w14:paraId="478C1643" w14:textId="77777777" w:rsidR="00722551" w:rsidRPr="00DB101C" w:rsidRDefault="00722551" w:rsidP="00954C49">
            <w:pPr>
              <w:spacing w:before="160"/>
              <w:rPr>
                <w:rFonts w:asciiTheme="minorHAnsi" w:hAnsiTheme="minorHAnsi" w:cstheme="minorHAnsi"/>
                <w:b/>
                <w:bCs/>
                <w:sz w:val="26"/>
                <w:szCs w:val="26"/>
              </w:rPr>
            </w:pPr>
            <w:r w:rsidRPr="00DB101C">
              <w:rPr>
                <w:rFonts w:asciiTheme="minorHAnsi" w:hAnsiTheme="minorHAnsi" w:cstheme="minorHAnsi"/>
                <w:b/>
                <w:bCs/>
                <w:sz w:val="26"/>
                <w:szCs w:val="26"/>
              </w:rPr>
              <w:t>Relevant link</w:t>
            </w:r>
            <w:r w:rsidR="00176F47" w:rsidRPr="00DB101C">
              <w:rPr>
                <w:rFonts w:asciiTheme="minorHAnsi" w:hAnsiTheme="minorHAnsi" w:cstheme="minorHAnsi"/>
                <w:b/>
                <w:bCs/>
                <w:sz w:val="26"/>
                <w:szCs w:val="26"/>
              </w:rPr>
              <w:t>(s)</w:t>
            </w:r>
            <w:r w:rsidRPr="00DB101C">
              <w:rPr>
                <w:rFonts w:asciiTheme="minorHAnsi" w:hAnsiTheme="minorHAnsi" w:cstheme="minorHAnsi"/>
                <w:b/>
                <w:bCs/>
                <w:sz w:val="26"/>
                <w:szCs w:val="26"/>
              </w:rPr>
              <w:t xml:space="preserve"> with the Strategic Plan</w:t>
            </w:r>
          </w:p>
          <w:p w14:paraId="643EDB22" w14:textId="104410A6" w:rsidR="00722551" w:rsidRPr="00DB101C" w:rsidRDefault="1D444C24" w:rsidP="00954C49">
            <w:pPr>
              <w:rPr>
                <w:rFonts w:asciiTheme="minorHAnsi" w:hAnsiTheme="minorHAnsi" w:cstheme="minorHAnsi"/>
              </w:rPr>
            </w:pPr>
            <w:r w:rsidRPr="00DB101C">
              <w:rPr>
                <w:rFonts w:asciiTheme="minorHAnsi" w:hAnsiTheme="minorHAnsi" w:cstheme="minorHAnsi"/>
              </w:rPr>
              <w:t xml:space="preserve">Regional </w:t>
            </w:r>
            <w:r w:rsidR="00660C5E" w:rsidRPr="00DB101C">
              <w:rPr>
                <w:rFonts w:asciiTheme="minorHAnsi" w:hAnsiTheme="minorHAnsi" w:cstheme="minorHAnsi"/>
              </w:rPr>
              <w:t>presence</w:t>
            </w:r>
            <w:r w:rsidR="004C2957" w:rsidRPr="00DB101C">
              <w:rPr>
                <w:rFonts w:asciiTheme="minorHAnsi" w:hAnsiTheme="minorHAnsi" w:cstheme="minorHAnsi"/>
              </w:rPr>
              <w:t>.</w:t>
            </w:r>
          </w:p>
          <w:p w14:paraId="5A699C8A" w14:textId="77777777" w:rsidR="00722551" w:rsidRPr="00DB101C" w:rsidRDefault="00722551" w:rsidP="00954C49">
            <w:pPr>
              <w:spacing w:before="160"/>
              <w:rPr>
                <w:rFonts w:asciiTheme="minorHAnsi" w:hAnsiTheme="minorHAnsi" w:cstheme="minorHAnsi"/>
                <w:b/>
                <w:bCs/>
                <w:sz w:val="26"/>
                <w:szCs w:val="26"/>
              </w:rPr>
            </w:pPr>
            <w:r w:rsidRPr="00DB101C">
              <w:rPr>
                <w:rFonts w:asciiTheme="minorHAnsi" w:hAnsiTheme="minorHAnsi" w:cstheme="minorHAnsi"/>
                <w:b/>
                <w:bCs/>
                <w:sz w:val="26"/>
                <w:szCs w:val="26"/>
              </w:rPr>
              <w:t>Financial implications</w:t>
            </w:r>
          </w:p>
          <w:p w14:paraId="20A73745" w14:textId="72CF1DC0" w:rsidR="00453079" w:rsidRPr="00DB101C" w:rsidRDefault="008F7B80" w:rsidP="00F01E3B">
            <w:pPr>
              <w:spacing w:before="160"/>
              <w:jc w:val="both"/>
              <w:rPr>
                <w:rFonts w:asciiTheme="minorHAnsi" w:hAnsiTheme="minorHAnsi" w:cstheme="minorHAnsi"/>
              </w:rPr>
            </w:pPr>
            <w:r w:rsidRPr="00DB101C">
              <w:rPr>
                <w:rFonts w:asciiTheme="minorHAnsi" w:hAnsiTheme="minorHAnsi" w:cstheme="minorHAnsi"/>
              </w:rPr>
              <w:t>There are no immediate financial implications.</w:t>
            </w:r>
          </w:p>
          <w:p w14:paraId="4A002370" w14:textId="77777777" w:rsidR="00C0458D" w:rsidRPr="00DB101C" w:rsidRDefault="00C0458D" w:rsidP="00954C49">
            <w:pPr>
              <w:rPr>
                <w:rFonts w:asciiTheme="minorHAnsi" w:hAnsiTheme="minorHAnsi" w:cstheme="minorHAnsi"/>
              </w:rPr>
            </w:pPr>
            <w:r w:rsidRPr="00DB101C">
              <w:rPr>
                <w:rFonts w:asciiTheme="minorHAnsi" w:hAnsiTheme="minorHAnsi" w:cstheme="minorHAnsi"/>
              </w:rPr>
              <w:t>_______________</w:t>
            </w:r>
          </w:p>
          <w:p w14:paraId="025C6392" w14:textId="77777777" w:rsidR="00AD3606" w:rsidRPr="00DB101C" w:rsidRDefault="00AD3606" w:rsidP="00954C49">
            <w:pPr>
              <w:spacing w:before="160"/>
              <w:rPr>
                <w:rFonts w:asciiTheme="minorHAnsi" w:hAnsiTheme="minorHAnsi" w:cstheme="minorHAnsi"/>
                <w:b/>
                <w:bCs/>
                <w:sz w:val="26"/>
                <w:szCs w:val="26"/>
              </w:rPr>
            </w:pPr>
            <w:r w:rsidRPr="00DB101C">
              <w:rPr>
                <w:rFonts w:asciiTheme="minorHAnsi" w:hAnsiTheme="minorHAnsi" w:cstheme="minorHAnsi"/>
                <w:b/>
                <w:bCs/>
                <w:sz w:val="26"/>
                <w:szCs w:val="26"/>
              </w:rPr>
              <w:t>References</w:t>
            </w:r>
          </w:p>
          <w:p w14:paraId="2D649063" w14:textId="7C146D39" w:rsidR="00AD3606" w:rsidRPr="00DB101C" w:rsidRDefault="00714B94" w:rsidP="00A05FE8">
            <w:pPr>
              <w:spacing w:after="160"/>
              <w:rPr>
                <w:rFonts w:asciiTheme="minorHAnsi" w:hAnsiTheme="minorHAnsi" w:cstheme="minorHAnsi"/>
                <w:i/>
                <w:iCs/>
                <w:sz w:val="22"/>
                <w:szCs w:val="22"/>
              </w:rPr>
            </w:pPr>
            <w:hyperlink r:id="rId12" w:history="1">
              <w:r w:rsidR="004C2957" w:rsidRPr="00DB101C">
                <w:rPr>
                  <w:i/>
                  <w:iCs/>
                  <w:sz w:val="22"/>
                  <w:szCs w:val="22"/>
                </w:rPr>
                <w:t xml:space="preserve">Resolution </w:t>
              </w:r>
              <w:r w:rsidRPr="00DB101C">
                <w:rPr>
                  <w:rStyle w:val="Hyperlink"/>
                  <w:rFonts w:asciiTheme="minorHAnsi" w:hAnsiTheme="minorHAnsi" w:cstheme="minorHAnsi"/>
                  <w:i/>
                  <w:iCs/>
                  <w:spacing w:val="-2"/>
                  <w:sz w:val="22"/>
                  <w:szCs w:val="22"/>
                </w:rPr>
                <w:t>25 (Rev. Bucharest, 2022)</w:t>
              </w:r>
            </w:hyperlink>
            <w:r w:rsidRPr="00DB101C">
              <w:rPr>
                <w:rFonts w:asciiTheme="minorHAnsi" w:hAnsiTheme="minorHAnsi" w:cstheme="minorHAnsi"/>
                <w:i/>
                <w:iCs/>
                <w:spacing w:val="-2"/>
                <w:sz w:val="22"/>
                <w:szCs w:val="22"/>
              </w:rPr>
              <w:t xml:space="preserve"> </w:t>
            </w:r>
            <w:r w:rsidR="00117EFD" w:rsidRPr="00DB101C">
              <w:rPr>
                <w:rFonts w:asciiTheme="minorHAnsi" w:hAnsiTheme="minorHAnsi" w:cstheme="minorHAnsi"/>
                <w:i/>
                <w:iCs/>
                <w:spacing w:val="-2"/>
                <w:sz w:val="22"/>
                <w:szCs w:val="22"/>
              </w:rPr>
              <w:t>of the Plenipotentiary Conference</w:t>
            </w:r>
            <w:r w:rsidRPr="00DB101C">
              <w:rPr>
                <w:rFonts w:asciiTheme="minorHAnsi" w:hAnsiTheme="minorHAnsi" w:cstheme="minorHAnsi"/>
                <w:i/>
                <w:iCs/>
                <w:spacing w:val="-2"/>
                <w:sz w:val="22"/>
                <w:szCs w:val="22"/>
              </w:rPr>
              <w:t>;</w:t>
            </w:r>
            <w:r w:rsidRPr="00DB101C">
              <w:rPr>
                <w:rStyle w:val="Hyperlink"/>
                <w:rFonts w:asciiTheme="minorHAnsi" w:hAnsiTheme="minorHAnsi" w:cstheme="minorHAnsi"/>
                <w:i/>
                <w:iCs/>
                <w:color w:val="auto"/>
                <w:spacing w:val="-2"/>
                <w:sz w:val="22"/>
                <w:szCs w:val="22"/>
                <w:u w:val="none"/>
              </w:rPr>
              <w:t xml:space="preserve"> Resolutions </w:t>
            </w:r>
            <w:hyperlink r:id="rId13">
              <w:r w:rsidRPr="00DB101C">
                <w:rPr>
                  <w:rStyle w:val="Hyperlink"/>
                  <w:rFonts w:asciiTheme="minorHAnsi" w:hAnsiTheme="minorHAnsi" w:cstheme="minorHAnsi"/>
                  <w:i/>
                  <w:iCs/>
                  <w:spacing w:val="-2"/>
                  <w:sz w:val="22"/>
                  <w:szCs w:val="22"/>
                </w:rPr>
                <w:t>17 (Rev. Baku, 2025) and 31 (Rev. Baku, 2025)</w:t>
              </w:r>
            </w:hyperlink>
            <w:r w:rsidR="004523E2" w:rsidRPr="00DB101C">
              <w:rPr>
                <w:rFonts w:asciiTheme="minorHAnsi" w:hAnsiTheme="minorHAnsi" w:cstheme="minorHAnsi"/>
                <w:i/>
                <w:iCs/>
                <w:sz w:val="22"/>
                <w:szCs w:val="22"/>
              </w:rPr>
              <w:t xml:space="preserve"> of the </w:t>
            </w:r>
            <w:r w:rsidR="009962C2" w:rsidRPr="00DB101C">
              <w:rPr>
                <w:rStyle w:val="Hyperlink"/>
                <w:rFonts w:asciiTheme="minorHAnsi" w:hAnsiTheme="minorHAnsi" w:cstheme="minorHAnsi"/>
                <w:i/>
                <w:iCs/>
                <w:color w:val="auto"/>
                <w:sz w:val="22"/>
                <w:szCs w:val="22"/>
                <w:u w:val="none"/>
              </w:rPr>
              <w:t>World Telecommunication Development Conference</w:t>
            </w:r>
            <w:r w:rsidR="00C36F8C" w:rsidRPr="00DB101C">
              <w:rPr>
                <w:rStyle w:val="Hyperlink"/>
                <w:rFonts w:asciiTheme="minorHAnsi" w:hAnsiTheme="minorHAnsi" w:cstheme="minorHAnsi"/>
                <w:i/>
                <w:iCs/>
                <w:color w:val="auto"/>
                <w:sz w:val="22"/>
                <w:szCs w:val="22"/>
                <w:u w:val="none"/>
              </w:rPr>
              <w:t xml:space="preserve"> (WTDC)</w:t>
            </w:r>
            <w:r w:rsidRPr="00DB101C">
              <w:rPr>
                <w:rStyle w:val="Hyperlink"/>
                <w:rFonts w:asciiTheme="minorHAnsi" w:hAnsiTheme="minorHAnsi" w:cstheme="minorHAnsi"/>
                <w:i/>
                <w:iCs/>
                <w:color w:val="auto"/>
                <w:sz w:val="22"/>
                <w:szCs w:val="22"/>
                <w:u w:val="none"/>
              </w:rPr>
              <w:t>;</w:t>
            </w:r>
            <w:r w:rsidR="00A05FE8" w:rsidRPr="00DB101C">
              <w:rPr>
                <w:rFonts w:asciiTheme="minorHAnsi" w:hAnsiTheme="minorHAnsi" w:cstheme="minorHAnsi"/>
                <w:i/>
                <w:iCs/>
                <w:sz w:val="22"/>
                <w:szCs w:val="22"/>
              </w:rPr>
              <w:t xml:space="preserve"> Final Report of the </w:t>
            </w:r>
            <w:hyperlink r:id="rId14">
              <w:r w:rsidR="00A05FE8" w:rsidRPr="00DB101C">
                <w:rPr>
                  <w:rStyle w:val="Hyperlink"/>
                  <w:rFonts w:asciiTheme="minorHAnsi" w:hAnsiTheme="minorHAnsi" w:cstheme="minorHAnsi"/>
                  <w:i/>
                  <w:iCs/>
                  <w:sz w:val="22"/>
                  <w:szCs w:val="22"/>
                </w:rPr>
                <w:t>WTDC-22 (Kigali Action Plan)</w:t>
              </w:r>
            </w:hyperlink>
            <w:r w:rsidR="00A05FE8" w:rsidRPr="00DB101C">
              <w:rPr>
                <w:rStyle w:val="Hyperlink"/>
                <w:rFonts w:asciiTheme="minorHAnsi" w:hAnsiTheme="minorHAnsi" w:cstheme="minorHAnsi"/>
                <w:i/>
                <w:iCs/>
                <w:color w:val="auto"/>
                <w:sz w:val="22"/>
                <w:szCs w:val="22"/>
                <w:u w:val="none"/>
              </w:rPr>
              <w:t xml:space="preserve">; </w:t>
            </w:r>
            <w:hyperlink r:id="rId15" w:tgtFrame="_blank" w:history="1">
              <w:r w:rsidR="006772B7" w:rsidRPr="00DB101C">
                <w:rPr>
                  <w:rStyle w:val="Hyperlink"/>
                  <w:rFonts w:asciiTheme="minorHAnsi" w:hAnsiTheme="minorHAnsi" w:cstheme="minorHAnsi"/>
                  <w:i/>
                  <w:iCs/>
                  <w:sz w:val="22"/>
                  <w:szCs w:val="22"/>
                </w:rPr>
                <w:t>CWG-FHR website</w:t>
              </w:r>
            </w:hyperlink>
            <w:r w:rsidR="006772B7" w:rsidRPr="00DB101C">
              <w:rPr>
                <w:rFonts w:asciiTheme="minorHAnsi" w:hAnsiTheme="minorHAnsi" w:cstheme="minorHAnsi"/>
                <w:i/>
                <w:iCs/>
                <w:sz w:val="22"/>
                <w:szCs w:val="22"/>
              </w:rPr>
              <w:t xml:space="preserve">; </w:t>
            </w:r>
            <w:r w:rsidR="0066688C" w:rsidRPr="00DB101C">
              <w:rPr>
                <w:rFonts w:asciiTheme="minorHAnsi" w:hAnsiTheme="minorHAnsi" w:cstheme="minorHAnsi"/>
                <w:i/>
                <w:iCs/>
                <w:sz w:val="22"/>
                <w:szCs w:val="22"/>
              </w:rPr>
              <w:t xml:space="preserve">Council </w:t>
            </w:r>
            <w:r w:rsidR="004C2957" w:rsidRPr="00DB101C">
              <w:rPr>
                <w:rFonts w:asciiTheme="minorHAnsi" w:hAnsiTheme="minorHAnsi" w:cstheme="minorHAnsi"/>
                <w:i/>
                <w:iCs/>
                <w:sz w:val="22"/>
                <w:szCs w:val="22"/>
              </w:rPr>
              <w:t xml:space="preserve">Documents </w:t>
            </w:r>
            <w:hyperlink r:id="rId16" w:history="1">
              <w:r w:rsidR="00BE7A95" w:rsidRPr="00DB101C">
                <w:rPr>
                  <w:rStyle w:val="Hyperlink"/>
                  <w:rFonts w:asciiTheme="minorHAnsi" w:hAnsiTheme="minorHAnsi" w:cstheme="minorHAnsi"/>
                  <w:i/>
                  <w:iCs/>
                  <w:sz w:val="22"/>
                  <w:szCs w:val="22"/>
                </w:rPr>
                <w:t>C26/25</w:t>
              </w:r>
            </w:hyperlink>
            <w:r w:rsidR="00BE7A95" w:rsidRPr="00DB101C">
              <w:rPr>
                <w:rFonts w:asciiTheme="minorHAnsi" w:hAnsiTheme="minorHAnsi" w:cstheme="minorHAnsi"/>
                <w:i/>
                <w:iCs/>
                <w:sz w:val="22"/>
                <w:szCs w:val="22"/>
              </w:rPr>
              <w:t xml:space="preserve">, </w:t>
            </w:r>
            <w:hyperlink r:id="rId17" w:tgtFrame="_blank" w:history="1">
              <w:r w:rsidR="006772B7" w:rsidRPr="00DB101C">
                <w:rPr>
                  <w:rStyle w:val="Hyperlink"/>
                  <w:rFonts w:asciiTheme="minorHAnsi" w:hAnsiTheme="minorHAnsi" w:cstheme="minorHAnsi"/>
                  <w:i/>
                  <w:iCs/>
                  <w:sz w:val="22"/>
                  <w:szCs w:val="22"/>
                </w:rPr>
                <w:t>C25/25</w:t>
              </w:r>
            </w:hyperlink>
            <w:r w:rsidR="006772B7" w:rsidRPr="00DB101C">
              <w:rPr>
                <w:rFonts w:asciiTheme="minorHAnsi" w:hAnsiTheme="minorHAnsi" w:cstheme="minorHAnsi"/>
                <w:i/>
                <w:iCs/>
                <w:sz w:val="22"/>
                <w:szCs w:val="22"/>
              </w:rPr>
              <w:t>,</w:t>
            </w:r>
            <w:r w:rsidR="00C6388D" w:rsidRPr="00DB101C">
              <w:rPr>
                <w:rFonts w:asciiTheme="minorHAnsi" w:hAnsiTheme="minorHAnsi" w:cstheme="minorHAnsi"/>
                <w:i/>
                <w:iCs/>
                <w:sz w:val="22"/>
                <w:szCs w:val="22"/>
              </w:rPr>
              <w:t xml:space="preserve"> </w:t>
            </w:r>
            <w:hyperlink r:id="rId18" w:tgtFrame="_blank" w:history="1">
              <w:r w:rsidR="006772B7" w:rsidRPr="00DB101C">
                <w:rPr>
                  <w:rStyle w:val="Hyperlink"/>
                  <w:rFonts w:asciiTheme="minorHAnsi" w:hAnsiTheme="minorHAnsi" w:cstheme="minorHAnsi"/>
                  <w:i/>
                  <w:iCs/>
                  <w:sz w:val="22"/>
                  <w:szCs w:val="22"/>
                </w:rPr>
                <w:t>C25/105</w:t>
              </w:r>
            </w:hyperlink>
            <w:r w:rsidR="006772B7" w:rsidRPr="00DB101C">
              <w:rPr>
                <w:rFonts w:asciiTheme="minorHAnsi" w:hAnsiTheme="minorHAnsi" w:cstheme="minorHAnsi"/>
                <w:i/>
                <w:iCs/>
                <w:sz w:val="22"/>
                <w:szCs w:val="22"/>
              </w:rPr>
              <w:t>,</w:t>
            </w:r>
            <w:r w:rsidR="00C6388D" w:rsidRPr="00DB101C">
              <w:rPr>
                <w:rFonts w:asciiTheme="minorHAnsi" w:hAnsiTheme="minorHAnsi" w:cstheme="minorHAnsi"/>
                <w:i/>
                <w:iCs/>
                <w:sz w:val="22"/>
                <w:szCs w:val="22"/>
              </w:rPr>
              <w:t xml:space="preserve"> </w:t>
            </w:r>
            <w:hyperlink r:id="rId19" w:tgtFrame="_blank" w:history="1">
              <w:r w:rsidR="006772B7" w:rsidRPr="00DB101C">
                <w:rPr>
                  <w:rStyle w:val="Hyperlink"/>
                  <w:rFonts w:asciiTheme="minorHAnsi" w:hAnsiTheme="minorHAnsi" w:cstheme="minorHAnsi"/>
                  <w:i/>
                  <w:iCs/>
                  <w:sz w:val="22"/>
                  <w:szCs w:val="22"/>
                </w:rPr>
                <w:t>C25/DL/6</w:t>
              </w:r>
            </w:hyperlink>
            <w:r w:rsidR="006772B7" w:rsidRPr="00DB101C">
              <w:rPr>
                <w:rFonts w:asciiTheme="minorHAnsi" w:hAnsiTheme="minorHAnsi" w:cstheme="minorHAnsi"/>
                <w:i/>
                <w:iCs/>
                <w:sz w:val="22"/>
                <w:szCs w:val="22"/>
              </w:rPr>
              <w:t>,</w:t>
            </w:r>
            <w:r w:rsidR="00C6388D" w:rsidRPr="00DB101C">
              <w:rPr>
                <w:rFonts w:asciiTheme="minorHAnsi" w:hAnsiTheme="minorHAnsi" w:cstheme="minorHAnsi"/>
                <w:i/>
                <w:iCs/>
                <w:sz w:val="22"/>
                <w:szCs w:val="22"/>
              </w:rPr>
              <w:t xml:space="preserve"> </w:t>
            </w:r>
            <w:hyperlink r:id="rId20" w:tgtFrame="_blank" w:history="1">
              <w:r w:rsidR="006772B7" w:rsidRPr="00DB101C">
                <w:rPr>
                  <w:rStyle w:val="Hyperlink"/>
                  <w:rFonts w:asciiTheme="minorHAnsi" w:hAnsiTheme="minorHAnsi" w:cstheme="minorHAnsi"/>
                  <w:i/>
                  <w:iCs/>
                  <w:sz w:val="22"/>
                  <w:szCs w:val="22"/>
                </w:rPr>
                <w:t>C25/69</w:t>
              </w:r>
            </w:hyperlink>
            <w:r w:rsidR="00C6388D" w:rsidRPr="00DB101C">
              <w:rPr>
                <w:rFonts w:asciiTheme="minorHAnsi" w:hAnsiTheme="minorHAnsi" w:cstheme="minorHAnsi"/>
                <w:i/>
                <w:iCs/>
                <w:sz w:val="22"/>
                <w:szCs w:val="22"/>
              </w:rPr>
              <w:t xml:space="preserve"> and</w:t>
            </w:r>
            <w:r w:rsidR="00225625" w:rsidRPr="00DB101C">
              <w:rPr>
                <w:rFonts w:asciiTheme="minorHAnsi" w:hAnsiTheme="minorHAnsi" w:cstheme="minorHAnsi"/>
                <w:i/>
                <w:iCs/>
                <w:sz w:val="22"/>
                <w:szCs w:val="22"/>
              </w:rPr>
              <w:t xml:space="preserve"> </w:t>
            </w:r>
            <w:hyperlink r:id="rId21" w:history="1">
              <w:r w:rsidR="0022038F" w:rsidRPr="00DB101C">
                <w:rPr>
                  <w:rStyle w:val="Hyperlink"/>
                  <w:rFonts w:asciiTheme="minorHAnsi" w:hAnsiTheme="minorHAnsi" w:cstheme="minorHAnsi"/>
                  <w:i/>
                  <w:iCs/>
                  <w:sz w:val="22"/>
                  <w:szCs w:val="22"/>
                </w:rPr>
                <w:t>C26/INF/10</w:t>
              </w:r>
            </w:hyperlink>
          </w:p>
        </w:tc>
      </w:tr>
    </w:tbl>
    <w:p w14:paraId="60238569" w14:textId="77777777" w:rsidR="00E227F3" w:rsidRPr="00DB101C" w:rsidRDefault="00E227F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bookmarkStart w:id="10" w:name="_Hlk133421428"/>
      <w:bookmarkEnd w:id="2"/>
      <w:bookmarkEnd w:id="9"/>
    </w:p>
    <w:bookmarkEnd w:id="3"/>
    <w:bookmarkEnd w:id="4"/>
    <w:p w14:paraId="4DC1EAA8" w14:textId="77777777" w:rsidR="0090147A" w:rsidRPr="00DB101C" w:rsidRDefault="0090147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rPr>
      </w:pPr>
      <w:r w:rsidRPr="00DB101C">
        <w:rPr>
          <w:rFonts w:asciiTheme="minorHAnsi" w:hAnsiTheme="minorHAnsi" w:cstheme="minorHAnsi"/>
        </w:rPr>
        <w:br w:type="page"/>
      </w:r>
    </w:p>
    <w:bookmarkEnd w:id="5"/>
    <w:bookmarkEnd w:id="10"/>
    <w:p w14:paraId="29339E04" w14:textId="0FEABAF3" w:rsidR="00047014" w:rsidRPr="00DB101C" w:rsidRDefault="77DC8888" w:rsidP="0094010C">
      <w:pPr>
        <w:jc w:val="both"/>
        <w:rPr>
          <w:rFonts w:eastAsia="Batang"/>
        </w:rPr>
      </w:pPr>
      <w:r w:rsidRPr="00DB101C">
        <w:lastRenderedPageBreak/>
        <w:t xml:space="preserve">This document </w:t>
      </w:r>
      <w:r w:rsidR="0810379B" w:rsidRPr="00DB101C">
        <w:t xml:space="preserve">provides a summary </w:t>
      </w:r>
      <w:r w:rsidR="1A8DAD0B" w:rsidRPr="00DB101C">
        <w:t xml:space="preserve">of </w:t>
      </w:r>
      <w:r w:rsidRPr="00DB101C">
        <w:t>the</w:t>
      </w:r>
      <w:r w:rsidR="1B509210" w:rsidRPr="00DB101C">
        <w:t xml:space="preserve"> key findings of</w:t>
      </w:r>
      <w:r w:rsidRPr="00DB101C">
        <w:t xml:space="preserve"> </w:t>
      </w:r>
      <w:r w:rsidR="04C5811B" w:rsidRPr="00DB101C">
        <w:t xml:space="preserve">final report on </w:t>
      </w:r>
      <w:r w:rsidR="0575DA8F" w:rsidRPr="00DB101C">
        <w:t xml:space="preserve">the </w:t>
      </w:r>
      <w:r w:rsidR="0432F292" w:rsidRPr="00DB101C">
        <w:t xml:space="preserve">Review of the ITU Regional Presence </w:t>
      </w:r>
      <w:r w:rsidR="50681048" w:rsidRPr="00DB101C">
        <w:t>carried out on behalf of the Secretary</w:t>
      </w:r>
      <w:r w:rsidR="13B26B67" w:rsidRPr="00DB101C">
        <w:t>-</w:t>
      </w:r>
      <w:r w:rsidR="50681048" w:rsidRPr="00DB101C">
        <w:t xml:space="preserve">General </w:t>
      </w:r>
      <w:r w:rsidR="0432F292" w:rsidRPr="00DB101C">
        <w:t>in accordance with</w:t>
      </w:r>
      <w:r w:rsidRPr="00DB101C">
        <w:t xml:space="preserve"> the recommendations of Council-25 (Report</w:t>
      </w:r>
      <w:r w:rsidR="13B26B67" w:rsidRPr="00DB101C">
        <w:t xml:space="preserve"> </w:t>
      </w:r>
      <w:r w:rsidRPr="00DB101C">
        <w:t>by the Chair of the Standing</w:t>
      </w:r>
      <w:r w:rsidR="61C27DEA" w:rsidRPr="00DB101C">
        <w:t xml:space="preserve"> </w:t>
      </w:r>
      <w:r w:rsidRPr="00DB101C">
        <w:t>Committee on Administration and</w:t>
      </w:r>
      <w:r w:rsidR="7A6D660D" w:rsidRPr="00DB101C">
        <w:t xml:space="preserve"> </w:t>
      </w:r>
      <w:r w:rsidR="01E7145A" w:rsidRPr="00DB101C">
        <w:t>M</w:t>
      </w:r>
      <w:r w:rsidRPr="00DB101C">
        <w:t>anagement,</w:t>
      </w:r>
      <w:r w:rsidR="61C27DEA" w:rsidRPr="00DB101C">
        <w:t xml:space="preserve"> </w:t>
      </w:r>
      <w:r w:rsidR="00D631C8" w:rsidRPr="00DB101C">
        <w:t xml:space="preserve">Document </w:t>
      </w:r>
      <w:hyperlink r:id="rId22">
        <w:r w:rsidRPr="00DB101C">
          <w:rPr>
            <w:rStyle w:val="Hyperlink"/>
            <w:rFonts w:asciiTheme="minorHAnsi" w:hAnsiTheme="minorHAnsi" w:cstheme="minorBidi"/>
          </w:rPr>
          <w:t>C25/105</w:t>
        </w:r>
      </w:hyperlink>
      <w:r w:rsidRPr="00DB101C">
        <w:t xml:space="preserve">, </w:t>
      </w:r>
      <w:r w:rsidR="61C27DEA" w:rsidRPr="00DB101C">
        <w:t>§ </w:t>
      </w:r>
      <w:r w:rsidRPr="00DB101C">
        <w:t>26, Annex H,</w:t>
      </w:r>
      <w:r w:rsidR="15951894" w:rsidRPr="00DB101C">
        <w:t xml:space="preserve"> </w:t>
      </w:r>
      <w:r w:rsidRPr="00DB101C">
        <w:t>Annex A and Annex 1).</w:t>
      </w:r>
      <w:r w:rsidR="2FA18027" w:rsidRPr="00DB101C">
        <w:t xml:space="preserve"> </w:t>
      </w:r>
      <w:r w:rsidR="0094010C" w:rsidRPr="00DB101C">
        <w:t xml:space="preserve">Document </w:t>
      </w:r>
      <w:hyperlink r:id="rId23">
        <w:r w:rsidR="7622C245" w:rsidRPr="00DB101C">
          <w:rPr>
            <w:rStyle w:val="Hyperlink"/>
            <w:rFonts w:asciiTheme="minorHAnsi" w:hAnsiTheme="minorHAnsi" w:cstheme="minorBidi"/>
          </w:rPr>
          <w:t>C26/INF/10</w:t>
        </w:r>
      </w:hyperlink>
      <w:r w:rsidR="7622C245" w:rsidRPr="00DB101C">
        <w:t xml:space="preserve"> </w:t>
      </w:r>
      <w:r w:rsidR="46C524BA" w:rsidRPr="00DB101C">
        <w:t>pr</w:t>
      </w:r>
      <w:r w:rsidR="32A641A4" w:rsidRPr="00DB101C">
        <w:t>ovi</w:t>
      </w:r>
      <w:r w:rsidR="46C524BA" w:rsidRPr="00DB101C">
        <w:t xml:space="preserve">des </w:t>
      </w:r>
      <w:r w:rsidR="771F8388" w:rsidRPr="00DB101C">
        <w:t xml:space="preserve">the background and context of the Review, the methodology as specified by </w:t>
      </w:r>
      <w:r w:rsidR="0A293D79" w:rsidRPr="00DB101C">
        <w:t xml:space="preserve">the </w:t>
      </w:r>
      <w:r w:rsidR="771F8388" w:rsidRPr="00DB101C">
        <w:t>Council as well as the detailed findings emanating from the Review.</w:t>
      </w:r>
    </w:p>
    <w:p w14:paraId="4C76F485" w14:textId="6DC285AA" w:rsidR="4B693BC8" w:rsidRPr="00554552" w:rsidRDefault="00C6388D" w:rsidP="00554552">
      <w:pPr>
        <w:pStyle w:val="Heading1"/>
      </w:pPr>
      <w:r w:rsidRPr="00554552">
        <w:t>1</w:t>
      </w:r>
      <w:r w:rsidRPr="00554552">
        <w:tab/>
      </w:r>
      <w:r w:rsidR="4B693BC8" w:rsidRPr="00554552">
        <w:t>Background</w:t>
      </w:r>
    </w:p>
    <w:p w14:paraId="1661F010" w14:textId="2D2F106D" w:rsidR="4B693BC8" w:rsidRPr="00DB101C" w:rsidRDefault="00DD2336" w:rsidP="00554552">
      <w:pPr>
        <w:jc w:val="both"/>
      </w:pPr>
      <w:r w:rsidRPr="00DB101C">
        <w:t>1.1</w:t>
      </w:r>
      <w:r w:rsidR="00FA4E86" w:rsidRPr="00DB101C">
        <w:tab/>
      </w:r>
      <w:r w:rsidR="4B693BC8" w:rsidRPr="00DB101C">
        <w:t>At its 19</w:t>
      </w:r>
      <w:r w:rsidR="4B693BC8" w:rsidRPr="00DB101C">
        <w:rPr>
          <w:vertAlign w:val="superscript"/>
        </w:rPr>
        <w:t>th</w:t>
      </w:r>
      <w:r w:rsidR="4B693BC8" w:rsidRPr="00DB101C">
        <w:t xml:space="preserve"> meeting (30 September – 11 October 2024), the Council Working Group on </w:t>
      </w:r>
      <w:r w:rsidR="00FA4E86" w:rsidRPr="00DB101C">
        <w:t>financial</w:t>
      </w:r>
      <w:r w:rsidR="4B693BC8" w:rsidRPr="00DB101C">
        <w:t xml:space="preserve"> and </w:t>
      </w:r>
      <w:r w:rsidR="00FA4E86" w:rsidRPr="00DB101C">
        <w:t>human resources</w:t>
      </w:r>
      <w:r w:rsidR="4B693BC8" w:rsidRPr="00DB101C">
        <w:t xml:space="preserve"> (CWG-FHR) established an Online Correspondence Group (OCG) to draft the Terms of Reference (ToR) for reviewing the Regional Presence, which is required per</w:t>
      </w:r>
      <w:r w:rsidR="000C5E17">
        <w:t xml:space="preserve"> </w:t>
      </w:r>
      <w:r w:rsidR="000C5E17" w:rsidRPr="000C5E17">
        <w:t xml:space="preserve">Resolution </w:t>
      </w:r>
      <w:hyperlink r:id="rId24" w:history="1">
        <w:r w:rsidR="4B693BC8" w:rsidRPr="00DB101C">
          <w:rPr>
            <w:rStyle w:val="Hyperlink"/>
            <w:rFonts w:asciiTheme="minorHAnsi" w:hAnsiTheme="minorHAnsi" w:cstheme="minorBidi"/>
          </w:rPr>
          <w:t>25 (Rev. Bucharest, 2022)</w:t>
        </w:r>
      </w:hyperlink>
      <w:r w:rsidR="4B693BC8" w:rsidRPr="00DB101C">
        <w:t xml:space="preserve"> of the Plenipotentiary on Strengthening the ITU Regional Presence.</w:t>
      </w:r>
    </w:p>
    <w:p w14:paraId="38255703" w14:textId="2B3B9075" w:rsidR="4B693BC8" w:rsidRPr="00DB101C" w:rsidRDefault="00DD2336" w:rsidP="00554552">
      <w:pPr>
        <w:jc w:val="both"/>
      </w:pPr>
      <w:r w:rsidRPr="00DB101C">
        <w:t>1.2</w:t>
      </w:r>
      <w:r w:rsidR="00FA4E86" w:rsidRPr="00DB101C">
        <w:tab/>
      </w:r>
      <w:r w:rsidR="4B693BC8" w:rsidRPr="00DB101C">
        <w:t xml:space="preserve">As per </w:t>
      </w:r>
      <w:r w:rsidR="000C5E17" w:rsidRPr="000C5E17">
        <w:rPr>
          <w:i/>
          <w:iCs/>
        </w:rPr>
        <w:t>instructs</w:t>
      </w:r>
      <w:r w:rsidR="000C5E17" w:rsidRPr="00DB101C">
        <w:t xml:space="preserve"> </w:t>
      </w:r>
      <w:r w:rsidR="4B693BC8" w:rsidRPr="00DB101C">
        <w:t>4 of this Resolution, the Secretary-General is required,</w:t>
      </w:r>
    </w:p>
    <w:p w14:paraId="4C408EA9" w14:textId="7F6294EB" w:rsidR="4B693BC8" w:rsidRPr="00DB101C" w:rsidRDefault="00FA4E86" w:rsidP="00641ECE">
      <w:pPr>
        <w:pStyle w:val="enumlev1"/>
        <w:tabs>
          <w:tab w:val="clear" w:pos="567"/>
          <w:tab w:val="clear" w:pos="1134"/>
          <w:tab w:val="clear" w:pos="1701"/>
          <w:tab w:val="clear" w:pos="2268"/>
          <w:tab w:val="clear" w:pos="2835"/>
        </w:tabs>
        <w:jc w:val="both"/>
      </w:pPr>
      <w:r w:rsidRPr="00DB101C">
        <w:tab/>
      </w:r>
      <w:r w:rsidR="4B693BC8" w:rsidRPr="00DB101C">
        <w:t>“to conduct, once every four years, within the existing financial resources, a survey of the level of satisfaction of Member States, Sector Members and regional telecommunication organizations with ITU</w:t>
      </w:r>
      <w:r w:rsidR="002C6800" w:rsidRPr="00DB101C">
        <w:t>’</w:t>
      </w:r>
      <w:r w:rsidR="4B693BC8" w:rsidRPr="00DB101C">
        <w:t>s regional presence, and to present the results in a report to the session of the Council prior to each plenipotentiary conference”.</w:t>
      </w:r>
    </w:p>
    <w:p w14:paraId="5A7684E7" w14:textId="6AFBA1B4" w:rsidR="4B693BC8" w:rsidRPr="00DB101C" w:rsidRDefault="00DD2336" w:rsidP="00554552">
      <w:pPr>
        <w:jc w:val="both"/>
        <w:rPr>
          <w:spacing w:val="-3"/>
        </w:rPr>
      </w:pPr>
      <w:r w:rsidRPr="00DB101C">
        <w:rPr>
          <w:spacing w:val="-3"/>
        </w:rPr>
        <w:t>1.3</w:t>
      </w:r>
      <w:r w:rsidR="00FA4E86" w:rsidRPr="00DB101C">
        <w:rPr>
          <w:spacing w:val="-3"/>
        </w:rPr>
        <w:tab/>
      </w:r>
      <w:r w:rsidR="4B693BC8" w:rsidRPr="00DB101C">
        <w:rPr>
          <w:spacing w:val="-3"/>
        </w:rPr>
        <w:t xml:space="preserve">The </w:t>
      </w:r>
      <w:r w:rsidR="4B693BC8" w:rsidRPr="00554552">
        <w:t>revised</w:t>
      </w:r>
      <w:r w:rsidR="4B693BC8" w:rsidRPr="00DB101C">
        <w:rPr>
          <w:spacing w:val="-3"/>
        </w:rPr>
        <w:t xml:space="preserve"> ToR were reviewed at the 20</w:t>
      </w:r>
      <w:r w:rsidR="4B693BC8" w:rsidRPr="00DB101C">
        <w:rPr>
          <w:spacing w:val="-3"/>
          <w:vertAlign w:val="superscript"/>
        </w:rPr>
        <w:t>th</w:t>
      </w:r>
      <w:r w:rsidR="4B693BC8" w:rsidRPr="00DB101C">
        <w:rPr>
          <w:spacing w:val="-3"/>
        </w:rPr>
        <w:t xml:space="preserve"> meeting of the CWG-FHR (10-21 February 2025). These meeting reports are available in Documents </w:t>
      </w:r>
      <w:hyperlink r:id="rId25" w:history="1">
        <w:r w:rsidR="4B693BC8" w:rsidRPr="00DB101C">
          <w:rPr>
            <w:rStyle w:val="Hyperlink"/>
            <w:rFonts w:asciiTheme="minorHAnsi" w:hAnsiTheme="minorHAnsi" w:cstheme="minorBidi"/>
            <w:spacing w:val="-3"/>
          </w:rPr>
          <w:t>CWG-FHR-19/15</w:t>
        </w:r>
      </w:hyperlink>
      <w:r w:rsidR="4B693BC8" w:rsidRPr="00DB101C">
        <w:rPr>
          <w:spacing w:val="-3"/>
        </w:rPr>
        <w:t xml:space="preserve"> </w:t>
      </w:r>
      <w:r w:rsidR="4B693BC8" w:rsidRPr="00DB101C">
        <w:rPr>
          <w:color w:val="000000" w:themeColor="text1"/>
          <w:spacing w:val="-3"/>
        </w:rPr>
        <w:t>and</w:t>
      </w:r>
      <w:r w:rsidR="4B693BC8" w:rsidRPr="00DB101C">
        <w:rPr>
          <w:spacing w:val="-3"/>
        </w:rPr>
        <w:t xml:space="preserve"> </w:t>
      </w:r>
      <w:hyperlink r:id="rId26">
        <w:r w:rsidR="4B693BC8" w:rsidRPr="00DB101C">
          <w:rPr>
            <w:rStyle w:val="Hyperlink"/>
            <w:rFonts w:asciiTheme="minorHAnsi" w:hAnsiTheme="minorHAnsi" w:cstheme="minorBidi"/>
            <w:spacing w:val="-3"/>
          </w:rPr>
          <w:t>CWG-FHR-20/32</w:t>
        </w:r>
      </w:hyperlink>
      <w:r w:rsidR="4B693BC8" w:rsidRPr="00DB101C">
        <w:rPr>
          <w:color w:val="000000" w:themeColor="text1"/>
          <w:spacing w:val="-3"/>
        </w:rPr>
        <w:t xml:space="preserve">. </w:t>
      </w:r>
    </w:p>
    <w:p w14:paraId="05CE9D0F" w14:textId="23E88D59" w:rsidR="4B693BC8" w:rsidRPr="00DB101C" w:rsidRDefault="00DD2336" w:rsidP="00554552">
      <w:pPr>
        <w:jc w:val="both"/>
      </w:pPr>
      <w:r w:rsidRPr="00DB101C">
        <w:t>1.4</w:t>
      </w:r>
      <w:r w:rsidR="00641ECE" w:rsidRPr="00DB101C">
        <w:tab/>
      </w:r>
      <w:r w:rsidR="4B693BC8" w:rsidRPr="00DB101C">
        <w:t xml:space="preserve">After some deliberation, Council-25 provided the following instructions to the International Telecommunication Union (ITU) secretariat and the Telecommunication Development Bureau (BDT): </w:t>
      </w:r>
    </w:p>
    <w:p w14:paraId="4C5CF4F4" w14:textId="2E9D0D8A" w:rsidR="4B693BC8" w:rsidRPr="00DB101C" w:rsidRDefault="00C6388D" w:rsidP="00D631C8">
      <w:pPr>
        <w:pStyle w:val="enumlev1"/>
        <w:jc w:val="both"/>
      </w:pPr>
      <w:r w:rsidRPr="00DB101C">
        <w:t>a)</w:t>
      </w:r>
      <w:r w:rsidRPr="00DB101C">
        <w:tab/>
      </w:r>
      <w:r w:rsidR="4B693BC8" w:rsidRPr="00DB101C">
        <w:t>The review of ITU’s Regional Presence will be conducted by the Secretary-General and supported by the Inter-Sectoral Task Force comprising the Directors of three Bureaux and their nominees, and ITU Regional Directors, and will be chaired by the ITU Deputy Secretary</w:t>
      </w:r>
      <w:r w:rsidR="00E72ABB" w:rsidRPr="00DB101C">
        <w:t>-</w:t>
      </w:r>
      <w:r w:rsidR="4B693BC8" w:rsidRPr="00DB101C">
        <w:t>General.</w:t>
      </w:r>
    </w:p>
    <w:p w14:paraId="3B6714F7" w14:textId="35C5A539" w:rsidR="4B693BC8" w:rsidRPr="00DB101C" w:rsidRDefault="00C6388D" w:rsidP="00D631C8">
      <w:pPr>
        <w:pStyle w:val="enumlev1"/>
        <w:jc w:val="both"/>
      </w:pPr>
      <w:r w:rsidRPr="00DB101C">
        <w:t>b)</w:t>
      </w:r>
      <w:r w:rsidRPr="00DB101C">
        <w:tab/>
      </w:r>
      <w:r w:rsidR="4B693BC8" w:rsidRPr="00DB101C">
        <w:t xml:space="preserve">The review will be conducted within the approved ITU budget and existing human resources of the ITU. No external consultancy will be engaged. </w:t>
      </w:r>
    </w:p>
    <w:p w14:paraId="078CE7AB" w14:textId="421B8B8E" w:rsidR="4B693BC8" w:rsidRPr="00DB101C" w:rsidRDefault="00C6388D" w:rsidP="00D631C8">
      <w:pPr>
        <w:pStyle w:val="enumlev1"/>
        <w:jc w:val="both"/>
      </w:pPr>
      <w:r w:rsidRPr="00DB101C">
        <w:t>c)</w:t>
      </w:r>
      <w:r w:rsidRPr="00DB101C">
        <w:tab/>
      </w:r>
      <w:r w:rsidR="4B693BC8" w:rsidRPr="00DB101C">
        <w:t xml:space="preserve">The Inter-Sectoral Task Force will mainly rely on the input by BDT throughout the review. BDT shall be responsible for conducting Phase 2 (Data collection and initial analysis) of the review (see section 2 below for a description of the four Phases). </w:t>
      </w:r>
    </w:p>
    <w:p w14:paraId="22615F4B" w14:textId="5AA9E0A2" w:rsidR="4B693BC8" w:rsidRPr="00DB101C" w:rsidRDefault="00C6388D" w:rsidP="00D631C8">
      <w:pPr>
        <w:pStyle w:val="enumlev1"/>
        <w:jc w:val="both"/>
      </w:pPr>
      <w:r w:rsidRPr="00DB101C">
        <w:t>d)</w:t>
      </w:r>
      <w:r w:rsidRPr="00DB101C">
        <w:tab/>
      </w:r>
      <w:r w:rsidR="4B693BC8" w:rsidRPr="00DB101C">
        <w:t xml:space="preserve">Member State engagement is agreed as a critical component of the Review. The Secretary-General will report on the implementation of the Review to CWG-FHR and ITU Council as required. </w:t>
      </w:r>
    </w:p>
    <w:p w14:paraId="0D20889F" w14:textId="543571DF" w:rsidR="4B693BC8" w:rsidRPr="00DB101C" w:rsidRDefault="7755D7C6" w:rsidP="00554552">
      <w:pPr>
        <w:jc w:val="both"/>
        <w:rPr>
          <w:highlight w:val="yellow"/>
        </w:rPr>
      </w:pPr>
      <w:r w:rsidRPr="00DB101C">
        <w:t>1.5</w:t>
      </w:r>
      <w:r w:rsidR="00DD2336" w:rsidRPr="00DB101C">
        <w:tab/>
      </w:r>
      <w:r w:rsidR="36B1CCAD" w:rsidRPr="00DB101C">
        <w:t xml:space="preserve">An Inter-Sectoral Task Force (ISTF) on the review of regional presence has been established, chaired by the Deputy Secretary-General, and includes Directors of the three Bureaux, the Regional Directors, and other representatives from the Development Bureau, Radiocommunication Bureau and Standardization Bureau, as well as the General Secretariat. </w:t>
      </w:r>
    </w:p>
    <w:p w14:paraId="283A2F51" w14:textId="25C27F91" w:rsidR="4B693BC8" w:rsidRPr="00554552" w:rsidRDefault="00C6388D" w:rsidP="00554552">
      <w:pPr>
        <w:pStyle w:val="Heading1"/>
      </w:pPr>
      <w:r w:rsidRPr="00554552">
        <w:lastRenderedPageBreak/>
        <w:t>2</w:t>
      </w:r>
      <w:r w:rsidRPr="00554552">
        <w:tab/>
      </w:r>
      <w:r w:rsidR="4B693BC8" w:rsidRPr="00554552">
        <w:t xml:space="preserve">Structure of the review, timeline, and deliverables </w:t>
      </w:r>
    </w:p>
    <w:p w14:paraId="23B949F3" w14:textId="2A5C99C2" w:rsidR="4B693BC8" w:rsidRPr="00DB101C" w:rsidRDefault="7C40DA03" w:rsidP="00554552">
      <w:pPr>
        <w:jc w:val="both"/>
        <w:rPr>
          <w:rFonts w:asciiTheme="minorHAnsi" w:hAnsiTheme="minorHAnsi" w:cstheme="minorBidi"/>
        </w:rPr>
      </w:pPr>
      <w:r w:rsidRPr="00DB101C">
        <w:rPr>
          <w:rFonts w:asciiTheme="minorHAnsi" w:hAnsiTheme="minorHAnsi" w:cstheme="minorBidi"/>
        </w:rPr>
        <w:t>2.1</w:t>
      </w:r>
      <w:r w:rsidR="00AF179B" w:rsidRPr="00DB101C">
        <w:tab/>
      </w:r>
      <w:r w:rsidR="36B1CCAD" w:rsidRPr="00DB101C">
        <w:rPr>
          <w:rFonts w:asciiTheme="minorHAnsi" w:hAnsiTheme="minorHAnsi" w:cstheme="minorBidi"/>
        </w:rPr>
        <w:t>The review spanned 10 months from July 2025 to April 2026</w:t>
      </w:r>
      <w:r w:rsidR="00B8608E" w:rsidRPr="00DB101C">
        <w:rPr>
          <w:rFonts w:asciiTheme="minorHAnsi" w:hAnsiTheme="minorHAnsi" w:cstheme="minorBidi"/>
        </w:rPr>
        <w:t xml:space="preserve"> and was organized into </w:t>
      </w:r>
      <w:r w:rsidR="001B2EDC" w:rsidRPr="00DB101C">
        <w:rPr>
          <w:rFonts w:asciiTheme="minorHAnsi" w:hAnsiTheme="minorHAnsi" w:cstheme="minorBidi"/>
        </w:rPr>
        <w:t xml:space="preserve">four phases </w:t>
      </w:r>
      <w:r w:rsidR="36B1CCAD" w:rsidRPr="00DB101C">
        <w:rPr>
          <w:rFonts w:asciiTheme="minorHAnsi" w:hAnsiTheme="minorHAnsi" w:cstheme="minorBidi"/>
        </w:rPr>
        <w:t xml:space="preserve">as set out in Document </w:t>
      </w:r>
      <w:hyperlink r:id="rId27">
        <w:r w:rsidR="36B1CCAD" w:rsidRPr="00DB101C">
          <w:rPr>
            <w:rStyle w:val="Hyperlink"/>
            <w:rFonts w:asciiTheme="minorHAnsi" w:hAnsiTheme="minorHAnsi" w:cstheme="minorBidi"/>
          </w:rPr>
          <w:t>C25/69(Rev.1)</w:t>
        </w:r>
      </w:hyperlink>
      <w:r w:rsidR="36B1CCAD" w:rsidRPr="00DB101C">
        <w:t xml:space="preserve"> and </w:t>
      </w:r>
      <w:r w:rsidR="009D15BD" w:rsidRPr="00DB101C">
        <w:t xml:space="preserve">summarized </w:t>
      </w:r>
      <w:r w:rsidR="0055385F" w:rsidRPr="00DB101C">
        <w:t xml:space="preserve">in the table </w:t>
      </w:r>
      <w:r w:rsidR="009D15BD" w:rsidRPr="00DB101C">
        <w:t>below</w:t>
      </w:r>
      <w:r w:rsidR="00D50581" w:rsidRPr="00DB101C">
        <w:t xml:space="preserve">. </w:t>
      </w:r>
      <w:r w:rsidR="36B1CCAD" w:rsidRPr="00DB101C">
        <w:rPr>
          <w:rFonts w:asciiTheme="minorHAnsi" w:hAnsiTheme="minorHAnsi" w:cstheme="minorBidi"/>
        </w:rPr>
        <w:t xml:space="preserve"> </w:t>
      </w:r>
      <w:r w:rsidR="00E40F99" w:rsidRPr="00DB101C">
        <w:rPr>
          <w:rFonts w:asciiTheme="minorHAnsi" w:hAnsiTheme="minorHAnsi" w:cstheme="minorBidi"/>
        </w:rPr>
        <w:t xml:space="preserve">Adjustments </w:t>
      </w:r>
      <w:r w:rsidR="00E40F99" w:rsidRPr="00554552">
        <w:t>were</w:t>
      </w:r>
      <w:r w:rsidR="00E40F99" w:rsidRPr="00DB101C">
        <w:rPr>
          <w:rFonts w:asciiTheme="minorHAnsi" w:hAnsiTheme="minorHAnsi" w:cstheme="minorBidi"/>
        </w:rPr>
        <w:t xml:space="preserve"> made to the </w:t>
      </w:r>
      <w:r w:rsidR="00105EE7" w:rsidRPr="00DB101C">
        <w:rPr>
          <w:rFonts w:asciiTheme="minorHAnsi" w:hAnsiTheme="minorHAnsi" w:cstheme="minorBidi"/>
        </w:rPr>
        <w:t>timelines</w:t>
      </w:r>
      <w:r w:rsidR="001313D4" w:rsidRPr="00DB101C">
        <w:rPr>
          <w:rFonts w:asciiTheme="minorHAnsi" w:hAnsiTheme="minorHAnsi" w:cstheme="minorBidi"/>
        </w:rPr>
        <w:t xml:space="preserve"> in light of the </w:t>
      </w:r>
      <w:r w:rsidR="00C623D9" w:rsidRPr="00DB101C">
        <w:rPr>
          <w:rFonts w:asciiTheme="minorHAnsi" w:hAnsiTheme="minorHAnsi" w:cstheme="minorBidi"/>
        </w:rPr>
        <w:t>input</w:t>
      </w:r>
      <w:r w:rsidR="00C37938" w:rsidRPr="00DB101C">
        <w:rPr>
          <w:rFonts w:asciiTheme="minorHAnsi" w:hAnsiTheme="minorHAnsi" w:cstheme="minorBidi"/>
        </w:rPr>
        <w:t xml:space="preserve"> received at the </w:t>
      </w:r>
      <w:r w:rsidR="00883927" w:rsidRPr="00DB101C">
        <w:rPr>
          <w:rFonts w:asciiTheme="minorHAnsi" w:hAnsiTheme="minorHAnsi" w:cstheme="minorBidi"/>
        </w:rPr>
        <w:t>s</w:t>
      </w:r>
      <w:r w:rsidR="00C37938" w:rsidRPr="00DB101C">
        <w:rPr>
          <w:rFonts w:asciiTheme="minorHAnsi" w:hAnsiTheme="minorHAnsi" w:cstheme="minorBidi"/>
        </w:rPr>
        <w:t xml:space="preserve">pecial </w:t>
      </w:r>
      <w:r w:rsidR="00883927" w:rsidRPr="00DB101C">
        <w:rPr>
          <w:rFonts w:asciiTheme="minorHAnsi" w:hAnsiTheme="minorHAnsi" w:cstheme="minorBidi"/>
        </w:rPr>
        <w:t>s</w:t>
      </w:r>
      <w:r w:rsidR="00C37938" w:rsidRPr="00DB101C">
        <w:rPr>
          <w:rFonts w:asciiTheme="minorHAnsi" w:hAnsiTheme="minorHAnsi" w:cstheme="minorBidi"/>
        </w:rPr>
        <w:t>ession conv</w:t>
      </w:r>
      <w:r w:rsidR="00C623D9" w:rsidRPr="00DB101C">
        <w:rPr>
          <w:rFonts w:asciiTheme="minorHAnsi" w:hAnsiTheme="minorHAnsi" w:cstheme="minorBidi"/>
        </w:rPr>
        <w:t xml:space="preserve">ened at the World Telecommunication Development Conference. </w:t>
      </w:r>
    </w:p>
    <w:p w14:paraId="6D6E59FF" w14:textId="77777777" w:rsidR="0EDB9B28" w:rsidRPr="00DB101C" w:rsidRDefault="0EDB9B28" w:rsidP="00542C9C">
      <w:pPr>
        <w:tabs>
          <w:tab w:val="clear" w:pos="567"/>
          <w:tab w:val="clear" w:pos="1134"/>
          <w:tab w:val="clear" w:pos="1701"/>
          <w:tab w:val="clear" w:pos="2268"/>
          <w:tab w:val="clear" w:pos="2835"/>
        </w:tabs>
        <w:spacing w:before="0"/>
        <w:jc w:val="both"/>
        <w:rPr>
          <w:rFonts w:asciiTheme="minorHAnsi" w:hAnsiTheme="minorHAnsi" w:cstheme="minorBidi"/>
        </w:rPr>
      </w:pPr>
    </w:p>
    <w:tbl>
      <w:tblPr>
        <w:tblStyle w:val="TableGrid1"/>
        <w:tblW w:w="0" w:type="auto"/>
        <w:tblLook w:val="04A0" w:firstRow="1" w:lastRow="0" w:firstColumn="1" w:lastColumn="0" w:noHBand="0" w:noVBand="1"/>
      </w:tblPr>
      <w:tblGrid>
        <w:gridCol w:w="1635"/>
        <w:gridCol w:w="1950"/>
        <w:gridCol w:w="5476"/>
      </w:tblGrid>
      <w:tr w:rsidR="0EDB9B28" w:rsidRPr="00DB101C" w14:paraId="60FC65AE" w14:textId="77777777" w:rsidTr="00161EE7">
        <w:trPr>
          <w:trHeight w:val="300"/>
        </w:trPr>
        <w:tc>
          <w:tcPr>
            <w:tcW w:w="1635" w:type="dxa"/>
          </w:tcPr>
          <w:p w14:paraId="609FFF52" w14:textId="77777777" w:rsidR="0EDB9B28" w:rsidRPr="00DB101C" w:rsidRDefault="0EDB9B28" w:rsidP="0059074E">
            <w:pPr>
              <w:pStyle w:val="Tablehead"/>
            </w:pPr>
            <w:r w:rsidRPr="00DB101C">
              <w:t xml:space="preserve">Phase </w:t>
            </w:r>
            <w:r w:rsidRPr="00DB101C">
              <w:br/>
              <w:t xml:space="preserve">(Progress) </w:t>
            </w:r>
          </w:p>
        </w:tc>
        <w:tc>
          <w:tcPr>
            <w:tcW w:w="1951" w:type="dxa"/>
          </w:tcPr>
          <w:p w14:paraId="14E3A96C" w14:textId="77777777" w:rsidR="0EDB9B28" w:rsidRPr="00DB101C" w:rsidRDefault="0EDB9B28" w:rsidP="0059074E">
            <w:pPr>
              <w:pStyle w:val="Tablehead"/>
            </w:pPr>
            <w:r w:rsidRPr="00DB101C">
              <w:t>Time period</w:t>
            </w:r>
          </w:p>
        </w:tc>
        <w:tc>
          <w:tcPr>
            <w:tcW w:w="5479" w:type="dxa"/>
          </w:tcPr>
          <w:p w14:paraId="3E13EDE1" w14:textId="77777777" w:rsidR="0EDB9B28" w:rsidRPr="00DB101C" w:rsidRDefault="0EDB9B28" w:rsidP="0059074E">
            <w:pPr>
              <w:pStyle w:val="Tablehead"/>
            </w:pPr>
            <w:r w:rsidRPr="00DB101C">
              <w:t>Deliverables</w:t>
            </w:r>
          </w:p>
        </w:tc>
      </w:tr>
      <w:tr w:rsidR="0EDB9B28" w:rsidRPr="00DB101C" w14:paraId="4EC41B25" w14:textId="77777777" w:rsidTr="00161EE7">
        <w:trPr>
          <w:trHeight w:val="300"/>
        </w:trPr>
        <w:tc>
          <w:tcPr>
            <w:tcW w:w="1635" w:type="dxa"/>
          </w:tcPr>
          <w:p w14:paraId="25C58291" w14:textId="77777777" w:rsidR="0EDB9B28" w:rsidRPr="00DB101C" w:rsidRDefault="0EDB9B28" w:rsidP="003B3AF0">
            <w:pPr>
              <w:pStyle w:val="Tabletext"/>
            </w:pPr>
            <w:r w:rsidRPr="00DB101C">
              <w:rPr>
                <w:b/>
                <w:bCs/>
              </w:rPr>
              <w:t>Phase 1:</w:t>
            </w:r>
            <w:r w:rsidRPr="00DB101C">
              <w:t xml:space="preserve"> Preliminary assessment</w:t>
            </w:r>
          </w:p>
        </w:tc>
        <w:tc>
          <w:tcPr>
            <w:tcW w:w="1951" w:type="dxa"/>
          </w:tcPr>
          <w:p w14:paraId="432C6D58" w14:textId="77777777" w:rsidR="0EDB9B28" w:rsidRPr="00DB101C" w:rsidRDefault="0EDB9B28" w:rsidP="003B3AF0">
            <w:pPr>
              <w:pStyle w:val="Tabletext"/>
            </w:pPr>
            <w:r w:rsidRPr="00DB101C">
              <w:t>July – August 2025</w:t>
            </w:r>
          </w:p>
        </w:tc>
        <w:tc>
          <w:tcPr>
            <w:tcW w:w="5479" w:type="dxa"/>
          </w:tcPr>
          <w:p w14:paraId="1374DEB2" w14:textId="69F6B396" w:rsidR="0EDB9B28" w:rsidRPr="00DB101C" w:rsidRDefault="00C6388D" w:rsidP="000B0A7A">
            <w:pPr>
              <w:pStyle w:val="Tabletext"/>
              <w:ind w:left="284" w:hanging="284"/>
            </w:pPr>
            <w:r w:rsidRPr="00DB101C">
              <w:rPr>
                <w:rFonts w:ascii="Symbol" w:hAnsi="Symbol"/>
              </w:rPr>
              <w:t></w:t>
            </w:r>
            <w:r w:rsidRPr="00DB101C">
              <w:rPr>
                <w:rFonts w:ascii="Symbol" w:hAnsi="Symbol"/>
              </w:rPr>
              <w:tab/>
            </w:r>
            <w:r w:rsidR="0EDB9B28" w:rsidRPr="00DB101C">
              <w:t>Formation of the review team and establishment of working protocols.</w:t>
            </w:r>
          </w:p>
          <w:p w14:paraId="2EC5A640" w14:textId="7645AC7A" w:rsidR="0EDB9B28" w:rsidRPr="00DB101C" w:rsidRDefault="00C6388D" w:rsidP="000B0A7A">
            <w:pPr>
              <w:pStyle w:val="Tabletext"/>
              <w:ind w:left="284" w:hanging="284"/>
            </w:pPr>
            <w:r w:rsidRPr="00DB101C">
              <w:rPr>
                <w:rFonts w:ascii="Symbol" w:hAnsi="Symbol"/>
              </w:rPr>
              <w:t></w:t>
            </w:r>
            <w:r w:rsidRPr="00DB101C">
              <w:rPr>
                <w:rFonts w:ascii="Symbol" w:hAnsi="Symbol"/>
              </w:rPr>
              <w:tab/>
            </w:r>
            <w:r w:rsidR="0EDB9B28" w:rsidRPr="00DB101C">
              <w:t>Articulation of the objective of the review with methodology.</w:t>
            </w:r>
          </w:p>
          <w:p w14:paraId="7FF4556F" w14:textId="17320DBC" w:rsidR="0EDB9B28" w:rsidRPr="00DB101C" w:rsidRDefault="00C6388D" w:rsidP="000B0A7A">
            <w:pPr>
              <w:pStyle w:val="Tabletext"/>
              <w:ind w:left="284" w:hanging="284"/>
            </w:pPr>
            <w:r w:rsidRPr="00DB101C">
              <w:rPr>
                <w:rFonts w:ascii="Symbol" w:hAnsi="Symbol"/>
              </w:rPr>
              <w:t></w:t>
            </w:r>
            <w:r w:rsidRPr="00DB101C">
              <w:rPr>
                <w:rFonts w:ascii="Symbol" w:hAnsi="Symbol"/>
              </w:rPr>
              <w:tab/>
            </w:r>
            <w:r w:rsidR="0EDB9B28" w:rsidRPr="00DB101C">
              <w:t>Development of tailored tools for data collection (e.g., surveys, interview questions).</w:t>
            </w:r>
          </w:p>
          <w:p w14:paraId="193DC8B6" w14:textId="0DBC9879" w:rsidR="0EDB9B28" w:rsidRPr="00DB101C" w:rsidRDefault="00C6388D" w:rsidP="000B0A7A">
            <w:pPr>
              <w:pStyle w:val="Tabletext"/>
              <w:ind w:left="284" w:hanging="284"/>
            </w:pPr>
            <w:r w:rsidRPr="00DB101C">
              <w:rPr>
                <w:rFonts w:ascii="Symbol" w:hAnsi="Symbol"/>
              </w:rPr>
              <w:t></w:t>
            </w:r>
            <w:r w:rsidRPr="00DB101C">
              <w:rPr>
                <w:rFonts w:ascii="Symbol" w:hAnsi="Symbol"/>
              </w:rPr>
              <w:tab/>
            </w:r>
            <w:r w:rsidR="0EDB9B28" w:rsidRPr="00DB101C">
              <w:t>Alignment of review metrics with ITU’s KPIs and strategic objectives.</w:t>
            </w:r>
          </w:p>
        </w:tc>
      </w:tr>
      <w:tr w:rsidR="0EDB9B28" w:rsidRPr="00DB101C" w14:paraId="249F574E" w14:textId="77777777" w:rsidTr="00161EE7">
        <w:trPr>
          <w:trHeight w:val="300"/>
        </w:trPr>
        <w:tc>
          <w:tcPr>
            <w:tcW w:w="1635" w:type="dxa"/>
          </w:tcPr>
          <w:p w14:paraId="1FC2829F" w14:textId="77777777" w:rsidR="0EDB9B28" w:rsidRPr="00DB101C" w:rsidRDefault="0EDB9B28" w:rsidP="003B3AF0">
            <w:pPr>
              <w:pStyle w:val="Tabletext"/>
            </w:pPr>
            <w:r w:rsidRPr="00DB101C">
              <w:rPr>
                <w:b/>
                <w:bCs/>
              </w:rPr>
              <w:t xml:space="preserve">Phase 2: </w:t>
            </w:r>
            <w:r w:rsidRPr="00DB101C">
              <w:rPr>
                <w:b/>
                <w:bCs/>
              </w:rPr>
              <w:br/>
            </w:r>
            <w:r w:rsidRPr="00DB101C">
              <w:t>Data collection and initial analysis</w:t>
            </w:r>
          </w:p>
        </w:tc>
        <w:tc>
          <w:tcPr>
            <w:tcW w:w="1951" w:type="dxa"/>
          </w:tcPr>
          <w:p w14:paraId="77F3ADA7" w14:textId="77777777" w:rsidR="0EDB9B28" w:rsidRPr="00DB101C" w:rsidRDefault="0EDB9B28" w:rsidP="003B3AF0">
            <w:pPr>
              <w:pStyle w:val="Tabletext"/>
            </w:pPr>
            <w:r w:rsidRPr="00DB101C">
              <w:t>September – November 2025</w:t>
            </w:r>
          </w:p>
        </w:tc>
        <w:tc>
          <w:tcPr>
            <w:tcW w:w="5479" w:type="dxa"/>
          </w:tcPr>
          <w:p w14:paraId="6C5671C7" w14:textId="7772E4B3" w:rsidR="0EDB9B28" w:rsidRPr="00DB101C" w:rsidRDefault="00C6388D" w:rsidP="000B0A7A">
            <w:pPr>
              <w:pStyle w:val="Tabletext"/>
              <w:ind w:left="284" w:hanging="284"/>
            </w:pPr>
            <w:r w:rsidRPr="00DB101C">
              <w:rPr>
                <w:rFonts w:ascii="Symbol" w:hAnsi="Symbol"/>
              </w:rPr>
              <w:t></w:t>
            </w:r>
            <w:r w:rsidRPr="00DB101C">
              <w:rPr>
                <w:rFonts w:ascii="Symbol" w:hAnsi="Symbol"/>
              </w:rPr>
              <w:tab/>
            </w:r>
            <w:r w:rsidR="0EDB9B28" w:rsidRPr="00DB101C">
              <w:t>Implementation of interviews and surveys across stakeholder groups.</w:t>
            </w:r>
          </w:p>
          <w:p w14:paraId="5517D421" w14:textId="21DB5C5B" w:rsidR="0EDB9B28" w:rsidRPr="00DB101C" w:rsidRDefault="00C6388D" w:rsidP="000B0A7A">
            <w:pPr>
              <w:pStyle w:val="Tabletext"/>
              <w:ind w:left="284" w:hanging="284"/>
            </w:pPr>
            <w:r w:rsidRPr="00DB101C">
              <w:rPr>
                <w:rFonts w:ascii="Symbol" w:hAnsi="Symbol"/>
              </w:rPr>
              <w:t></w:t>
            </w:r>
            <w:r w:rsidRPr="00DB101C">
              <w:rPr>
                <w:rFonts w:ascii="Symbol" w:hAnsi="Symbol"/>
              </w:rPr>
              <w:tab/>
            </w:r>
            <w:r w:rsidR="0EDB9B28" w:rsidRPr="00DB101C">
              <w:t>Benchmarking exercises.</w:t>
            </w:r>
          </w:p>
          <w:p w14:paraId="202B6342" w14:textId="1401BDCF" w:rsidR="0EDB9B28" w:rsidRPr="00DB101C" w:rsidRDefault="00C6388D" w:rsidP="000B0A7A">
            <w:pPr>
              <w:pStyle w:val="Tabletext"/>
              <w:ind w:left="284" w:hanging="284"/>
            </w:pPr>
            <w:r w:rsidRPr="00DB101C">
              <w:rPr>
                <w:rFonts w:ascii="Symbol" w:hAnsi="Symbol"/>
              </w:rPr>
              <w:t></w:t>
            </w:r>
            <w:r w:rsidRPr="00DB101C">
              <w:rPr>
                <w:rFonts w:ascii="Symbol" w:hAnsi="Symbol"/>
              </w:rPr>
              <w:tab/>
            </w:r>
            <w:r w:rsidR="0EDB9B28" w:rsidRPr="00DB101C">
              <w:t>Initial analysis and identification of emerging patterns and key themes.</w:t>
            </w:r>
          </w:p>
        </w:tc>
      </w:tr>
      <w:tr w:rsidR="0EDB9B28" w:rsidRPr="00DB101C" w14:paraId="0E30921D" w14:textId="77777777" w:rsidTr="00161EE7">
        <w:trPr>
          <w:trHeight w:val="300"/>
        </w:trPr>
        <w:tc>
          <w:tcPr>
            <w:tcW w:w="1635" w:type="dxa"/>
          </w:tcPr>
          <w:p w14:paraId="16BC15F7" w14:textId="77777777" w:rsidR="0EDB9B28" w:rsidRPr="00DB101C" w:rsidRDefault="0EDB9B28" w:rsidP="003B3AF0">
            <w:pPr>
              <w:pStyle w:val="Tabletext"/>
            </w:pPr>
            <w:r w:rsidRPr="00DB101C">
              <w:rPr>
                <w:b/>
                <w:bCs/>
              </w:rPr>
              <w:t>Phase 3:</w:t>
            </w:r>
            <w:r w:rsidRPr="00DB101C">
              <w:t xml:space="preserve"> Detailed analysis and drafting</w:t>
            </w:r>
          </w:p>
        </w:tc>
        <w:tc>
          <w:tcPr>
            <w:tcW w:w="1951" w:type="dxa"/>
          </w:tcPr>
          <w:p w14:paraId="3D51C3D8" w14:textId="77777777" w:rsidR="0EDB9B28" w:rsidRPr="00DB101C" w:rsidRDefault="0EDB9B28" w:rsidP="003B3AF0">
            <w:pPr>
              <w:pStyle w:val="Tabletext"/>
            </w:pPr>
            <w:r w:rsidRPr="00DB101C">
              <w:t xml:space="preserve">December 2025 – February 2026 </w:t>
            </w:r>
          </w:p>
        </w:tc>
        <w:tc>
          <w:tcPr>
            <w:tcW w:w="5479" w:type="dxa"/>
          </w:tcPr>
          <w:p w14:paraId="1DA54D92" w14:textId="547B29DC" w:rsidR="0EDB9B28" w:rsidRPr="00DB101C" w:rsidRDefault="00C6388D" w:rsidP="000B0A7A">
            <w:pPr>
              <w:pStyle w:val="Tabletext"/>
              <w:ind w:left="284" w:hanging="284"/>
            </w:pPr>
            <w:r w:rsidRPr="00DB101C">
              <w:rPr>
                <w:rFonts w:ascii="Symbol" w:hAnsi="Symbol"/>
              </w:rPr>
              <w:t></w:t>
            </w:r>
            <w:r w:rsidRPr="00DB101C">
              <w:rPr>
                <w:rFonts w:ascii="Symbol" w:hAnsi="Symbol"/>
              </w:rPr>
              <w:tab/>
            </w:r>
            <w:r w:rsidR="0EDB9B28" w:rsidRPr="00DB101C">
              <w:t>Comprehensive analysis of findings based on the initial analysis.</w:t>
            </w:r>
          </w:p>
          <w:p w14:paraId="289D5E27" w14:textId="074DF34B" w:rsidR="0EDB9B28" w:rsidRPr="00DB101C" w:rsidRDefault="00C6388D" w:rsidP="000B0A7A">
            <w:pPr>
              <w:pStyle w:val="Tabletext"/>
              <w:ind w:left="284" w:hanging="284"/>
            </w:pPr>
            <w:r w:rsidRPr="00DB101C">
              <w:rPr>
                <w:rFonts w:ascii="Symbol" w:hAnsi="Symbol"/>
              </w:rPr>
              <w:t></w:t>
            </w:r>
            <w:r w:rsidRPr="00DB101C">
              <w:rPr>
                <w:rFonts w:ascii="Symbol" w:hAnsi="Symbol"/>
              </w:rPr>
              <w:tab/>
            </w:r>
            <w:r w:rsidR="0EDB9B28" w:rsidRPr="00DB101C">
              <w:t>Preparation of a draft review report including preliminary recommendations.</w:t>
            </w:r>
          </w:p>
        </w:tc>
      </w:tr>
      <w:tr w:rsidR="0EDB9B28" w:rsidRPr="00DB101C" w14:paraId="0952E799" w14:textId="77777777" w:rsidTr="00161EE7">
        <w:trPr>
          <w:trHeight w:val="300"/>
        </w:trPr>
        <w:tc>
          <w:tcPr>
            <w:tcW w:w="1635" w:type="dxa"/>
          </w:tcPr>
          <w:p w14:paraId="3F5541F5" w14:textId="77777777" w:rsidR="0EDB9B28" w:rsidRPr="00DB101C" w:rsidRDefault="0EDB9B28" w:rsidP="003B3AF0">
            <w:pPr>
              <w:pStyle w:val="Tabletext"/>
            </w:pPr>
            <w:r w:rsidRPr="00DB101C">
              <w:rPr>
                <w:b/>
                <w:bCs/>
              </w:rPr>
              <w:t>Phase 4:</w:t>
            </w:r>
            <w:r w:rsidRPr="00DB101C">
              <w:t xml:space="preserve"> Validation and reporting</w:t>
            </w:r>
          </w:p>
        </w:tc>
        <w:tc>
          <w:tcPr>
            <w:tcW w:w="1951" w:type="dxa"/>
          </w:tcPr>
          <w:p w14:paraId="7769720C" w14:textId="77777777" w:rsidR="0EDB9B28" w:rsidRPr="00DB101C" w:rsidRDefault="0EDB9B28" w:rsidP="003B3AF0">
            <w:pPr>
              <w:pStyle w:val="Tabletext"/>
            </w:pPr>
            <w:r w:rsidRPr="00DB101C">
              <w:t>March – April 2026</w:t>
            </w:r>
          </w:p>
        </w:tc>
        <w:tc>
          <w:tcPr>
            <w:tcW w:w="5479" w:type="dxa"/>
          </w:tcPr>
          <w:p w14:paraId="506CDBCC" w14:textId="03E51B1E" w:rsidR="0EDB9B28" w:rsidRPr="00DB101C" w:rsidRDefault="00C6388D" w:rsidP="000B0A7A">
            <w:pPr>
              <w:pStyle w:val="Tabletext"/>
              <w:ind w:left="284" w:hanging="284"/>
            </w:pPr>
            <w:r w:rsidRPr="00DB101C">
              <w:rPr>
                <w:rFonts w:ascii="Symbol" w:hAnsi="Symbol"/>
              </w:rPr>
              <w:t></w:t>
            </w:r>
            <w:r w:rsidRPr="00DB101C">
              <w:rPr>
                <w:rFonts w:ascii="Symbol" w:hAnsi="Symbol"/>
              </w:rPr>
              <w:tab/>
            </w:r>
            <w:r w:rsidR="0EDB9B28" w:rsidRPr="00DB101C">
              <w:t xml:space="preserve">Validation of the draft review report. </w:t>
            </w:r>
          </w:p>
          <w:p w14:paraId="750F94E1" w14:textId="7790AA60" w:rsidR="0EDB9B28" w:rsidRPr="00DB101C" w:rsidRDefault="00C6388D" w:rsidP="000B0A7A">
            <w:pPr>
              <w:pStyle w:val="Tabletext"/>
              <w:ind w:left="284" w:hanging="284"/>
            </w:pPr>
            <w:r w:rsidRPr="00DB101C">
              <w:rPr>
                <w:rFonts w:ascii="Symbol" w:hAnsi="Symbol"/>
              </w:rPr>
              <w:t></w:t>
            </w:r>
            <w:r w:rsidRPr="00DB101C">
              <w:rPr>
                <w:rFonts w:ascii="Symbol" w:hAnsi="Symbol"/>
              </w:rPr>
              <w:tab/>
            </w:r>
            <w:r w:rsidR="0EDB9B28" w:rsidRPr="00DB101C">
              <w:t xml:space="preserve">Incorporation of feedback from validation. </w:t>
            </w:r>
          </w:p>
          <w:p w14:paraId="3A57BA10" w14:textId="10891FAB" w:rsidR="0EDB9B28" w:rsidRPr="00DB101C" w:rsidRDefault="00C6388D" w:rsidP="000B0A7A">
            <w:pPr>
              <w:pStyle w:val="Tabletext"/>
              <w:ind w:left="284" w:hanging="284"/>
            </w:pPr>
            <w:r w:rsidRPr="00DB101C">
              <w:rPr>
                <w:rFonts w:ascii="Symbol" w:hAnsi="Symbol"/>
              </w:rPr>
              <w:t></w:t>
            </w:r>
            <w:r w:rsidRPr="00DB101C">
              <w:rPr>
                <w:rFonts w:ascii="Symbol" w:hAnsi="Symbol"/>
              </w:rPr>
              <w:tab/>
            </w:r>
            <w:r w:rsidR="0EDB9B28" w:rsidRPr="00DB101C">
              <w:t>Drafting of the final review report for consideration by the Council and the 2026 Plenipotentiary Conference (PP-26).</w:t>
            </w:r>
          </w:p>
        </w:tc>
      </w:tr>
    </w:tbl>
    <w:p w14:paraId="2A49FBC5" w14:textId="77777777" w:rsidR="00542C9C" w:rsidRDefault="00542C9C" w:rsidP="00542C9C">
      <w:pPr>
        <w:pStyle w:val="Tablefin"/>
      </w:pPr>
    </w:p>
    <w:p w14:paraId="7D46F0B9" w14:textId="40341D04" w:rsidR="4B693BC8" w:rsidRPr="00554552" w:rsidRDefault="00C6388D" w:rsidP="00554552">
      <w:pPr>
        <w:pStyle w:val="Heading1"/>
      </w:pPr>
      <w:r w:rsidRPr="00554552">
        <w:t>3</w:t>
      </w:r>
      <w:r w:rsidRPr="00554552">
        <w:tab/>
      </w:r>
      <w:r w:rsidR="4B693BC8" w:rsidRPr="00554552">
        <w:t>Work carried out by the BDT</w:t>
      </w:r>
    </w:p>
    <w:p w14:paraId="58DC5105" w14:textId="56406DED" w:rsidR="4B693BC8" w:rsidRPr="00DB101C" w:rsidRDefault="5B9BAB79" w:rsidP="00554552">
      <w:pPr>
        <w:jc w:val="both"/>
        <w:rPr>
          <w:b/>
          <w:bCs/>
        </w:rPr>
      </w:pPr>
      <w:r w:rsidRPr="00DB101C">
        <w:t>3.1</w:t>
      </w:r>
      <w:r w:rsidR="00C75F2B" w:rsidRPr="00DB101C">
        <w:tab/>
      </w:r>
      <w:r w:rsidR="36B1CCAD" w:rsidRPr="00DB101C">
        <w:t xml:space="preserve">As an input to the preparation of the ITU Secretary-General’s report </w:t>
      </w:r>
      <w:hyperlink r:id="rId28" w:history="1"/>
      <w:r w:rsidR="36B1CCAD" w:rsidRPr="00DB101C">
        <w:t xml:space="preserve">, the BDT has </w:t>
      </w:r>
      <w:r w:rsidR="00670D0E" w:rsidRPr="00DB101C">
        <w:t>under</w:t>
      </w:r>
      <w:r w:rsidR="00F207C2" w:rsidRPr="00DB101C">
        <w:t xml:space="preserve">took </w:t>
      </w:r>
      <w:r w:rsidR="36B1CCAD" w:rsidRPr="00DB101C">
        <w:t>the following activities:</w:t>
      </w:r>
    </w:p>
    <w:p w14:paraId="5152D5D4" w14:textId="525AE767" w:rsidR="4B693BC8" w:rsidRPr="00DB101C" w:rsidRDefault="00C6388D" w:rsidP="00161EE7">
      <w:pPr>
        <w:pStyle w:val="enumlev1"/>
        <w:jc w:val="both"/>
      </w:pPr>
      <w:r w:rsidRPr="00DB101C">
        <w:rPr>
          <w:rFonts w:eastAsia="Aptos"/>
        </w:rPr>
        <w:t>1</w:t>
      </w:r>
      <w:r w:rsidRPr="00DB101C">
        <w:rPr>
          <w:rFonts w:eastAsia="Aptos"/>
        </w:rPr>
        <w:tab/>
      </w:r>
      <w:r w:rsidR="4B693BC8" w:rsidRPr="00DB101C">
        <w:t xml:space="preserve">Design and Launch of the ITU </w:t>
      </w:r>
      <w:r w:rsidR="008E7700" w:rsidRPr="00DB101C">
        <w:t>m</w:t>
      </w:r>
      <w:r w:rsidR="4B693BC8" w:rsidRPr="00DB101C">
        <w:t xml:space="preserve">embership </w:t>
      </w:r>
      <w:r w:rsidR="008E7700" w:rsidRPr="00DB101C">
        <w:t>s</w:t>
      </w:r>
      <w:r w:rsidR="4B693BC8" w:rsidRPr="00DB101C">
        <w:t>urvey</w:t>
      </w:r>
    </w:p>
    <w:p w14:paraId="21E8F2C5" w14:textId="6F9EAB57" w:rsidR="4B693BC8" w:rsidRPr="00DB101C" w:rsidRDefault="00C6388D" w:rsidP="00161EE7">
      <w:pPr>
        <w:pStyle w:val="enumlev1"/>
        <w:jc w:val="both"/>
      </w:pPr>
      <w:r w:rsidRPr="00DB101C">
        <w:rPr>
          <w:rFonts w:eastAsia="Aptos"/>
        </w:rPr>
        <w:t>2</w:t>
      </w:r>
      <w:r w:rsidRPr="00DB101C">
        <w:rPr>
          <w:rFonts w:eastAsia="Aptos"/>
        </w:rPr>
        <w:tab/>
      </w:r>
      <w:r w:rsidR="4B693BC8" w:rsidRPr="00DB101C">
        <w:t>Desk Review</w:t>
      </w:r>
    </w:p>
    <w:p w14:paraId="0D49C47E" w14:textId="35200D9C" w:rsidR="4B693BC8" w:rsidRPr="00DB101C" w:rsidRDefault="00C6388D" w:rsidP="00161EE7">
      <w:pPr>
        <w:pStyle w:val="enumlev1"/>
        <w:jc w:val="both"/>
      </w:pPr>
      <w:r w:rsidRPr="00DB101C">
        <w:rPr>
          <w:rFonts w:eastAsia="Aptos"/>
        </w:rPr>
        <w:t>3</w:t>
      </w:r>
      <w:r w:rsidRPr="00DB101C">
        <w:rPr>
          <w:rFonts w:eastAsia="Aptos"/>
        </w:rPr>
        <w:tab/>
      </w:r>
      <w:r w:rsidR="4B693BC8" w:rsidRPr="00DB101C">
        <w:t xml:space="preserve">Stakeholder Consultation including the Design and Launch of the Internal Assessment (IA) Survey, and interviews of RTOs </w:t>
      </w:r>
    </w:p>
    <w:p w14:paraId="0F776D8C" w14:textId="69CE4417" w:rsidR="4B693BC8" w:rsidRPr="00DB101C" w:rsidRDefault="00C6388D" w:rsidP="00161EE7">
      <w:pPr>
        <w:pStyle w:val="enumlev1"/>
        <w:jc w:val="both"/>
      </w:pPr>
      <w:r w:rsidRPr="00DB101C">
        <w:rPr>
          <w:rFonts w:eastAsia="Aptos"/>
        </w:rPr>
        <w:t>4</w:t>
      </w:r>
      <w:r w:rsidRPr="00DB101C">
        <w:rPr>
          <w:rFonts w:eastAsia="Aptos"/>
        </w:rPr>
        <w:tab/>
      </w:r>
      <w:r w:rsidR="4B693BC8" w:rsidRPr="00DB101C">
        <w:t>Periodic reporting as per the instructions of CWG-FHR and Council</w:t>
      </w:r>
      <w:r w:rsidR="00253DD8" w:rsidRPr="00DB101C">
        <w:t>.</w:t>
      </w:r>
    </w:p>
    <w:p w14:paraId="0492216E" w14:textId="7646E44B" w:rsidR="4B693BC8" w:rsidRPr="00DB101C" w:rsidRDefault="36B1CCAD" w:rsidP="49104199">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 xml:space="preserve">Further details of the above activities can be found in </w:t>
      </w:r>
      <w:r w:rsidR="71F38D65" w:rsidRPr="00DB101C">
        <w:rPr>
          <w:rFonts w:asciiTheme="minorHAnsi" w:hAnsiTheme="minorHAnsi" w:cstheme="minorBidi"/>
        </w:rPr>
        <w:t>the information document</w:t>
      </w:r>
      <w:r w:rsidR="4B8A88AE" w:rsidRPr="00DB101C">
        <w:rPr>
          <w:rFonts w:asciiTheme="minorHAnsi" w:hAnsiTheme="minorHAnsi" w:cstheme="minorBidi"/>
        </w:rPr>
        <w:t xml:space="preserve"> (</w:t>
      </w:r>
      <w:hyperlink r:id="rId29">
        <w:r w:rsidR="4B8A88AE" w:rsidRPr="00DB101C">
          <w:rPr>
            <w:rStyle w:val="Hyperlink"/>
            <w:rFonts w:asciiTheme="minorHAnsi" w:hAnsiTheme="minorHAnsi" w:cstheme="minorBidi"/>
          </w:rPr>
          <w:t>C26/INF/10</w:t>
        </w:r>
      </w:hyperlink>
      <w:r w:rsidR="4B8A88AE" w:rsidRPr="00DB101C">
        <w:rPr>
          <w:rFonts w:asciiTheme="minorHAnsi" w:hAnsiTheme="minorHAnsi" w:cstheme="minorBidi"/>
        </w:rPr>
        <w:t>)</w:t>
      </w:r>
      <w:r w:rsidRPr="00DB101C">
        <w:rPr>
          <w:rFonts w:asciiTheme="minorHAnsi" w:hAnsiTheme="minorHAnsi" w:cstheme="minorBidi"/>
        </w:rPr>
        <w:t>.</w:t>
      </w:r>
    </w:p>
    <w:p w14:paraId="22F95D27" w14:textId="38D57347" w:rsidR="1E7B1870" w:rsidRPr="00554552" w:rsidRDefault="00C6388D" w:rsidP="00554552">
      <w:pPr>
        <w:pStyle w:val="Heading1"/>
      </w:pPr>
      <w:r w:rsidRPr="00554552">
        <w:lastRenderedPageBreak/>
        <w:t>4</w:t>
      </w:r>
      <w:r w:rsidRPr="00554552">
        <w:tab/>
      </w:r>
      <w:r w:rsidR="1E7B1870" w:rsidRPr="00554552">
        <w:t>Methodology</w:t>
      </w:r>
    </w:p>
    <w:p w14:paraId="0D6D4B1F" w14:textId="792C8166" w:rsidR="1E7B1870" w:rsidRPr="00DB101C" w:rsidRDefault="00C75F2B" w:rsidP="00161EE7">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4.1</w:t>
      </w:r>
      <w:r w:rsidR="00A825E5" w:rsidRPr="00DB101C">
        <w:rPr>
          <w:rFonts w:asciiTheme="minorHAnsi" w:hAnsiTheme="minorHAnsi" w:cstheme="minorBidi"/>
        </w:rPr>
        <w:tab/>
      </w:r>
      <w:r w:rsidR="1E7B1870" w:rsidRPr="00DB101C">
        <w:rPr>
          <w:rFonts w:asciiTheme="minorHAnsi" w:hAnsiTheme="minorHAnsi" w:cstheme="minorBidi"/>
        </w:rPr>
        <w:t xml:space="preserve">The methodology of the Review followed the ToR agreed by membership as contained in Annex A and Annex 1 to Document </w:t>
      </w:r>
      <w:hyperlink r:id="rId30">
        <w:r w:rsidR="1E7B1870" w:rsidRPr="00DB101C">
          <w:rPr>
            <w:rStyle w:val="Hyperlink"/>
            <w:rFonts w:asciiTheme="minorHAnsi" w:hAnsiTheme="minorHAnsi" w:cstheme="minorBidi"/>
          </w:rPr>
          <w:t>C25/105</w:t>
        </w:r>
      </w:hyperlink>
      <w:r w:rsidR="1E7B1870" w:rsidRPr="00DB101C">
        <w:rPr>
          <w:rFonts w:asciiTheme="minorHAnsi" w:hAnsiTheme="minorHAnsi" w:cstheme="minorBidi"/>
        </w:rPr>
        <w:t>,</w:t>
      </w:r>
      <w:r w:rsidR="1E7B1870" w:rsidRPr="00DB101C">
        <w:rPr>
          <w:rFonts w:asciiTheme="minorHAnsi" w:hAnsiTheme="minorHAnsi" w:cstheme="minorBidi"/>
          <w:b/>
          <w:bCs/>
        </w:rPr>
        <w:t xml:space="preserve"> </w:t>
      </w:r>
      <w:r w:rsidR="1E7B1870" w:rsidRPr="00DB101C">
        <w:rPr>
          <w:rFonts w:asciiTheme="minorHAnsi" w:hAnsiTheme="minorHAnsi" w:cstheme="minorBidi"/>
        </w:rPr>
        <w:t>as tabulated below.</w:t>
      </w:r>
    </w:p>
    <w:p w14:paraId="736EB8DD" w14:textId="77777777" w:rsidR="00A825E5" w:rsidRPr="00DB101C" w:rsidRDefault="00A825E5" w:rsidP="00641ECE">
      <w:pPr>
        <w:tabs>
          <w:tab w:val="clear" w:pos="567"/>
          <w:tab w:val="clear" w:pos="1134"/>
          <w:tab w:val="clear" w:pos="1701"/>
          <w:tab w:val="clear" w:pos="2268"/>
          <w:tab w:val="clear" w:pos="2835"/>
        </w:tabs>
        <w:rPr>
          <w:rFonts w:asciiTheme="minorHAnsi" w:hAnsiTheme="minorHAnsi" w:cstheme="minorBidi"/>
        </w:rPr>
      </w:pPr>
    </w:p>
    <w:tbl>
      <w:tblPr>
        <w:tblStyle w:val="TableGrid1"/>
        <w:tblW w:w="0" w:type="auto"/>
        <w:tblLook w:val="04A0" w:firstRow="1" w:lastRow="0" w:firstColumn="1" w:lastColumn="0" w:noHBand="0" w:noVBand="1"/>
      </w:tblPr>
      <w:tblGrid>
        <w:gridCol w:w="3114"/>
        <w:gridCol w:w="5902"/>
      </w:tblGrid>
      <w:tr w:rsidR="0EDB9B28" w:rsidRPr="00DB101C" w14:paraId="69CEB51F" w14:textId="77777777" w:rsidTr="00161EE7">
        <w:trPr>
          <w:trHeight w:val="300"/>
        </w:trPr>
        <w:tc>
          <w:tcPr>
            <w:tcW w:w="3114" w:type="dxa"/>
          </w:tcPr>
          <w:p w14:paraId="5AF73797" w14:textId="77777777" w:rsidR="0EDB9B28" w:rsidRPr="00DB101C" w:rsidRDefault="0EDB9B28" w:rsidP="00253DD8">
            <w:pPr>
              <w:pStyle w:val="Tablehead"/>
              <w:rPr>
                <w:b w:val="0"/>
                <w:bCs/>
              </w:rPr>
            </w:pPr>
            <w:r w:rsidRPr="00DB101C">
              <w:t>Activity</w:t>
            </w:r>
          </w:p>
        </w:tc>
        <w:tc>
          <w:tcPr>
            <w:tcW w:w="5902" w:type="dxa"/>
          </w:tcPr>
          <w:p w14:paraId="0BF94C5C" w14:textId="77777777" w:rsidR="0EDB9B28" w:rsidRPr="00DB101C" w:rsidRDefault="0EDB9B28" w:rsidP="00253DD8">
            <w:pPr>
              <w:pStyle w:val="Tablehead"/>
              <w:rPr>
                <w:b w:val="0"/>
                <w:bCs/>
              </w:rPr>
            </w:pPr>
            <w:r w:rsidRPr="00DB101C">
              <w:t>Description</w:t>
            </w:r>
          </w:p>
        </w:tc>
      </w:tr>
      <w:tr w:rsidR="0EDB9B28" w:rsidRPr="00DB101C" w14:paraId="785FDA32" w14:textId="77777777" w:rsidTr="00161EE7">
        <w:trPr>
          <w:trHeight w:val="300"/>
        </w:trPr>
        <w:tc>
          <w:tcPr>
            <w:tcW w:w="3114" w:type="dxa"/>
          </w:tcPr>
          <w:p w14:paraId="27BDC59C" w14:textId="77777777" w:rsidR="0EDB9B28" w:rsidRPr="00DB101C" w:rsidRDefault="0EDB9B28" w:rsidP="00253DD8">
            <w:pPr>
              <w:pStyle w:val="Tabletext"/>
            </w:pPr>
            <w:r w:rsidRPr="00DB101C">
              <w:t>Document analysis</w:t>
            </w:r>
          </w:p>
        </w:tc>
        <w:tc>
          <w:tcPr>
            <w:tcW w:w="5902" w:type="dxa"/>
          </w:tcPr>
          <w:p w14:paraId="2A5111C4" w14:textId="77777777" w:rsidR="0EDB9B28" w:rsidRPr="00DB101C" w:rsidRDefault="0EDB9B28" w:rsidP="00253DD8">
            <w:pPr>
              <w:pStyle w:val="Tabletext"/>
            </w:pPr>
            <w:r w:rsidRPr="00DB101C">
              <w:t>Conduct a desk review of foundational documents, including Resolution 25, ITU’s strategic plans, and operational, performance and audit reports</w:t>
            </w:r>
          </w:p>
        </w:tc>
      </w:tr>
      <w:tr w:rsidR="0EDB9B28" w:rsidRPr="00DB101C" w14:paraId="74D1F1AB" w14:textId="77777777" w:rsidTr="00161EE7">
        <w:trPr>
          <w:trHeight w:val="300"/>
        </w:trPr>
        <w:tc>
          <w:tcPr>
            <w:tcW w:w="3114" w:type="dxa"/>
          </w:tcPr>
          <w:p w14:paraId="6CA652C0" w14:textId="77777777" w:rsidR="0EDB9B28" w:rsidRPr="00DB101C" w:rsidRDefault="0EDB9B28" w:rsidP="00253DD8">
            <w:pPr>
              <w:pStyle w:val="Tabletext"/>
            </w:pPr>
            <w:r w:rsidRPr="00DB101C">
              <w:t>Data analysis</w:t>
            </w:r>
          </w:p>
        </w:tc>
        <w:tc>
          <w:tcPr>
            <w:tcW w:w="5902" w:type="dxa"/>
          </w:tcPr>
          <w:p w14:paraId="410C73DA" w14:textId="77777777" w:rsidR="0EDB9B28" w:rsidRPr="00DB101C" w:rsidRDefault="0EDB9B28" w:rsidP="00253DD8">
            <w:pPr>
              <w:pStyle w:val="Tabletext"/>
            </w:pPr>
            <w:r w:rsidRPr="00DB101C">
              <w:t>Analyse key data points, including staffing structures, budget allocations, and project outcomes, to uncover trends, gaps, and opportunities for enhancement</w:t>
            </w:r>
          </w:p>
        </w:tc>
      </w:tr>
      <w:tr w:rsidR="0EDB9B28" w:rsidRPr="00DB101C" w14:paraId="1C6C5B69" w14:textId="77777777" w:rsidTr="00161EE7">
        <w:trPr>
          <w:trHeight w:val="300"/>
        </w:trPr>
        <w:tc>
          <w:tcPr>
            <w:tcW w:w="3114" w:type="dxa"/>
          </w:tcPr>
          <w:p w14:paraId="7D5CD00F" w14:textId="77777777" w:rsidR="0EDB9B28" w:rsidRPr="00DB101C" w:rsidRDefault="0EDB9B28" w:rsidP="00253DD8">
            <w:pPr>
              <w:pStyle w:val="Tabletext"/>
            </w:pPr>
            <w:r w:rsidRPr="00DB101C">
              <w:t>Stakeholder consultations</w:t>
            </w:r>
          </w:p>
        </w:tc>
        <w:tc>
          <w:tcPr>
            <w:tcW w:w="5902" w:type="dxa"/>
          </w:tcPr>
          <w:p w14:paraId="489FCDAA" w14:textId="77777777" w:rsidR="0EDB9B28" w:rsidRPr="00DB101C" w:rsidRDefault="0EDB9B28" w:rsidP="00253DD8">
            <w:pPr>
              <w:pStyle w:val="Tabletext"/>
            </w:pPr>
            <w:r w:rsidRPr="00DB101C">
              <w:t>Engage internally with key stakeholders and consult with ITU advisory groups to gain insights and strategic guidance on shaping the future direction of ITU’s regional presence</w:t>
            </w:r>
          </w:p>
        </w:tc>
      </w:tr>
      <w:tr w:rsidR="0EDB9B28" w:rsidRPr="00DB101C" w14:paraId="39FD138D" w14:textId="77777777" w:rsidTr="00161EE7">
        <w:trPr>
          <w:trHeight w:val="300"/>
        </w:trPr>
        <w:tc>
          <w:tcPr>
            <w:tcW w:w="3114" w:type="dxa"/>
          </w:tcPr>
          <w:p w14:paraId="256A0227" w14:textId="77777777" w:rsidR="0EDB9B28" w:rsidRPr="00DB101C" w:rsidRDefault="0EDB9B28" w:rsidP="00253DD8">
            <w:pPr>
              <w:pStyle w:val="Tabletext"/>
            </w:pPr>
            <w:r w:rsidRPr="00DB101C">
              <w:t>Stakeholder surveys</w:t>
            </w:r>
          </w:p>
        </w:tc>
        <w:tc>
          <w:tcPr>
            <w:tcW w:w="5902" w:type="dxa"/>
          </w:tcPr>
          <w:p w14:paraId="305E871E" w14:textId="77777777" w:rsidR="0EDB9B28" w:rsidRPr="00DB101C" w:rsidRDefault="0EDB9B28" w:rsidP="00253DD8">
            <w:pPr>
              <w:pStyle w:val="Tabletext"/>
            </w:pPr>
            <w:r w:rsidRPr="00DB101C">
              <w:t>Administer and collect feedback on satisfaction levels from membership and Regional Telecommunication Organizations (RTOs) to gauge the impact of regional presence with the priority assessment of the overall satisfaction</w:t>
            </w:r>
          </w:p>
        </w:tc>
      </w:tr>
    </w:tbl>
    <w:p w14:paraId="71ADD162" w14:textId="77777777" w:rsidR="00253DD8" w:rsidRPr="00DB101C" w:rsidRDefault="00253DD8" w:rsidP="00253DD8">
      <w:pPr>
        <w:pStyle w:val="Tablefin"/>
      </w:pPr>
    </w:p>
    <w:p w14:paraId="4528B894" w14:textId="7FDCA305" w:rsidR="1E7B1870" w:rsidRPr="00DB101C" w:rsidRDefault="00C75F2B" w:rsidP="00554552">
      <w:pPr>
        <w:jc w:val="both"/>
        <w:rPr>
          <w:rFonts w:asciiTheme="minorHAnsi" w:hAnsiTheme="minorHAnsi" w:cstheme="minorBidi"/>
        </w:rPr>
      </w:pPr>
      <w:r w:rsidRPr="00DB101C">
        <w:rPr>
          <w:rFonts w:asciiTheme="minorHAnsi" w:hAnsiTheme="minorHAnsi" w:cstheme="minorBidi"/>
        </w:rPr>
        <w:t>4.2</w:t>
      </w:r>
      <w:r w:rsidR="00253DD8" w:rsidRPr="00DB101C">
        <w:rPr>
          <w:rFonts w:asciiTheme="minorHAnsi" w:hAnsiTheme="minorHAnsi" w:cstheme="minorBidi"/>
        </w:rPr>
        <w:tab/>
      </w:r>
      <w:r w:rsidR="1E7B1870" w:rsidRPr="00DB101C">
        <w:rPr>
          <w:rFonts w:asciiTheme="minorHAnsi" w:hAnsiTheme="minorHAnsi" w:cstheme="minorBidi"/>
        </w:rPr>
        <w:t>Accordingly, commencing its work after the first meeting of the Intersectoral Task Force on Regional Presence on 17 July 2025, BDT analy</w:t>
      </w:r>
      <w:r w:rsidR="004E47E5" w:rsidRPr="00DB101C">
        <w:rPr>
          <w:rFonts w:asciiTheme="minorHAnsi" w:hAnsiTheme="minorHAnsi" w:cstheme="minorBidi"/>
        </w:rPr>
        <w:t>s</w:t>
      </w:r>
      <w:r w:rsidR="1E7B1870" w:rsidRPr="00DB101C">
        <w:rPr>
          <w:rFonts w:asciiTheme="minorHAnsi" w:hAnsiTheme="minorHAnsi" w:cstheme="minorBidi"/>
        </w:rPr>
        <w:t xml:space="preserve">ed the 12 </w:t>
      </w:r>
      <w:r w:rsidR="0DC1B3E4" w:rsidRPr="00DB101C">
        <w:rPr>
          <w:rFonts w:asciiTheme="minorHAnsi" w:hAnsiTheme="minorHAnsi" w:cstheme="minorBidi"/>
        </w:rPr>
        <w:t xml:space="preserve">Statement of </w:t>
      </w:r>
      <w:r w:rsidR="624CDFBA" w:rsidRPr="00DB101C">
        <w:rPr>
          <w:rFonts w:asciiTheme="minorHAnsi" w:hAnsiTheme="minorHAnsi" w:cstheme="minorBidi"/>
        </w:rPr>
        <w:t>W</w:t>
      </w:r>
      <w:r w:rsidR="0DC1B3E4" w:rsidRPr="00DB101C">
        <w:rPr>
          <w:rFonts w:asciiTheme="minorHAnsi" w:hAnsiTheme="minorHAnsi" w:cstheme="minorBidi"/>
        </w:rPr>
        <w:t>ork (</w:t>
      </w:r>
      <w:r w:rsidR="1E7B1870" w:rsidRPr="00DB101C">
        <w:rPr>
          <w:rFonts w:asciiTheme="minorHAnsi" w:hAnsiTheme="minorHAnsi" w:cstheme="minorBidi"/>
        </w:rPr>
        <w:t>SoW</w:t>
      </w:r>
      <w:r w:rsidR="0291CB12" w:rsidRPr="00DB101C">
        <w:rPr>
          <w:rFonts w:asciiTheme="minorHAnsi" w:hAnsiTheme="minorHAnsi" w:cstheme="minorBidi"/>
        </w:rPr>
        <w:t>)</w:t>
      </w:r>
      <w:r w:rsidR="1E7B1870" w:rsidRPr="00DB101C">
        <w:rPr>
          <w:rFonts w:asciiTheme="minorHAnsi" w:hAnsiTheme="minorHAnsi" w:cstheme="minorBidi"/>
        </w:rPr>
        <w:t xml:space="preserve"> items listed in Annex A and the 27 </w:t>
      </w:r>
      <w:r w:rsidR="5FECFB1E" w:rsidRPr="00DB101C">
        <w:rPr>
          <w:rFonts w:asciiTheme="minorHAnsi" w:hAnsiTheme="minorHAnsi" w:cstheme="minorBidi"/>
        </w:rPr>
        <w:t>K</w:t>
      </w:r>
      <w:r w:rsidR="0D78BD7F" w:rsidRPr="00DB101C">
        <w:rPr>
          <w:rFonts w:asciiTheme="minorHAnsi" w:hAnsiTheme="minorHAnsi" w:cstheme="minorBidi"/>
        </w:rPr>
        <w:t xml:space="preserve">ey </w:t>
      </w:r>
      <w:r w:rsidR="5C16BD08" w:rsidRPr="00DB101C">
        <w:rPr>
          <w:rFonts w:asciiTheme="minorHAnsi" w:hAnsiTheme="minorHAnsi" w:cstheme="minorBidi"/>
        </w:rPr>
        <w:t>P</w:t>
      </w:r>
      <w:r w:rsidR="0D78BD7F" w:rsidRPr="00DB101C">
        <w:rPr>
          <w:rFonts w:asciiTheme="minorHAnsi" w:hAnsiTheme="minorHAnsi" w:cstheme="minorBidi"/>
        </w:rPr>
        <w:t xml:space="preserve">erformance </w:t>
      </w:r>
      <w:r w:rsidR="7E997D6E" w:rsidRPr="00DB101C">
        <w:rPr>
          <w:rFonts w:asciiTheme="minorHAnsi" w:hAnsiTheme="minorHAnsi" w:cstheme="minorBidi"/>
        </w:rPr>
        <w:t>I</w:t>
      </w:r>
      <w:r w:rsidR="0D78BD7F" w:rsidRPr="00DB101C">
        <w:rPr>
          <w:rFonts w:asciiTheme="minorHAnsi" w:hAnsiTheme="minorHAnsi" w:cstheme="minorBidi"/>
        </w:rPr>
        <w:t>ndicators (</w:t>
      </w:r>
      <w:r w:rsidR="1E7B1870" w:rsidRPr="00DB101C">
        <w:rPr>
          <w:rFonts w:asciiTheme="minorHAnsi" w:hAnsiTheme="minorHAnsi" w:cstheme="minorBidi"/>
        </w:rPr>
        <w:t>KPI</w:t>
      </w:r>
      <w:r w:rsidR="10241028" w:rsidRPr="00DB101C">
        <w:rPr>
          <w:rFonts w:asciiTheme="minorHAnsi" w:hAnsiTheme="minorHAnsi" w:cstheme="minorBidi"/>
        </w:rPr>
        <w:t>s)</w:t>
      </w:r>
      <w:r w:rsidR="1E7B1870" w:rsidRPr="00DB101C">
        <w:rPr>
          <w:rFonts w:asciiTheme="minorHAnsi" w:hAnsiTheme="minorHAnsi" w:cstheme="minorBidi"/>
        </w:rPr>
        <w:t xml:space="preserve"> listed in Annex 1 to Document</w:t>
      </w:r>
      <w:r w:rsidR="00777131" w:rsidRPr="00DB101C">
        <w:rPr>
          <w:rFonts w:asciiTheme="minorHAnsi" w:hAnsiTheme="minorHAnsi" w:cstheme="minorBidi"/>
        </w:rPr>
        <w:t> </w:t>
      </w:r>
      <w:hyperlink r:id="rId31">
        <w:r w:rsidR="1E7B1870" w:rsidRPr="00DB101C">
          <w:rPr>
            <w:rStyle w:val="Hyperlink"/>
            <w:rFonts w:asciiTheme="minorHAnsi" w:hAnsiTheme="minorHAnsi" w:cstheme="minorBidi"/>
          </w:rPr>
          <w:t>C25/105</w:t>
        </w:r>
      </w:hyperlink>
      <w:r w:rsidR="1E7B1870" w:rsidRPr="00DB101C">
        <w:rPr>
          <w:rFonts w:asciiTheme="minorHAnsi" w:hAnsiTheme="minorHAnsi" w:cstheme="minorBidi"/>
        </w:rPr>
        <w:t>. As a first step</w:t>
      </w:r>
      <w:r w:rsidR="28B1400E" w:rsidRPr="00DB101C">
        <w:rPr>
          <w:rFonts w:asciiTheme="minorHAnsi" w:hAnsiTheme="minorHAnsi" w:cstheme="minorBidi"/>
        </w:rPr>
        <w:t>,</w:t>
      </w:r>
      <w:r w:rsidR="1E7B1870" w:rsidRPr="00DB101C">
        <w:rPr>
          <w:rFonts w:asciiTheme="minorHAnsi" w:hAnsiTheme="minorHAnsi" w:cstheme="minorBidi"/>
        </w:rPr>
        <w:t xml:space="preserve"> the KPIs were mapped to the 12 SoW items. The 27 KPI and 12 SoW items were studied to evaluate the primary and secondary data sources, i.e., whether it could be derived from the membership survey, or stakeholder consultations including the internal assessment survey, or desk research/ document analysis. Some KPIs were mapped to two or more data sources. </w:t>
      </w:r>
    </w:p>
    <w:p w14:paraId="1D49BCC6" w14:textId="1B5026E8" w:rsidR="00C75F2B" w:rsidRPr="00DB101C" w:rsidRDefault="5B9BAB79" w:rsidP="00554552">
      <w:pPr>
        <w:jc w:val="both"/>
        <w:rPr>
          <w:rFonts w:asciiTheme="minorHAnsi" w:hAnsiTheme="minorHAnsi" w:cstheme="minorBidi"/>
        </w:rPr>
      </w:pPr>
      <w:r w:rsidRPr="00DB101C">
        <w:rPr>
          <w:rFonts w:asciiTheme="minorHAnsi" w:hAnsiTheme="minorHAnsi" w:cstheme="minorBidi"/>
        </w:rPr>
        <w:t>4.3</w:t>
      </w:r>
      <w:r w:rsidR="00253DD8" w:rsidRPr="00DB101C">
        <w:rPr>
          <w:rFonts w:asciiTheme="minorHAnsi" w:hAnsiTheme="minorHAnsi" w:cstheme="minorBidi"/>
        </w:rPr>
        <w:tab/>
      </w:r>
      <w:r w:rsidR="3D7CC1C4" w:rsidRPr="00DB101C">
        <w:rPr>
          <w:rFonts w:asciiTheme="minorHAnsi" w:hAnsiTheme="minorHAnsi" w:cstheme="minorBidi"/>
        </w:rPr>
        <w:t xml:space="preserve">BDT designed and implemented the </w:t>
      </w:r>
      <w:r w:rsidR="4F98E914" w:rsidRPr="00DB101C">
        <w:rPr>
          <w:rFonts w:asciiTheme="minorHAnsi" w:hAnsiTheme="minorHAnsi" w:cstheme="minorBidi"/>
        </w:rPr>
        <w:t>m</w:t>
      </w:r>
      <w:r w:rsidR="3D7CC1C4" w:rsidRPr="00DB101C">
        <w:rPr>
          <w:rFonts w:asciiTheme="minorHAnsi" w:hAnsiTheme="minorHAnsi" w:cstheme="minorBidi"/>
        </w:rPr>
        <w:t xml:space="preserve">embership survey and carried out desk research by identifying documentary sources and collecting data from relevant reliable sources. </w:t>
      </w:r>
      <w:r w:rsidR="3D7CC1C4" w:rsidRPr="00554552">
        <w:t>Document</w:t>
      </w:r>
      <w:r w:rsidR="3D7CC1C4" w:rsidRPr="00DB101C">
        <w:rPr>
          <w:rFonts w:asciiTheme="minorHAnsi" w:hAnsiTheme="minorHAnsi" w:cstheme="minorBidi"/>
        </w:rPr>
        <w:t xml:space="preserve"> analysis also encompassed benchmarking against similarly placed UN organizations. The findings of the </w:t>
      </w:r>
      <w:r w:rsidR="4F98E914" w:rsidRPr="00DB101C">
        <w:rPr>
          <w:rFonts w:asciiTheme="minorHAnsi" w:hAnsiTheme="minorHAnsi" w:cstheme="minorBidi"/>
        </w:rPr>
        <w:t>m</w:t>
      </w:r>
      <w:r w:rsidR="3D7CC1C4" w:rsidRPr="00DB101C">
        <w:rPr>
          <w:rFonts w:asciiTheme="minorHAnsi" w:hAnsiTheme="minorHAnsi" w:cstheme="minorBidi"/>
        </w:rPr>
        <w:t xml:space="preserve">embership </w:t>
      </w:r>
      <w:r w:rsidR="4F98E914" w:rsidRPr="00DB101C">
        <w:rPr>
          <w:rFonts w:asciiTheme="minorHAnsi" w:hAnsiTheme="minorHAnsi" w:cstheme="minorBidi"/>
        </w:rPr>
        <w:t>s</w:t>
      </w:r>
      <w:r w:rsidR="3D7CC1C4" w:rsidRPr="00DB101C">
        <w:rPr>
          <w:rFonts w:asciiTheme="minorHAnsi" w:hAnsiTheme="minorHAnsi" w:cstheme="minorBidi"/>
        </w:rPr>
        <w:t xml:space="preserve">urvey and desk research were supplemented with data from stakeholder consultation including interviews of RTOs to supplement the feedback from the </w:t>
      </w:r>
      <w:r w:rsidR="0632ADAD" w:rsidRPr="00DB101C">
        <w:rPr>
          <w:rFonts w:asciiTheme="minorHAnsi" w:hAnsiTheme="minorHAnsi" w:cstheme="minorBidi"/>
        </w:rPr>
        <w:t>m</w:t>
      </w:r>
      <w:r w:rsidR="3D7CC1C4" w:rsidRPr="00DB101C">
        <w:rPr>
          <w:rFonts w:asciiTheme="minorHAnsi" w:hAnsiTheme="minorHAnsi" w:cstheme="minorBidi"/>
        </w:rPr>
        <w:t>embership survey, the findings of the Internal Assessment survey as well as other stakeholder feedback. Once data had been collected and collated, it was analy</w:t>
      </w:r>
      <w:r w:rsidR="20D2E939" w:rsidRPr="00DB101C">
        <w:rPr>
          <w:rFonts w:asciiTheme="minorHAnsi" w:hAnsiTheme="minorHAnsi" w:cstheme="minorBidi"/>
        </w:rPr>
        <w:t>s</w:t>
      </w:r>
      <w:r w:rsidR="3D7CC1C4" w:rsidRPr="00DB101C">
        <w:rPr>
          <w:rFonts w:asciiTheme="minorHAnsi" w:hAnsiTheme="minorHAnsi" w:cstheme="minorBidi"/>
        </w:rPr>
        <w:t>ed per KPI to arrive at consolidated findings for all 12 SoW items.</w:t>
      </w:r>
      <w:r w:rsidR="1FFA7C9A" w:rsidRPr="00DB101C">
        <w:rPr>
          <w:rFonts w:asciiTheme="minorHAnsi" w:hAnsiTheme="minorHAnsi" w:cstheme="minorBidi"/>
        </w:rPr>
        <w:t xml:space="preserve"> Details are</w:t>
      </w:r>
      <w:r w:rsidR="0A4B952B" w:rsidRPr="00DB101C">
        <w:rPr>
          <w:rFonts w:asciiTheme="minorHAnsi" w:hAnsiTheme="minorHAnsi" w:cstheme="minorBidi"/>
        </w:rPr>
        <w:t xml:space="preserve"> in</w:t>
      </w:r>
      <w:r w:rsidR="00DB101C" w:rsidRPr="00DB101C">
        <w:rPr>
          <w:rFonts w:asciiTheme="minorHAnsi" w:hAnsiTheme="minorHAnsi" w:cstheme="minorBidi"/>
        </w:rPr>
        <w:t xml:space="preserve"> Document </w:t>
      </w:r>
      <w:hyperlink r:id="rId32" w:history="1">
        <w:r w:rsidR="23A38C1D" w:rsidRPr="00DB101C">
          <w:rPr>
            <w:rStyle w:val="Hyperlink"/>
            <w:rFonts w:asciiTheme="minorHAnsi" w:hAnsiTheme="minorHAnsi" w:cstheme="minorBidi"/>
          </w:rPr>
          <w:t>C26/INF/</w:t>
        </w:r>
        <w:r w:rsidR="4D177FAC" w:rsidRPr="00DB101C">
          <w:rPr>
            <w:rStyle w:val="Hyperlink"/>
            <w:rFonts w:asciiTheme="minorHAnsi" w:hAnsiTheme="minorHAnsi" w:cstheme="minorBidi"/>
          </w:rPr>
          <w:t>10</w:t>
        </w:r>
      </w:hyperlink>
      <w:r w:rsidR="1FFA7C9A" w:rsidRPr="00DB101C">
        <w:rPr>
          <w:rFonts w:asciiTheme="minorHAnsi" w:hAnsiTheme="minorHAnsi" w:cstheme="minorBidi"/>
        </w:rPr>
        <w:t>.</w:t>
      </w:r>
    </w:p>
    <w:p w14:paraId="6C662681" w14:textId="75705142" w:rsidR="1E7B1870" w:rsidRPr="00554552" w:rsidRDefault="00C6388D" w:rsidP="00554552">
      <w:pPr>
        <w:pStyle w:val="Heading1"/>
      </w:pPr>
      <w:r w:rsidRPr="00554552">
        <w:t>5</w:t>
      </w:r>
      <w:r w:rsidRPr="00554552">
        <w:tab/>
      </w:r>
      <w:r w:rsidR="1E7B1870" w:rsidRPr="00554552">
        <w:t xml:space="preserve">Key </w:t>
      </w:r>
      <w:r w:rsidR="009E5133" w:rsidRPr="00554552">
        <w:t xml:space="preserve">findings </w:t>
      </w:r>
    </w:p>
    <w:p w14:paraId="6C572724" w14:textId="51834930" w:rsidR="24E42175" w:rsidRPr="00554552" w:rsidRDefault="00BE3157" w:rsidP="00554552">
      <w:pPr>
        <w:pStyle w:val="Heading2"/>
      </w:pPr>
      <w:r w:rsidRPr="00554552">
        <w:t>5.1</w:t>
      </w:r>
      <w:r w:rsidR="002A336C" w:rsidRPr="00554552">
        <w:tab/>
      </w:r>
      <w:r w:rsidR="00CB1D77" w:rsidRPr="00554552">
        <w:t xml:space="preserve">Areas of </w:t>
      </w:r>
      <w:r w:rsidR="002A336C" w:rsidRPr="00554552">
        <w:t>strength</w:t>
      </w:r>
    </w:p>
    <w:p w14:paraId="5A2E732B" w14:textId="1EB2918C" w:rsidR="24E42175" w:rsidRPr="00542C9C" w:rsidRDefault="00BE3157" w:rsidP="00542C9C">
      <w:pPr>
        <w:pStyle w:val="Heading3"/>
      </w:pPr>
      <w:r w:rsidRPr="00542C9C">
        <w:t>5.1</w:t>
      </w:r>
      <w:r w:rsidR="00236E23" w:rsidRPr="00542C9C">
        <w:t>.1</w:t>
      </w:r>
      <w:r w:rsidR="002A336C" w:rsidRPr="00542C9C">
        <w:tab/>
      </w:r>
      <w:r w:rsidR="24E42175" w:rsidRPr="00542C9C">
        <w:t>Strong overall satisfaction with regional activities</w:t>
      </w:r>
    </w:p>
    <w:p w14:paraId="72F378DC" w14:textId="2A603550" w:rsidR="00DA3082" w:rsidRPr="00DB101C" w:rsidRDefault="00DA3082" w:rsidP="00554552">
      <w:pPr>
        <w:jc w:val="both"/>
        <w:rPr>
          <w:rFonts w:asciiTheme="minorHAnsi" w:hAnsiTheme="minorHAnsi" w:cstheme="minorHAnsi"/>
        </w:rPr>
      </w:pPr>
      <w:r w:rsidRPr="00554552">
        <w:t>Membership</w:t>
      </w:r>
      <w:r w:rsidRPr="00DB101C">
        <w:rPr>
          <w:rFonts w:asciiTheme="minorHAnsi" w:hAnsiTheme="minorHAnsi" w:cstheme="minorBidi"/>
        </w:rPr>
        <w:t xml:space="preserve"> feedback indicates strong overall satisfaction with the activities carried out by ITU Regional and Area Offices. A clear majority of survey respondents agree that regional presence contributes to the delivery of ITU’s mandate and its impact on the ground, reflecting </w:t>
      </w:r>
      <w:r w:rsidRPr="00DB101C">
        <w:rPr>
          <w:rFonts w:asciiTheme="minorHAnsi" w:hAnsiTheme="minorHAnsi" w:cstheme="minorBidi"/>
        </w:rPr>
        <w:lastRenderedPageBreak/>
        <w:t>confidence in the role played by regional offices in translating global initiatives into regional and national contexts. Agreement with this statement reaches 71</w:t>
      </w:r>
      <w:r w:rsidR="00DB101C">
        <w:rPr>
          <w:rFonts w:asciiTheme="minorHAnsi" w:hAnsiTheme="minorHAnsi" w:cstheme="minorBidi"/>
        </w:rPr>
        <w:t xml:space="preserve"> per cent</w:t>
      </w:r>
      <w:r w:rsidRPr="00DB101C">
        <w:rPr>
          <w:rFonts w:asciiTheme="minorHAnsi" w:hAnsiTheme="minorHAnsi" w:cstheme="minorBidi"/>
        </w:rPr>
        <w:t>, indicating that regional presence is widely perceived as an effective operational extension of ITU’s work. Satisfaction with the current level of activities is also positive, with 60</w:t>
      </w:r>
      <w:r w:rsidR="00DB101C">
        <w:rPr>
          <w:rFonts w:asciiTheme="minorHAnsi" w:hAnsiTheme="minorHAnsi" w:cstheme="minorBidi"/>
        </w:rPr>
        <w:t xml:space="preserve"> per cent</w:t>
      </w:r>
      <w:r w:rsidRPr="00DB101C">
        <w:rPr>
          <w:rFonts w:asciiTheme="minorHAnsi" w:hAnsiTheme="minorHAnsi" w:cstheme="minorBidi"/>
        </w:rPr>
        <w:t xml:space="preserve"> expressing agreement that the scale of regional activities meets expectations, while also suggesting that some members anticipate continued expansion or deepening of engagement. </w:t>
      </w:r>
    </w:p>
    <w:p w14:paraId="017084AA" w14:textId="0640057E" w:rsidR="00DA3082" w:rsidRPr="00DB101C" w:rsidRDefault="00DA3082" w:rsidP="00641ECE">
      <w:pPr>
        <w:tabs>
          <w:tab w:val="clear" w:pos="567"/>
          <w:tab w:val="clear" w:pos="1134"/>
          <w:tab w:val="clear" w:pos="1701"/>
          <w:tab w:val="clear" w:pos="2268"/>
          <w:tab w:val="clear" w:pos="2835"/>
        </w:tabs>
        <w:jc w:val="both"/>
        <w:rPr>
          <w:rFonts w:asciiTheme="minorHAnsi" w:hAnsiTheme="minorHAnsi" w:cstheme="minorHAnsi"/>
        </w:rPr>
      </w:pPr>
      <w:r w:rsidRPr="00DB101C">
        <w:rPr>
          <w:rFonts w:asciiTheme="minorHAnsi" w:hAnsiTheme="minorHAnsi" w:cstheme="minorHAnsi"/>
        </w:rPr>
        <w:t xml:space="preserve">The overall positive perception emerging from the </w:t>
      </w:r>
      <w:r w:rsidR="008E7700" w:rsidRPr="00DB101C">
        <w:rPr>
          <w:rFonts w:asciiTheme="minorHAnsi" w:hAnsiTheme="minorHAnsi" w:cstheme="minorHAnsi"/>
        </w:rPr>
        <w:t>m</w:t>
      </w:r>
      <w:r w:rsidRPr="00DB101C">
        <w:rPr>
          <w:rFonts w:asciiTheme="minorHAnsi" w:hAnsiTheme="minorHAnsi" w:cstheme="minorHAnsi"/>
        </w:rPr>
        <w:t xml:space="preserve">embership </w:t>
      </w:r>
      <w:r w:rsidR="008E7700" w:rsidRPr="00DB101C">
        <w:rPr>
          <w:rFonts w:asciiTheme="minorHAnsi" w:hAnsiTheme="minorHAnsi" w:cstheme="minorHAnsi"/>
        </w:rPr>
        <w:t>s</w:t>
      </w:r>
      <w:r w:rsidRPr="00DB101C">
        <w:rPr>
          <w:rFonts w:asciiTheme="minorHAnsi" w:hAnsiTheme="minorHAnsi" w:cstheme="minorHAnsi"/>
        </w:rPr>
        <w:t xml:space="preserve">urvey is reinforced by stakeholder interviews. Discussions with Regional Telecommunication Organizations (RTOs) highlight satisfaction with the role of regional offices in facilitating dialogue, supporting regional initiatives and participating in regional coordination mechanisms. Interviewees describe cooperation with regional offices as constructive and responsive, confirming the positive perceptions reflected in the survey evidence. </w:t>
      </w:r>
    </w:p>
    <w:p w14:paraId="549E213C" w14:textId="77777777" w:rsidR="00DA3082" w:rsidRPr="00DB101C" w:rsidRDefault="00DA3082" w:rsidP="00641ECE">
      <w:pPr>
        <w:tabs>
          <w:tab w:val="clear" w:pos="567"/>
          <w:tab w:val="clear" w:pos="1134"/>
          <w:tab w:val="clear" w:pos="1701"/>
          <w:tab w:val="clear" w:pos="2268"/>
          <w:tab w:val="clear" w:pos="2835"/>
        </w:tabs>
        <w:jc w:val="both"/>
        <w:rPr>
          <w:rFonts w:asciiTheme="minorHAnsi" w:hAnsiTheme="minorHAnsi" w:cstheme="minorHAnsi"/>
        </w:rPr>
      </w:pPr>
      <w:r w:rsidRPr="00DB101C">
        <w:rPr>
          <w:rFonts w:asciiTheme="minorHAnsi" w:hAnsiTheme="minorHAnsi" w:cstheme="minorHAnsi"/>
        </w:rPr>
        <w:t xml:space="preserve">Together, these findings indicate that regional presence is widely perceived as a valuable component of ITU’s operational structure, contributing to the visibility and accessibility of the organization at regional level. </w:t>
      </w:r>
    </w:p>
    <w:p w14:paraId="359A01C3" w14:textId="647B9000" w:rsidR="24E42175" w:rsidRPr="00542C9C" w:rsidRDefault="00711531" w:rsidP="00542C9C">
      <w:pPr>
        <w:pStyle w:val="Heading3"/>
      </w:pPr>
      <w:r w:rsidRPr="00542C9C">
        <w:t>5.1.2</w:t>
      </w:r>
      <w:r w:rsidR="002A336C" w:rsidRPr="00542C9C">
        <w:tab/>
      </w:r>
      <w:r w:rsidR="24E42175" w:rsidRPr="00542C9C">
        <w:t>Strong engagement with Member States and stakeholders</w:t>
      </w:r>
    </w:p>
    <w:p w14:paraId="063CEF97" w14:textId="232A7480" w:rsidR="00BD3D36" w:rsidRPr="00DB101C" w:rsidRDefault="00BD3D36" w:rsidP="00641ECE">
      <w:pPr>
        <w:tabs>
          <w:tab w:val="clear" w:pos="567"/>
          <w:tab w:val="clear" w:pos="1134"/>
          <w:tab w:val="clear" w:pos="1701"/>
          <w:tab w:val="clear" w:pos="2268"/>
          <w:tab w:val="clear" w:pos="2835"/>
        </w:tabs>
        <w:jc w:val="both"/>
        <w:rPr>
          <w:rFonts w:asciiTheme="minorHAnsi" w:hAnsiTheme="minorHAnsi" w:cstheme="minorHAnsi"/>
        </w:rPr>
      </w:pPr>
      <w:r w:rsidRPr="00DB101C">
        <w:rPr>
          <w:rFonts w:asciiTheme="minorHAnsi" w:hAnsiTheme="minorHAnsi" w:cstheme="minorBidi"/>
        </w:rPr>
        <w:t>The evidence points to sustained engagement between regional offices and ITU membership. Consultation levels are high, with 74</w:t>
      </w:r>
      <w:r w:rsidR="00A61263" w:rsidRPr="00DB101C">
        <w:rPr>
          <w:rFonts w:asciiTheme="minorHAnsi" w:hAnsiTheme="minorHAnsi" w:cstheme="minorBidi"/>
        </w:rPr>
        <w:t xml:space="preserve"> per cent</w:t>
      </w:r>
      <w:r w:rsidRPr="00DB101C">
        <w:rPr>
          <w:rFonts w:asciiTheme="minorHAnsi" w:hAnsiTheme="minorHAnsi" w:cstheme="minorBidi"/>
        </w:rPr>
        <w:t xml:space="preserve"> of survey respondents reporting interaction with Regional or Area Offices during the reference period. These interactions demonstrate that regional offices function as active points of contact between the organization and its membership, supporting continuous dialogue and enabling Member States to engage with ITU activities and initiatives. </w:t>
      </w:r>
    </w:p>
    <w:p w14:paraId="6AC031F8" w14:textId="77777777" w:rsidR="00BD3D36" w:rsidRPr="00DB101C" w:rsidRDefault="00BD3D36" w:rsidP="00641ECE">
      <w:pPr>
        <w:tabs>
          <w:tab w:val="clear" w:pos="567"/>
          <w:tab w:val="clear" w:pos="1134"/>
          <w:tab w:val="clear" w:pos="1701"/>
          <w:tab w:val="clear" w:pos="2268"/>
          <w:tab w:val="clear" w:pos="2835"/>
        </w:tabs>
        <w:jc w:val="both"/>
        <w:rPr>
          <w:rFonts w:asciiTheme="minorHAnsi" w:hAnsiTheme="minorHAnsi" w:cstheme="minorHAnsi"/>
        </w:rPr>
      </w:pPr>
      <w:r w:rsidRPr="00DB101C">
        <w:rPr>
          <w:rFonts w:asciiTheme="minorHAnsi" w:hAnsiTheme="minorHAnsi" w:cstheme="minorHAnsi"/>
        </w:rPr>
        <w:t xml:space="preserve">Regional offices also play a central role in facilitating engagement with regional organizations and other institutional partners. Evidence from stakeholder interviews highlights regular operational interaction between regional offices and regional telecommunication organizations, including participation in regional meetings and technical discussions. These interactions contribute to aligning ITU activities with regional policy processes and institutional frameworks. </w:t>
      </w:r>
    </w:p>
    <w:p w14:paraId="6A49E72F" w14:textId="23555FB1" w:rsidR="00BD3D36" w:rsidRPr="00DB101C" w:rsidRDefault="00BD3D36" w:rsidP="00DB101C">
      <w:pPr>
        <w:jc w:val="both"/>
      </w:pPr>
      <w:r w:rsidRPr="00DB101C">
        <w:t>Participation data further illustrate the breadth of this engagement. Between 2022 and 2025, ITU organized more than 1</w:t>
      </w:r>
      <w:r w:rsidR="000164AB" w:rsidRPr="00DB101C">
        <w:t> </w:t>
      </w:r>
      <w:r w:rsidRPr="00DB101C">
        <w:t>000 events and over 1</w:t>
      </w:r>
      <w:r w:rsidR="000164AB" w:rsidRPr="00DB101C">
        <w:t> </w:t>
      </w:r>
      <w:r w:rsidRPr="00DB101C">
        <w:t xml:space="preserve">500 meetings across more than 100 host countries. Participation included Member States, sector members, academic institutions and international organizations, reflecting a broad and geographically diverse engagement landscape supported by regional presence. </w:t>
      </w:r>
    </w:p>
    <w:p w14:paraId="74C09A05" w14:textId="5EA5C74A"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Participation in ITU events and activities is geographically broad and institutionally diverse, with 173 Member States and 124</w:t>
      </w:r>
      <w:r w:rsidR="000164AB" w:rsidRPr="00DB101C">
        <w:rPr>
          <w:rFonts w:asciiTheme="minorHAnsi" w:hAnsiTheme="minorHAnsi" w:cstheme="minorBidi"/>
        </w:rPr>
        <w:t> </w:t>
      </w:r>
      <w:r w:rsidRPr="00DB101C">
        <w:rPr>
          <w:rFonts w:asciiTheme="minorHAnsi" w:hAnsiTheme="minorHAnsi" w:cstheme="minorBidi"/>
        </w:rPr>
        <w:t xml:space="preserve">120 unique participants engaged between 2022 and 2025. </w:t>
      </w:r>
    </w:p>
    <w:p w14:paraId="6D3980EA" w14:textId="77777777"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 xml:space="preserve">Fellowships demonstrate transparent, equitable, and gender-balanced allocation, further enabling inclusive participation. </w:t>
      </w:r>
    </w:p>
    <w:p w14:paraId="5DC1B133" w14:textId="111D4119" w:rsidR="24E42175" w:rsidRPr="00542C9C" w:rsidRDefault="00711531" w:rsidP="00542C9C">
      <w:pPr>
        <w:pStyle w:val="Heading3"/>
      </w:pPr>
      <w:r w:rsidRPr="00542C9C">
        <w:t>5.1.3</w:t>
      </w:r>
      <w:r w:rsidR="002A336C" w:rsidRPr="00542C9C">
        <w:tab/>
      </w:r>
      <w:r w:rsidR="24E42175" w:rsidRPr="00542C9C">
        <w:t>Effective dissemination of information and knowledge</w:t>
      </w:r>
    </w:p>
    <w:p w14:paraId="66EA316E" w14:textId="7AD25C23" w:rsidR="00013446" w:rsidRPr="00DB101C" w:rsidRDefault="00013446" w:rsidP="00641ECE">
      <w:pPr>
        <w:tabs>
          <w:tab w:val="clear" w:pos="567"/>
          <w:tab w:val="clear" w:pos="1134"/>
          <w:tab w:val="clear" w:pos="1701"/>
          <w:tab w:val="clear" w:pos="2268"/>
          <w:tab w:val="clear" w:pos="2835"/>
        </w:tabs>
        <w:jc w:val="both"/>
      </w:pPr>
      <w:r w:rsidRPr="00DB101C">
        <w:t>One of the strongest areas of performance concerns the dissemination of information and knowledge. Survey responses show that 73</w:t>
      </w:r>
      <w:r w:rsidR="000164AB" w:rsidRPr="00DB101C">
        <w:t xml:space="preserve"> per cent</w:t>
      </w:r>
      <w:r w:rsidRPr="00DB101C">
        <w:t xml:space="preserve"> of respondents agree that regional offices effectively disseminate information and data, while 70</w:t>
      </w:r>
      <w:r w:rsidR="000164AB" w:rsidRPr="00DB101C">
        <w:t xml:space="preserve"> per cent</w:t>
      </w:r>
      <w:r w:rsidRPr="00DB101C">
        <w:t xml:space="preserve"> consider that technological platforms are effectively used to share relevant information with stakeholders. </w:t>
      </w:r>
    </w:p>
    <w:p w14:paraId="501076C3" w14:textId="77777777" w:rsidR="00013446" w:rsidRPr="00DB101C" w:rsidRDefault="00013446" w:rsidP="00641ECE">
      <w:pPr>
        <w:tabs>
          <w:tab w:val="clear" w:pos="567"/>
          <w:tab w:val="clear" w:pos="1134"/>
          <w:tab w:val="clear" w:pos="1701"/>
          <w:tab w:val="clear" w:pos="2268"/>
          <w:tab w:val="clear" w:pos="2835"/>
        </w:tabs>
        <w:jc w:val="both"/>
      </w:pPr>
      <w:r w:rsidRPr="00DB101C">
        <w:lastRenderedPageBreak/>
        <w:t xml:space="preserve">These findings indicate that regional offices play an important role in ensuring that information produced by the organization reaches national stakeholders and regional partners. The use of digital platforms and hybrid engagement formats has further expanded the ability of regional offices to maintain regular interaction with members and stakeholders across diverse geographic contexts. </w:t>
      </w:r>
    </w:p>
    <w:p w14:paraId="67559E5F" w14:textId="77777777" w:rsidR="00013446" w:rsidRPr="00DB101C" w:rsidRDefault="00013446" w:rsidP="00641ECE">
      <w:pPr>
        <w:tabs>
          <w:tab w:val="clear" w:pos="567"/>
          <w:tab w:val="clear" w:pos="1134"/>
          <w:tab w:val="clear" w:pos="1701"/>
          <w:tab w:val="clear" w:pos="2268"/>
          <w:tab w:val="clear" w:pos="2835"/>
        </w:tabs>
        <w:jc w:val="both"/>
      </w:pPr>
      <w:r w:rsidRPr="00DB101C">
        <w:t xml:space="preserve">The dissemination function also contributes to policy dialogue and knowledge exchange. Regional offices facilitate discussions on regulatory and policy issues, support the exchange of experiences among countries and help communicate global ITU initiatives within regional contexts. </w:t>
      </w:r>
    </w:p>
    <w:p w14:paraId="71756CFC" w14:textId="0DF5FCBE" w:rsidR="24E42175" w:rsidRPr="00542C9C" w:rsidRDefault="00711531" w:rsidP="00542C9C">
      <w:pPr>
        <w:pStyle w:val="Heading3"/>
      </w:pPr>
      <w:r w:rsidRPr="00542C9C">
        <w:t>5.1.4</w:t>
      </w:r>
      <w:r w:rsidR="002A336C" w:rsidRPr="00542C9C">
        <w:tab/>
      </w:r>
      <w:r w:rsidR="24E42175" w:rsidRPr="00542C9C">
        <w:t>Strong contribution to awareness-raising and capacity development</w:t>
      </w:r>
    </w:p>
    <w:p w14:paraId="600E5D12" w14:textId="75DE218D" w:rsidR="24E42175" w:rsidRPr="00662EA7" w:rsidRDefault="24E42175" w:rsidP="00641ECE">
      <w:pPr>
        <w:tabs>
          <w:tab w:val="clear" w:pos="567"/>
          <w:tab w:val="clear" w:pos="1134"/>
          <w:tab w:val="clear" w:pos="1701"/>
          <w:tab w:val="clear" w:pos="2268"/>
          <w:tab w:val="clear" w:pos="2835"/>
        </w:tabs>
        <w:jc w:val="both"/>
        <w:rPr>
          <w:rFonts w:asciiTheme="minorHAnsi" w:hAnsiTheme="minorHAnsi" w:cstheme="minorBidi"/>
          <w:spacing w:val="-2"/>
        </w:rPr>
      </w:pPr>
      <w:r w:rsidRPr="00662EA7">
        <w:rPr>
          <w:rFonts w:asciiTheme="minorHAnsi" w:hAnsiTheme="minorHAnsi" w:cstheme="minorBidi"/>
          <w:spacing w:val="-2"/>
        </w:rPr>
        <w:t>Regional presence also supports awareness-raising, skills development and capacity building among Member States. Survey results show that 67</w:t>
      </w:r>
      <w:r w:rsidR="00DB101C" w:rsidRPr="00662EA7">
        <w:rPr>
          <w:rFonts w:asciiTheme="minorHAnsi" w:hAnsiTheme="minorHAnsi" w:cstheme="minorBidi"/>
          <w:spacing w:val="-2"/>
        </w:rPr>
        <w:t xml:space="preserve"> per cent</w:t>
      </w:r>
      <w:r w:rsidRPr="00662EA7">
        <w:rPr>
          <w:rFonts w:asciiTheme="minorHAnsi" w:hAnsiTheme="minorHAnsi" w:cstheme="minorBidi"/>
          <w:spacing w:val="-2"/>
        </w:rPr>
        <w:t xml:space="preserve"> of respondents agree that regional offices effectively contribute to building awareness, skills and capacity in relevant areas. </w:t>
      </w:r>
    </w:p>
    <w:p w14:paraId="6A745B40" w14:textId="77777777"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 xml:space="preserve">These activities take place through workshops, training events and policy dialogues organized across regions. Capacity-building initiatives help strengthen national expertise, support the implementation of ICT policies and enable stakeholders to participate more effectively in ITU processes. </w:t>
      </w:r>
    </w:p>
    <w:p w14:paraId="15ADEC95" w14:textId="77777777"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 xml:space="preserve">The role of regional offices in facilitating knowledge exchange and training is complemented by the work of other ITU platforms, including digital training programmes and collaborative initiatives with partners. </w:t>
      </w:r>
    </w:p>
    <w:p w14:paraId="24263879" w14:textId="77777777"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Regional Offices facilitate access to ITU Academy training:</w:t>
      </w:r>
    </w:p>
    <w:p w14:paraId="1B4EC2B9" w14:textId="0F7C776F" w:rsidR="24E42175" w:rsidRPr="00554552" w:rsidRDefault="000164AB" w:rsidP="00554552">
      <w:pPr>
        <w:pStyle w:val="enumlev1"/>
        <w:jc w:val="both"/>
      </w:pPr>
      <w:r w:rsidRPr="00554552">
        <w:t>–</w:t>
      </w:r>
      <w:r w:rsidRPr="00554552">
        <w:tab/>
      </w:r>
      <w:r w:rsidR="24E42175" w:rsidRPr="00554552">
        <w:t>12</w:t>
      </w:r>
      <w:r w:rsidRPr="00554552">
        <w:t> </w:t>
      </w:r>
      <w:r w:rsidR="24E42175" w:rsidRPr="00554552">
        <w:t>333 participants attended instructor</w:t>
      </w:r>
      <w:r w:rsidR="00EB04A3" w:rsidRPr="00554552">
        <w:t xml:space="preserve"> </w:t>
      </w:r>
      <w:r w:rsidR="24E42175" w:rsidRPr="00554552">
        <w:t>led training between 2023 and 2025.</w:t>
      </w:r>
    </w:p>
    <w:p w14:paraId="5AF76B00" w14:textId="799B8229" w:rsidR="24E42175" w:rsidRPr="00554552" w:rsidRDefault="000164AB" w:rsidP="00554552">
      <w:pPr>
        <w:pStyle w:val="enumlev1"/>
        <w:jc w:val="both"/>
      </w:pPr>
      <w:r w:rsidRPr="00554552">
        <w:t>–</w:t>
      </w:r>
      <w:r w:rsidRPr="00554552">
        <w:tab/>
      </w:r>
      <w:r w:rsidR="24E42175" w:rsidRPr="00554552">
        <w:t xml:space="preserve">79 region-specific courses ensured responsiveness to regional needs and contexts. </w:t>
      </w:r>
    </w:p>
    <w:p w14:paraId="149D9050" w14:textId="26A0E7A7" w:rsidR="24E42175" w:rsidRPr="00542C9C" w:rsidRDefault="00711531" w:rsidP="00542C9C">
      <w:pPr>
        <w:pStyle w:val="Heading3"/>
      </w:pPr>
      <w:r w:rsidRPr="00542C9C">
        <w:t>5.1.5</w:t>
      </w:r>
      <w:r w:rsidR="000164AB" w:rsidRPr="00542C9C">
        <w:tab/>
      </w:r>
      <w:r w:rsidR="24E42175" w:rsidRPr="00542C9C">
        <w:t>Credible convening platform for regional dialogue</w:t>
      </w:r>
    </w:p>
    <w:p w14:paraId="3F341D6B" w14:textId="77777777" w:rsidR="24E42175" w:rsidRPr="00DB101C" w:rsidRDefault="24E42175" w:rsidP="00554552">
      <w:pPr>
        <w:jc w:val="both"/>
      </w:pPr>
      <w:r w:rsidRPr="00DB101C">
        <w:t xml:space="preserve">Regional offices also serve as credible convening platforms that connect national authorities, regional organizations and international partners. Evidence from stakeholder interviews highlights the importance of regional offices in facilitating dialogue among stakeholders and supporting coordination between regional initiatives and global ITU processes. </w:t>
      </w:r>
    </w:p>
    <w:p w14:paraId="10AB85DA" w14:textId="77777777"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 xml:space="preserve">Through participation in regional meetings and technical discussions, regional offices help maintain continuous dialogue with Member States and regional organizations. This convening role supports the alignment of regional priorities with global ICT policy developments and contributes to the visibility of ITU within regional institutional frameworks. </w:t>
      </w:r>
    </w:p>
    <w:p w14:paraId="7382984D" w14:textId="77777777"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 xml:space="preserve">The ability of regional offices to bring together stakeholders from different sectors and institutional backgrounds also contributes to building collaborative networks that support regional initiatives and policy dialogue. </w:t>
      </w:r>
    </w:p>
    <w:p w14:paraId="336A5C37" w14:textId="31D6CD15" w:rsidR="24E42175" w:rsidRPr="00542C9C" w:rsidRDefault="00711531" w:rsidP="00542C9C">
      <w:pPr>
        <w:pStyle w:val="Heading3"/>
      </w:pPr>
      <w:r w:rsidRPr="00542C9C">
        <w:t>5.1.6</w:t>
      </w:r>
      <w:r w:rsidR="000164AB" w:rsidRPr="00542C9C">
        <w:tab/>
      </w:r>
      <w:r w:rsidR="24E42175" w:rsidRPr="00542C9C">
        <w:t>Strong foundation for partnership-based delivery</w:t>
      </w:r>
    </w:p>
    <w:p w14:paraId="7C304D76" w14:textId="0EDEA6A0"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 xml:space="preserve">The evidence also highlights a strong basis for collaboration and partnership-based delivery of ITU initiatives. Survey responses indicate high levels of willingness among membership entities to collaborate with </w:t>
      </w:r>
      <w:r w:rsidR="7B7A5044" w:rsidRPr="00DB101C">
        <w:rPr>
          <w:rFonts w:asciiTheme="minorHAnsi" w:hAnsiTheme="minorHAnsi" w:cstheme="minorBidi"/>
        </w:rPr>
        <w:t>regional and area offices</w:t>
      </w:r>
      <w:r w:rsidRPr="00DB101C">
        <w:rPr>
          <w:rFonts w:asciiTheme="minorHAnsi" w:hAnsiTheme="minorHAnsi" w:cstheme="minorBidi"/>
        </w:rPr>
        <w:t>, reaching 82</w:t>
      </w:r>
      <w:r w:rsidR="00DB101C">
        <w:rPr>
          <w:rFonts w:asciiTheme="minorHAnsi" w:hAnsiTheme="minorHAnsi" w:cstheme="minorBidi"/>
        </w:rPr>
        <w:t xml:space="preserve"> per cent</w:t>
      </w:r>
      <w:r w:rsidRPr="00DB101C">
        <w:rPr>
          <w:rFonts w:asciiTheme="minorHAnsi" w:hAnsiTheme="minorHAnsi" w:cstheme="minorBidi"/>
        </w:rPr>
        <w:t>, while collaboration with partners records agreement levels of 60</w:t>
      </w:r>
      <w:r w:rsidR="00DB101C">
        <w:rPr>
          <w:rFonts w:asciiTheme="minorHAnsi" w:hAnsiTheme="minorHAnsi" w:cstheme="minorBidi"/>
        </w:rPr>
        <w:t xml:space="preserve"> per cent</w:t>
      </w:r>
      <w:r w:rsidRPr="00DB101C">
        <w:rPr>
          <w:rFonts w:asciiTheme="minorHAnsi" w:hAnsiTheme="minorHAnsi" w:cstheme="minorBidi"/>
        </w:rPr>
        <w:t xml:space="preserve">. </w:t>
      </w:r>
    </w:p>
    <w:p w14:paraId="24616AD2" w14:textId="77777777"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lastRenderedPageBreak/>
        <w:t xml:space="preserve">These findings suggest that regional presence operates within a collaborative environment that supports joint initiatives and coordinated activities. Engagement with regional organizations, development partners and other stakeholders provides opportunities to implement projects and programmes that contribute to regional ICT development objectives. </w:t>
      </w:r>
    </w:p>
    <w:p w14:paraId="480E37DA" w14:textId="77777777"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 xml:space="preserve">Partnerships are closely linked to project implementation and resource mobilization. Evidence from SoW and KPI analyses indicates that regional offices play an active role in implementing regional initiatives and development projects supported by different funding mechanisms. </w:t>
      </w:r>
    </w:p>
    <w:p w14:paraId="67A411EB" w14:textId="77777777"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 xml:space="preserve">Overall, the combination of strong membership engagement, effective dissemination of knowledge and active collaboration with regional stakeholders indicates that regional presence provides a solid operational platform for the implementation of ITU activities at regional level. </w:t>
      </w:r>
    </w:p>
    <w:p w14:paraId="6D40BA01" w14:textId="77D71BA3" w:rsidR="24E42175" w:rsidRPr="00542C9C" w:rsidRDefault="00711531" w:rsidP="00542C9C">
      <w:pPr>
        <w:pStyle w:val="Heading3"/>
        <w:jc w:val="both"/>
      </w:pPr>
      <w:r w:rsidRPr="00542C9C">
        <w:t>5.1.7</w:t>
      </w:r>
      <w:r w:rsidR="000164AB" w:rsidRPr="00542C9C">
        <w:tab/>
      </w:r>
      <w:r w:rsidR="24E42175" w:rsidRPr="00542C9C">
        <w:t>Regional presence and implementation of ITU plans (Strategic and Kigali Action Plans)</w:t>
      </w:r>
    </w:p>
    <w:p w14:paraId="0CDE1227" w14:textId="0415155B" w:rsidR="24E42175" w:rsidRPr="00DB101C" w:rsidRDefault="2DDF7236" w:rsidP="00641ECE">
      <w:pPr>
        <w:tabs>
          <w:tab w:val="clear" w:pos="567"/>
          <w:tab w:val="clear" w:pos="1134"/>
          <w:tab w:val="clear" w:pos="1701"/>
          <w:tab w:val="clear" w:pos="2268"/>
          <w:tab w:val="clear" w:pos="2835"/>
        </w:tabs>
        <w:jc w:val="both"/>
      </w:pPr>
      <w:r w:rsidRPr="00DB101C">
        <w:t>Regional Presence Is Central to Implementing the Strategic and Kigali Action Plans</w:t>
      </w:r>
      <w:r w:rsidR="526F6B75" w:rsidRPr="00DB101C">
        <w:t>.</w:t>
      </w:r>
      <w:r w:rsidRPr="00DB101C">
        <w:t xml:space="preserve"> Regional and Area Offices provide the operational backbone for delivering ITU’s programmes, regional initiatives, and capacity-building. </w:t>
      </w:r>
    </w:p>
    <w:p w14:paraId="73417D0D" w14:textId="77777777" w:rsidR="24E42175" w:rsidRPr="00DB101C" w:rsidRDefault="24E42175" w:rsidP="00641ECE">
      <w:pPr>
        <w:tabs>
          <w:tab w:val="clear" w:pos="567"/>
          <w:tab w:val="clear" w:pos="1134"/>
          <w:tab w:val="clear" w:pos="1701"/>
          <w:tab w:val="clear" w:pos="2268"/>
          <w:tab w:val="clear" w:pos="2835"/>
        </w:tabs>
        <w:jc w:val="both"/>
      </w:pPr>
      <w:r w:rsidRPr="00DB101C">
        <w:t xml:space="preserve">Their support spans projects, technical assistance, policy dialogue, and regional events, all aligned with ITU’s strategic and financial frameworks. </w:t>
      </w:r>
    </w:p>
    <w:p w14:paraId="570CCC82" w14:textId="1AC2B3BF" w:rsidR="24E42175" w:rsidRPr="00DB101C" w:rsidRDefault="24E42175" w:rsidP="00641ECE">
      <w:pPr>
        <w:tabs>
          <w:tab w:val="clear" w:pos="567"/>
          <w:tab w:val="clear" w:pos="1134"/>
          <w:tab w:val="clear" w:pos="1701"/>
          <w:tab w:val="clear" w:pos="2268"/>
          <w:tab w:val="clear" w:pos="2835"/>
        </w:tabs>
        <w:jc w:val="both"/>
      </w:pPr>
      <w:r w:rsidRPr="00DB101C">
        <w:t>Regional events represent 36</w:t>
      </w:r>
      <w:r w:rsidR="000164AB" w:rsidRPr="00DB101C">
        <w:t xml:space="preserve"> per cent</w:t>
      </w:r>
      <w:r w:rsidRPr="00DB101C">
        <w:t xml:space="preserve"> of all global ITU events (2022</w:t>
      </w:r>
      <w:r w:rsidR="000164AB" w:rsidRPr="00DB101C">
        <w:t>-</w:t>
      </w:r>
      <w:r w:rsidRPr="00DB101C">
        <w:t xml:space="preserve">2025), demonstrating their substantial contribution to global implementation. </w:t>
      </w:r>
    </w:p>
    <w:p w14:paraId="731A49FF" w14:textId="27A5194F" w:rsidR="24E42175" w:rsidRPr="00542C9C" w:rsidRDefault="00711531" w:rsidP="00542C9C">
      <w:pPr>
        <w:pStyle w:val="Heading3"/>
      </w:pPr>
      <w:r w:rsidRPr="00542C9C">
        <w:t xml:space="preserve">5.1.8 </w:t>
      </w:r>
      <w:r w:rsidR="24E42175" w:rsidRPr="00542C9C">
        <w:t>Positive internal recognition of regional value</w:t>
      </w:r>
    </w:p>
    <w:p w14:paraId="53A4D8D9" w14:textId="66BB22A7" w:rsidR="24E42175" w:rsidRPr="00DB101C" w:rsidRDefault="2DDF7236" w:rsidP="49104199">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Staff</w:t>
      </w:r>
      <w:r w:rsidR="2BC713ED" w:rsidRPr="00DB101C">
        <w:rPr>
          <w:rFonts w:asciiTheme="minorHAnsi" w:hAnsiTheme="minorHAnsi" w:cstheme="minorBidi"/>
        </w:rPr>
        <w:t>, who responded to the survey and had an opinion,</w:t>
      </w:r>
      <w:r w:rsidRPr="00DB101C">
        <w:rPr>
          <w:rFonts w:asciiTheme="minorHAnsi" w:hAnsiTheme="minorHAnsi" w:cstheme="minorBidi"/>
        </w:rPr>
        <w:t xml:space="preserve"> recognize the contribution of the regional presence:</w:t>
      </w:r>
    </w:p>
    <w:p w14:paraId="654BF0FC" w14:textId="2B4D10E0" w:rsidR="24E42175" w:rsidRPr="00542C9C" w:rsidRDefault="54E3B701" w:rsidP="00542C9C">
      <w:pPr>
        <w:pStyle w:val="enumlev1"/>
        <w:jc w:val="both"/>
      </w:pPr>
      <w:r w:rsidRPr="00542C9C">
        <w:t>–</w:t>
      </w:r>
      <w:r w:rsidR="000164AB" w:rsidRPr="00542C9C">
        <w:tab/>
      </w:r>
      <w:r w:rsidR="2DDF7236" w:rsidRPr="00542C9C">
        <w:t>81–82</w:t>
      </w:r>
      <w:r w:rsidRPr="00542C9C">
        <w:t xml:space="preserve"> per cent</w:t>
      </w:r>
      <w:r w:rsidR="2DDF7236" w:rsidRPr="00542C9C">
        <w:t xml:space="preserve"> believe that engagement of regional staff in ITU events improves coordination and communication.</w:t>
      </w:r>
    </w:p>
    <w:p w14:paraId="531DA49C" w14:textId="26D4467C" w:rsidR="24E42175" w:rsidRPr="00542C9C" w:rsidRDefault="000164AB" w:rsidP="00542C9C">
      <w:pPr>
        <w:pStyle w:val="enumlev1"/>
        <w:jc w:val="both"/>
      </w:pPr>
      <w:r w:rsidRPr="00542C9C">
        <w:t>–</w:t>
      </w:r>
      <w:r w:rsidRPr="00542C9C">
        <w:tab/>
      </w:r>
      <w:r w:rsidR="24E42175" w:rsidRPr="00542C9C">
        <w:t xml:space="preserve">Staff express strong support for enhanced training, mobility, and capacity to further strengthen regional delivery. </w:t>
      </w:r>
    </w:p>
    <w:p w14:paraId="14CD1FF5" w14:textId="7034A9B2" w:rsidR="24E42175" w:rsidRPr="00554552" w:rsidRDefault="00711531" w:rsidP="00554552">
      <w:pPr>
        <w:pStyle w:val="Heading2"/>
      </w:pPr>
      <w:r w:rsidRPr="00554552">
        <w:t>5.2</w:t>
      </w:r>
      <w:r w:rsidR="000164AB" w:rsidRPr="00554552">
        <w:tab/>
      </w:r>
      <w:r w:rsidR="24E42175" w:rsidRPr="00554552">
        <w:t xml:space="preserve">Areas for improvement </w:t>
      </w:r>
    </w:p>
    <w:p w14:paraId="41FE8903" w14:textId="6C2C2F9B" w:rsidR="24E42175" w:rsidRPr="00542C9C" w:rsidRDefault="003F5974" w:rsidP="00542C9C">
      <w:pPr>
        <w:pStyle w:val="Heading3"/>
      </w:pPr>
      <w:r w:rsidRPr="00542C9C">
        <w:t>5.2.1</w:t>
      </w:r>
      <w:r w:rsidR="000164AB" w:rsidRPr="00542C9C">
        <w:tab/>
      </w:r>
      <w:r w:rsidR="24E42175" w:rsidRPr="00542C9C">
        <w:t>Aligning resources with operational expectations</w:t>
      </w:r>
    </w:p>
    <w:p w14:paraId="3C079D2C" w14:textId="37838685" w:rsidR="24E42175" w:rsidRPr="00DB101C" w:rsidRDefault="2DDF7236" w:rsidP="49104199">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While regional presence is widely valued, evidence suggests that the scale of operational expectations placed on regional offices may exceed available resources in some contexts. Survey responses and stakeholder feedback indicate strong support for strengthening regional presence</w:t>
      </w:r>
      <w:r w:rsidR="5B6A32CA" w:rsidRPr="00DB101C">
        <w:rPr>
          <w:rFonts w:asciiTheme="minorHAnsi" w:hAnsiTheme="minorHAnsi" w:cstheme="minorBidi"/>
        </w:rPr>
        <w:t>, including</w:t>
      </w:r>
      <w:r w:rsidRPr="00DB101C">
        <w:rPr>
          <w:rFonts w:asciiTheme="minorHAnsi" w:hAnsiTheme="minorHAnsi" w:cstheme="minorBidi"/>
        </w:rPr>
        <w:t xml:space="preserve"> through additional human and financial resources and expanded project activities. </w:t>
      </w:r>
    </w:p>
    <w:p w14:paraId="0AD2AA98" w14:textId="77777777" w:rsidR="24E42175" w:rsidRPr="00DB101C" w:rsidRDefault="2DDF7236" w:rsidP="49104199">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 xml:space="preserve">Resource availability influences the pace and scale at which regional initiatives and projects can be implemented. Stakeholders note that predictable funding mechanisms and sufficient staffing capacity are important enabling factors for effective delivery of regional activities. </w:t>
      </w:r>
    </w:p>
    <w:p w14:paraId="7CB794AD" w14:textId="1AB4A992" w:rsidR="49C84781" w:rsidRPr="00DB101C" w:rsidRDefault="49C84781" w:rsidP="49104199">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Survey</w:t>
      </w:r>
      <w:r w:rsidR="0094010C">
        <w:rPr>
          <w:rFonts w:asciiTheme="minorHAnsi" w:hAnsiTheme="minorHAnsi" w:cstheme="minorBidi"/>
        </w:rPr>
        <w:t xml:space="preserve"> has</w:t>
      </w:r>
      <w:r w:rsidRPr="00DB101C">
        <w:rPr>
          <w:rFonts w:asciiTheme="minorHAnsi" w:hAnsiTheme="minorHAnsi" w:cstheme="minorBidi"/>
        </w:rPr>
        <w:t xml:space="preserve"> also indicated a strong support for increased physical presence of all </w:t>
      </w:r>
      <w:r w:rsidR="0094010C" w:rsidRPr="00DB101C">
        <w:rPr>
          <w:rFonts w:asciiTheme="minorHAnsi" w:hAnsiTheme="minorHAnsi" w:cstheme="minorBidi"/>
        </w:rPr>
        <w:t xml:space="preserve">Bureaux </w:t>
      </w:r>
      <w:r w:rsidRPr="00DB101C">
        <w:rPr>
          <w:rFonts w:asciiTheme="minorHAnsi" w:hAnsiTheme="minorHAnsi" w:cstheme="minorBidi"/>
        </w:rPr>
        <w:t xml:space="preserve">in the </w:t>
      </w:r>
      <w:r w:rsidR="0094010C" w:rsidRPr="00DB101C">
        <w:rPr>
          <w:rFonts w:asciiTheme="minorHAnsi" w:hAnsiTheme="minorHAnsi" w:cstheme="minorBidi"/>
        </w:rPr>
        <w:t>Regions</w:t>
      </w:r>
      <w:r w:rsidRPr="00DB101C">
        <w:rPr>
          <w:rFonts w:asciiTheme="minorHAnsi" w:hAnsiTheme="minorHAnsi" w:cstheme="minorBidi"/>
        </w:rPr>
        <w:t>.</w:t>
      </w:r>
    </w:p>
    <w:p w14:paraId="5720CB6C" w14:textId="39C5593C" w:rsidR="24E42175" w:rsidRPr="00542C9C" w:rsidRDefault="003F5974" w:rsidP="00542C9C">
      <w:pPr>
        <w:pStyle w:val="Heading3"/>
      </w:pPr>
      <w:r w:rsidRPr="00542C9C">
        <w:lastRenderedPageBreak/>
        <w:t>5.2.2</w:t>
      </w:r>
      <w:r w:rsidR="000164AB" w:rsidRPr="00542C9C">
        <w:tab/>
      </w:r>
      <w:r w:rsidR="24E42175" w:rsidRPr="00542C9C">
        <w:t>Strengthening recruitment processes and staffing continuity</w:t>
      </w:r>
    </w:p>
    <w:p w14:paraId="50150ECE" w14:textId="77777777"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 xml:space="preserve">Recruitment processes for regional positions also emerge as an area where improvements could enhance operational capacity. KPI analyses identify recurring vacancies and recruitment timelines that may affect the ability of regional offices to deploy expertise in a timely manner. </w:t>
      </w:r>
    </w:p>
    <w:p w14:paraId="3881CCAE" w14:textId="77777777" w:rsidR="24E42175" w:rsidRPr="00DB101C" w:rsidRDefault="24E42175" w:rsidP="00641ECE">
      <w:pPr>
        <w:tabs>
          <w:tab w:val="clear" w:pos="567"/>
          <w:tab w:val="clear" w:pos="1134"/>
          <w:tab w:val="clear" w:pos="1701"/>
          <w:tab w:val="clear" w:pos="2268"/>
          <w:tab w:val="clear" w:pos="2835"/>
        </w:tabs>
        <w:jc w:val="both"/>
        <w:rPr>
          <w:rFonts w:asciiTheme="minorHAnsi" w:hAnsiTheme="minorHAnsi" w:cstheme="minorBidi"/>
        </w:rPr>
      </w:pPr>
      <w:r w:rsidRPr="00DB101C">
        <w:rPr>
          <w:rFonts w:asciiTheme="minorHAnsi" w:hAnsiTheme="minorHAnsi" w:cstheme="minorBidi"/>
        </w:rPr>
        <w:t xml:space="preserve">Survey responses similarly suggest moderate satisfaction with recruitment processes for project managers and technical experts, indicating scope for strengthening recruitment tools and staffing mobility mechanisms. Improving the efficiency of recruitment processes could help ensure that regional offices maintain adequate expertise to respond to operational demands. </w:t>
      </w:r>
    </w:p>
    <w:p w14:paraId="48CBBC50" w14:textId="77294781" w:rsidR="24E42175" w:rsidRPr="00542C9C" w:rsidRDefault="003F5974" w:rsidP="00542C9C">
      <w:pPr>
        <w:pStyle w:val="Heading3"/>
      </w:pPr>
      <w:r w:rsidRPr="00542C9C">
        <w:t>5.2.3</w:t>
      </w:r>
      <w:r w:rsidR="00085910" w:rsidRPr="00542C9C">
        <w:tab/>
      </w:r>
      <w:r w:rsidR="24E42175" w:rsidRPr="00542C9C">
        <w:t>Enhancing partnership implementation and resource mobilization</w:t>
      </w:r>
    </w:p>
    <w:p w14:paraId="497CC6E0" w14:textId="77777777" w:rsidR="24E42175" w:rsidRPr="00DB101C" w:rsidRDefault="24E42175" w:rsidP="00641ECE">
      <w:pPr>
        <w:tabs>
          <w:tab w:val="clear" w:pos="567"/>
          <w:tab w:val="clear" w:pos="1134"/>
          <w:tab w:val="clear" w:pos="1701"/>
          <w:tab w:val="clear" w:pos="2268"/>
          <w:tab w:val="clear" w:pos="2835"/>
        </w:tabs>
        <w:jc w:val="both"/>
      </w:pPr>
      <w:r w:rsidRPr="00DB101C">
        <w:t xml:space="preserve">Although partnerships and collaboration are widely recognized as valuable components of regional presence, survey responses indicate more moderate assessments regarding the effectiveness of partnerships and resource mobilization support. Agreement levels in this area remain positive but lower than in other support functions, suggesting opportunities to further strengthen partnership mechanisms and project development processes. </w:t>
      </w:r>
    </w:p>
    <w:p w14:paraId="55084E26" w14:textId="77777777" w:rsidR="24E42175" w:rsidRPr="00DB101C" w:rsidRDefault="2DDF7236" w:rsidP="00641ECE">
      <w:pPr>
        <w:tabs>
          <w:tab w:val="clear" w:pos="567"/>
          <w:tab w:val="clear" w:pos="1134"/>
          <w:tab w:val="clear" w:pos="1701"/>
          <w:tab w:val="clear" w:pos="2268"/>
          <w:tab w:val="clear" w:pos="2835"/>
        </w:tabs>
        <w:jc w:val="both"/>
      </w:pPr>
      <w:r w:rsidRPr="00DB101C">
        <w:t xml:space="preserve">Stakeholder interviews emphasize the importance of predictable financing arrangements and stronger coordination with regional organizations to translate partnership opportunities into concrete projects and funded initiatives. Strengthening partnership frameworks and improving coordination mechanisms could therefore support more consistent implementation of regional initiatives. </w:t>
      </w:r>
    </w:p>
    <w:p w14:paraId="132F9484" w14:textId="52ECF93E" w:rsidR="62B57E55" w:rsidRPr="00DB101C" w:rsidRDefault="62B57E55" w:rsidP="49104199">
      <w:pPr>
        <w:tabs>
          <w:tab w:val="clear" w:pos="567"/>
          <w:tab w:val="clear" w:pos="1134"/>
          <w:tab w:val="clear" w:pos="1701"/>
          <w:tab w:val="clear" w:pos="2268"/>
          <w:tab w:val="clear" w:pos="2835"/>
        </w:tabs>
        <w:jc w:val="both"/>
      </w:pPr>
      <w:r w:rsidRPr="00DB101C">
        <w:t xml:space="preserve">Respondents also emphasized importance for the ITU to strongly coordinate with the UN country teams </w:t>
      </w:r>
      <w:r w:rsidR="00F640B5">
        <w:t>—</w:t>
      </w:r>
      <w:r w:rsidRPr="00DB101C">
        <w:t>both where ITU has physical presence and where it does not.</w:t>
      </w:r>
    </w:p>
    <w:p w14:paraId="5D4E0EF7" w14:textId="41408061" w:rsidR="24E42175" w:rsidRPr="00542C9C" w:rsidRDefault="003F5974" w:rsidP="00542C9C">
      <w:pPr>
        <w:pStyle w:val="Heading3"/>
      </w:pPr>
      <w:r w:rsidRPr="00542C9C">
        <w:t>5.2.4</w:t>
      </w:r>
      <w:r w:rsidR="00085910" w:rsidRPr="00542C9C">
        <w:tab/>
      </w:r>
      <w:r w:rsidR="24E42175" w:rsidRPr="00542C9C">
        <w:t>Improving transparency and reporting on regional operations</w:t>
      </w:r>
    </w:p>
    <w:p w14:paraId="51744725" w14:textId="77777777" w:rsidR="24E42175" w:rsidRPr="00DB101C" w:rsidRDefault="24E42175" w:rsidP="00641ECE">
      <w:pPr>
        <w:tabs>
          <w:tab w:val="clear" w:pos="567"/>
          <w:tab w:val="clear" w:pos="1134"/>
          <w:tab w:val="clear" w:pos="1701"/>
          <w:tab w:val="clear" w:pos="2268"/>
          <w:tab w:val="clear" w:pos="2835"/>
        </w:tabs>
        <w:jc w:val="both"/>
      </w:pPr>
      <w:r w:rsidRPr="00DB101C">
        <w:t xml:space="preserve">Evidence from surveys and stakeholder feedback also highlights the importance of improved data and reporting on staffing levels, financial resources and implementation activities. Respondents emphasize the value of better information on how regional offices deploy resources and implement projects. </w:t>
      </w:r>
    </w:p>
    <w:p w14:paraId="345D1A3F" w14:textId="54F66D38" w:rsidR="24E42175" w:rsidRPr="00DB101C" w:rsidRDefault="2DDF7236" w:rsidP="00641ECE">
      <w:pPr>
        <w:tabs>
          <w:tab w:val="clear" w:pos="567"/>
          <w:tab w:val="clear" w:pos="1134"/>
          <w:tab w:val="clear" w:pos="1701"/>
          <w:tab w:val="clear" w:pos="2268"/>
          <w:tab w:val="clear" w:pos="2835"/>
        </w:tabs>
        <w:jc w:val="both"/>
      </w:pPr>
      <w:r w:rsidRPr="00DB101C">
        <w:t xml:space="preserve">Strengthening reporting and transparency mechanisms could enhance oversight, support strategic planning and deepen understanding of operational needs across regions. </w:t>
      </w:r>
    </w:p>
    <w:p w14:paraId="19BD31F1" w14:textId="4FB69E69" w:rsidR="4B28EA64" w:rsidRPr="00DB101C" w:rsidRDefault="4B28EA64" w:rsidP="00542C9C">
      <w:pPr>
        <w:pStyle w:val="Heading3"/>
      </w:pPr>
      <w:r w:rsidRPr="00DB101C">
        <w:t>5.2.5</w:t>
      </w:r>
      <w:r w:rsidR="00542C9C">
        <w:tab/>
      </w:r>
      <w:r w:rsidRPr="00DB101C">
        <w:t>Gaps in regional presence</w:t>
      </w:r>
    </w:p>
    <w:p w14:paraId="1B202A68" w14:textId="0640AFEB" w:rsidR="288ADEA1" w:rsidRPr="00DB101C" w:rsidRDefault="288ADEA1" w:rsidP="49104199">
      <w:pPr>
        <w:tabs>
          <w:tab w:val="clear" w:pos="567"/>
          <w:tab w:val="clear" w:pos="1134"/>
          <w:tab w:val="clear" w:pos="1701"/>
          <w:tab w:val="clear" w:pos="2268"/>
          <w:tab w:val="clear" w:pos="2835"/>
        </w:tabs>
        <w:jc w:val="both"/>
      </w:pPr>
      <w:r w:rsidRPr="00DB101C">
        <w:t xml:space="preserve">Certain gaps in regional </w:t>
      </w:r>
      <w:r w:rsidR="473195EB" w:rsidRPr="00DB101C">
        <w:t xml:space="preserve">presence have been noted by the surveys, in particular regarding the Pacific where current </w:t>
      </w:r>
      <w:r w:rsidR="403A2DB5" w:rsidRPr="00DB101C">
        <w:t>reach suffers from “distance and time-zone gaps”.</w:t>
      </w:r>
      <w:r w:rsidR="41759D14" w:rsidRPr="00DB101C">
        <w:t xml:space="preserve"> Responden</w:t>
      </w:r>
      <w:r w:rsidR="5A780C07" w:rsidRPr="00DB101C">
        <w:t>t</w:t>
      </w:r>
      <w:r w:rsidR="41759D14" w:rsidRPr="00DB101C">
        <w:t xml:space="preserve">s also suggested strengthening increased projects and activities in the countries without ITU offices, without </w:t>
      </w:r>
      <w:r w:rsidR="5C04D9C6" w:rsidRPr="00DB101C">
        <w:t xml:space="preserve">staff being physically assigned to countries in the </w:t>
      </w:r>
      <w:r w:rsidR="41759D14" w:rsidRPr="00DB101C">
        <w:t>long-term.</w:t>
      </w:r>
    </w:p>
    <w:p w14:paraId="64B96FD1" w14:textId="2DE759FB" w:rsidR="12A7BF5F" w:rsidRPr="00554552" w:rsidRDefault="00C6388D" w:rsidP="00554552">
      <w:pPr>
        <w:pStyle w:val="Heading1"/>
      </w:pPr>
      <w:r w:rsidRPr="00554552">
        <w:t>6</w:t>
      </w:r>
      <w:r w:rsidRPr="00554552">
        <w:tab/>
      </w:r>
      <w:r w:rsidR="12A7BF5F" w:rsidRPr="00554552">
        <w:t>Conclusion</w:t>
      </w:r>
    </w:p>
    <w:p w14:paraId="30F57516" w14:textId="7F6E2209" w:rsidR="12A7BF5F" w:rsidRPr="00DB101C" w:rsidRDefault="00085910" w:rsidP="00554552">
      <w:pPr>
        <w:jc w:val="both"/>
        <w:rPr>
          <w:rFonts w:asciiTheme="minorHAnsi" w:hAnsiTheme="minorHAnsi" w:cstheme="minorBidi"/>
        </w:rPr>
      </w:pPr>
      <w:r w:rsidRPr="00DB101C">
        <w:rPr>
          <w:rFonts w:asciiTheme="minorHAnsi" w:hAnsiTheme="minorHAnsi" w:cstheme="minorBidi"/>
        </w:rPr>
        <w:t>6</w:t>
      </w:r>
      <w:r w:rsidR="009F09D3" w:rsidRPr="00DB101C">
        <w:rPr>
          <w:rFonts w:asciiTheme="minorHAnsi" w:hAnsiTheme="minorHAnsi" w:cstheme="minorBidi"/>
        </w:rPr>
        <w:t>.1</w:t>
      </w:r>
      <w:r w:rsidRPr="00DB101C">
        <w:rPr>
          <w:rFonts w:asciiTheme="minorHAnsi" w:hAnsiTheme="minorHAnsi" w:cstheme="minorBidi"/>
        </w:rPr>
        <w:tab/>
      </w:r>
      <w:r w:rsidR="12A7BF5F" w:rsidRPr="00DB101C">
        <w:rPr>
          <w:rFonts w:asciiTheme="minorHAnsi" w:hAnsiTheme="minorHAnsi" w:cstheme="minorBidi"/>
        </w:rPr>
        <w:t xml:space="preserve">This report with its findings affirms that the Regional and Area Offices play a pivotal role in delivering the ITU Strategic Plan and the ITU-D Action Plan. They serve as trusted interfaces with </w:t>
      </w:r>
      <w:r w:rsidR="12A7BF5F" w:rsidRPr="00554552">
        <w:t>Member</w:t>
      </w:r>
      <w:r w:rsidR="12A7BF5F" w:rsidRPr="00DB101C">
        <w:rPr>
          <w:rFonts w:asciiTheme="minorHAnsi" w:hAnsiTheme="minorHAnsi" w:cstheme="minorBidi"/>
        </w:rPr>
        <w:t xml:space="preserve"> States, facilitate broad and inclusive participation in ITU activities, and support a significant share of regional projects, </w:t>
      </w:r>
      <w:r w:rsidR="25E60EBF" w:rsidRPr="00DB101C">
        <w:rPr>
          <w:rFonts w:asciiTheme="minorHAnsi" w:hAnsiTheme="minorHAnsi" w:cstheme="minorBidi"/>
        </w:rPr>
        <w:t>capacity building</w:t>
      </w:r>
      <w:r w:rsidR="12A7BF5F" w:rsidRPr="00DB101C">
        <w:rPr>
          <w:rFonts w:asciiTheme="minorHAnsi" w:hAnsiTheme="minorHAnsi" w:cstheme="minorBidi"/>
        </w:rPr>
        <w:t xml:space="preserve">, and policy dialogue. The regional presence is viewed as responsive, accessible, and effective, with strong satisfaction from </w:t>
      </w:r>
      <w:r w:rsidR="12A7BF5F" w:rsidRPr="00DB101C">
        <w:rPr>
          <w:rFonts w:asciiTheme="minorHAnsi" w:hAnsiTheme="minorHAnsi" w:cstheme="minorBidi"/>
        </w:rPr>
        <w:lastRenderedPageBreak/>
        <w:t xml:space="preserve">Member States and partners across all regions. The evidence consistently highlights the professionalism and dedication of regional teams and underscores their role as key convenors of stakeholders and catalysts for digital transformation. </w:t>
      </w:r>
    </w:p>
    <w:p w14:paraId="0C7B7EC1" w14:textId="2FFC41FE" w:rsidR="12A7BF5F" w:rsidRPr="00DB101C" w:rsidRDefault="6BDC4335" w:rsidP="00554552">
      <w:pPr>
        <w:jc w:val="both"/>
        <w:rPr>
          <w:rFonts w:asciiTheme="minorHAnsi" w:hAnsiTheme="minorHAnsi" w:cstheme="minorBidi"/>
        </w:rPr>
      </w:pPr>
      <w:r w:rsidRPr="00DB101C">
        <w:rPr>
          <w:rFonts w:asciiTheme="minorHAnsi" w:hAnsiTheme="minorHAnsi" w:cstheme="minorBidi"/>
        </w:rPr>
        <w:t>6</w:t>
      </w:r>
      <w:r w:rsidR="60158DBA" w:rsidRPr="00DB101C">
        <w:rPr>
          <w:rFonts w:asciiTheme="minorHAnsi" w:hAnsiTheme="minorHAnsi" w:cstheme="minorBidi"/>
        </w:rPr>
        <w:t>.2</w:t>
      </w:r>
      <w:r w:rsidR="00085910" w:rsidRPr="00DB101C">
        <w:tab/>
      </w:r>
      <w:r w:rsidR="141B93C0" w:rsidRPr="00DB101C">
        <w:rPr>
          <w:rFonts w:asciiTheme="minorHAnsi" w:hAnsiTheme="minorHAnsi" w:cstheme="minorBidi"/>
        </w:rPr>
        <w:t xml:space="preserve">While the review also highlights areas where processes, resources, and expertise could be further enhanced, these are best viewed as opportunities to build on a solid and </w:t>
      </w:r>
      <w:r w:rsidR="5A91E33E" w:rsidRPr="00DB101C">
        <w:rPr>
          <w:rFonts w:asciiTheme="minorHAnsi" w:hAnsiTheme="minorHAnsi" w:cstheme="minorBidi"/>
        </w:rPr>
        <w:t>well</w:t>
      </w:r>
      <w:r w:rsidR="60158DBA" w:rsidRPr="00DB101C">
        <w:rPr>
          <w:rFonts w:asciiTheme="minorHAnsi" w:hAnsiTheme="minorHAnsi" w:cstheme="minorBidi"/>
        </w:rPr>
        <w:t>-</w:t>
      </w:r>
      <w:r w:rsidR="5A91E33E" w:rsidRPr="00DB101C">
        <w:rPr>
          <w:rFonts w:asciiTheme="minorHAnsi" w:hAnsiTheme="minorHAnsi" w:cstheme="minorBidi"/>
        </w:rPr>
        <w:t>functioning</w:t>
      </w:r>
      <w:r w:rsidR="141B93C0" w:rsidRPr="00DB101C">
        <w:rPr>
          <w:rFonts w:asciiTheme="minorHAnsi" w:hAnsiTheme="minorHAnsi" w:cstheme="minorBidi"/>
        </w:rPr>
        <w:t xml:space="preserve"> </w:t>
      </w:r>
      <w:r w:rsidR="141B93C0" w:rsidRPr="00554552">
        <w:t>foundation</w:t>
      </w:r>
      <w:r w:rsidR="00662EA7">
        <w:t xml:space="preserve"> </w:t>
      </w:r>
      <w:r w:rsidR="141B93C0" w:rsidRPr="00DB101C">
        <w:rPr>
          <w:rFonts w:asciiTheme="minorHAnsi" w:hAnsiTheme="minorHAnsi" w:cstheme="minorBidi"/>
        </w:rPr>
        <w:t xml:space="preserve">—enabling the regional presence to respond even more effectively to evolving Member expectations and the growing complexity of the digital development landscape. These include </w:t>
      </w:r>
      <w:r w:rsidR="767453CE" w:rsidRPr="00DB101C">
        <w:rPr>
          <w:rFonts w:asciiTheme="minorHAnsi" w:hAnsiTheme="minorHAnsi" w:cstheme="minorBidi"/>
        </w:rPr>
        <w:t xml:space="preserve">streamlining </w:t>
      </w:r>
      <w:r w:rsidR="141B93C0" w:rsidRPr="00DB101C">
        <w:rPr>
          <w:rFonts w:asciiTheme="minorHAnsi" w:hAnsiTheme="minorHAnsi" w:cstheme="minorBidi"/>
        </w:rPr>
        <w:t>human and financial resources</w:t>
      </w:r>
      <w:r w:rsidR="767453CE" w:rsidRPr="00DB101C">
        <w:rPr>
          <w:rFonts w:asciiTheme="minorHAnsi" w:hAnsiTheme="minorHAnsi" w:cstheme="minorBidi"/>
        </w:rPr>
        <w:t xml:space="preserve"> and</w:t>
      </w:r>
      <w:r w:rsidR="141B93C0" w:rsidRPr="00DB101C">
        <w:rPr>
          <w:rFonts w:asciiTheme="minorHAnsi" w:hAnsiTheme="minorHAnsi" w:cstheme="minorBidi"/>
        </w:rPr>
        <w:t xml:space="preserve"> internal processes, deepening </w:t>
      </w:r>
      <w:r w:rsidR="1FB495E5" w:rsidRPr="00DB101C">
        <w:rPr>
          <w:rFonts w:asciiTheme="minorHAnsi" w:hAnsiTheme="minorHAnsi" w:cstheme="minorBidi"/>
        </w:rPr>
        <w:t>cross sector</w:t>
      </w:r>
      <w:r w:rsidR="141B93C0" w:rsidRPr="00DB101C">
        <w:rPr>
          <w:rFonts w:asciiTheme="minorHAnsi" w:hAnsiTheme="minorHAnsi" w:cstheme="minorBidi"/>
        </w:rPr>
        <w:t xml:space="preserve"> coordination, enhancing access to technical expertise, improving reporting and financial visibility, and reinforcing partnerships and resource mobilization mechanisms</w:t>
      </w:r>
      <w:r w:rsidR="50E84D72" w:rsidRPr="00DB101C">
        <w:rPr>
          <w:rFonts w:asciiTheme="minorHAnsi" w:hAnsiTheme="minorHAnsi" w:cstheme="minorBidi"/>
        </w:rPr>
        <w:t xml:space="preserve"> to the extent feasible</w:t>
      </w:r>
      <w:r w:rsidR="141B93C0" w:rsidRPr="00DB101C">
        <w:rPr>
          <w:rFonts w:asciiTheme="minorHAnsi" w:hAnsiTheme="minorHAnsi" w:cstheme="minorBidi"/>
        </w:rPr>
        <w:t>. Stakeholders across the system</w:t>
      </w:r>
      <w:r w:rsidRPr="00DB101C">
        <w:rPr>
          <w:rFonts w:asciiTheme="minorHAnsi" w:hAnsiTheme="minorHAnsi" w:cstheme="minorBidi"/>
        </w:rPr>
        <w:t xml:space="preserve"> </w:t>
      </w:r>
      <w:r w:rsidR="00662EA7">
        <w:rPr>
          <w:rFonts w:asciiTheme="minorHAnsi" w:hAnsiTheme="minorHAnsi" w:cstheme="minorBidi"/>
        </w:rPr>
        <w:t>—</w:t>
      </w:r>
      <w:r w:rsidR="141B93C0" w:rsidRPr="00DB101C">
        <w:rPr>
          <w:rFonts w:asciiTheme="minorHAnsi" w:hAnsiTheme="minorHAnsi" w:cstheme="minorBidi"/>
        </w:rPr>
        <w:t>Member States, regional organizations, and ITU staff</w:t>
      </w:r>
      <w:r w:rsidR="00662EA7">
        <w:rPr>
          <w:rFonts w:asciiTheme="minorHAnsi" w:hAnsiTheme="minorHAnsi" w:cstheme="minorBidi"/>
        </w:rPr>
        <w:t>—</w:t>
      </w:r>
      <w:r w:rsidRPr="00DB101C">
        <w:rPr>
          <w:rFonts w:asciiTheme="minorHAnsi" w:hAnsiTheme="minorHAnsi" w:cstheme="minorBidi"/>
        </w:rPr>
        <w:t xml:space="preserve"> </w:t>
      </w:r>
      <w:r w:rsidR="141B93C0" w:rsidRPr="00DB101C">
        <w:rPr>
          <w:rFonts w:asciiTheme="minorHAnsi" w:hAnsiTheme="minorHAnsi" w:cstheme="minorBidi"/>
        </w:rPr>
        <w:t xml:space="preserve">express strong </w:t>
      </w:r>
      <w:r w:rsidR="50E84D72" w:rsidRPr="00DB101C">
        <w:rPr>
          <w:rFonts w:asciiTheme="minorHAnsi" w:hAnsiTheme="minorHAnsi" w:cstheme="minorBidi"/>
        </w:rPr>
        <w:t xml:space="preserve">support </w:t>
      </w:r>
      <w:r w:rsidR="141B93C0" w:rsidRPr="00DB101C">
        <w:rPr>
          <w:rFonts w:asciiTheme="minorHAnsi" w:hAnsiTheme="minorHAnsi" w:cstheme="minorBidi"/>
        </w:rPr>
        <w:t>for further empowering the regional presence to meet growing demand</w:t>
      </w:r>
      <w:r w:rsidR="06CE073C" w:rsidRPr="00DB101C">
        <w:rPr>
          <w:rFonts w:asciiTheme="minorHAnsi" w:hAnsiTheme="minorHAnsi" w:cstheme="minorBidi"/>
        </w:rPr>
        <w:t>s</w:t>
      </w:r>
      <w:r w:rsidR="141B93C0" w:rsidRPr="00DB101C">
        <w:rPr>
          <w:rFonts w:asciiTheme="minorHAnsi" w:hAnsiTheme="minorHAnsi" w:cstheme="minorBidi"/>
        </w:rPr>
        <w:t xml:space="preserve"> and navigate an increasingly complex digital landscape. </w:t>
      </w:r>
    </w:p>
    <w:p w14:paraId="338C4E4C" w14:textId="6953252A" w:rsidR="00047014" w:rsidRPr="00DB101C" w:rsidRDefault="00085910" w:rsidP="00554552">
      <w:pPr>
        <w:jc w:val="both"/>
        <w:rPr>
          <w:rFonts w:asciiTheme="minorHAnsi" w:hAnsiTheme="minorHAnsi" w:cstheme="minorBidi"/>
        </w:rPr>
      </w:pPr>
      <w:r w:rsidRPr="00DB101C">
        <w:rPr>
          <w:rFonts w:asciiTheme="minorHAnsi" w:hAnsiTheme="minorHAnsi" w:cstheme="minorBidi"/>
        </w:rPr>
        <w:t>6</w:t>
      </w:r>
      <w:r w:rsidR="009F09D3" w:rsidRPr="00DB101C">
        <w:rPr>
          <w:rFonts w:asciiTheme="minorHAnsi" w:hAnsiTheme="minorHAnsi" w:cstheme="minorBidi"/>
        </w:rPr>
        <w:t>.3</w:t>
      </w:r>
      <w:r w:rsidRPr="00DB101C">
        <w:rPr>
          <w:rFonts w:asciiTheme="minorHAnsi" w:hAnsiTheme="minorHAnsi" w:cstheme="minorBidi"/>
        </w:rPr>
        <w:tab/>
      </w:r>
      <w:r w:rsidR="12A7BF5F" w:rsidRPr="00DB101C">
        <w:rPr>
          <w:rFonts w:asciiTheme="minorHAnsi" w:hAnsiTheme="minorHAnsi" w:cstheme="minorBidi"/>
        </w:rPr>
        <w:t xml:space="preserve">Taken together, the findings of this review present a clear and constructive message: ITU’s Regional and Area Offices are a major strategic asset, performing strongly and delivering tangible value. With </w:t>
      </w:r>
      <w:r w:rsidR="12A7BF5F" w:rsidRPr="00554552">
        <w:t>targeted</w:t>
      </w:r>
      <w:r w:rsidR="12A7BF5F" w:rsidRPr="00DB101C">
        <w:rPr>
          <w:rFonts w:asciiTheme="minorHAnsi" w:hAnsiTheme="minorHAnsi" w:cstheme="minorBidi"/>
        </w:rPr>
        <w:t xml:space="preserve"> actions and institutional support, the regional presence can become even more agile, impactful, and aligned with </w:t>
      </w:r>
      <w:r w:rsidR="008E7700" w:rsidRPr="00DB101C">
        <w:rPr>
          <w:rFonts w:asciiTheme="minorHAnsi" w:hAnsiTheme="minorHAnsi" w:cstheme="minorBidi"/>
        </w:rPr>
        <w:t>m</w:t>
      </w:r>
      <w:r w:rsidR="12A7BF5F" w:rsidRPr="00DB101C">
        <w:rPr>
          <w:rFonts w:asciiTheme="minorHAnsi" w:hAnsiTheme="minorHAnsi" w:cstheme="minorBidi"/>
        </w:rPr>
        <w:t>ember</w:t>
      </w:r>
      <w:r w:rsidR="008E7D75" w:rsidRPr="00DB101C">
        <w:rPr>
          <w:rFonts w:asciiTheme="minorHAnsi" w:hAnsiTheme="minorHAnsi" w:cstheme="minorBidi"/>
        </w:rPr>
        <w:t>ship</w:t>
      </w:r>
      <w:r w:rsidR="12A7BF5F" w:rsidRPr="00DB101C">
        <w:rPr>
          <w:rFonts w:asciiTheme="minorHAnsi" w:hAnsiTheme="minorHAnsi" w:cstheme="minorBidi"/>
        </w:rPr>
        <w:t xml:space="preserve"> expectations. </w:t>
      </w:r>
    </w:p>
    <w:p w14:paraId="78991646" w14:textId="77777777" w:rsidR="00085910" w:rsidRPr="00DB101C" w:rsidRDefault="00085910" w:rsidP="00641ECE">
      <w:pPr>
        <w:tabs>
          <w:tab w:val="clear" w:pos="567"/>
          <w:tab w:val="clear" w:pos="1134"/>
          <w:tab w:val="clear" w:pos="1701"/>
          <w:tab w:val="clear" w:pos="2268"/>
          <w:tab w:val="clear" w:pos="2835"/>
        </w:tabs>
        <w:jc w:val="both"/>
        <w:rPr>
          <w:rFonts w:asciiTheme="minorHAnsi" w:hAnsiTheme="minorHAnsi" w:cstheme="minorBidi"/>
        </w:rPr>
      </w:pPr>
    </w:p>
    <w:p w14:paraId="4B865641" w14:textId="7F368ED0" w:rsidR="00FF2074" w:rsidRPr="00DB101C" w:rsidRDefault="00085910">
      <w:pPr>
        <w:jc w:val="center"/>
        <w:rPr>
          <w:rFonts w:eastAsia="Batang"/>
        </w:rPr>
      </w:pPr>
      <w:r w:rsidRPr="00DB101C">
        <w:t>______________</w:t>
      </w:r>
    </w:p>
    <w:sectPr w:rsidR="00FF2074" w:rsidRPr="00DB101C" w:rsidSect="00336CF4">
      <w:footerReference w:type="default" r:id="rId33"/>
      <w:headerReference w:type="first" r:id="rId34"/>
      <w:footerReference w:type="first" r:id="rId35"/>
      <w:pgSz w:w="11907" w:h="16834"/>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398E" w14:textId="77777777" w:rsidR="00D02817" w:rsidRDefault="00D02817">
      <w:r>
        <w:separator/>
      </w:r>
    </w:p>
  </w:endnote>
  <w:endnote w:type="continuationSeparator" w:id="0">
    <w:p w14:paraId="2B2C9C9F" w14:textId="77777777" w:rsidR="00D02817" w:rsidRDefault="00D0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xt2 W1G,Segoe U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xt2 W1G">
    <w:panose1 w:val="020B0503020202020204"/>
    <w:charset w:val="00"/>
    <w:family w:val="swiss"/>
    <w:notTrueType/>
    <w:pitch w:val="variable"/>
    <w:sig w:usb0="A00002EF" w:usb1="00000003" w:usb2="00000000" w:usb3="00000000" w:csb0="000001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36CF4" w:rsidRPr="00336CF4" w14:paraId="6C55B64F" w14:textId="77777777">
      <w:trPr>
        <w:jc w:val="center"/>
      </w:trPr>
      <w:tc>
        <w:tcPr>
          <w:tcW w:w="1803" w:type="dxa"/>
          <w:vAlign w:val="center"/>
        </w:tcPr>
        <w:p w14:paraId="3F111739" w14:textId="77777777" w:rsidR="00336CF4" w:rsidRPr="00336CF4" w:rsidRDefault="00336CF4" w:rsidP="00161EE7">
          <w:pPr>
            <w:pStyle w:val="Header"/>
            <w:tabs>
              <w:tab w:val="left" w:pos="8080"/>
              <w:tab w:val="right" w:pos="9072"/>
            </w:tabs>
            <w:jc w:val="left"/>
            <w:rPr>
              <w:rFonts w:eastAsia="Times New Roman" w:cs="Times New Roman"/>
              <w:bCs/>
              <w:szCs w:val="20"/>
            </w:rPr>
          </w:pPr>
          <w:r w:rsidRPr="00336CF4">
            <w:rPr>
              <w:rFonts w:eastAsia="Times New Roman" w:cs="Times New Roman"/>
              <w:bCs/>
              <w:szCs w:val="20"/>
            </w:rPr>
            <w:t>gDoc #</w:t>
          </w:r>
        </w:p>
      </w:tc>
      <w:tc>
        <w:tcPr>
          <w:tcW w:w="8261" w:type="dxa"/>
        </w:tcPr>
        <w:p w14:paraId="0DB4CE29" w14:textId="2F7DBB74" w:rsidR="00336CF4" w:rsidRPr="00336CF4" w:rsidRDefault="00336CF4" w:rsidP="00336CF4">
          <w:pPr>
            <w:pStyle w:val="Header"/>
            <w:tabs>
              <w:tab w:val="left" w:pos="6727"/>
              <w:tab w:val="right" w:pos="9072"/>
            </w:tabs>
            <w:rPr>
              <w:rFonts w:eastAsia="Times New Roman" w:cs="Times New Roman"/>
              <w:b/>
              <w:bCs/>
              <w:szCs w:val="20"/>
            </w:rPr>
          </w:pPr>
          <w:r w:rsidRPr="00336CF4">
            <w:rPr>
              <w:rFonts w:eastAsia="Times New Roman" w:cs="Times New Roman"/>
              <w:bCs/>
              <w:szCs w:val="20"/>
            </w:rPr>
            <w:tab/>
            <w:t>C26/</w:t>
          </w:r>
          <w:r>
            <w:rPr>
              <w:rFonts w:eastAsia="Times New Roman" w:cs="Times New Roman"/>
              <w:bCs/>
              <w:szCs w:val="20"/>
            </w:rPr>
            <w:t>2</w:t>
          </w:r>
          <w:r>
            <w:rPr>
              <w:rFonts w:cs="Times New Roman"/>
              <w:bCs/>
              <w:szCs w:val="20"/>
            </w:rPr>
            <w:t>4</w:t>
          </w:r>
          <w:r w:rsidRPr="00336CF4">
            <w:rPr>
              <w:rFonts w:eastAsia="Times New Roman" w:cs="Times New Roman"/>
              <w:bCs/>
              <w:szCs w:val="20"/>
            </w:rPr>
            <w:t>-E</w:t>
          </w:r>
          <w:r w:rsidRPr="00336CF4">
            <w:rPr>
              <w:rFonts w:eastAsia="Times New Roman" w:cs="Times New Roman"/>
              <w:bCs/>
              <w:szCs w:val="20"/>
            </w:rPr>
            <w:tab/>
          </w:r>
          <w:r w:rsidRPr="00336CF4">
            <w:rPr>
              <w:bCs/>
            </w:rPr>
            <w:fldChar w:fldCharType="begin"/>
          </w:r>
          <w:r w:rsidRPr="00336CF4">
            <w:rPr>
              <w:rFonts w:eastAsia="Times New Roman" w:cs="Times New Roman"/>
              <w:bCs/>
              <w:szCs w:val="20"/>
            </w:rPr>
            <w:instrText>PAGE</w:instrText>
          </w:r>
          <w:r w:rsidRPr="00336CF4">
            <w:rPr>
              <w:bCs/>
            </w:rPr>
            <w:fldChar w:fldCharType="separate"/>
          </w:r>
          <w:r w:rsidRPr="00336CF4">
            <w:rPr>
              <w:rFonts w:eastAsia="Times New Roman" w:cs="Times New Roman"/>
              <w:bCs/>
              <w:szCs w:val="20"/>
            </w:rPr>
            <w:t>1</w:t>
          </w:r>
          <w:r w:rsidRPr="00336CF4">
            <w:rPr>
              <w:bCs/>
            </w:rPr>
            <w:fldChar w:fldCharType="end"/>
          </w:r>
        </w:p>
      </w:tc>
    </w:tr>
  </w:tbl>
  <w:p w14:paraId="3FF3BB4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002A0665" w14:textId="77777777" w:rsidTr="006B77F1">
      <w:trPr>
        <w:jc w:val="center"/>
      </w:trPr>
      <w:tc>
        <w:tcPr>
          <w:tcW w:w="1803" w:type="dxa"/>
          <w:vAlign w:val="center"/>
        </w:tcPr>
        <w:p w14:paraId="56534B3F"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47AA573" w14:textId="08CEFB13"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66688C">
            <w:rPr>
              <w:bCs/>
            </w:rPr>
            <w:t>24</w:t>
          </w:r>
          <w:r w:rsidRPr="00623AE3">
            <w:rPr>
              <w:bCs/>
            </w:rPr>
            <w:t>-E</w:t>
          </w:r>
          <w:r>
            <w:rPr>
              <w:bCs/>
            </w:rPr>
            <w:tab/>
          </w:r>
          <w:r>
            <w:fldChar w:fldCharType="begin"/>
          </w:r>
          <w:r>
            <w:instrText>PAGE</w:instrText>
          </w:r>
          <w:r>
            <w:fldChar w:fldCharType="separate"/>
          </w:r>
          <w:r>
            <w:t>1</w:t>
          </w:r>
          <w:r>
            <w:rPr>
              <w:noProof/>
            </w:rPr>
            <w:fldChar w:fldCharType="end"/>
          </w:r>
        </w:p>
      </w:tc>
    </w:tr>
  </w:tbl>
  <w:p w14:paraId="67440D75"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D2BE2" w14:textId="77777777" w:rsidR="00D02817" w:rsidRDefault="00D02817">
      <w:r>
        <w:t>____________________</w:t>
      </w:r>
    </w:p>
  </w:footnote>
  <w:footnote w:type="continuationSeparator" w:id="0">
    <w:p w14:paraId="21A72B28" w14:textId="77777777" w:rsidR="00D02817" w:rsidRDefault="00D02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A61" w14:textId="6FD8CEB0" w:rsidR="00AD3606" w:rsidRPr="003A2AB2" w:rsidRDefault="00336CF4" w:rsidP="003A2AB2">
    <w:pPr>
      <w:pStyle w:val="Header"/>
    </w:pPr>
    <w:r>
      <w:rPr>
        <w:noProof/>
      </w:rPr>
      <w:drawing>
        <wp:inline distT="0" distB="0" distL="0" distR="0" wp14:anchorId="6B7E1A0A" wp14:editId="2F2D3BAA">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E52"/>
    <w:multiLevelType w:val="multilevel"/>
    <w:tmpl w:val="8848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70275"/>
    <w:multiLevelType w:val="hybridMultilevel"/>
    <w:tmpl w:val="5C082C4E"/>
    <w:lvl w:ilvl="0" w:tplc="0688E482">
      <w:start w:val="1"/>
      <w:numFmt w:val="lowerLetter"/>
      <w:lvlText w:val="%1."/>
      <w:lvlJc w:val="left"/>
      <w:pPr>
        <w:ind w:left="720" w:hanging="360"/>
      </w:pPr>
      <w:rPr>
        <w:rFonts w:ascii="Avenir Nxt2 W1G,Segoe UI" w:hAnsi="Avenir Nxt2 W1G,Segoe UI" w:hint="default"/>
      </w:rPr>
    </w:lvl>
    <w:lvl w:ilvl="1" w:tplc="10BA00B8">
      <w:start w:val="1"/>
      <w:numFmt w:val="lowerLetter"/>
      <w:lvlText w:val="%2."/>
      <w:lvlJc w:val="left"/>
      <w:pPr>
        <w:ind w:left="1440" w:hanging="360"/>
      </w:pPr>
    </w:lvl>
    <w:lvl w:ilvl="2" w:tplc="0EBEF6C0">
      <w:start w:val="1"/>
      <w:numFmt w:val="lowerRoman"/>
      <w:lvlText w:val="%3."/>
      <w:lvlJc w:val="right"/>
      <w:pPr>
        <w:ind w:left="2160" w:hanging="180"/>
      </w:pPr>
    </w:lvl>
    <w:lvl w:ilvl="3" w:tplc="ACA6E1BC">
      <w:start w:val="1"/>
      <w:numFmt w:val="decimal"/>
      <w:lvlText w:val="%4."/>
      <w:lvlJc w:val="left"/>
      <w:pPr>
        <w:ind w:left="2880" w:hanging="360"/>
      </w:pPr>
    </w:lvl>
    <w:lvl w:ilvl="4" w:tplc="A5568494">
      <w:start w:val="1"/>
      <w:numFmt w:val="lowerLetter"/>
      <w:lvlText w:val="%5."/>
      <w:lvlJc w:val="left"/>
      <w:pPr>
        <w:ind w:left="3600" w:hanging="360"/>
      </w:pPr>
    </w:lvl>
    <w:lvl w:ilvl="5" w:tplc="93465C06">
      <w:start w:val="1"/>
      <w:numFmt w:val="lowerRoman"/>
      <w:lvlText w:val="%6."/>
      <w:lvlJc w:val="right"/>
      <w:pPr>
        <w:ind w:left="4320" w:hanging="180"/>
      </w:pPr>
    </w:lvl>
    <w:lvl w:ilvl="6" w:tplc="C55AB496">
      <w:start w:val="1"/>
      <w:numFmt w:val="decimal"/>
      <w:lvlText w:val="%7."/>
      <w:lvlJc w:val="left"/>
      <w:pPr>
        <w:ind w:left="5040" w:hanging="360"/>
      </w:pPr>
    </w:lvl>
    <w:lvl w:ilvl="7" w:tplc="556EDCB2">
      <w:start w:val="1"/>
      <w:numFmt w:val="lowerLetter"/>
      <w:lvlText w:val="%8."/>
      <w:lvlJc w:val="left"/>
      <w:pPr>
        <w:ind w:left="5760" w:hanging="360"/>
      </w:pPr>
    </w:lvl>
    <w:lvl w:ilvl="8" w:tplc="456251E2">
      <w:start w:val="1"/>
      <w:numFmt w:val="lowerRoman"/>
      <w:lvlText w:val="%9."/>
      <w:lvlJc w:val="right"/>
      <w:pPr>
        <w:ind w:left="6480" w:hanging="180"/>
      </w:pPr>
    </w:lvl>
  </w:abstractNum>
  <w:abstractNum w:abstractNumId="2" w15:restartNumberingAfterBreak="0">
    <w:nsid w:val="026A8248"/>
    <w:multiLevelType w:val="hybridMultilevel"/>
    <w:tmpl w:val="B4302A60"/>
    <w:lvl w:ilvl="0" w:tplc="05F4DDD8">
      <w:start w:val="1"/>
      <w:numFmt w:val="decimal"/>
      <w:lvlText w:val="%1."/>
      <w:lvlJc w:val="left"/>
      <w:pPr>
        <w:ind w:left="1077" w:hanging="360"/>
      </w:pPr>
    </w:lvl>
    <w:lvl w:ilvl="1" w:tplc="007CE8FC">
      <w:start w:val="1"/>
      <w:numFmt w:val="lowerLetter"/>
      <w:lvlText w:val="%2."/>
      <w:lvlJc w:val="left"/>
      <w:pPr>
        <w:ind w:left="1797" w:hanging="360"/>
      </w:pPr>
    </w:lvl>
    <w:lvl w:ilvl="2" w:tplc="AF5251C4">
      <w:start w:val="1"/>
      <w:numFmt w:val="lowerRoman"/>
      <w:lvlText w:val="%3."/>
      <w:lvlJc w:val="right"/>
      <w:pPr>
        <w:ind w:left="2517" w:hanging="180"/>
      </w:pPr>
    </w:lvl>
    <w:lvl w:ilvl="3" w:tplc="30E65786">
      <w:start w:val="1"/>
      <w:numFmt w:val="decimal"/>
      <w:lvlText w:val="%4."/>
      <w:lvlJc w:val="left"/>
      <w:pPr>
        <w:ind w:left="3237" w:hanging="360"/>
      </w:pPr>
    </w:lvl>
    <w:lvl w:ilvl="4" w:tplc="3A2AE164">
      <w:start w:val="1"/>
      <w:numFmt w:val="lowerLetter"/>
      <w:lvlText w:val="%5."/>
      <w:lvlJc w:val="left"/>
      <w:pPr>
        <w:ind w:left="3957" w:hanging="360"/>
      </w:pPr>
    </w:lvl>
    <w:lvl w:ilvl="5" w:tplc="7638B8D6">
      <w:start w:val="1"/>
      <w:numFmt w:val="lowerRoman"/>
      <w:lvlText w:val="%6."/>
      <w:lvlJc w:val="right"/>
      <w:pPr>
        <w:ind w:left="4677" w:hanging="180"/>
      </w:pPr>
    </w:lvl>
    <w:lvl w:ilvl="6" w:tplc="A1B2AF6A">
      <w:start w:val="1"/>
      <w:numFmt w:val="decimal"/>
      <w:lvlText w:val="%7."/>
      <w:lvlJc w:val="left"/>
      <w:pPr>
        <w:ind w:left="5397" w:hanging="360"/>
      </w:pPr>
    </w:lvl>
    <w:lvl w:ilvl="7" w:tplc="2C54111C">
      <w:start w:val="1"/>
      <w:numFmt w:val="lowerLetter"/>
      <w:lvlText w:val="%8."/>
      <w:lvlJc w:val="left"/>
      <w:pPr>
        <w:ind w:left="6117" w:hanging="360"/>
      </w:pPr>
    </w:lvl>
    <w:lvl w:ilvl="8" w:tplc="D71CD948">
      <w:start w:val="1"/>
      <w:numFmt w:val="lowerRoman"/>
      <w:lvlText w:val="%9."/>
      <w:lvlJc w:val="right"/>
      <w:pPr>
        <w:ind w:left="6837" w:hanging="180"/>
      </w:pPr>
    </w:lvl>
  </w:abstractNum>
  <w:abstractNum w:abstractNumId="3" w15:restartNumberingAfterBreak="0">
    <w:nsid w:val="04FE42B3"/>
    <w:multiLevelType w:val="multilevel"/>
    <w:tmpl w:val="009CD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23F30"/>
    <w:multiLevelType w:val="multilevel"/>
    <w:tmpl w:val="C108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6A41A6"/>
    <w:multiLevelType w:val="hybridMultilevel"/>
    <w:tmpl w:val="7FD470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B86442"/>
    <w:multiLevelType w:val="multilevel"/>
    <w:tmpl w:val="EFFA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B1284D"/>
    <w:multiLevelType w:val="multilevel"/>
    <w:tmpl w:val="9DFE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176793"/>
    <w:multiLevelType w:val="hybridMultilevel"/>
    <w:tmpl w:val="8A8E036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E1C14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BD699D"/>
    <w:multiLevelType w:val="multilevel"/>
    <w:tmpl w:val="FFFFFFFF"/>
    <w:lvl w:ilvl="0">
      <w:start w:val="2"/>
      <w:numFmt w:val="decimal"/>
      <w:lvlText w:val="%1."/>
      <w:lvlJc w:val="left"/>
      <w:pPr>
        <w:ind w:left="720" w:hanging="360"/>
      </w:pPr>
      <w:rPr>
        <w:rFonts w:ascii="Avenir Nxt2 W1G" w:hAnsi="Avenir Nxt2 W1G"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517C90"/>
    <w:multiLevelType w:val="multilevel"/>
    <w:tmpl w:val="F31A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8001FC"/>
    <w:multiLevelType w:val="multilevel"/>
    <w:tmpl w:val="C250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C27975"/>
    <w:multiLevelType w:val="multilevel"/>
    <w:tmpl w:val="4A04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FA66BE"/>
    <w:multiLevelType w:val="multilevel"/>
    <w:tmpl w:val="9250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3E7FE5"/>
    <w:multiLevelType w:val="multilevel"/>
    <w:tmpl w:val="7B08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9F3EB1"/>
    <w:multiLevelType w:val="multilevel"/>
    <w:tmpl w:val="FFFFFFFF"/>
    <w:lvl w:ilvl="0">
      <w:start w:val="5"/>
      <w:numFmt w:val="decimal"/>
      <w:lvlText w:val="%1."/>
      <w:lvlJc w:val="left"/>
      <w:pPr>
        <w:ind w:left="720" w:hanging="360"/>
      </w:pPr>
      <w:rPr>
        <w:rFonts w:ascii="Avenir Nxt2 W1G" w:hAnsi="Avenir Nxt2 W1G"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41D402E"/>
    <w:multiLevelType w:val="multilevel"/>
    <w:tmpl w:val="A9D8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D375A3"/>
    <w:multiLevelType w:val="hybridMultilevel"/>
    <w:tmpl w:val="E3480656"/>
    <w:lvl w:ilvl="0" w:tplc="596AA38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B21734"/>
    <w:multiLevelType w:val="hybridMultilevel"/>
    <w:tmpl w:val="C312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1A7F1A"/>
    <w:multiLevelType w:val="multilevel"/>
    <w:tmpl w:val="F140E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21F378"/>
    <w:multiLevelType w:val="multilevel"/>
    <w:tmpl w:val="FFFFFFFF"/>
    <w:lvl w:ilvl="0">
      <w:start w:val="4"/>
      <w:numFmt w:val="decimal"/>
      <w:lvlText w:val="%1."/>
      <w:lvlJc w:val="left"/>
      <w:pPr>
        <w:ind w:left="720" w:hanging="360"/>
      </w:pPr>
      <w:rPr>
        <w:rFonts w:ascii="Avenir Nxt2 W1G" w:hAnsi="Avenir Nxt2 W1G"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2FC57C9"/>
    <w:multiLevelType w:val="multilevel"/>
    <w:tmpl w:val="E94A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DB2570"/>
    <w:multiLevelType w:val="multilevel"/>
    <w:tmpl w:val="F75C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1C509A"/>
    <w:multiLevelType w:val="multilevel"/>
    <w:tmpl w:val="4A04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7FBFEA"/>
    <w:multiLevelType w:val="hybridMultilevel"/>
    <w:tmpl w:val="31004956"/>
    <w:lvl w:ilvl="0" w:tplc="EB9EC31E">
      <w:start w:val="1"/>
      <w:numFmt w:val="lowerLetter"/>
      <w:lvlText w:val="%1."/>
      <w:lvlJc w:val="left"/>
      <w:pPr>
        <w:ind w:left="720" w:hanging="360"/>
      </w:pPr>
    </w:lvl>
    <w:lvl w:ilvl="1" w:tplc="DA9E64CC">
      <w:start w:val="1"/>
      <w:numFmt w:val="lowerLetter"/>
      <w:lvlText w:val="%2."/>
      <w:lvlJc w:val="left"/>
      <w:pPr>
        <w:ind w:left="1440" w:hanging="360"/>
      </w:pPr>
    </w:lvl>
    <w:lvl w:ilvl="2" w:tplc="6058744E">
      <w:start w:val="1"/>
      <w:numFmt w:val="lowerRoman"/>
      <w:lvlText w:val="%3."/>
      <w:lvlJc w:val="right"/>
      <w:pPr>
        <w:ind w:left="2160" w:hanging="180"/>
      </w:pPr>
    </w:lvl>
    <w:lvl w:ilvl="3" w:tplc="3DA69748">
      <w:start w:val="1"/>
      <w:numFmt w:val="decimal"/>
      <w:lvlText w:val="%4."/>
      <w:lvlJc w:val="left"/>
      <w:pPr>
        <w:ind w:left="2880" w:hanging="360"/>
      </w:pPr>
    </w:lvl>
    <w:lvl w:ilvl="4" w:tplc="26F4D152">
      <w:start w:val="1"/>
      <w:numFmt w:val="lowerLetter"/>
      <w:lvlText w:val="%5."/>
      <w:lvlJc w:val="left"/>
      <w:pPr>
        <w:ind w:left="3600" w:hanging="360"/>
      </w:pPr>
    </w:lvl>
    <w:lvl w:ilvl="5" w:tplc="BFDA914E">
      <w:start w:val="1"/>
      <w:numFmt w:val="lowerRoman"/>
      <w:lvlText w:val="%6."/>
      <w:lvlJc w:val="right"/>
      <w:pPr>
        <w:ind w:left="4320" w:hanging="180"/>
      </w:pPr>
    </w:lvl>
    <w:lvl w:ilvl="6" w:tplc="F61AF6C6">
      <w:start w:val="1"/>
      <w:numFmt w:val="decimal"/>
      <w:lvlText w:val="%7."/>
      <w:lvlJc w:val="left"/>
      <w:pPr>
        <w:ind w:left="5040" w:hanging="360"/>
      </w:pPr>
    </w:lvl>
    <w:lvl w:ilvl="7" w:tplc="C284B746">
      <w:start w:val="1"/>
      <w:numFmt w:val="lowerLetter"/>
      <w:lvlText w:val="%8."/>
      <w:lvlJc w:val="left"/>
      <w:pPr>
        <w:ind w:left="5760" w:hanging="360"/>
      </w:pPr>
    </w:lvl>
    <w:lvl w:ilvl="8" w:tplc="AA96EAE2">
      <w:start w:val="1"/>
      <w:numFmt w:val="lowerRoman"/>
      <w:lvlText w:val="%9."/>
      <w:lvlJc w:val="right"/>
      <w:pPr>
        <w:ind w:left="6480" w:hanging="180"/>
      </w:pPr>
    </w:lvl>
  </w:abstractNum>
  <w:abstractNum w:abstractNumId="26" w15:restartNumberingAfterBreak="0">
    <w:nsid w:val="26820E90"/>
    <w:multiLevelType w:val="multilevel"/>
    <w:tmpl w:val="009CD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0433CE"/>
    <w:multiLevelType w:val="hybridMultilevel"/>
    <w:tmpl w:val="5DAE54CA"/>
    <w:lvl w:ilvl="0" w:tplc="051AF7DC">
      <w:start w:val="1"/>
      <w:numFmt w:val="lowerLetter"/>
      <w:lvlText w:val="%1)"/>
      <w:lvlJc w:val="left"/>
      <w:pPr>
        <w:ind w:left="720" w:hanging="360"/>
      </w:pPr>
    </w:lvl>
    <w:lvl w:ilvl="1" w:tplc="4758742E">
      <w:start w:val="1"/>
      <w:numFmt w:val="lowerLetter"/>
      <w:lvlText w:val="%2."/>
      <w:lvlJc w:val="left"/>
      <w:pPr>
        <w:ind w:left="1440" w:hanging="360"/>
      </w:pPr>
    </w:lvl>
    <w:lvl w:ilvl="2" w:tplc="8BA6C240">
      <w:start w:val="4"/>
      <w:numFmt w:val="bullet"/>
      <w:lvlText w:val="–"/>
      <w:lvlJc w:val="left"/>
      <w:pPr>
        <w:ind w:left="2700" w:hanging="720"/>
      </w:pPr>
      <w:rPr>
        <w:rFonts w:ascii="Avenir Nxt2 W1G" w:hAnsi="Avenir Nxt2 W1G" w:hint="default"/>
      </w:rPr>
    </w:lvl>
    <w:lvl w:ilvl="3" w:tplc="990E48D0">
      <w:start w:val="4"/>
      <w:numFmt w:val="bullet"/>
      <w:lvlText w:val="•"/>
      <w:lvlJc w:val="left"/>
      <w:pPr>
        <w:ind w:left="2880" w:hanging="360"/>
      </w:pPr>
      <w:rPr>
        <w:rFonts w:ascii="Avenir Nxt2 W1G" w:hAnsi="Avenir Nxt2 W1G" w:hint="default"/>
      </w:rPr>
    </w:lvl>
    <w:lvl w:ilvl="4" w:tplc="EAB82016" w:tentative="1">
      <w:start w:val="1"/>
      <w:numFmt w:val="lowerLetter"/>
      <w:lvlText w:val="%5."/>
      <w:lvlJc w:val="left"/>
      <w:pPr>
        <w:ind w:left="3600" w:hanging="360"/>
      </w:pPr>
    </w:lvl>
    <w:lvl w:ilvl="5" w:tplc="5E24F062" w:tentative="1">
      <w:start w:val="1"/>
      <w:numFmt w:val="lowerRoman"/>
      <w:lvlText w:val="%6."/>
      <w:lvlJc w:val="right"/>
      <w:pPr>
        <w:ind w:left="4320" w:hanging="180"/>
      </w:pPr>
    </w:lvl>
    <w:lvl w:ilvl="6" w:tplc="7980BBBA" w:tentative="1">
      <w:start w:val="1"/>
      <w:numFmt w:val="decimal"/>
      <w:lvlText w:val="%7."/>
      <w:lvlJc w:val="left"/>
      <w:pPr>
        <w:ind w:left="5040" w:hanging="360"/>
      </w:pPr>
    </w:lvl>
    <w:lvl w:ilvl="7" w:tplc="5492FFF6" w:tentative="1">
      <w:start w:val="1"/>
      <w:numFmt w:val="lowerLetter"/>
      <w:lvlText w:val="%8."/>
      <w:lvlJc w:val="left"/>
      <w:pPr>
        <w:ind w:left="5760" w:hanging="360"/>
      </w:pPr>
    </w:lvl>
    <w:lvl w:ilvl="8" w:tplc="13BC600C" w:tentative="1">
      <w:start w:val="1"/>
      <w:numFmt w:val="lowerRoman"/>
      <w:lvlText w:val="%9."/>
      <w:lvlJc w:val="right"/>
      <w:pPr>
        <w:ind w:left="6480" w:hanging="180"/>
      </w:pPr>
    </w:lvl>
  </w:abstractNum>
  <w:abstractNum w:abstractNumId="28" w15:restartNumberingAfterBreak="0">
    <w:nsid w:val="2A7051AC"/>
    <w:multiLevelType w:val="multilevel"/>
    <w:tmpl w:val="F29C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A81C59A"/>
    <w:multiLevelType w:val="multilevel"/>
    <w:tmpl w:val="FFFFFFFF"/>
    <w:lvl w:ilvl="0">
      <w:start w:val="8"/>
      <w:numFmt w:val="decimal"/>
      <w:lvlText w:val="%1."/>
      <w:lvlJc w:val="left"/>
      <w:pPr>
        <w:ind w:left="720" w:hanging="360"/>
      </w:pPr>
      <w:rPr>
        <w:rFonts w:ascii="Avenir Nxt2 W1G" w:hAnsi="Avenir Nxt2 W1G"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AC74DBE"/>
    <w:multiLevelType w:val="multilevel"/>
    <w:tmpl w:val="ADA6584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ptos" w:eastAsia="Batang"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B823F9"/>
    <w:multiLevelType w:val="hybridMultilevel"/>
    <w:tmpl w:val="C7E432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2E024E62"/>
    <w:multiLevelType w:val="multilevel"/>
    <w:tmpl w:val="BC5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192253"/>
    <w:multiLevelType w:val="multilevel"/>
    <w:tmpl w:val="28AC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F8242BD"/>
    <w:multiLevelType w:val="hybridMultilevel"/>
    <w:tmpl w:val="25FA6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E254FB"/>
    <w:multiLevelType w:val="hybridMultilevel"/>
    <w:tmpl w:val="CBD08FD2"/>
    <w:lvl w:ilvl="0" w:tplc="FE883820">
      <w:start w:val="1"/>
      <w:numFmt w:val="lowerLetter"/>
      <w:lvlText w:val="%1."/>
      <w:lvlJc w:val="left"/>
      <w:pPr>
        <w:ind w:left="720" w:hanging="360"/>
      </w:pPr>
    </w:lvl>
    <w:lvl w:ilvl="1" w:tplc="80B638EA">
      <w:start w:val="1"/>
      <w:numFmt w:val="lowerLetter"/>
      <w:lvlText w:val="%2."/>
      <w:lvlJc w:val="left"/>
      <w:pPr>
        <w:ind w:left="1440" w:hanging="360"/>
      </w:pPr>
    </w:lvl>
    <w:lvl w:ilvl="2" w:tplc="C7D497C2">
      <w:start w:val="1"/>
      <w:numFmt w:val="lowerRoman"/>
      <w:lvlText w:val="%3."/>
      <w:lvlJc w:val="right"/>
      <w:pPr>
        <w:ind w:left="2160" w:hanging="180"/>
      </w:pPr>
    </w:lvl>
    <w:lvl w:ilvl="3" w:tplc="5492F9DA">
      <w:start w:val="1"/>
      <w:numFmt w:val="decimal"/>
      <w:lvlText w:val="%4."/>
      <w:lvlJc w:val="left"/>
      <w:pPr>
        <w:ind w:left="2880" w:hanging="360"/>
      </w:pPr>
    </w:lvl>
    <w:lvl w:ilvl="4" w:tplc="B762C564">
      <w:start w:val="1"/>
      <w:numFmt w:val="lowerLetter"/>
      <w:lvlText w:val="%5."/>
      <w:lvlJc w:val="left"/>
      <w:pPr>
        <w:ind w:left="3600" w:hanging="360"/>
      </w:pPr>
    </w:lvl>
    <w:lvl w:ilvl="5" w:tplc="425656E2">
      <w:start w:val="1"/>
      <w:numFmt w:val="lowerRoman"/>
      <w:lvlText w:val="%6."/>
      <w:lvlJc w:val="right"/>
      <w:pPr>
        <w:ind w:left="4320" w:hanging="180"/>
      </w:pPr>
    </w:lvl>
    <w:lvl w:ilvl="6" w:tplc="70EEEC02">
      <w:start w:val="1"/>
      <w:numFmt w:val="decimal"/>
      <w:lvlText w:val="%7."/>
      <w:lvlJc w:val="left"/>
      <w:pPr>
        <w:ind w:left="5040" w:hanging="360"/>
      </w:pPr>
    </w:lvl>
    <w:lvl w:ilvl="7" w:tplc="A5B6A888">
      <w:start w:val="1"/>
      <w:numFmt w:val="lowerLetter"/>
      <w:lvlText w:val="%8."/>
      <w:lvlJc w:val="left"/>
      <w:pPr>
        <w:ind w:left="5760" w:hanging="360"/>
      </w:pPr>
    </w:lvl>
    <w:lvl w:ilvl="8" w:tplc="1436A372">
      <w:start w:val="1"/>
      <w:numFmt w:val="lowerRoman"/>
      <w:lvlText w:val="%9."/>
      <w:lvlJc w:val="right"/>
      <w:pPr>
        <w:ind w:left="6480" w:hanging="180"/>
      </w:pPr>
    </w:lvl>
  </w:abstractNum>
  <w:abstractNum w:abstractNumId="36" w15:restartNumberingAfterBreak="0">
    <w:nsid w:val="31C957E6"/>
    <w:multiLevelType w:val="multilevel"/>
    <w:tmpl w:val="FFFFFFFF"/>
    <w:lvl w:ilvl="0">
      <w:start w:val="2"/>
      <w:numFmt w:val="lowerLetter"/>
      <w:lvlText w:val="%1."/>
      <w:lvlJc w:val="left"/>
      <w:pPr>
        <w:ind w:left="720" w:hanging="360"/>
      </w:pPr>
      <w:rPr>
        <w:rFonts w:ascii="Avenir Nxt2 W1G" w:hAnsi="Avenir Nxt2 W1G"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2CB6567"/>
    <w:multiLevelType w:val="multilevel"/>
    <w:tmpl w:val="C94C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A92075"/>
    <w:multiLevelType w:val="multilevel"/>
    <w:tmpl w:val="B53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3AE96DD"/>
    <w:multiLevelType w:val="hybridMultilevel"/>
    <w:tmpl w:val="FFFFFFFF"/>
    <w:lvl w:ilvl="0" w:tplc="FBA45D86">
      <w:start w:val="1"/>
      <w:numFmt w:val="lowerLetter"/>
      <w:lvlText w:val="%1."/>
      <w:lvlJc w:val="left"/>
      <w:pPr>
        <w:ind w:left="720" w:hanging="360"/>
      </w:pPr>
    </w:lvl>
    <w:lvl w:ilvl="1" w:tplc="4E3EF558">
      <w:start w:val="1"/>
      <w:numFmt w:val="lowerLetter"/>
      <w:lvlText w:val="%2."/>
      <w:lvlJc w:val="left"/>
      <w:pPr>
        <w:ind w:left="1440" w:hanging="360"/>
      </w:pPr>
    </w:lvl>
    <w:lvl w:ilvl="2" w:tplc="B7863DCA">
      <w:start w:val="1"/>
      <w:numFmt w:val="lowerRoman"/>
      <w:lvlText w:val="%3."/>
      <w:lvlJc w:val="right"/>
      <w:pPr>
        <w:ind w:left="2160" w:hanging="180"/>
      </w:pPr>
    </w:lvl>
    <w:lvl w:ilvl="3" w:tplc="F9EA3CC2">
      <w:start w:val="1"/>
      <w:numFmt w:val="decimal"/>
      <w:lvlText w:val="%4."/>
      <w:lvlJc w:val="left"/>
      <w:pPr>
        <w:ind w:left="2880" w:hanging="360"/>
      </w:pPr>
    </w:lvl>
    <w:lvl w:ilvl="4" w:tplc="41769FC6">
      <w:start w:val="1"/>
      <w:numFmt w:val="lowerLetter"/>
      <w:lvlText w:val="%5."/>
      <w:lvlJc w:val="left"/>
      <w:pPr>
        <w:ind w:left="3600" w:hanging="360"/>
      </w:pPr>
    </w:lvl>
    <w:lvl w:ilvl="5" w:tplc="0C8A659C">
      <w:start w:val="1"/>
      <w:numFmt w:val="lowerRoman"/>
      <w:lvlText w:val="%6."/>
      <w:lvlJc w:val="right"/>
      <w:pPr>
        <w:ind w:left="4320" w:hanging="180"/>
      </w:pPr>
    </w:lvl>
    <w:lvl w:ilvl="6" w:tplc="9918C378">
      <w:start w:val="1"/>
      <w:numFmt w:val="decimal"/>
      <w:lvlText w:val="%7."/>
      <w:lvlJc w:val="left"/>
      <w:pPr>
        <w:ind w:left="5040" w:hanging="360"/>
      </w:pPr>
    </w:lvl>
    <w:lvl w:ilvl="7" w:tplc="6E68289C">
      <w:start w:val="1"/>
      <w:numFmt w:val="lowerLetter"/>
      <w:lvlText w:val="%8."/>
      <w:lvlJc w:val="left"/>
      <w:pPr>
        <w:ind w:left="5760" w:hanging="360"/>
      </w:pPr>
    </w:lvl>
    <w:lvl w:ilvl="8" w:tplc="70C6CDEC">
      <w:start w:val="1"/>
      <w:numFmt w:val="lowerRoman"/>
      <w:lvlText w:val="%9."/>
      <w:lvlJc w:val="right"/>
      <w:pPr>
        <w:ind w:left="6480" w:hanging="180"/>
      </w:pPr>
    </w:lvl>
  </w:abstractNum>
  <w:abstractNum w:abstractNumId="40" w15:restartNumberingAfterBreak="0">
    <w:nsid w:val="39F94D13"/>
    <w:multiLevelType w:val="hybridMultilevel"/>
    <w:tmpl w:val="D63EC7AC"/>
    <w:lvl w:ilvl="0" w:tplc="08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3B9215F1"/>
    <w:multiLevelType w:val="multilevel"/>
    <w:tmpl w:val="C2364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D34DBD"/>
    <w:multiLevelType w:val="hybridMultilevel"/>
    <w:tmpl w:val="F3D4A262"/>
    <w:lvl w:ilvl="0" w:tplc="1DDE1946">
      <w:start w:val="1"/>
      <w:numFmt w:val="lowerLetter"/>
      <w:lvlText w:val="%1)"/>
      <w:lvlJc w:val="left"/>
      <w:pPr>
        <w:ind w:left="720" w:hanging="360"/>
      </w:pPr>
    </w:lvl>
    <w:lvl w:ilvl="1" w:tplc="FBF483B4">
      <w:start w:val="1"/>
      <w:numFmt w:val="lowerLetter"/>
      <w:lvlText w:val="%2."/>
      <w:lvlJc w:val="left"/>
      <w:pPr>
        <w:ind w:left="1440" w:hanging="360"/>
      </w:pPr>
    </w:lvl>
    <w:lvl w:ilvl="2" w:tplc="06BCA238">
      <w:start w:val="4"/>
      <w:numFmt w:val="bullet"/>
      <w:lvlText w:val="–"/>
      <w:lvlJc w:val="left"/>
      <w:pPr>
        <w:ind w:left="2700" w:hanging="720"/>
      </w:pPr>
      <w:rPr>
        <w:rFonts w:ascii="Avenir Nxt2 W1G" w:hAnsi="Avenir Nxt2 W1G" w:hint="default"/>
      </w:rPr>
    </w:lvl>
    <w:lvl w:ilvl="3" w:tplc="DC32E5F6">
      <w:start w:val="4"/>
      <w:numFmt w:val="bullet"/>
      <w:lvlText w:val="•"/>
      <w:lvlJc w:val="left"/>
      <w:pPr>
        <w:ind w:left="2880" w:hanging="360"/>
      </w:pPr>
      <w:rPr>
        <w:rFonts w:ascii="Avenir Nxt2 W1G" w:hAnsi="Avenir Nxt2 W1G" w:hint="default"/>
      </w:rPr>
    </w:lvl>
    <w:lvl w:ilvl="4" w:tplc="BD74C0BC" w:tentative="1">
      <w:start w:val="1"/>
      <w:numFmt w:val="lowerLetter"/>
      <w:lvlText w:val="%5."/>
      <w:lvlJc w:val="left"/>
      <w:pPr>
        <w:ind w:left="3600" w:hanging="360"/>
      </w:pPr>
    </w:lvl>
    <w:lvl w:ilvl="5" w:tplc="940E8936" w:tentative="1">
      <w:start w:val="1"/>
      <w:numFmt w:val="lowerRoman"/>
      <w:lvlText w:val="%6."/>
      <w:lvlJc w:val="right"/>
      <w:pPr>
        <w:ind w:left="4320" w:hanging="180"/>
      </w:pPr>
    </w:lvl>
    <w:lvl w:ilvl="6" w:tplc="5052ABF4" w:tentative="1">
      <w:start w:val="1"/>
      <w:numFmt w:val="decimal"/>
      <w:lvlText w:val="%7."/>
      <w:lvlJc w:val="left"/>
      <w:pPr>
        <w:ind w:left="5040" w:hanging="360"/>
      </w:pPr>
    </w:lvl>
    <w:lvl w:ilvl="7" w:tplc="2984216E" w:tentative="1">
      <w:start w:val="1"/>
      <w:numFmt w:val="lowerLetter"/>
      <w:lvlText w:val="%8."/>
      <w:lvlJc w:val="left"/>
      <w:pPr>
        <w:ind w:left="5760" w:hanging="360"/>
      </w:pPr>
    </w:lvl>
    <w:lvl w:ilvl="8" w:tplc="C804C0CE" w:tentative="1">
      <w:start w:val="1"/>
      <w:numFmt w:val="lowerRoman"/>
      <w:lvlText w:val="%9."/>
      <w:lvlJc w:val="right"/>
      <w:pPr>
        <w:ind w:left="6480" w:hanging="180"/>
      </w:pPr>
    </w:lvl>
  </w:abstractNum>
  <w:abstractNum w:abstractNumId="43" w15:restartNumberingAfterBreak="0">
    <w:nsid w:val="3C4C7020"/>
    <w:multiLevelType w:val="hybridMultilevel"/>
    <w:tmpl w:val="B5AC1F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D8BA894"/>
    <w:multiLevelType w:val="hybridMultilevel"/>
    <w:tmpl w:val="FFFFFFFF"/>
    <w:lvl w:ilvl="0" w:tplc="77F44642">
      <w:start w:val="1"/>
      <w:numFmt w:val="bullet"/>
      <w:lvlText w:val=""/>
      <w:lvlJc w:val="left"/>
      <w:pPr>
        <w:ind w:left="720" w:hanging="360"/>
      </w:pPr>
      <w:rPr>
        <w:rFonts w:ascii="Symbol" w:hAnsi="Symbol" w:hint="default"/>
      </w:rPr>
    </w:lvl>
    <w:lvl w:ilvl="1" w:tplc="9DD218CE">
      <w:start w:val="1"/>
      <w:numFmt w:val="bullet"/>
      <w:lvlText w:val="o"/>
      <w:lvlJc w:val="left"/>
      <w:pPr>
        <w:ind w:left="1440" w:hanging="360"/>
      </w:pPr>
      <w:rPr>
        <w:rFonts w:ascii="Courier New" w:hAnsi="Courier New" w:hint="default"/>
      </w:rPr>
    </w:lvl>
    <w:lvl w:ilvl="2" w:tplc="DE4E0BE6">
      <w:start w:val="1"/>
      <w:numFmt w:val="bullet"/>
      <w:lvlText w:val=""/>
      <w:lvlJc w:val="left"/>
      <w:pPr>
        <w:ind w:left="2160" w:hanging="360"/>
      </w:pPr>
      <w:rPr>
        <w:rFonts w:ascii="Wingdings" w:hAnsi="Wingdings" w:hint="default"/>
      </w:rPr>
    </w:lvl>
    <w:lvl w:ilvl="3" w:tplc="EE78FF7A">
      <w:start w:val="1"/>
      <w:numFmt w:val="bullet"/>
      <w:lvlText w:val=""/>
      <w:lvlJc w:val="left"/>
      <w:pPr>
        <w:ind w:left="2880" w:hanging="360"/>
      </w:pPr>
      <w:rPr>
        <w:rFonts w:ascii="Symbol" w:hAnsi="Symbol" w:hint="default"/>
      </w:rPr>
    </w:lvl>
    <w:lvl w:ilvl="4" w:tplc="894234F0">
      <w:start w:val="1"/>
      <w:numFmt w:val="bullet"/>
      <w:lvlText w:val="o"/>
      <w:lvlJc w:val="left"/>
      <w:pPr>
        <w:ind w:left="3600" w:hanging="360"/>
      </w:pPr>
      <w:rPr>
        <w:rFonts w:ascii="Courier New" w:hAnsi="Courier New" w:hint="default"/>
      </w:rPr>
    </w:lvl>
    <w:lvl w:ilvl="5" w:tplc="35F435BC">
      <w:start w:val="1"/>
      <w:numFmt w:val="bullet"/>
      <w:lvlText w:val=""/>
      <w:lvlJc w:val="left"/>
      <w:pPr>
        <w:ind w:left="4320" w:hanging="360"/>
      </w:pPr>
      <w:rPr>
        <w:rFonts w:ascii="Wingdings" w:hAnsi="Wingdings" w:hint="default"/>
      </w:rPr>
    </w:lvl>
    <w:lvl w:ilvl="6" w:tplc="D1FADD78">
      <w:start w:val="1"/>
      <w:numFmt w:val="bullet"/>
      <w:lvlText w:val=""/>
      <w:lvlJc w:val="left"/>
      <w:pPr>
        <w:ind w:left="5040" w:hanging="360"/>
      </w:pPr>
      <w:rPr>
        <w:rFonts w:ascii="Symbol" w:hAnsi="Symbol" w:hint="default"/>
      </w:rPr>
    </w:lvl>
    <w:lvl w:ilvl="7" w:tplc="F438D202">
      <w:start w:val="1"/>
      <w:numFmt w:val="bullet"/>
      <w:lvlText w:val="o"/>
      <w:lvlJc w:val="left"/>
      <w:pPr>
        <w:ind w:left="5760" w:hanging="360"/>
      </w:pPr>
      <w:rPr>
        <w:rFonts w:ascii="Courier New" w:hAnsi="Courier New" w:hint="default"/>
      </w:rPr>
    </w:lvl>
    <w:lvl w:ilvl="8" w:tplc="1E481A86">
      <w:start w:val="1"/>
      <w:numFmt w:val="bullet"/>
      <w:lvlText w:val=""/>
      <w:lvlJc w:val="left"/>
      <w:pPr>
        <w:ind w:left="6480" w:hanging="360"/>
      </w:pPr>
      <w:rPr>
        <w:rFonts w:ascii="Wingdings" w:hAnsi="Wingdings" w:hint="default"/>
      </w:rPr>
    </w:lvl>
  </w:abstractNum>
  <w:abstractNum w:abstractNumId="45" w15:restartNumberingAfterBreak="0">
    <w:nsid w:val="41506329"/>
    <w:multiLevelType w:val="multilevel"/>
    <w:tmpl w:val="E6CE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17443EA"/>
    <w:multiLevelType w:val="hybridMultilevel"/>
    <w:tmpl w:val="45CE7856"/>
    <w:lvl w:ilvl="0" w:tplc="FE303C7A">
      <w:start w:val="1"/>
      <w:numFmt w:val="bullet"/>
      <w:lvlText w:val=""/>
      <w:lvlJc w:val="left"/>
      <w:pPr>
        <w:ind w:left="720" w:hanging="360"/>
      </w:pPr>
      <w:rPr>
        <w:rFonts w:ascii="Symbol" w:hAnsi="Symbol" w:hint="default"/>
      </w:rPr>
    </w:lvl>
    <w:lvl w:ilvl="1" w:tplc="7EAACC5C">
      <w:start w:val="1"/>
      <w:numFmt w:val="bullet"/>
      <w:lvlText w:val="o"/>
      <w:lvlJc w:val="left"/>
      <w:pPr>
        <w:ind w:left="1440" w:hanging="360"/>
      </w:pPr>
      <w:rPr>
        <w:rFonts w:ascii="Courier New" w:hAnsi="Courier New" w:hint="default"/>
      </w:rPr>
    </w:lvl>
    <w:lvl w:ilvl="2" w:tplc="635AC8A0">
      <w:start w:val="1"/>
      <w:numFmt w:val="bullet"/>
      <w:lvlText w:val=""/>
      <w:lvlJc w:val="left"/>
      <w:pPr>
        <w:ind w:left="2160" w:hanging="360"/>
      </w:pPr>
      <w:rPr>
        <w:rFonts w:ascii="Wingdings" w:hAnsi="Wingdings" w:hint="default"/>
      </w:rPr>
    </w:lvl>
    <w:lvl w:ilvl="3" w:tplc="1AD83D2C">
      <w:start w:val="1"/>
      <w:numFmt w:val="bullet"/>
      <w:lvlText w:val=""/>
      <w:lvlJc w:val="left"/>
      <w:pPr>
        <w:ind w:left="2880" w:hanging="360"/>
      </w:pPr>
      <w:rPr>
        <w:rFonts w:ascii="Symbol" w:hAnsi="Symbol" w:hint="default"/>
      </w:rPr>
    </w:lvl>
    <w:lvl w:ilvl="4" w:tplc="0FD47D74" w:tentative="1">
      <w:start w:val="1"/>
      <w:numFmt w:val="bullet"/>
      <w:lvlText w:val="o"/>
      <w:lvlJc w:val="left"/>
      <w:pPr>
        <w:ind w:left="3600" w:hanging="360"/>
      </w:pPr>
      <w:rPr>
        <w:rFonts w:ascii="Courier New" w:hAnsi="Courier New" w:hint="default"/>
      </w:rPr>
    </w:lvl>
    <w:lvl w:ilvl="5" w:tplc="6440782C" w:tentative="1">
      <w:start w:val="1"/>
      <w:numFmt w:val="bullet"/>
      <w:lvlText w:val=""/>
      <w:lvlJc w:val="left"/>
      <w:pPr>
        <w:ind w:left="4320" w:hanging="360"/>
      </w:pPr>
      <w:rPr>
        <w:rFonts w:ascii="Wingdings" w:hAnsi="Wingdings" w:hint="default"/>
      </w:rPr>
    </w:lvl>
    <w:lvl w:ilvl="6" w:tplc="BC163326" w:tentative="1">
      <w:start w:val="1"/>
      <w:numFmt w:val="bullet"/>
      <w:lvlText w:val=""/>
      <w:lvlJc w:val="left"/>
      <w:pPr>
        <w:ind w:left="5040" w:hanging="360"/>
      </w:pPr>
      <w:rPr>
        <w:rFonts w:ascii="Symbol" w:hAnsi="Symbol" w:hint="default"/>
      </w:rPr>
    </w:lvl>
    <w:lvl w:ilvl="7" w:tplc="88767FDE" w:tentative="1">
      <w:start w:val="1"/>
      <w:numFmt w:val="bullet"/>
      <w:lvlText w:val="o"/>
      <w:lvlJc w:val="left"/>
      <w:pPr>
        <w:ind w:left="5760" w:hanging="360"/>
      </w:pPr>
      <w:rPr>
        <w:rFonts w:ascii="Courier New" w:hAnsi="Courier New" w:hint="default"/>
      </w:rPr>
    </w:lvl>
    <w:lvl w:ilvl="8" w:tplc="FCA6282A" w:tentative="1">
      <w:start w:val="1"/>
      <w:numFmt w:val="bullet"/>
      <w:lvlText w:val=""/>
      <w:lvlJc w:val="left"/>
      <w:pPr>
        <w:ind w:left="6480" w:hanging="360"/>
      </w:pPr>
      <w:rPr>
        <w:rFonts w:ascii="Wingdings" w:hAnsi="Wingdings" w:hint="default"/>
      </w:rPr>
    </w:lvl>
  </w:abstractNum>
  <w:abstractNum w:abstractNumId="47" w15:restartNumberingAfterBreak="0">
    <w:nsid w:val="42C03367"/>
    <w:multiLevelType w:val="multilevel"/>
    <w:tmpl w:val="FFFFFFFF"/>
    <w:lvl w:ilvl="0">
      <w:start w:val="7"/>
      <w:numFmt w:val="decimal"/>
      <w:lvlText w:val="%1."/>
      <w:lvlJc w:val="left"/>
      <w:pPr>
        <w:ind w:left="720" w:hanging="360"/>
      </w:pPr>
      <w:rPr>
        <w:rFonts w:ascii="Avenir Nxt2 W1G" w:hAnsi="Avenir Nxt2 W1G"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3039BE4"/>
    <w:multiLevelType w:val="multilevel"/>
    <w:tmpl w:val="301287A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409412D"/>
    <w:multiLevelType w:val="multilevel"/>
    <w:tmpl w:val="278ED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5F47B4"/>
    <w:multiLevelType w:val="hybridMultilevel"/>
    <w:tmpl w:val="FFFFFFFF"/>
    <w:lvl w:ilvl="0" w:tplc="3C9EC866">
      <w:start w:val="1"/>
      <w:numFmt w:val="decimal"/>
      <w:lvlText w:val="%1."/>
      <w:lvlJc w:val="left"/>
      <w:pPr>
        <w:ind w:left="720" w:hanging="360"/>
      </w:pPr>
      <w:rPr>
        <w:rFonts w:ascii="Avenir Nxt2 W1G" w:hAnsi="Avenir Nxt2 W1G" w:hint="default"/>
      </w:rPr>
    </w:lvl>
    <w:lvl w:ilvl="1" w:tplc="9EC8020E">
      <w:start w:val="1"/>
      <w:numFmt w:val="lowerLetter"/>
      <w:lvlText w:val="%2."/>
      <w:lvlJc w:val="left"/>
      <w:pPr>
        <w:ind w:left="1440" w:hanging="360"/>
      </w:pPr>
    </w:lvl>
    <w:lvl w:ilvl="2" w:tplc="365CE444">
      <w:start w:val="1"/>
      <w:numFmt w:val="lowerRoman"/>
      <w:lvlText w:val="%3."/>
      <w:lvlJc w:val="right"/>
      <w:pPr>
        <w:ind w:left="2160" w:hanging="180"/>
      </w:pPr>
    </w:lvl>
    <w:lvl w:ilvl="3" w:tplc="830844B2">
      <w:start w:val="1"/>
      <w:numFmt w:val="decimal"/>
      <w:lvlText w:val="%4."/>
      <w:lvlJc w:val="left"/>
      <w:pPr>
        <w:ind w:left="2880" w:hanging="360"/>
      </w:pPr>
    </w:lvl>
    <w:lvl w:ilvl="4" w:tplc="DE002D62">
      <w:start w:val="1"/>
      <w:numFmt w:val="lowerLetter"/>
      <w:lvlText w:val="%5."/>
      <w:lvlJc w:val="left"/>
      <w:pPr>
        <w:ind w:left="3600" w:hanging="360"/>
      </w:pPr>
    </w:lvl>
    <w:lvl w:ilvl="5" w:tplc="7ADA6D32">
      <w:start w:val="1"/>
      <w:numFmt w:val="lowerRoman"/>
      <w:lvlText w:val="%6."/>
      <w:lvlJc w:val="right"/>
      <w:pPr>
        <w:ind w:left="4320" w:hanging="180"/>
      </w:pPr>
    </w:lvl>
    <w:lvl w:ilvl="6" w:tplc="A35EDF46">
      <w:start w:val="1"/>
      <w:numFmt w:val="decimal"/>
      <w:lvlText w:val="%7."/>
      <w:lvlJc w:val="left"/>
      <w:pPr>
        <w:ind w:left="5040" w:hanging="360"/>
      </w:pPr>
    </w:lvl>
    <w:lvl w:ilvl="7" w:tplc="1DF808D0">
      <w:start w:val="1"/>
      <w:numFmt w:val="lowerLetter"/>
      <w:lvlText w:val="%8."/>
      <w:lvlJc w:val="left"/>
      <w:pPr>
        <w:ind w:left="5760" w:hanging="360"/>
      </w:pPr>
    </w:lvl>
    <w:lvl w:ilvl="8" w:tplc="6E040DD2">
      <w:start w:val="1"/>
      <w:numFmt w:val="lowerRoman"/>
      <w:lvlText w:val="%9."/>
      <w:lvlJc w:val="right"/>
      <w:pPr>
        <w:ind w:left="6480" w:hanging="180"/>
      </w:pPr>
    </w:lvl>
  </w:abstractNum>
  <w:abstractNum w:abstractNumId="51" w15:restartNumberingAfterBreak="0">
    <w:nsid w:val="4A6B2F33"/>
    <w:multiLevelType w:val="hybridMultilevel"/>
    <w:tmpl w:val="D806ED76"/>
    <w:lvl w:ilvl="0" w:tplc="FFFFFFFF">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FFFFFFFF">
      <w:start w:val="1"/>
      <w:numFmt w:val="bullet"/>
      <w:lvlText w:val=""/>
      <w:lvlJc w:val="left"/>
      <w:pPr>
        <w:ind w:left="2157" w:hanging="360"/>
      </w:pPr>
      <w:rPr>
        <w:rFonts w:ascii="Wingdings" w:hAnsi="Wingdings" w:hint="default"/>
      </w:rPr>
    </w:lvl>
    <w:lvl w:ilvl="3" w:tplc="FFFFFFFF">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52" w15:restartNumberingAfterBreak="0">
    <w:nsid w:val="4D372256"/>
    <w:multiLevelType w:val="hybridMultilevel"/>
    <w:tmpl w:val="FFFFFFFF"/>
    <w:lvl w:ilvl="0" w:tplc="57C0DF10">
      <w:start w:val="1"/>
      <w:numFmt w:val="bullet"/>
      <w:lvlText w:val=""/>
      <w:lvlJc w:val="left"/>
      <w:pPr>
        <w:ind w:left="720" w:hanging="360"/>
      </w:pPr>
      <w:rPr>
        <w:rFonts w:ascii="Symbol" w:hAnsi="Symbol" w:hint="default"/>
      </w:rPr>
    </w:lvl>
    <w:lvl w:ilvl="1" w:tplc="0E94BB2A">
      <w:start w:val="1"/>
      <w:numFmt w:val="bullet"/>
      <w:lvlText w:val="o"/>
      <w:lvlJc w:val="left"/>
      <w:pPr>
        <w:ind w:left="1440" w:hanging="360"/>
      </w:pPr>
      <w:rPr>
        <w:rFonts w:ascii="Courier New" w:hAnsi="Courier New" w:hint="default"/>
      </w:rPr>
    </w:lvl>
    <w:lvl w:ilvl="2" w:tplc="A95E0E32">
      <w:start w:val="1"/>
      <w:numFmt w:val="bullet"/>
      <w:lvlText w:val=""/>
      <w:lvlJc w:val="left"/>
      <w:pPr>
        <w:ind w:left="2160" w:hanging="360"/>
      </w:pPr>
      <w:rPr>
        <w:rFonts w:ascii="Wingdings" w:hAnsi="Wingdings" w:hint="default"/>
      </w:rPr>
    </w:lvl>
    <w:lvl w:ilvl="3" w:tplc="E1FAD654">
      <w:start w:val="1"/>
      <w:numFmt w:val="bullet"/>
      <w:lvlText w:val=""/>
      <w:lvlJc w:val="left"/>
      <w:pPr>
        <w:ind w:left="2880" w:hanging="360"/>
      </w:pPr>
      <w:rPr>
        <w:rFonts w:ascii="Symbol" w:hAnsi="Symbol" w:hint="default"/>
      </w:rPr>
    </w:lvl>
    <w:lvl w:ilvl="4" w:tplc="CFEAE4FC">
      <w:start w:val="1"/>
      <w:numFmt w:val="bullet"/>
      <w:lvlText w:val="o"/>
      <w:lvlJc w:val="left"/>
      <w:pPr>
        <w:ind w:left="3600" w:hanging="360"/>
      </w:pPr>
      <w:rPr>
        <w:rFonts w:ascii="Courier New" w:hAnsi="Courier New" w:hint="default"/>
      </w:rPr>
    </w:lvl>
    <w:lvl w:ilvl="5" w:tplc="378C6E4A">
      <w:start w:val="1"/>
      <w:numFmt w:val="bullet"/>
      <w:lvlText w:val=""/>
      <w:lvlJc w:val="left"/>
      <w:pPr>
        <w:ind w:left="4320" w:hanging="360"/>
      </w:pPr>
      <w:rPr>
        <w:rFonts w:ascii="Wingdings" w:hAnsi="Wingdings" w:hint="default"/>
      </w:rPr>
    </w:lvl>
    <w:lvl w:ilvl="6" w:tplc="999C75B8">
      <w:start w:val="1"/>
      <w:numFmt w:val="bullet"/>
      <w:lvlText w:val=""/>
      <w:lvlJc w:val="left"/>
      <w:pPr>
        <w:ind w:left="5040" w:hanging="360"/>
      </w:pPr>
      <w:rPr>
        <w:rFonts w:ascii="Symbol" w:hAnsi="Symbol" w:hint="default"/>
      </w:rPr>
    </w:lvl>
    <w:lvl w:ilvl="7" w:tplc="82961440">
      <w:start w:val="1"/>
      <w:numFmt w:val="bullet"/>
      <w:lvlText w:val="o"/>
      <w:lvlJc w:val="left"/>
      <w:pPr>
        <w:ind w:left="5760" w:hanging="360"/>
      </w:pPr>
      <w:rPr>
        <w:rFonts w:ascii="Courier New" w:hAnsi="Courier New" w:hint="default"/>
      </w:rPr>
    </w:lvl>
    <w:lvl w:ilvl="8" w:tplc="3E34DB22">
      <w:start w:val="1"/>
      <w:numFmt w:val="bullet"/>
      <w:lvlText w:val=""/>
      <w:lvlJc w:val="left"/>
      <w:pPr>
        <w:ind w:left="6480" w:hanging="360"/>
      </w:pPr>
      <w:rPr>
        <w:rFonts w:ascii="Wingdings" w:hAnsi="Wingdings" w:hint="default"/>
      </w:rPr>
    </w:lvl>
  </w:abstractNum>
  <w:abstractNum w:abstractNumId="53" w15:restartNumberingAfterBreak="0">
    <w:nsid w:val="4E3746AB"/>
    <w:multiLevelType w:val="hybridMultilevel"/>
    <w:tmpl w:val="AD1A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19348D"/>
    <w:multiLevelType w:val="hybridMultilevel"/>
    <w:tmpl w:val="8D3E0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FE559D5"/>
    <w:multiLevelType w:val="hybridMultilevel"/>
    <w:tmpl w:val="E0BAF15A"/>
    <w:lvl w:ilvl="0" w:tplc="D2CEB158">
      <w:start w:val="1"/>
      <w:numFmt w:val="bullet"/>
      <w:lvlText w:val=""/>
      <w:lvlJc w:val="left"/>
      <w:pPr>
        <w:ind w:left="360" w:hanging="360"/>
      </w:pPr>
      <w:rPr>
        <w:rFonts w:ascii="Symbol" w:hAnsi="Symbol" w:hint="default"/>
      </w:rPr>
    </w:lvl>
    <w:lvl w:ilvl="1" w:tplc="3828AC4C" w:tentative="1">
      <w:start w:val="1"/>
      <w:numFmt w:val="bullet"/>
      <w:lvlText w:val="o"/>
      <w:lvlJc w:val="left"/>
      <w:pPr>
        <w:ind w:left="1080" w:hanging="360"/>
      </w:pPr>
      <w:rPr>
        <w:rFonts w:ascii="Courier New" w:hAnsi="Courier New" w:hint="default"/>
      </w:rPr>
    </w:lvl>
    <w:lvl w:ilvl="2" w:tplc="6068ECF8" w:tentative="1">
      <w:start w:val="1"/>
      <w:numFmt w:val="bullet"/>
      <w:lvlText w:val=""/>
      <w:lvlJc w:val="left"/>
      <w:pPr>
        <w:ind w:left="1800" w:hanging="360"/>
      </w:pPr>
      <w:rPr>
        <w:rFonts w:ascii="Wingdings" w:hAnsi="Wingdings" w:hint="default"/>
      </w:rPr>
    </w:lvl>
    <w:lvl w:ilvl="3" w:tplc="882A394C" w:tentative="1">
      <w:start w:val="1"/>
      <w:numFmt w:val="bullet"/>
      <w:lvlText w:val=""/>
      <w:lvlJc w:val="left"/>
      <w:pPr>
        <w:ind w:left="2520" w:hanging="360"/>
      </w:pPr>
      <w:rPr>
        <w:rFonts w:ascii="Symbol" w:hAnsi="Symbol" w:hint="default"/>
      </w:rPr>
    </w:lvl>
    <w:lvl w:ilvl="4" w:tplc="8CD2B700" w:tentative="1">
      <w:start w:val="1"/>
      <w:numFmt w:val="bullet"/>
      <w:lvlText w:val="o"/>
      <w:lvlJc w:val="left"/>
      <w:pPr>
        <w:ind w:left="3240" w:hanging="360"/>
      </w:pPr>
      <w:rPr>
        <w:rFonts w:ascii="Courier New" w:hAnsi="Courier New" w:hint="default"/>
      </w:rPr>
    </w:lvl>
    <w:lvl w:ilvl="5" w:tplc="167CE7BE" w:tentative="1">
      <w:start w:val="1"/>
      <w:numFmt w:val="bullet"/>
      <w:lvlText w:val=""/>
      <w:lvlJc w:val="left"/>
      <w:pPr>
        <w:ind w:left="3960" w:hanging="360"/>
      </w:pPr>
      <w:rPr>
        <w:rFonts w:ascii="Wingdings" w:hAnsi="Wingdings" w:hint="default"/>
      </w:rPr>
    </w:lvl>
    <w:lvl w:ilvl="6" w:tplc="24DA2E68" w:tentative="1">
      <w:start w:val="1"/>
      <w:numFmt w:val="bullet"/>
      <w:lvlText w:val=""/>
      <w:lvlJc w:val="left"/>
      <w:pPr>
        <w:ind w:left="4680" w:hanging="360"/>
      </w:pPr>
      <w:rPr>
        <w:rFonts w:ascii="Symbol" w:hAnsi="Symbol" w:hint="default"/>
      </w:rPr>
    </w:lvl>
    <w:lvl w:ilvl="7" w:tplc="B7E8DE9C" w:tentative="1">
      <w:start w:val="1"/>
      <w:numFmt w:val="bullet"/>
      <w:lvlText w:val="o"/>
      <w:lvlJc w:val="left"/>
      <w:pPr>
        <w:ind w:left="5400" w:hanging="360"/>
      </w:pPr>
      <w:rPr>
        <w:rFonts w:ascii="Courier New" w:hAnsi="Courier New" w:hint="default"/>
      </w:rPr>
    </w:lvl>
    <w:lvl w:ilvl="8" w:tplc="B8842E24" w:tentative="1">
      <w:start w:val="1"/>
      <w:numFmt w:val="bullet"/>
      <w:lvlText w:val=""/>
      <w:lvlJc w:val="left"/>
      <w:pPr>
        <w:ind w:left="6120" w:hanging="360"/>
      </w:pPr>
      <w:rPr>
        <w:rFonts w:ascii="Wingdings" w:hAnsi="Wingdings" w:hint="default"/>
      </w:rPr>
    </w:lvl>
  </w:abstractNum>
  <w:abstractNum w:abstractNumId="56" w15:restartNumberingAfterBreak="0">
    <w:nsid w:val="507F5A21"/>
    <w:multiLevelType w:val="hybridMultilevel"/>
    <w:tmpl w:val="A5369168"/>
    <w:styleLink w:val="CurrentList1"/>
    <w:lvl w:ilvl="0" w:tplc="FFFFFFF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55610"/>
    <w:multiLevelType w:val="hybridMultilevel"/>
    <w:tmpl w:val="E528C2D0"/>
    <w:lvl w:ilvl="0" w:tplc="FFFFFFFF">
      <w:start w:val="1"/>
      <w:numFmt w:val="decimal"/>
      <w:lvlText w:val="%1."/>
      <w:lvlJc w:val="lef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1625A22"/>
    <w:multiLevelType w:val="hybridMultilevel"/>
    <w:tmpl w:val="044E7C74"/>
    <w:lvl w:ilvl="0" w:tplc="F86ABA12">
      <w:start w:val="1"/>
      <w:numFmt w:val="bullet"/>
      <w:pStyle w:val="Bulletlist"/>
      <w:lvlText w:val=""/>
      <w:lvlJc w:val="left"/>
      <w:pPr>
        <w:ind w:left="720" w:hanging="360"/>
      </w:pPr>
      <w:rPr>
        <w:rFonts w:ascii="Symbol" w:hAnsi="Symbol" w:hint="default"/>
      </w:rPr>
    </w:lvl>
    <w:lvl w:ilvl="1" w:tplc="B1242E82">
      <w:start w:val="1"/>
      <w:numFmt w:val="bullet"/>
      <w:lvlText w:val="o"/>
      <w:lvlJc w:val="left"/>
      <w:pPr>
        <w:ind w:left="1440" w:hanging="360"/>
      </w:pPr>
      <w:rPr>
        <w:rFonts w:ascii="Courier New" w:hAnsi="Courier New" w:hint="default"/>
      </w:rPr>
    </w:lvl>
    <w:lvl w:ilvl="2" w:tplc="92CE69BA">
      <w:start w:val="1"/>
      <w:numFmt w:val="bullet"/>
      <w:lvlText w:val=""/>
      <w:lvlJc w:val="left"/>
      <w:pPr>
        <w:ind w:left="2160" w:hanging="360"/>
      </w:pPr>
      <w:rPr>
        <w:rFonts w:ascii="Wingdings" w:hAnsi="Wingdings" w:hint="default"/>
      </w:rPr>
    </w:lvl>
    <w:lvl w:ilvl="3" w:tplc="923C992E" w:tentative="1">
      <w:start w:val="1"/>
      <w:numFmt w:val="bullet"/>
      <w:lvlText w:val=""/>
      <w:lvlJc w:val="left"/>
      <w:pPr>
        <w:ind w:left="2880" w:hanging="360"/>
      </w:pPr>
      <w:rPr>
        <w:rFonts w:ascii="Symbol" w:hAnsi="Symbol" w:hint="default"/>
      </w:rPr>
    </w:lvl>
    <w:lvl w:ilvl="4" w:tplc="E7BA5332" w:tentative="1">
      <w:start w:val="1"/>
      <w:numFmt w:val="bullet"/>
      <w:lvlText w:val="o"/>
      <w:lvlJc w:val="left"/>
      <w:pPr>
        <w:ind w:left="3600" w:hanging="360"/>
      </w:pPr>
      <w:rPr>
        <w:rFonts w:ascii="Courier New" w:hAnsi="Courier New" w:hint="default"/>
      </w:rPr>
    </w:lvl>
    <w:lvl w:ilvl="5" w:tplc="0FA80F5E" w:tentative="1">
      <w:start w:val="1"/>
      <w:numFmt w:val="bullet"/>
      <w:lvlText w:val=""/>
      <w:lvlJc w:val="left"/>
      <w:pPr>
        <w:ind w:left="4320" w:hanging="360"/>
      </w:pPr>
      <w:rPr>
        <w:rFonts w:ascii="Wingdings" w:hAnsi="Wingdings" w:hint="default"/>
      </w:rPr>
    </w:lvl>
    <w:lvl w:ilvl="6" w:tplc="D6506A2A" w:tentative="1">
      <w:start w:val="1"/>
      <w:numFmt w:val="bullet"/>
      <w:lvlText w:val=""/>
      <w:lvlJc w:val="left"/>
      <w:pPr>
        <w:ind w:left="5040" w:hanging="360"/>
      </w:pPr>
      <w:rPr>
        <w:rFonts w:ascii="Symbol" w:hAnsi="Symbol" w:hint="default"/>
      </w:rPr>
    </w:lvl>
    <w:lvl w:ilvl="7" w:tplc="504839D6" w:tentative="1">
      <w:start w:val="1"/>
      <w:numFmt w:val="bullet"/>
      <w:lvlText w:val="o"/>
      <w:lvlJc w:val="left"/>
      <w:pPr>
        <w:ind w:left="5760" w:hanging="360"/>
      </w:pPr>
      <w:rPr>
        <w:rFonts w:ascii="Courier New" w:hAnsi="Courier New" w:hint="default"/>
      </w:rPr>
    </w:lvl>
    <w:lvl w:ilvl="8" w:tplc="25521D66" w:tentative="1">
      <w:start w:val="1"/>
      <w:numFmt w:val="bullet"/>
      <w:lvlText w:val=""/>
      <w:lvlJc w:val="left"/>
      <w:pPr>
        <w:ind w:left="6480" w:hanging="360"/>
      </w:pPr>
      <w:rPr>
        <w:rFonts w:ascii="Wingdings" w:hAnsi="Wingdings" w:hint="default"/>
      </w:rPr>
    </w:lvl>
  </w:abstractNum>
  <w:abstractNum w:abstractNumId="59" w15:restartNumberingAfterBreak="0">
    <w:nsid w:val="53842E5D"/>
    <w:multiLevelType w:val="multilevel"/>
    <w:tmpl w:val="DD1E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3FD530B"/>
    <w:multiLevelType w:val="hybridMultilevel"/>
    <w:tmpl w:val="6168638C"/>
    <w:lvl w:ilvl="0" w:tplc="703C2BBA">
      <w:start w:val="1"/>
      <w:numFmt w:val="decimal"/>
      <w:lvlText w:val="%1."/>
      <w:lvlJc w:val="left"/>
      <w:pPr>
        <w:ind w:left="720" w:hanging="360"/>
      </w:pPr>
      <w:rPr>
        <w:rFonts w:ascii="Calibri" w:hAnsi="Calibri"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4B45461"/>
    <w:multiLevelType w:val="multilevel"/>
    <w:tmpl w:val="6CE0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0D1D7F"/>
    <w:multiLevelType w:val="hybridMultilevel"/>
    <w:tmpl w:val="79DA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8EE7054"/>
    <w:multiLevelType w:val="hybridMultilevel"/>
    <w:tmpl w:val="DC24CB8A"/>
    <w:lvl w:ilvl="0" w:tplc="194CFB4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023D8E"/>
    <w:multiLevelType w:val="multilevel"/>
    <w:tmpl w:val="DA882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083586"/>
    <w:multiLevelType w:val="multilevel"/>
    <w:tmpl w:val="1076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A0E5D41"/>
    <w:multiLevelType w:val="multilevel"/>
    <w:tmpl w:val="FFFFFFFF"/>
    <w:lvl w:ilvl="0">
      <w:start w:val="1"/>
      <w:numFmt w:val="lowerLetter"/>
      <w:lvlText w:val="%1."/>
      <w:lvlJc w:val="left"/>
      <w:pPr>
        <w:ind w:left="720" w:hanging="360"/>
      </w:pPr>
      <w:rPr>
        <w:rFonts w:ascii="Avenir Nxt2 W1G" w:hAnsi="Avenir Nxt2 W1G"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BBCE2F3"/>
    <w:multiLevelType w:val="multilevel"/>
    <w:tmpl w:val="FFFFFFFF"/>
    <w:lvl w:ilvl="0">
      <w:start w:val="6"/>
      <w:numFmt w:val="decimal"/>
      <w:lvlText w:val="%1."/>
      <w:lvlJc w:val="left"/>
      <w:pPr>
        <w:ind w:left="720" w:hanging="360"/>
      </w:pPr>
      <w:rPr>
        <w:rFonts w:ascii="Avenir Nxt2 W1G" w:hAnsi="Avenir Nxt2 W1G"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F82537C"/>
    <w:multiLevelType w:val="multilevel"/>
    <w:tmpl w:val="EA1E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66030BD"/>
    <w:multiLevelType w:val="hybridMultilevel"/>
    <w:tmpl w:val="578AD8E6"/>
    <w:lvl w:ilvl="0" w:tplc="78D8733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6971C480"/>
    <w:multiLevelType w:val="hybridMultilevel"/>
    <w:tmpl w:val="FAC4EE02"/>
    <w:lvl w:ilvl="0" w:tplc="7AB4AE00">
      <w:start w:val="1"/>
      <w:numFmt w:val="decimal"/>
      <w:pStyle w:val="ListParagraph"/>
      <w:lvlText w:val="%1."/>
      <w:lvlJc w:val="left"/>
      <w:pPr>
        <w:ind w:left="720" w:hanging="360"/>
      </w:pPr>
      <w:rPr>
        <w:rFonts w:hint="default"/>
      </w:rPr>
    </w:lvl>
    <w:lvl w:ilvl="1" w:tplc="AC663F1C">
      <w:start w:val="1"/>
      <w:numFmt w:val="lowerLetter"/>
      <w:lvlText w:val="%2."/>
      <w:lvlJc w:val="left"/>
      <w:pPr>
        <w:ind w:left="1440" w:hanging="360"/>
      </w:pPr>
    </w:lvl>
    <w:lvl w:ilvl="2" w:tplc="891C7182">
      <w:start w:val="1"/>
      <w:numFmt w:val="lowerRoman"/>
      <w:lvlText w:val="%3."/>
      <w:lvlJc w:val="right"/>
      <w:pPr>
        <w:ind w:left="2160" w:hanging="180"/>
      </w:pPr>
    </w:lvl>
    <w:lvl w:ilvl="3" w:tplc="23F845DC">
      <w:start w:val="1"/>
      <w:numFmt w:val="decimal"/>
      <w:lvlText w:val="%4."/>
      <w:lvlJc w:val="left"/>
      <w:pPr>
        <w:ind w:left="2880" w:hanging="360"/>
      </w:pPr>
    </w:lvl>
    <w:lvl w:ilvl="4" w:tplc="6E2048E8">
      <w:start w:val="1"/>
      <w:numFmt w:val="lowerLetter"/>
      <w:lvlText w:val="%5."/>
      <w:lvlJc w:val="left"/>
      <w:pPr>
        <w:ind w:left="3600" w:hanging="360"/>
      </w:pPr>
    </w:lvl>
    <w:lvl w:ilvl="5" w:tplc="5CC0BCCE">
      <w:start w:val="1"/>
      <w:numFmt w:val="lowerRoman"/>
      <w:lvlText w:val="%6."/>
      <w:lvlJc w:val="right"/>
      <w:pPr>
        <w:ind w:left="4320" w:hanging="180"/>
      </w:pPr>
    </w:lvl>
    <w:lvl w:ilvl="6" w:tplc="D722AB1C">
      <w:start w:val="1"/>
      <w:numFmt w:val="decimal"/>
      <w:lvlText w:val="%7."/>
      <w:lvlJc w:val="left"/>
      <w:pPr>
        <w:ind w:left="5040" w:hanging="360"/>
      </w:pPr>
    </w:lvl>
    <w:lvl w:ilvl="7" w:tplc="D806136A">
      <w:start w:val="1"/>
      <w:numFmt w:val="lowerLetter"/>
      <w:lvlText w:val="%8."/>
      <w:lvlJc w:val="left"/>
      <w:pPr>
        <w:ind w:left="5760" w:hanging="360"/>
      </w:pPr>
    </w:lvl>
    <w:lvl w:ilvl="8" w:tplc="41FE1332">
      <w:start w:val="1"/>
      <w:numFmt w:val="lowerRoman"/>
      <w:lvlText w:val="%9."/>
      <w:lvlJc w:val="right"/>
      <w:pPr>
        <w:ind w:left="6480" w:hanging="180"/>
      </w:pPr>
    </w:lvl>
  </w:abstractNum>
  <w:abstractNum w:abstractNumId="71" w15:restartNumberingAfterBreak="0">
    <w:nsid w:val="6A6B4C63"/>
    <w:multiLevelType w:val="multilevel"/>
    <w:tmpl w:val="009CD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B555A0E"/>
    <w:multiLevelType w:val="hybridMultilevel"/>
    <w:tmpl w:val="18EA2236"/>
    <w:lvl w:ilvl="0" w:tplc="BFF6BB5A">
      <w:start w:val="1"/>
      <w:numFmt w:val="decimal"/>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CE32896"/>
    <w:multiLevelType w:val="multilevel"/>
    <w:tmpl w:val="FFFFFFFF"/>
    <w:lvl w:ilvl="0">
      <w:start w:val="3"/>
      <w:numFmt w:val="decimal"/>
      <w:lvlText w:val="%1."/>
      <w:lvlJc w:val="left"/>
      <w:pPr>
        <w:ind w:left="720" w:hanging="360"/>
      </w:pPr>
      <w:rPr>
        <w:rFonts w:ascii="Avenir Nxt2 W1G" w:hAnsi="Avenir Nxt2 W1G"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9412D7"/>
    <w:multiLevelType w:val="multilevel"/>
    <w:tmpl w:val="DA882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4E368B"/>
    <w:multiLevelType w:val="hybridMultilevel"/>
    <w:tmpl w:val="45DEA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3C80085"/>
    <w:multiLevelType w:val="multilevel"/>
    <w:tmpl w:val="F08A9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4530AD0"/>
    <w:multiLevelType w:val="multilevel"/>
    <w:tmpl w:val="FFFFFFFF"/>
    <w:lvl w:ilvl="0">
      <w:start w:val="1"/>
      <w:numFmt w:val="decimal"/>
      <w:lvlText w:val="%1."/>
      <w:lvlJc w:val="left"/>
      <w:pPr>
        <w:ind w:left="720" w:hanging="360"/>
      </w:pPr>
      <w:rPr>
        <w:rFonts w:ascii="Avenir Nxt2 W1G" w:hAnsi="Avenir Nxt2 W1G"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B88E79D"/>
    <w:multiLevelType w:val="hybridMultilevel"/>
    <w:tmpl w:val="D6FC1D4C"/>
    <w:lvl w:ilvl="0" w:tplc="56E87C8C">
      <w:start w:val="1"/>
      <w:numFmt w:val="lowerLetter"/>
      <w:lvlText w:val="%1."/>
      <w:lvlJc w:val="left"/>
      <w:pPr>
        <w:ind w:left="720" w:hanging="360"/>
      </w:pPr>
    </w:lvl>
    <w:lvl w:ilvl="1" w:tplc="99609586">
      <w:start w:val="1"/>
      <w:numFmt w:val="lowerLetter"/>
      <w:lvlText w:val="%2."/>
      <w:lvlJc w:val="left"/>
      <w:pPr>
        <w:ind w:left="1440" w:hanging="360"/>
      </w:pPr>
    </w:lvl>
    <w:lvl w:ilvl="2" w:tplc="A4280BF8">
      <w:start w:val="1"/>
      <w:numFmt w:val="lowerRoman"/>
      <w:lvlText w:val="%3."/>
      <w:lvlJc w:val="right"/>
      <w:pPr>
        <w:ind w:left="2160" w:hanging="180"/>
      </w:pPr>
    </w:lvl>
    <w:lvl w:ilvl="3" w:tplc="776C0712">
      <w:start w:val="1"/>
      <w:numFmt w:val="decimal"/>
      <w:lvlText w:val="%4."/>
      <w:lvlJc w:val="left"/>
      <w:pPr>
        <w:ind w:left="2880" w:hanging="360"/>
      </w:pPr>
    </w:lvl>
    <w:lvl w:ilvl="4" w:tplc="AC6E70F2">
      <w:start w:val="1"/>
      <w:numFmt w:val="lowerLetter"/>
      <w:lvlText w:val="%5."/>
      <w:lvlJc w:val="left"/>
      <w:pPr>
        <w:ind w:left="3600" w:hanging="360"/>
      </w:pPr>
    </w:lvl>
    <w:lvl w:ilvl="5" w:tplc="917251E8">
      <w:start w:val="1"/>
      <w:numFmt w:val="lowerRoman"/>
      <w:lvlText w:val="%6."/>
      <w:lvlJc w:val="right"/>
      <w:pPr>
        <w:ind w:left="4320" w:hanging="180"/>
      </w:pPr>
    </w:lvl>
    <w:lvl w:ilvl="6" w:tplc="86109380">
      <w:start w:val="1"/>
      <w:numFmt w:val="decimal"/>
      <w:lvlText w:val="%7."/>
      <w:lvlJc w:val="left"/>
      <w:pPr>
        <w:ind w:left="5040" w:hanging="360"/>
      </w:pPr>
    </w:lvl>
    <w:lvl w:ilvl="7" w:tplc="16505068">
      <w:start w:val="1"/>
      <w:numFmt w:val="lowerLetter"/>
      <w:lvlText w:val="%8."/>
      <w:lvlJc w:val="left"/>
      <w:pPr>
        <w:ind w:left="5760" w:hanging="360"/>
      </w:pPr>
    </w:lvl>
    <w:lvl w:ilvl="8" w:tplc="260C221A">
      <w:start w:val="1"/>
      <w:numFmt w:val="lowerRoman"/>
      <w:lvlText w:val="%9."/>
      <w:lvlJc w:val="right"/>
      <w:pPr>
        <w:ind w:left="6480" w:hanging="180"/>
      </w:pPr>
    </w:lvl>
  </w:abstractNum>
  <w:abstractNum w:abstractNumId="79" w15:restartNumberingAfterBreak="0">
    <w:nsid w:val="7EF768B5"/>
    <w:multiLevelType w:val="hybridMultilevel"/>
    <w:tmpl w:val="FFFFFFFF"/>
    <w:lvl w:ilvl="0" w:tplc="FE3874CE">
      <w:start w:val="1"/>
      <w:numFmt w:val="decimal"/>
      <w:lvlText w:val="%1."/>
      <w:lvlJc w:val="left"/>
      <w:pPr>
        <w:ind w:left="720" w:hanging="360"/>
      </w:pPr>
    </w:lvl>
    <w:lvl w:ilvl="1" w:tplc="750CE236">
      <w:start w:val="1"/>
      <w:numFmt w:val="lowerLetter"/>
      <w:lvlText w:val="%2."/>
      <w:lvlJc w:val="left"/>
      <w:pPr>
        <w:ind w:left="1440" w:hanging="360"/>
      </w:pPr>
    </w:lvl>
    <w:lvl w:ilvl="2" w:tplc="C1BCBFF6">
      <w:start w:val="1"/>
      <w:numFmt w:val="lowerRoman"/>
      <w:lvlText w:val="%3."/>
      <w:lvlJc w:val="right"/>
      <w:pPr>
        <w:ind w:left="2160" w:hanging="180"/>
      </w:pPr>
    </w:lvl>
    <w:lvl w:ilvl="3" w:tplc="E8FA4E08">
      <w:start w:val="1"/>
      <w:numFmt w:val="decimal"/>
      <w:lvlText w:val="%4."/>
      <w:lvlJc w:val="left"/>
      <w:pPr>
        <w:ind w:left="2880" w:hanging="360"/>
      </w:pPr>
    </w:lvl>
    <w:lvl w:ilvl="4" w:tplc="1116DA5E">
      <w:start w:val="1"/>
      <w:numFmt w:val="lowerLetter"/>
      <w:lvlText w:val="%5."/>
      <w:lvlJc w:val="left"/>
      <w:pPr>
        <w:ind w:left="3600" w:hanging="360"/>
      </w:pPr>
    </w:lvl>
    <w:lvl w:ilvl="5" w:tplc="E478844C">
      <w:start w:val="1"/>
      <w:numFmt w:val="lowerRoman"/>
      <w:lvlText w:val="%6."/>
      <w:lvlJc w:val="right"/>
      <w:pPr>
        <w:ind w:left="4320" w:hanging="180"/>
      </w:pPr>
    </w:lvl>
    <w:lvl w:ilvl="6" w:tplc="BB2876FE">
      <w:start w:val="1"/>
      <w:numFmt w:val="decimal"/>
      <w:lvlText w:val="%7."/>
      <w:lvlJc w:val="left"/>
      <w:pPr>
        <w:ind w:left="5040" w:hanging="360"/>
      </w:pPr>
    </w:lvl>
    <w:lvl w:ilvl="7" w:tplc="8DB02ED6">
      <w:start w:val="1"/>
      <w:numFmt w:val="lowerLetter"/>
      <w:lvlText w:val="%8."/>
      <w:lvlJc w:val="left"/>
      <w:pPr>
        <w:ind w:left="5760" w:hanging="360"/>
      </w:pPr>
    </w:lvl>
    <w:lvl w:ilvl="8" w:tplc="2758C2E8">
      <w:start w:val="1"/>
      <w:numFmt w:val="lowerRoman"/>
      <w:lvlText w:val="%9."/>
      <w:lvlJc w:val="right"/>
      <w:pPr>
        <w:ind w:left="6480" w:hanging="180"/>
      </w:pPr>
    </w:lvl>
  </w:abstractNum>
  <w:num w:numId="1" w16cid:durableId="821848429">
    <w:abstractNumId w:val="63"/>
  </w:num>
  <w:num w:numId="2" w16cid:durableId="57363552">
    <w:abstractNumId w:val="42"/>
  </w:num>
  <w:num w:numId="3" w16cid:durableId="460803774">
    <w:abstractNumId w:val="55"/>
  </w:num>
  <w:num w:numId="4" w16cid:durableId="2028024136">
    <w:abstractNumId w:val="58"/>
  </w:num>
  <w:num w:numId="5" w16cid:durableId="679045145">
    <w:abstractNumId w:val="46"/>
  </w:num>
  <w:num w:numId="6" w16cid:durableId="1110663453">
    <w:abstractNumId w:val="50"/>
  </w:num>
  <w:num w:numId="7" w16cid:durableId="1519737824">
    <w:abstractNumId w:val="44"/>
  </w:num>
  <w:num w:numId="8" w16cid:durableId="56369836">
    <w:abstractNumId w:val="52"/>
  </w:num>
  <w:num w:numId="9" w16cid:durableId="1696733488">
    <w:abstractNumId w:val="70"/>
  </w:num>
  <w:num w:numId="10" w16cid:durableId="1144927542">
    <w:abstractNumId w:val="29"/>
  </w:num>
  <w:num w:numId="11" w16cid:durableId="1050764177">
    <w:abstractNumId w:val="47"/>
  </w:num>
  <w:num w:numId="12" w16cid:durableId="435754369">
    <w:abstractNumId w:val="36"/>
  </w:num>
  <w:num w:numId="13" w16cid:durableId="57023181">
    <w:abstractNumId w:val="66"/>
  </w:num>
  <w:num w:numId="14" w16cid:durableId="1477726716">
    <w:abstractNumId w:val="67"/>
  </w:num>
  <w:num w:numId="15" w16cid:durableId="1267614423">
    <w:abstractNumId w:val="16"/>
  </w:num>
  <w:num w:numId="16" w16cid:durableId="2090230253">
    <w:abstractNumId w:val="21"/>
  </w:num>
  <w:num w:numId="17" w16cid:durableId="1673725937">
    <w:abstractNumId w:val="73"/>
  </w:num>
  <w:num w:numId="18" w16cid:durableId="776563813">
    <w:abstractNumId w:val="10"/>
  </w:num>
  <w:num w:numId="19" w16cid:durableId="1740981420">
    <w:abstractNumId w:val="77"/>
  </w:num>
  <w:num w:numId="20" w16cid:durableId="521287874">
    <w:abstractNumId w:val="79"/>
  </w:num>
  <w:num w:numId="21" w16cid:durableId="655037225">
    <w:abstractNumId w:val="27"/>
  </w:num>
  <w:num w:numId="22" w16cid:durableId="859389097">
    <w:abstractNumId w:val="68"/>
  </w:num>
  <w:num w:numId="23" w16cid:durableId="1258515391">
    <w:abstractNumId w:val="17"/>
  </w:num>
  <w:num w:numId="24" w16cid:durableId="2090419108">
    <w:abstractNumId w:val="49"/>
  </w:num>
  <w:num w:numId="25" w16cid:durableId="2034576157">
    <w:abstractNumId w:val="20"/>
  </w:num>
  <w:num w:numId="26" w16cid:durableId="967857696">
    <w:abstractNumId w:val="41"/>
  </w:num>
  <w:num w:numId="27" w16cid:durableId="1709142444">
    <w:abstractNumId w:val="11"/>
  </w:num>
  <w:num w:numId="28" w16cid:durableId="1323001802">
    <w:abstractNumId w:val="23"/>
  </w:num>
  <w:num w:numId="29" w16cid:durableId="1806311974">
    <w:abstractNumId w:val="0"/>
  </w:num>
  <w:num w:numId="30" w16cid:durableId="239483976">
    <w:abstractNumId w:val="53"/>
  </w:num>
  <w:num w:numId="31" w16cid:durableId="274558052">
    <w:abstractNumId w:val="5"/>
  </w:num>
  <w:num w:numId="32" w16cid:durableId="1450319482">
    <w:abstractNumId w:val="65"/>
  </w:num>
  <w:num w:numId="33" w16cid:durableId="734163299">
    <w:abstractNumId w:val="59"/>
  </w:num>
  <w:num w:numId="34" w16cid:durableId="1843473919">
    <w:abstractNumId w:val="37"/>
  </w:num>
  <w:num w:numId="35" w16cid:durableId="1323662667">
    <w:abstractNumId w:val="45"/>
  </w:num>
  <w:num w:numId="36" w16cid:durableId="621617193">
    <w:abstractNumId w:val="1"/>
  </w:num>
  <w:num w:numId="37" w16cid:durableId="173082471">
    <w:abstractNumId w:val="3"/>
  </w:num>
  <w:num w:numId="38" w16cid:durableId="1463110829">
    <w:abstractNumId w:val="12"/>
  </w:num>
  <w:num w:numId="39" w16cid:durableId="825509526">
    <w:abstractNumId w:val="6"/>
  </w:num>
  <w:num w:numId="40" w16cid:durableId="1794251467">
    <w:abstractNumId w:val="30"/>
  </w:num>
  <w:num w:numId="41" w16cid:durableId="108669408">
    <w:abstractNumId w:val="28"/>
  </w:num>
  <w:num w:numId="42" w16cid:durableId="2061635407">
    <w:abstractNumId w:val="74"/>
  </w:num>
  <w:num w:numId="43" w16cid:durableId="1355614086">
    <w:abstractNumId w:val="64"/>
  </w:num>
  <w:num w:numId="44" w16cid:durableId="1581480168">
    <w:abstractNumId w:val="48"/>
  </w:num>
  <w:num w:numId="45" w16cid:durableId="478764314">
    <w:abstractNumId w:val="19"/>
  </w:num>
  <w:num w:numId="46" w16cid:durableId="1076902712">
    <w:abstractNumId w:val="31"/>
  </w:num>
  <w:num w:numId="47" w16cid:durableId="1962151191">
    <w:abstractNumId w:val="54"/>
  </w:num>
  <w:num w:numId="48" w16cid:durableId="1540897696">
    <w:abstractNumId w:val="24"/>
  </w:num>
  <w:num w:numId="49" w16cid:durableId="293098491">
    <w:abstractNumId w:val="13"/>
  </w:num>
  <w:num w:numId="50" w16cid:durableId="1459763515">
    <w:abstractNumId w:val="26"/>
  </w:num>
  <w:num w:numId="51" w16cid:durableId="427506165">
    <w:abstractNumId w:val="25"/>
  </w:num>
  <w:num w:numId="52" w16cid:durableId="394814775">
    <w:abstractNumId w:val="2"/>
  </w:num>
  <w:num w:numId="53" w16cid:durableId="852232847">
    <w:abstractNumId w:val="35"/>
  </w:num>
  <w:num w:numId="54" w16cid:durableId="1401514758">
    <w:abstractNumId w:val="33"/>
  </w:num>
  <w:num w:numId="55" w16cid:durableId="289092872">
    <w:abstractNumId w:val="14"/>
  </w:num>
  <w:num w:numId="56" w16cid:durableId="129443663">
    <w:abstractNumId w:val="38"/>
  </w:num>
  <w:num w:numId="57" w16cid:durableId="1451045894">
    <w:abstractNumId w:val="32"/>
  </w:num>
  <w:num w:numId="58" w16cid:durableId="1728916266">
    <w:abstractNumId w:val="7"/>
  </w:num>
  <w:num w:numId="59" w16cid:durableId="1856580417">
    <w:abstractNumId w:val="22"/>
  </w:num>
  <w:num w:numId="60" w16cid:durableId="2011829415">
    <w:abstractNumId w:val="15"/>
  </w:num>
  <w:num w:numId="61" w16cid:durableId="1330912712">
    <w:abstractNumId w:val="4"/>
  </w:num>
  <w:num w:numId="62" w16cid:durableId="1628510391">
    <w:abstractNumId w:val="51"/>
  </w:num>
  <w:num w:numId="63" w16cid:durableId="1270745980">
    <w:abstractNumId w:val="61"/>
  </w:num>
  <w:num w:numId="64" w16cid:durableId="654378124">
    <w:abstractNumId w:val="78"/>
  </w:num>
  <w:num w:numId="65" w16cid:durableId="2106346136">
    <w:abstractNumId w:val="9"/>
  </w:num>
  <w:num w:numId="66" w16cid:durableId="1944530051">
    <w:abstractNumId w:val="56"/>
  </w:num>
  <w:num w:numId="67" w16cid:durableId="1534807057">
    <w:abstractNumId w:val="39"/>
  </w:num>
  <w:num w:numId="68" w16cid:durableId="178282146">
    <w:abstractNumId w:val="43"/>
  </w:num>
  <w:num w:numId="69" w16cid:durableId="93405126">
    <w:abstractNumId w:val="62"/>
  </w:num>
  <w:num w:numId="70" w16cid:durableId="1086001565">
    <w:abstractNumId w:val="75"/>
  </w:num>
  <w:num w:numId="71" w16cid:durableId="218900141">
    <w:abstractNumId w:val="40"/>
  </w:num>
  <w:num w:numId="72" w16cid:durableId="1669866725">
    <w:abstractNumId w:val="18"/>
  </w:num>
  <w:num w:numId="73" w16cid:durableId="1156457360">
    <w:abstractNumId w:val="71"/>
  </w:num>
  <w:num w:numId="74" w16cid:durableId="1653409249">
    <w:abstractNumId w:val="57"/>
  </w:num>
  <w:num w:numId="75" w16cid:durableId="1295987031">
    <w:abstractNumId w:val="8"/>
  </w:num>
  <w:num w:numId="76" w16cid:durableId="474955431">
    <w:abstractNumId w:val="72"/>
  </w:num>
  <w:num w:numId="77" w16cid:durableId="401564636">
    <w:abstractNumId w:val="34"/>
  </w:num>
  <w:num w:numId="78" w16cid:durableId="755319354">
    <w:abstractNumId w:val="76"/>
  </w:num>
  <w:num w:numId="79" w16cid:durableId="869873844">
    <w:abstractNumId w:val="60"/>
  </w:num>
  <w:num w:numId="80" w16cid:durableId="1187712912">
    <w:abstractNumId w:val="6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09"/>
    <w:rsid w:val="00000282"/>
    <w:rsid w:val="00005816"/>
    <w:rsid w:val="00006E3B"/>
    <w:rsid w:val="00007C78"/>
    <w:rsid w:val="00013446"/>
    <w:rsid w:val="0001364B"/>
    <w:rsid w:val="00013E80"/>
    <w:rsid w:val="000143FE"/>
    <w:rsid w:val="000164AB"/>
    <w:rsid w:val="000210D4"/>
    <w:rsid w:val="0002230A"/>
    <w:rsid w:val="00023795"/>
    <w:rsid w:val="000264CF"/>
    <w:rsid w:val="00026B64"/>
    <w:rsid w:val="000308D3"/>
    <w:rsid w:val="00036D00"/>
    <w:rsid w:val="00043C96"/>
    <w:rsid w:val="00045CC8"/>
    <w:rsid w:val="00047014"/>
    <w:rsid w:val="00057786"/>
    <w:rsid w:val="0006007D"/>
    <w:rsid w:val="00061966"/>
    <w:rsid w:val="00062CA0"/>
    <w:rsid w:val="00063016"/>
    <w:rsid w:val="00066795"/>
    <w:rsid w:val="00067DF4"/>
    <w:rsid w:val="0007247C"/>
    <w:rsid w:val="00073D9A"/>
    <w:rsid w:val="00073FD8"/>
    <w:rsid w:val="00076AF6"/>
    <w:rsid w:val="0008401F"/>
    <w:rsid w:val="000849DF"/>
    <w:rsid w:val="00085910"/>
    <w:rsid w:val="00085CF2"/>
    <w:rsid w:val="00091EB1"/>
    <w:rsid w:val="000948DE"/>
    <w:rsid w:val="00094F5E"/>
    <w:rsid w:val="00097BD9"/>
    <w:rsid w:val="000A17DF"/>
    <w:rsid w:val="000B0A7A"/>
    <w:rsid w:val="000B1666"/>
    <w:rsid w:val="000B1705"/>
    <w:rsid w:val="000B21E8"/>
    <w:rsid w:val="000B3F6E"/>
    <w:rsid w:val="000C3D7C"/>
    <w:rsid w:val="000C4E53"/>
    <w:rsid w:val="000C5E17"/>
    <w:rsid w:val="000C7E6B"/>
    <w:rsid w:val="000D38D7"/>
    <w:rsid w:val="000D51D0"/>
    <w:rsid w:val="000D75B2"/>
    <w:rsid w:val="000D7783"/>
    <w:rsid w:val="000E372C"/>
    <w:rsid w:val="000E49F5"/>
    <w:rsid w:val="000E550F"/>
    <w:rsid w:val="000F5DDB"/>
    <w:rsid w:val="001014F5"/>
    <w:rsid w:val="00102D2E"/>
    <w:rsid w:val="00105EE7"/>
    <w:rsid w:val="00107F48"/>
    <w:rsid w:val="00110353"/>
    <w:rsid w:val="001121F5"/>
    <w:rsid w:val="00117EFD"/>
    <w:rsid w:val="00120AC1"/>
    <w:rsid w:val="00121CC7"/>
    <w:rsid w:val="0012465A"/>
    <w:rsid w:val="00127BE2"/>
    <w:rsid w:val="001313D4"/>
    <w:rsid w:val="00131517"/>
    <w:rsid w:val="00133287"/>
    <w:rsid w:val="001400DC"/>
    <w:rsid w:val="00140CE1"/>
    <w:rsid w:val="00141DF8"/>
    <w:rsid w:val="00143D83"/>
    <w:rsid w:val="0015189A"/>
    <w:rsid w:val="001610FF"/>
    <w:rsid w:val="00161837"/>
    <w:rsid w:val="00161EE7"/>
    <w:rsid w:val="00171B4D"/>
    <w:rsid w:val="00174A7D"/>
    <w:rsid w:val="0017539C"/>
    <w:rsid w:val="00175AC2"/>
    <w:rsid w:val="0017609F"/>
    <w:rsid w:val="00176F47"/>
    <w:rsid w:val="00180E76"/>
    <w:rsid w:val="00185A91"/>
    <w:rsid w:val="00187BDE"/>
    <w:rsid w:val="0019125A"/>
    <w:rsid w:val="00191673"/>
    <w:rsid w:val="001932DA"/>
    <w:rsid w:val="001950F6"/>
    <w:rsid w:val="0019766B"/>
    <w:rsid w:val="001A0432"/>
    <w:rsid w:val="001A0AB5"/>
    <w:rsid w:val="001A3154"/>
    <w:rsid w:val="001A5A31"/>
    <w:rsid w:val="001A7D1D"/>
    <w:rsid w:val="001B174D"/>
    <w:rsid w:val="001B2EDC"/>
    <w:rsid w:val="001B51DD"/>
    <w:rsid w:val="001C1B85"/>
    <w:rsid w:val="001C2305"/>
    <w:rsid w:val="001C628E"/>
    <w:rsid w:val="001C6BED"/>
    <w:rsid w:val="001D2913"/>
    <w:rsid w:val="001D7340"/>
    <w:rsid w:val="001E0F7B"/>
    <w:rsid w:val="001E5036"/>
    <w:rsid w:val="001F5569"/>
    <w:rsid w:val="0020487B"/>
    <w:rsid w:val="002068DB"/>
    <w:rsid w:val="00210ADB"/>
    <w:rsid w:val="002119FD"/>
    <w:rsid w:val="002130E0"/>
    <w:rsid w:val="0022006A"/>
    <w:rsid w:val="0022038F"/>
    <w:rsid w:val="002213CB"/>
    <w:rsid w:val="00221F46"/>
    <w:rsid w:val="00225625"/>
    <w:rsid w:val="002327CD"/>
    <w:rsid w:val="00236E23"/>
    <w:rsid w:val="0024190D"/>
    <w:rsid w:val="002432C0"/>
    <w:rsid w:val="00244789"/>
    <w:rsid w:val="00244FB1"/>
    <w:rsid w:val="00250529"/>
    <w:rsid w:val="00251AD1"/>
    <w:rsid w:val="00253DD8"/>
    <w:rsid w:val="00257E87"/>
    <w:rsid w:val="00261A8D"/>
    <w:rsid w:val="00263B85"/>
    <w:rsid w:val="00264425"/>
    <w:rsid w:val="00265875"/>
    <w:rsid w:val="002713D4"/>
    <w:rsid w:val="00272521"/>
    <w:rsid w:val="00272A9A"/>
    <w:rsid w:val="0027303B"/>
    <w:rsid w:val="00276335"/>
    <w:rsid w:val="00277DEA"/>
    <w:rsid w:val="0028109B"/>
    <w:rsid w:val="00287588"/>
    <w:rsid w:val="002916B4"/>
    <w:rsid w:val="002922F7"/>
    <w:rsid w:val="002A0615"/>
    <w:rsid w:val="002A133E"/>
    <w:rsid w:val="002A2054"/>
    <w:rsid w:val="002A2188"/>
    <w:rsid w:val="002A336C"/>
    <w:rsid w:val="002A44B8"/>
    <w:rsid w:val="002B0CBB"/>
    <w:rsid w:val="002B1CD0"/>
    <w:rsid w:val="002B1F58"/>
    <w:rsid w:val="002B241A"/>
    <w:rsid w:val="002B4FA3"/>
    <w:rsid w:val="002B586D"/>
    <w:rsid w:val="002B6004"/>
    <w:rsid w:val="002B6ADF"/>
    <w:rsid w:val="002C1C7A"/>
    <w:rsid w:val="002C3F32"/>
    <w:rsid w:val="002C4626"/>
    <w:rsid w:val="002C5475"/>
    <w:rsid w:val="002C54E2"/>
    <w:rsid w:val="002C6800"/>
    <w:rsid w:val="002D4290"/>
    <w:rsid w:val="002D5051"/>
    <w:rsid w:val="002D6191"/>
    <w:rsid w:val="002D7061"/>
    <w:rsid w:val="002E2C91"/>
    <w:rsid w:val="002F0D14"/>
    <w:rsid w:val="002F0E42"/>
    <w:rsid w:val="002F2194"/>
    <w:rsid w:val="002F6F4D"/>
    <w:rsid w:val="0030160F"/>
    <w:rsid w:val="00304031"/>
    <w:rsid w:val="00304649"/>
    <w:rsid w:val="00306C07"/>
    <w:rsid w:val="00307048"/>
    <w:rsid w:val="00320223"/>
    <w:rsid w:val="0032120B"/>
    <w:rsid w:val="003225F1"/>
    <w:rsid w:val="00322D0D"/>
    <w:rsid w:val="003240FE"/>
    <w:rsid w:val="003254CC"/>
    <w:rsid w:val="00333D7D"/>
    <w:rsid w:val="0033579C"/>
    <w:rsid w:val="00336CF4"/>
    <w:rsid w:val="00336FE2"/>
    <w:rsid w:val="003440EA"/>
    <w:rsid w:val="0034603C"/>
    <w:rsid w:val="003500C1"/>
    <w:rsid w:val="00350839"/>
    <w:rsid w:val="00354194"/>
    <w:rsid w:val="00356C33"/>
    <w:rsid w:val="00356F39"/>
    <w:rsid w:val="00361143"/>
    <w:rsid w:val="00361465"/>
    <w:rsid w:val="0036146E"/>
    <w:rsid w:val="00361626"/>
    <w:rsid w:val="00371EAD"/>
    <w:rsid w:val="00383B6A"/>
    <w:rsid w:val="0038621F"/>
    <w:rsid w:val="0038639D"/>
    <w:rsid w:val="00387304"/>
    <w:rsid w:val="0038741C"/>
    <w:rsid w:val="003877F5"/>
    <w:rsid w:val="00391CFE"/>
    <w:rsid w:val="003936D3"/>
    <w:rsid w:val="003939C6"/>
    <w:rsid w:val="00393E3A"/>
    <w:rsid w:val="003942D4"/>
    <w:rsid w:val="00394952"/>
    <w:rsid w:val="003958A8"/>
    <w:rsid w:val="003A08DE"/>
    <w:rsid w:val="003A0C07"/>
    <w:rsid w:val="003A256B"/>
    <w:rsid w:val="003A2AB2"/>
    <w:rsid w:val="003A4769"/>
    <w:rsid w:val="003B29C2"/>
    <w:rsid w:val="003B332F"/>
    <w:rsid w:val="003B3AF0"/>
    <w:rsid w:val="003B4FAF"/>
    <w:rsid w:val="003B6501"/>
    <w:rsid w:val="003C0350"/>
    <w:rsid w:val="003C2533"/>
    <w:rsid w:val="003D5A7F"/>
    <w:rsid w:val="003E00F8"/>
    <w:rsid w:val="003E5E05"/>
    <w:rsid w:val="003F0228"/>
    <w:rsid w:val="003F5974"/>
    <w:rsid w:val="003F7B2E"/>
    <w:rsid w:val="004013C9"/>
    <w:rsid w:val="0040435A"/>
    <w:rsid w:val="00404E31"/>
    <w:rsid w:val="004100BD"/>
    <w:rsid w:val="004156FF"/>
    <w:rsid w:val="00416A24"/>
    <w:rsid w:val="0042051D"/>
    <w:rsid w:val="00431D9E"/>
    <w:rsid w:val="004320BB"/>
    <w:rsid w:val="00433CE8"/>
    <w:rsid w:val="0043473F"/>
    <w:rsid w:val="00434A5C"/>
    <w:rsid w:val="004407EC"/>
    <w:rsid w:val="00440E00"/>
    <w:rsid w:val="00443DB2"/>
    <w:rsid w:val="00445D5D"/>
    <w:rsid w:val="00446A20"/>
    <w:rsid w:val="00447ED4"/>
    <w:rsid w:val="004523E2"/>
    <w:rsid w:val="00453079"/>
    <w:rsid w:val="0045348C"/>
    <w:rsid w:val="00453752"/>
    <w:rsid w:val="004544D9"/>
    <w:rsid w:val="00455FD8"/>
    <w:rsid w:val="0046122C"/>
    <w:rsid w:val="00461832"/>
    <w:rsid w:val="00461AA0"/>
    <w:rsid w:val="00464824"/>
    <w:rsid w:val="00465C35"/>
    <w:rsid w:val="00472BAD"/>
    <w:rsid w:val="00484009"/>
    <w:rsid w:val="00485645"/>
    <w:rsid w:val="00490773"/>
    <w:rsid w:val="00490E72"/>
    <w:rsid w:val="00491157"/>
    <w:rsid w:val="00491BA9"/>
    <w:rsid w:val="004921C8"/>
    <w:rsid w:val="0049293C"/>
    <w:rsid w:val="0049369C"/>
    <w:rsid w:val="00494562"/>
    <w:rsid w:val="00495615"/>
    <w:rsid w:val="00495731"/>
    <w:rsid w:val="00495B0B"/>
    <w:rsid w:val="00496C3A"/>
    <w:rsid w:val="004976F7"/>
    <w:rsid w:val="004A1316"/>
    <w:rsid w:val="004A1B8B"/>
    <w:rsid w:val="004B6DE0"/>
    <w:rsid w:val="004C2957"/>
    <w:rsid w:val="004D0A01"/>
    <w:rsid w:val="004D1851"/>
    <w:rsid w:val="004D43C9"/>
    <w:rsid w:val="004D56D8"/>
    <w:rsid w:val="004D599D"/>
    <w:rsid w:val="004E2EA5"/>
    <w:rsid w:val="004E3AEB"/>
    <w:rsid w:val="004E47E5"/>
    <w:rsid w:val="004E6BA1"/>
    <w:rsid w:val="004F2706"/>
    <w:rsid w:val="004F798A"/>
    <w:rsid w:val="005009F4"/>
    <w:rsid w:val="0050223C"/>
    <w:rsid w:val="005024DC"/>
    <w:rsid w:val="00502569"/>
    <w:rsid w:val="00503731"/>
    <w:rsid w:val="00507BF5"/>
    <w:rsid w:val="00507C50"/>
    <w:rsid w:val="00512087"/>
    <w:rsid w:val="0052232C"/>
    <w:rsid w:val="005243FF"/>
    <w:rsid w:val="00524ED1"/>
    <w:rsid w:val="005265EF"/>
    <w:rsid w:val="00532868"/>
    <w:rsid w:val="00540DDC"/>
    <w:rsid w:val="00542C9C"/>
    <w:rsid w:val="0054350C"/>
    <w:rsid w:val="005435DD"/>
    <w:rsid w:val="0054502C"/>
    <w:rsid w:val="0054616C"/>
    <w:rsid w:val="00547C35"/>
    <w:rsid w:val="0055385F"/>
    <w:rsid w:val="00553958"/>
    <w:rsid w:val="00553AB7"/>
    <w:rsid w:val="00554552"/>
    <w:rsid w:val="00554D0B"/>
    <w:rsid w:val="00554E8C"/>
    <w:rsid w:val="0055582A"/>
    <w:rsid w:val="005562E9"/>
    <w:rsid w:val="00564FBC"/>
    <w:rsid w:val="00572BF8"/>
    <w:rsid w:val="00575F61"/>
    <w:rsid w:val="0057735F"/>
    <w:rsid w:val="005800BC"/>
    <w:rsid w:val="005816E6"/>
    <w:rsid w:val="00582179"/>
    <w:rsid w:val="00582442"/>
    <w:rsid w:val="0059074E"/>
    <w:rsid w:val="00592B67"/>
    <w:rsid w:val="005A4544"/>
    <w:rsid w:val="005A760C"/>
    <w:rsid w:val="005B0F97"/>
    <w:rsid w:val="005B1884"/>
    <w:rsid w:val="005B1C13"/>
    <w:rsid w:val="005B39D3"/>
    <w:rsid w:val="005B5E68"/>
    <w:rsid w:val="005B687E"/>
    <w:rsid w:val="005C10A5"/>
    <w:rsid w:val="005C16BB"/>
    <w:rsid w:val="005D6BBD"/>
    <w:rsid w:val="005E4108"/>
    <w:rsid w:val="005E519C"/>
    <w:rsid w:val="005E7484"/>
    <w:rsid w:val="005F03A2"/>
    <w:rsid w:val="005F3269"/>
    <w:rsid w:val="006001E1"/>
    <w:rsid w:val="00607AD5"/>
    <w:rsid w:val="0061071E"/>
    <w:rsid w:val="0061620E"/>
    <w:rsid w:val="00623AE3"/>
    <w:rsid w:val="00630690"/>
    <w:rsid w:val="006312F9"/>
    <w:rsid w:val="00634C2A"/>
    <w:rsid w:val="00636F3E"/>
    <w:rsid w:val="006402EE"/>
    <w:rsid w:val="006418D2"/>
    <w:rsid w:val="00641ECE"/>
    <w:rsid w:val="00642DE0"/>
    <w:rsid w:val="0064737F"/>
    <w:rsid w:val="006535F1"/>
    <w:rsid w:val="00654F11"/>
    <w:rsid w:val="0065557D"/>
    <w:rsid w:val="00656CE7"/>
    <w:rsid w:val="00656F9D"/>
    <w:rsid w:val="00657D85"/>
    <w:rsid w:val="00660596"/>
    <w:rsid w:val="00660C5E"/>
    <w:rsid w:val="00660D50"/>
    <w:rsid w:val="00661A37"/>
    <w:rsid w:val="00662984"/>
    <w:rsid w:val="00662D16"/>
    <w:rsid w:val="00662EA7"/>
    <w:rsid w:val="006631B2"/>
    <w:rsid w:val="0066688C"/>
    <w:rsid w:val="00670D0E"/>
    <w:rsid w:val="006716BB"/>
    <w:rsid w:val="0067324E"/>
    <w:rsid w:val="006754C1"/>
    <w:rsid w:val="006768A1"/>
    <w:rsid w:val="006772B7"/>
    <w:rsid w:val="00677B24"/>
    <w:rsid w:val="00680583"/>
    <w:rsid w:val="00682E08"/>
    <w:rsid w:val="00684D4D"/>
    <w:rsid w:val="0068744C"/>
    <w:rsid w:val="00691C65"/>
    <w:rsid w:val="00692468"/>
    <w:rsid w:val="006A11CF"/>
    <w:rsid w:val="006A21CE"/>
    <w:rsid w:val="006A2F4B"/>
    <w:rsid w:val="006A4EC4"/>
    <w:rsid w:val="006A5060"/>
    <w:rsid w:val="006B1859"/>
    <w:rsid w:val="006B1ADD"/>
    <w:rsid w:val="006B20EB"/>
    <w:rsid w:val="006B2B96"/>
    <w:rsid w:val="006B6680"/>
    <w:rsid w:val="006B6DCC"/>
    <w:rsid w:val="006B77F1"/>
    <w:rsid w:val="006C0DA9"/>
    <w:rsid w:val="006C2F7F"/>
    <w:rsid w:val="006C5ACC"/>
    <w:rsid w:val="006E0EF7"/>
    <w:rsid w:val="006F5BAC"/>
    <w:rsid w:val="00700FD0"/>
    <w:rsid w:val="00702DEF"/>
    <w:rsid w:val="00706861"/>
    <w:rsid w:val="00711531"/>
    <w:rsid w:val="00714B94"/>
    <w:rsid w:val="00714F90"/>
    <w:rsid w:val="007161DA"/>
    <w:rsid w:val="00720631"/>
    <w:rsid w:val="00722551"/>
    <w:rsid w:val="007246BC"/>
    <w:rsid w:val="00726154"/>
    <w:rsid w:val="00731911"/>
    <w:rsid w:val="0073613A"/>
    <w:rsid w:val="007378F4"/>
    <w:rsid w:val="00743974"/>
    <w:rsid w:val="00744BD7"/>
    <w:rsid w:val="0075051B"/>
    <w:rsid w:val="00751C4F"/>
    <w:rsid w:val="007529FC"/>
    <w:rsid w:val="00753808"/>
    <w:rsid w:val="007573DF"/>
    <w:rsid w:val="00765C89"/>
    <w:rsid w:val="007674DD"/>
    <w:rsid w:val="0077110E"/>
    <w:rsid w:val="00777131"/>
    <w:rsid w:val="00793188"/>
    <w:rsid w:val="00794D34"/>
    <w:rsid w:val="007A3FCD"/>
    <w:rsid w:val="007B004F"/>
    <w:rsid w:val="007B1714"/>
    <w:rsid w:val="007B19CF"/>
    <w:rsid w:val="007B2205"/>
    <w:rsid w:val="007B3F8D"/>
    <w:rsid w:val="007B4C42"/>
    <w:rsid w:val="007B500B"/>
    <w:rsid w:val="007B6C00"/>
    <w:rsid w:val="007C5F9D"/>
    <w:rsid w:val="007D01AF"/>
    <w:rsid w:val="007D0779"/>
    <w:rsid w:val="007D4F18"/>
    <w:rsid w:val="007E093A"/>
    <w:rsid w:val="007E09CE"/>
    <w:rsid w:val="007E413E"/>
    <w:rsid w:val="007E5DBE"/>
    <w:rsid w:val="007E5F20"/>
    <w:rsid w:val="007F414D"/>
    <w:rsid w:val="007F4266"/>
    <w:rsid w:val="007F505D"/>
    <w:rsid w:val="008017F2"/>
    <w:rsid w:val="00804344"/>
    <w:rsid w:val="00810BFB"/>
    <w:rsid w:val="00810D9A"/>
    <w:rsid w:val="0081110A"/>
    <w:rsid w:val="00813E5E"/>
    <w:rsid w:val="00820ED8"/>
    <w:rsid w:val="00821641"/>
    <w:rsid w:val="00823153"/>
    <w:rsid w:val="008239E9"/>
    <w:rsid w:val="0083013D"/>
    <w:rsid w:val="00831EB0"/>
    <w:rsid w:val="00832A63"/>
    <w:rsid w:val="0083581B"/>
    <w:rsid w:val="0084546D"/>
    <w:rsid w:val="00845DAB"/>
    <w:rsid w:val="00845E91"/>
    <w:rsid w:val="0085165A"/>
    <w:rsid w:val="00852DBB"/>
    <w:rsid w:val="008537B1"/>
    <w:rsid w:val="00853DDE"/>
    <w:rsid w:val="00854C99"/>
    <w:rsid w:val="00857F90"/>
    <w:rsid w:val="00862A11"/>
    <w:rsid w:val="00863463"/>
    <w:rsid w:val="00863874"/>
    <w:rsid w:val="00864AFF"/>
    <w:rsid w:val="00865925"/>
    <w:rsid w:val="00867985"/>
    <w:rsid w:val="008821C2"/>
    <w:rsid w:val="00883927"/>
    <w:rsid w:val="00885D11"/>
    <w:rsid w:val="008868F5"/>
    <w:rsid w:val="008911E0"/>
    <w:rsid w:val="008974B1"/>
    <w:rsid w:val="008A1A4A"/>
    <w:rsid w:val="008B09AB"/>
    <w:rsid w:val="008B2FFF"/>
    <w:rsid w:val="008B36C9"/>
    <w:rsid w:val="008B4A6A"/>
    <w:rsid w:val="008B6CC0"/>
    <w:rsid w:val="008B7E9B"/>
    <w:rsid w:val="008C0D23"/>
    <w:rsid w:val="008C7E27"/>
    <w:rsid w:val="008D5582"/>
    <w:rsid w:val="008E03AA"/>
    <w:rsid w:val="008E1544"/>
    <w:rsid w:val="008E4015"/>
    <w:rsid w:val="008E4DD2"/>
    <w:rsid w:val="008E5225"/>
    <w:rsid w:val="008E650F"/>
    <w:rsid w:val="008E6A57"/>
    <w:rsid w:val="008E7430"/>
    <w:rsid w:val="008E7700"/>
    <w:rsid w:val="008E7D75"/>
    <w:rsid w:val="008F3144"/>
    <w:rsid w:val="008F332F"/>
    <w:rsid w:val="008F7448"/>
    <w:rsid w:val="008F7B80"/>
    <w:rsid w:val="0090147A"/>
    <w:rsid w:val="0091095C"/>
    <w:rsid w:val="00914DDF"/>
    <w:rsid w:val="00916C2A"/>
    <w:rsid w:val="009173EF"/>
    <w:rsid w:val="00920F69"/>
    <w:rsid w:val="00923C08"/>
    <w:rsid w:val="00925D76"/>
    <w:rsid w:val="00927DB5"/>
    <w:rsid w:val="00932906"/>
    <w:rsid w:val="00934B84"/>
    <w:rsid w:val="009371F7"/>
    <w:rsid w:val="0094010C"/>
    <w:rsid w:val="009454CB"/>
    <w:rsid w:val="00954C49"/>
    <w:rsid w:val="00955E6D"/>
    <w:rsid w:val="00960A89"/>
    <w:rsid w:val="00961B0B"/>
    <w:rsid w:val="00961D50"/>
    <w:rsid w:val="00962D33"/>
    <w:rsid w:val="009719EF"/>
    <w:rsid w:val="00972C2B"/>
    <w:rsid w:val="0098275B"/>
    <w:rsid w:val="009842A1"/>
    <w:rsid w:val="0098436E"/>
    <w:rsid w:val="00986D12"/>
    <w:rsid w:val="00990608"/>
    <w:rsid w:val="00993814"/>
    <w:rsid w:val="009962C2"/>
    <w:rsid w:val="00996860"/>
    <w:rsid w:val="009A3AC6"/>
    <w:rsid w:val="009A3D17"/>
    <w:rsid w:val="009A76A8"/>
    <w:rsid w:val="009B0937"/>
    <w:rsid w:val="009B38C3"/>
    <w:rsid w:val="009C030A"/>
    <w:rsid w:val="009C4134"/>
    <w:rsid w:val="009C509F"/>
    <w:rsid w:val="009D15BD"/>
    <w:rsid w:val="009D230B"/>
    <w:rsid w:val="009D3059"/>
    <w:rsid w:val="009D3743"/>
    <w:rsid w:val="009E17BD"/>
    <w:rsid w:val="009E485A"/>
    <w:rsid w:val="009E5133"/>
    <w:rsid w:val="009E51C8"/>
    <w:rsid w:val="009F09D3"/>
    <w:rsid w:val="009F2AD8"/>
    <w:rsid w:val="009F520C"/>
    <w:rsid w:val="00A04CEC"/>
    <w:rsid w:val="00A05FE8"/>
    <w:rsid w:val="00A109AF"/>
    <w:rsid w:val="00A12FD9"/>
    <w:rsid w:val="00A13C1B"/>
    <w:rsid w:val="00A16E36"/>
    <w:rsid w:val="00A26D03"/>
    <w:rsid w:val="00A27F92"/>
    <w:rsid w:val="00A317D2"/>
    <w:rsid w:val="00A32257"/>
    <w:rsid w:val="00A33F7C"/>
    <w:rsid w:val="00A34252"/>
    <w:rsid w:val="00A34C3E"/>
    <w:rsid w:val="00A36D20"/>
    <w:rsid w:val="00A3722C"/>
    <w:rsid w:val="00A4015E"/>
    <w:rsid w:val="00A422E8"/>
    <w:rsid w:val="00A50F2F"/>
    <w:rsid w:val="00A514A4"/>
    <w:rsid w:val="00A54E6A"/>
    <w:rsid w:val="00A55622"/>
    <w:rsid w:val="00A55EE4"/>
    <w:rsid w:val="00A61263"/>
    <w:rsid w:val="00A77BF1"/>
    <w:rsid w:val="00A825E5"/>
    <w:rsid w:val="00A83502"/>
    <w:rsid w:val="00A83DB8"/>
    <w:rsid w:val="00A90E21"/>
    <w:rsid w:val="00A917DA"/>
    <w:rsid w:val="00A935BA"/>
    <w:rsid w:val="00A93979"/>
    <w:rsid w:val="00A948A6"/>
    <w:rsid w:val="00A94BAB"/>
    <w:rsid w:val="00A94C07"/>
    <w:rsid w:val="00A94C59"/>
    <w:rsid w:val="00A94F8A"/>
    <w:rsid w:val="00AA2F87"/>
    <w:rsid w:val="00AB1E2D"/>
    <w:rsid w:val="00AB4352"/>
    <w:rsid w:val="00AC2D02"/>
    <w:rsid w:val="00AC3001"/>
    <w:rsid w:val="00AD15B3"/>
    <w:rsid w:val="00AD33DB"/>
    <w:rsid w:val="00AD3606"/>
    <w:rsid w:val="00AD4A3D"/>
    <w:rsid w:val="00AE00D2"/>
    <w:rsid w:val="00AE46CC"/>
    <w:rsid w:val="00AE5ED3"/>
    <w:rsid w:val="00AF0DFC"/>
    <w:rsid w:val="00AF179B"/>
    <w:rsid w:val="00AF470D"/>
    <w:rsid w:val="00AF55A9"/>
    <w:rsid w:val="00AF581F"/>
    <w:rsid w:val="00AF6E49"/>
    <w:rsid w:val="00B04A67"/>
    <w:rsid w:val="00B0583C"/>
    <w:rsid w:val="00B10072"/>
    <w:rsid w:val="00B23F6E"/>
    <w:rsid w:val="00B26B01"/>
    <w:rsid w:val="00B31518"/>
    <w:rsid w:val="00B31A72"/>
    <w:rsid w:val="00B40A81"/>
    <w:rsid w:val="00B44910"/>
    <w:rsid w:val="00B51C2D"/>
    <w:rsid w:val="00B55430"/>
    <w:rsid w:val="00B6151D"/>
    <w:rsid w:val="00B618CE"/>
    <w:rsid w:val="00B61BEC"/>
    <w:rsid w:val="00B72267"/>
    <w:rsid w:val="00B735BF"/>
    <w:rsid w:val="00B76EB6"/>
    <w:rsid w:val="00B77057"/>
    <w:rsid w:val="00B7737B"/>
    <w:rsid w:val="00B77E99"/>
    <w:rsid w:val="00B8236B"/>
    <w:rsid w:val="00B824C8"/>
    <w:rsid w:val="00B84B9D"/>
    <w:rsid w:val="00B8608E"/>
    <w:rsid w:val="00B87381"/>
    <w:rsid w:val="00B9131F"/>
    <w:rsid w:val="00B92D46"/>
    <w:rsid w:val="00B97151"/>
    <w:rsid w:val="00BA0D91"/>
    <w:rsid w:val="00BA2225"/>
    <w:rsid w:val="00BA2F27"/>
    <w:rsid w:val="00BA7993"/>
    <w:rsid w:val="00BB0646"/>
    <w:rsid w:val="00BB1ECC"/>
    <w:rsid w:val="00BB6C7D"/>
    <w:rsid w:val="00BC251A"/>
    <w:rsid w:val="00BC4A20"/>
    <w:rsid w:val="00BC622D"/>
    <w:rsid w:val="00BD032B"/>
    <w:rsid w:val="00BD0CC9"/>
    <w:rsid w:val="00BD1EA5"/>
    <w:rsid w:val="00BD3D36"/>
    <w:rsid w:val="00BD3F6E"/>
    <w:rsid w:val="00BD4784"/>
    <w:rsid w:val="00BD4A14"/>
    <w:rsid w:val="00BE01C6"/>
    <w:rsid w:val="00BE062A"/>
    <w:rsid w:val="00BE2640"/>
    <w:rsid w:val="00BE3157"/>
    <w:rsid w:val="00BE6A68"/>
    <w:rsid w:val="00BE7A95"/>
    <w:rsid w:val="00BF0EBE"/>
    <w:rsid w:val="00BF10C8"/>
    <w:rsid w:val="00BF1FDE"/>
    <w:rsid w:val="00BF312C"/>
    <w:rsid w:val="00BF67B4"/>
    <w:rsid w:val="00C01189"/>
    <w:rsid w:val="00C01A1E"/>
    <w:rsid w:val="00C0458D"/>
    <w:rsid w:val="00C10710"/>
    <w:rsid w:val="00C13DD0"/>
    <w:rsid w:val="00C159D1"/>
    <w:rsid w:val="00C179AD"/>
    <w:rsid w:val="00C20DE6"/>
    <w:rsid w:val="00C22EB5"/>
    <w:rsid w:val="00C25593"/>
    <w:rsid w:val="00C30E40"/>
    <w:rsid w:val="00C36F8C"/>
    <w:rsid w:val="00C374DE"/>
    <w:rsid w:val="00C37938"/>
    <w:rsid w:val="00C47AD4"/>
    <w:rsid w:val="00C52D81"/>
    <w:rsid w:val="00C55198"/>
    <w:rsid w:val="00C5605F"/>
    <w:rsid w:val="00C623D9"/>
    <w:rsid w:val="00C6388D"/>
    <w:rsid w:val="00C64136"/>
    <w:rsid w:val="00C6520B"/>
    <w:rsid w:val="00C75F2B"/>
    <w:rsid w:val="00C76D02"/>
    <w:rsid w:val="00C80F0F"/>
    <w:rsid w:val="00C83C47"/>
    <w:rsid w:val="00C855AC"/>
    <w:rsid w:val="00C86AB3"/>
    <w:rsid w:val="00C8742B"/>
    <w:rsid w:val="00C909F3"/>
    <w:rsid w:val="00C91963"/>
    <w:rsid w:val="00C9310C"/>
    <w:rsid w:val="00C9333F"/>
    <w:rsid w:val="00CA0457"/>
    <w:rsid w:val="00CA2A9E"/>
    <w:rsid w:val="00CA4BDD"/>
    <w:rsid w:val="00CA55C3"/>
    <w:rsid w:val="00CA615C"/>
    <w:rsid w:val="00CA6393"/>
    <w:rsid w:val="00CA7995"/>
    <w:rsid w:val="00CB0D18"/>
    <w:rsid w:val="00CB18FF"/>
    <w:rsid w:val="00CB1D77"/>
    <w:rsid w:val="00CB39F9"/>
    <w:rsid w:val="00CB73F6"/>
    <w:rsid w:val="00CC10D1"/>
    <w:rsid w:val="00CC2134"/>
    <w:rsid w:val="00CC51C8"/>
    <w:rsid w:val="00CC5FDB"/>
    <w:rsid w:val="00CC636D"/>
    <w:rsid w:val="00CD00FB"/>
    <w:rsid w:val="00CD024B"/>
    <w:rsid w:val="00CD0C08"/>
    <w:rsid w:val="00CD4DD5"/>
    <w:rsid w:val="00CE03FB"/>
    <w:rsid w:val="00CE15D9"/>
    <w:rsid w:val="00CE433C"/>
    <w:rsid w:val="00CE63A9"/>
    <w:rsid w:val="00CF0161"/>
    <w:rsid w:val="00CF22AD"/>
    <w:rsid w:val="00CF2AF6"/>
    <w:rsid w:val="00CF33F3"/>
    <w:rsid w:val="00CF3447"/>
    <w:rsid w:val="00CF4A2B"/>
    <w:rsid w:val="00CF5FDC"/>
    <w:rsid w:val="00CF7FC4"/>
    <w:rsid w:val="00D024CA"/>
    <w:rsid w:val="00D02817"/>
    <w:rsid w:val="00D06183"/>
    <w:rsid w:val="00D11843"/>
    <w:rsid w:val="00D1267B"/>
    <w:rsid w:val="00D16E0A"/>
    <w:rsid w:val="00D210F4"/>
    <w:rsid w:val="00D22C42"/>
    <w:rsid w:val="00D23CF2"/>
    <w:rsid w:val="00D263A8"/>
    <w:rsid w:val="00D43B23"/>
    <w:rsid w:val="00D44993"/>
    <w:rsid w:val="00D47C69"/>
    <w:rsid w:val="00D50581"/>
    <w:rsid w:val="00D549D7"/>
    <w:rsid w:val="00D57315"/>
    <w:rsid w:val="00D621C9"/>
    <w:rsid w:val="00D631C8"/>
    <w:rsid w:val="00D65041"/>
    <w:rsid w:val="00D67C7B"/>
    <w:rsid w:val="00D83F70"/>
    <w:rsid w:val="00D9176D"/>
    <w:rsid w:val="00DA0F6B"/>
    <w:rsid w:val="00DA1728"/>
    <w:rsid w:val="00DA3082"/>
    <w:rsid w:val="00DA574F"/>
    <w:rsid w:val="00DB01E2"/>
    <w:rsid w:val="00DB0CC9"/>
    <w:rsid w:val="00DB101C"/>
    <w:rsid w:val="00DB1253"/>
    <w:rsid w:val="00DB1936"/>
    <w:rsid w:val="00DB384B"/>
    <w:rsid w:val="00DB49B6"/>
    <w:rsid w:val="00DB691E"/>
    <w:rsid w:val="00DC5003"/>
    <w:rsid w:val="00DC78F6"/>
    <w:rsid w:val="00DD2336"/>
    <w:rsid w:val="00DE42C9"/>
    <w:rsid w:val="00DE532B"/>
    <w:rsid w:val="00DE7D40"/>
    <w:rsid w:val="00DF0189"/>
    <w:rsid w:val="00DF63BF"/>
    <w:rsid w:val="00E02F8E"/>
    <w:rsid w:val="00E0474A"/>
    <w:rsid w:val="00E055E7"/>
    <w:rsid w:val="00E06FD5"/>
    <w:rsid w:val="00E10E80"/>
    <w:rsid w:val="00E124F0"/>
    <w:rsid w:val="00E13833"/>
    <w:rsid w:val="00E17733"/>
    <w:rsid w:val="00E20C28"/>
    <w:rsid w:val="00E227F3"/>
    <w:rsid w:val="00E23FCC"/>
    <w:rsid w:val="00E32471"/>
    <w:rsid w:val="00E33E81"/>
    <w:rsid w:val="00E345BD"/>
    <w:rsid w:val="00E34BDF"/>
    <w:rsid w:val="00E3607F"/>
    <w:rsid w:val="00E37EAA"/>
    <w:rsid w:val="00E40F99"/>
    <w:rsid w:val="00E416E6"/>
    <w:rsid w:val="00E47A94"/>
    <w:rsid w:val="00E47C09"/>
    <w:rsid w:val="00E47F8A"/>
    <w:rsid w:val="00E51641"/>
    <w:rsid w:val="00E5242D"/>
    <w:rsid w:val="00E545C6"/>
    <w:rsid w:val="00E5610A"/>
    <w:rsid w:val="00E57259"/>
    <w:rsid w:val="00E5792C"/>
    <w:rsid w:val="00E57C62"/>
    <w:rsid w:val="00E60C9D"/>
    <w:rsid w:val="00E60F04"/>
    <w:rsid w:val="00E65B24"/>
    <w:rsid w:val="00E71BB6"/>
    <w:rsid w:val="00E72ABB"/>
    <w:rsid w:val="00E7661A"/>
    <w:rsid w:val="00E8277E"/>
    <w:rsid w:val="00E8408B"/>
    <w:rsid w:val="00E848FA"/>
    <w:rsid w:val="00E854E4"/>
    <w:rsid w:val="00E85DB3"/>
    <w:rsid w:val="00E86DBF"/>
    <w:rsid w:val="00E94BF3"/>
    <w:rsid w:val="00E969AF"/>
    <w:rsid w:val="00EA19E7"/>
    <w:rsid w:val="00EB04A3"/>
    <w:rsid w:val="00EB0D6F"/>
    <w:rsid w:val="00EB2232"/>
    <w:rsid w:val="00EC09DC"/>
    <w:rsid w:val="00EC5337"/>
    <w:rsid w:val="00EC7B29"/>
    <w:rsid w:val="00EE1CE6"/>
    <w:rsid w:val="00EE1CF4"/>
    <w:rsid w:val="00EE2CA6"/>
    <w:rsid w:val="00EE382A"/>
    <w:rsid w:val="00EE3DB0"/>
    <w:rsid w:val="00EE4583"/>
    <w:rsid w:val="00EE49E8"/>
    <w:rsid w:val="00EE501C"/>
    <w:rsid w:val="00EF30D1"/>
    <w:rsid w:val="00F01E3B"/>
    <w:rsid w:val="00F05ED9"/>
    <w:rsid w:val="00F16BAB"/>
    <w:rsid w:val="00F207C2"/>
    <w:rsid w:val="00F20B3C"/>
    <w:rsid w:val="00F2150A"/>
    <w:rsid w:val="00F22D5B"/>
    <w:rsid w:val="00F22EB6"/>
    <w:rsid w:val="00F231D8"/>
    <w:rsid w:val="00F350ED"/>
    <w:rsid w:val="00F43E83"/>
    <w:rsid w:val="00F44C00"/>
    <w:rsid w:val="00F45D2C"/>
    <w:rsid w:val="00F46C5F"/>
    <w:rsid w:val="00F601DA"/>
    <w:rsid w:val="00F6088F"/>
    <w:rsid w:val="00F632C0"/>
    <w:rsid w:val="00F63D95"/>
    <w:rsid w:val="00F640B5"/>
    <w:rsid w:val="00F641E1"/>
    <w:rsid w:val="00F70176"/>
    <w:rsid w:val="00F7020D"/>
    <w:rsid w:val="00F70EEF"/>
    <w:rsid w:val="00F72AE2"/>
    <w:rsid w:val="00F73335"/>
    <w:rsid w:val="00F76C45"/>
    <w:rsid w:val="00F8062E"/>
    <w:rsid w:val="00F81CE7"/>
    <w:rsid w:val="00F83561"/>
    <w:rsid w:val="00F84B00"/>
    <w:rsid w:val="00F87CE9"/>
    <w:rsid w:val="00F91508"/>
    <w:rsid w:val="00F9371C"/>
    <w:rsid w:val="00F94A63"/>
    <w:rsid w:val="00FA1C28"/>
    <w:rsid w:val="00FA1D56"/>
    <w:rsid w:val="00FA4E86"/>
    <w:rsid w:val="00FA7A51"/>
    <w:rsid w:val="00FB1279"/>
    <w:rsid w:val="00FB6B76"/>
    <w:rsid w:val="00FB7596"/>
    <w:rsid w:val="00FB79C8"/>
    <w:rsid w:val="00FC1433"/>
    <w:rsid w:val="00FC2577"/>
    <w:rsid w:val="00FD1F82"/>
    <w:rsid w:val="00FD40F2"/>
    <w:rsid w:val="00FD5E41"/>
    <w:rsid w:val="00FE4077"/>
    <w:rsid w:val="00FE500D"/>
    <w:rsid w:val="00FE52D7"/>
    <w:rsid w:val="00FE57CC"/>
    <w:rsid w:val="00FE588C"/>
    <w:rsid w:val="00FE602F"/>
    <w:rsid w:val="00FE6E1E"/>
    <w:rsid w:val="00FE77D2"/>
    <w:rsid w:val="00FF1A7F"/>
    <w:rsid w:val="00FF2074"/>
    <w:rsid w:val="00FF26ED"/>
    <w:rsid w:val="00FF39B1"/>
    <w:rsid w:val="00FF466A"/>
    <w:rsid w:val="00FF4B90"/>
    <w:rsid w:val="012FBEF1"/>
    <w:rsid w:val="01E7145A"/>
    <w:rsid w:val="021533CD"/>
    <w:rsid w:val="0267030D"/>
    <w:rsid w:val="0291CB12"/>
    <w:rsid w:val="03A2B273"/>
    <w:rsid w:val="03AD52F0"/>
    <w:rsid w:val="0432F292"/>
    <w:rsid w:val="04C5811B"/>
    <w:rsid w:val="051ADF99"/>
    <w:rsid w:val="052B5A66"/>
    <w:rsid w:val="0565C63D"/>
    <w:rsid w:val="0575DA8F"/>
    <w:rsid w:val="0632ADAD"/>
    <w:rsid w:val="06CE073C"/>
    <w:rsid w:val="07AE972A"/>
    <w:rsid w:val="0810379B"/>
    <w:rsid w:val="09D7CD5C"/>
    <w:rsid w:val="0A293D79"/>
    <w:rsid w:val="0A4B952B"/>
    <w:rsid w:val="0C10D157"/>
    <w:rsid w:val="0C1981DC"/>
    <w:rsid w:val="0CE7C984"/>
    <w:rsid w:val="0D78BD7F"/>
    <w:rsid w:val="0DC1B3E4"/>
    <w:rsid w:val="0DC59474"/>
    <w:rsid w:val="0DE9B401"/>
    <w:rsid w:val="0E578E74"/>
    <w:rsid w:val="0E8D58AA"/>
    <w:rsid w:val="0EDB9B28"/>
    <w:rsid w:val="0F8CE416"/>
    <w:rsid w:val="10241028"/>
    <w:rsid w:val="127B253C"/>
    <w:rsid w:val="12A7BF5F"/>
    <w:rsid w:val="13ADE652"/>
    <w:rsid w:val="13B26B67"/>
    <w:rsid w:val="13BF38E1"/>
    <w:rsid w:val="141B93C0"/>
    <w:rsid w:val="145D3222"/>
    <w:rsid w:val="15951894"/>
    <w:rsid w:val="15F95DCC"/>
    <w:rsid w:val="18538056"/>
    <w:rsid w:val="1872A1B7"/>
    <w:rsid w:val="18E2ECB5"/>
    <w:rsid w:val="1936876B"/>
    <w:rsid w:val="1A8DAD0B"/>
    <w:rsid w:val="1B001F5A"/>
    <w:rsid w:val="1B464531"/>
    <w:rsid w:val="1B509210"/>
    <w:rsid w:val="1D444C24"/>
    <w:rsid w:val="1D773418"/>
    <w:rsid w:val="1E7B1870"/>
    <w:rsid w:val="1F091722"/>
    <w:rsid w:val="1F549975"/>
    <w:rsid w:val="1FB495E5"/>
    <w:rsid w:val="1FFA7C9A"/>
    <w:rsid w:val="20D2E939"/>
    <w:rsid w:val="20F1174D"/>
    <w:rsid w:val="20FC67AC"/>
    <w:rsid w:val="21CB2700"/>
    <w:rsid w:val="2258F2C7"/>
    <w:rsid w:val="23029BAC"/>
    <w:rsid w:val="23A38C1D"/>
    <w:rsid w:val="24496378"/>
    <w:rsid w:val="2451162F"/>
    <w:rsid w:val="2462000A"/>
    <w:rsid w:val="24716032"/>
    <w:rsid w:val="24E2B968"/>
    <w:rsid w:val="24E42175"/>
    <w:rsid w:val="25D6B3AC"/>
    <w:rsid w:val="25E60EBF"/>
    <w:rsid w:val="26E6DFCB"/>
    <w:rsid w:val="274B1347"/>
    <w:rsid w:val="27C5B244"/>
    <w:rsid w:val="27F71D2B"/>
    <w:rsid w:val="288ADEA1"/>
    <w:rsid w:val="28B1400E"/>
    <w:rsid w:val="28E1001E"/>
    <w:rsid w:val="28E71B18"/>
    <w:rsid w:val="28E74143"/>
    <w:rsid w:val="2AB5FDDF"/>
    <w:rsid w:val="2B4CC56B"/>
    <w:rsid w:val="2BC713ED"/>
    <w:rsid w:val="2BF5F440"/>
    <w:rsid w:val="2C443491"/>
    <w:rsid w:val="2D714646"/>
    <w:rsid w:val="2DDF7236"/>
    <w:rsid w:val="2E3EC43C"/>
    <w:rsid w:val="2E660E4C"/>
    <w:rsid w:val="2EA79D7A"/>
    <w:rsid w:val="2F203F50"/>
    <w:rsid w:val="2F8990AD"/>
    <w:rsid w:val="2FA18027"/>
    <w:rsid w:val="2FE0C373"/>
    <w:rsid w:val="308E19CB"/>
    <w:rsid w:val="30C83715"/>
    <w:rsid w:val="31255E7C"/>
    <w:rsid w:val="31F22564"/>
    <w:rsid w:val="32A641A4"/>
    <w:rsid w:val="332D6C6E"/>
    <w:rsid w:val="336AEBC5"/>
    <w:rsid w:val="33BF63BA"/>
    <w:rsid w:val="33C29F8C"/>
    <w:rsid w:val="33C5DF17"/>
    <w:rsid w:val="3433F7AD"/>
    <w:rsid w:val="349BEC54"/>
    <w:rsid w:val="36B1CCAD"/>
    <w:rsid w:val="36BB75D4"/>
    <w:rsid w:val="37189813"/>
    <w:rsid w:val="377B6ADD"/>
    <w:rsid w:val="37AA307C"/>
    <w:rsid w:val="37BE8548"/>
    <w:rsid w:val="38857F3A"/>
    <w:rsid w:val="3957342D"/>
    <w:rsid w:val="3A43277E"/>
    <w:rsid w:val="3BEAA28D"/>
    <w:rsid w:val="3C4941B1"/>
    <w:rsid w:val="3D3421ED"/>
    <w:rsid w:val="3D7CC1C4"/>
    <w:rsid w:val="3DA70F29"/>
    <w:rsid w:val="3DEF4374"/>
    <w:rsid w:val="3E1E4AFF"/>
    <w:rsid w:val="3EAF0EAA"/>
    <w:rsid w:val="3EB17404"/>
    <w:rsid w:val="3FE9C511"/>
    <w:rsid w:val="403A2DB5"/>
    <w:rsid w:val="4093D9C8"/>
    <w:rsid w:val="40E0CAEE"/>
    <w:rsid w:val="41759D14"/>
    <w:rsid w:val="41B3FB86"/>
    <w:rsid w:val="41BEBA14"/>
    <w:rsid w:val="43C78912"/>
    <w:rsid w:val="43C9D361"/>
    <w:rsid w:val="4449F371"/>
    <w:rsid w:val="44D2302E"/>
    <w:rsid w:val="453AF745"/>
    <w:rsid w:val="46C524BA"/>
    <w:rsid w:val="473195EB"/>
    <w:rsid w:val="477515E5"/>
    <w:rsid w:val="47842408"/>
    <w:rsid w:val="479BE1E5"/>
    <w:rsid w:val="47AE54E6"/>
    <w:rsid w:val="47B515F7"/>
    <w:rsid w:val="49104199"/>
    <w:rsid w:val="4991D0A8"/>
    <w:rsid w:val="49C84781"/>
    <w:rsid w:val="4A3312AD"/>
    <w:rsid w:val="4A867186"/>
    <w:rsid w:val="4B28EA64"/>
    <w:rsid w:val="4B3CBB51"/>
    <w:rsid w:val="4B4F1456"/>
    <w:rsid w:val="4B693BC8"/>
    <w:rsid w:val="4B8A88AE"/>
    <w:rsid w:val="4BBC5144"/>
    <w:rsid w:val="4D177FAC"/>
    <w:rsid w:val="4DA9445A"/>
    <w:rsid w:val="4E53092F"/>
    <w:rsid w:val="4F851812"/>
    <w:rsid w:val="4F98E914"/>
    <w:rsid w:val="5042CC15"/>
    <w:rsid w:val="50681048"/>
    <w:rsid w:val="50E84D72"/>
    <w:rsid w:val="526F6B75"/>
    <w:rsid w:val="5277689E"/>
    <w:rsid w:val="530DF0E5"/>
    <w:rsid w:val="54E3B701"/>
    <w:rsid w:val="57A998ED"/>
    <w:rsid w:val="57FF18B9"/>
    <w:rsid w:val="58523A64"/>
    <w:rsid w:val="585AE239"/>
    <w:rsid w:val="58A37B59"/>
    <w:rsid w:val="59BD9EBB"/>
    <w:rsid w:val="5A6893B4"/>
    <w:rsid w:val="5A780C07"/>
    <w:rsid w:val="5A91E33E"/>
    <w:rsid w:val="5ADC33FA"/>
    <w:rsid w:val="5B6A32CA"/>
    <w:rsid w:val="5B9BAB79"/>
    <w:rsid w:val="5BB16E33"/>
    <w:rsid w:val="5C046D1D"/>
    <w:rsid w:val="5C04D9C6"/>
    <w:rsid w:val="5C16BD08"/>
    <w:rsid w:val="5C3B4AC1"/>
    <w:rsid w:val="5C69BC08"/>
    <w:rsid w:val="5C9B4D79"/>
    <w:rsid w:val="5CA2E4BF"/>
    <w:rsid w:val="5D5AD941"/>
    <w:rsid w:val="5EA0F787"/>
    <w:rsid w:val="5F48A5CD"/>
    <w:rsid w:val="5FECFB1E"/>
    <w:rsid w:val="60158DBA"/>
    <w:rsid w:val="608BDFBC"/>
    <w:rsid w:val="60EF6B3A"/>
    <w:rsid w:val="61C27DEA"/>
    <w:rsid w:val="624CDFBA"/>
    <w:rsid w:val="62B57E55"/>
    <w:rsid w:val="65478F3E"/>
    <w:rsid w:val="6598B102"/>
    <w:rsid w:val="67912D75"/>
    <w:rsid w:val="683684C4"/>
    <w:rsid w:val="68644B77"/>
    <w:rsid w:val="688E0FFD"/>
    <w:rsid w:val="699DA21D"/>
    <w:rsid w:val="69A6419F"/>
    <w:rsid w:val="6AD7A31D"/>
    <w:rsid w:val="6B3D711C"/>
    <w:rsid w:val="6B630AE1"/>
    <w:rsid w:val="6BDC4335"/>
    <w:rsid w:val="6C13120E"/>
    <w:rsid w:val="6F6BE8D9"/>
    <w:rsid w:val="6FBCD176"/>
    <w:rsid w:val="71F38D65"/>
    <w:rsid w:val="720B7825"/>
    <w:rsid w:val="73E704C2"/>
    <w:rsid w:val="74212EF8"/>
    <w:rsid w:val="7510DA04"/>
    <w:rsid w:val="7576E968"/>
    <w:rsid w:val="7622C245"/>
    <w:rsid w:val="767453CE"/>
    <w:rsid w:val="771F8388"/>
    <w:rsid w:val="7755D7C6"/>
    <w:rsid w:val="77704C57"/>
    <w:rsid w:val="77DC8888"/>
    <w:rsid w:val="785D3D84"/>
    <w:rsid w:val="79602F4E"/>
    <w:rsid w:val="7A6D660D"/>
    <w:rsid w:val="7B561A89"/>
    <w:rsid w:val="7B7A5044"/>
    <w:rsid w:val="7C2C26FE"/>
    <w:rsid w:val="7C40DA03"/>
    <w:rsid w:val="7E997D6E"/>
    <w:rsid w:val="7F56AC0F"/>
    <w:rsid w:val="7F8ACC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FFA73"/>
  <w15:docId w15:val="{3897AD04-9663-463F-9C26-48882838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B9131F"/>
    <w:pPr>
      <w:keepNext/>
      <w:keepLines/>
      <w:spacing w:before="360"/>
      <w:ind w:left="567" w:hanging="567"/>
      <w:outlineLvl w:val="0"/>
    </w:pPr>
    <w:rPr>
      <w:b/>
      <w:sz w:val="28"/>
    </w:rPr>
  </w:style>
  <w:style w:type="paragraph" w:styleId="Heading2">
    <w:name w:val="heading 2"/>
    <w:basedOn w:val="Heading1"/>
    <w:next w:val="Normal"/>
    <w:link w:val="Heading2Char"/>
    <w:uiPriority w:val="9"/>
    <w:qFormat/>
    <w:rsid w:val="00B9131F"/>
    <w:pPr>
      <w:spacing w:before="240"/>
      <w:outlineLvl w:val="1"/>
    </w:pPr>
    <w:rPr>
      <w:sz w:val="24"/>
    </w:rPr>
  </w:style>
  <w:style w:type="paragraph" w:styleId="Heading3">
    <w:name w:val="heading 3"/>
    <w:basedOn w:val="Heading1"/>
    <w:next w:val="Normal"/>
    <w:link w:val="Heading3Char"/>
    <w:uiPriority w:val="9"/>
    <w:qFormat/>
    <w:rsid w:val="00B9131F"/>
    <w:pPr>
      <w:spacing w:before="200"/>
      <w:outlineLvl w:val="2"/>
    </w:pPr>
    <w:rPr>
      <w:sz w:val="24"/>
    </w:rPr>
  </w:style>
  <w:style w:type="paragraph" w:styleId="Heading4">
    <w:name w:val="heading 4"/>
    <w:basedOn w:val="Heading3"/>
    <w:next w:val="Normal"/>
    <w:link w:val="Heading4Char"/>
    <w:uiPriority w:val="9"/>
    <w:qFormat/>
    <w:rsid w:val="00B9131F"/>
    <w:pPr>
      <w:ind w:left="1134" w:hanging="1134"/>
      <w:outlineLvl w:val="3"/>
    </w:pPr>
  </w:style>
  <w:style w:type="paragraph" w:styleId="Heading5">
    <w:name w:val="heading 5"/>
    <w:basedOn w:val="Heading4"/>
    <w:next w:val="Normal"/>
    <w:link w:val="Heading5Char"/>
    <w:uiPriority w:val="9"/>
    <w:qFormat/>
    <w:rsid w:val="00B9131F"/>
    <w:pPr>
      <w:outlineLvl w:val="4"/>
    </w:pPr>
  </w:style>
  <w:style w:type="paragraph" w:styleId="Heading6">
    <w:name w:val="heading 6"/>
    <w:basedOn w:val="Heading4"/>
    <w:next w:val="Normal"/>
    <w:link w:val="Heading6Char"/>
    <w:uiPriority w:val="9"/>
    <w:qFormat/>
    <w:rsid w:val="00B9131F"/>
    <w:pPr>
      <w:outlineLvl w:val="5"/>
    </w:pPr>
  </w:style>
  <w:style w:type="paragraph" w:styleId="Heading7">
    <w:name w:val="heading 7"/>
    <w:basedOn w:val="Heading4"/>
    <w:next w:val="Normal"/>
    <w:link w:val="Heading7Char"/>
    <w:uiPriority w:val="9"/>
    <w:qFormat/>
    <w:rsid w:val="00813E5E"/>
    <w:pPr>
      <w:ind w:left="1701" w:hanging="1701"/>
      <w:outlineLvl w:val="6"/>
    </w:pPr>
  </w:style>
  <w:style w:type="paragraph" w:styleId="Heading8">
    <w:name w:val="heading 8"/>
    <w:basedOn w:val="Heading4"/>
    <w:next w:val="Normal"/>
    <w:link w:val="Heading8Char"/>
    <w:uiPriority w:val="9"/>
    <w:qFormat/>
    <w:rsid w:val="00B9131F"/>
    <w:pPr>
      <w:ind w:left="1701" w:hanging="1701"/>
      <w:outlineLvl w:val="7"/>
    </w:pPr>
  </w:style>
  <w:style w:type="paragraph" w:styleId="Heading9">
    <w:name w:val="heading 9"/>
    <w:basedOn w:val="Heading4"/>
    <w:next w:val="Normal"/>
    <w:link w:val="Heading9Char"/>
    <w:uiPriority w:val="9"/>
    <w:qFormat/>
    <w:rsid w:val="00B9131F"/>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uiPriority w:val="39"/>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TOC2"/>
    <w:next w:val="Normal"/>
    <w:uiPriority w:val="39"/>
    <w:rsid w:val="00A317D2"/>
    <w:rPr>
      <w:rFonts w:asciiTheme="minorHAnsi" w:eastAsiaTheme="minorEastAsia" w:hAnsiTheme="minorHAnsi" w:cstheme="minorBidi"/>
      <w:szCs w:val="22"/>
      <w:lang w:eastAsia="zh-CN"/>
    </w:rPr>
  </w:style>
  <w:style w:type="paragraph" w:styleId="TOC2">
    <w:name w:val="toc 2"/>
    <w:basedOn w:val="TOC1"/>
    <w:next w:val="Normal"/>
    <w:uiPriority w:val="39"/>
    <w:rsid w:val="00A317D2"/>
    <w:pPr>
      <w:tabs>
        <w:tab w:val="left" w:leader="dot" w:pos="8505"/>
        <w:tab w:val="right" w:pos="9072"/>
      </w:tabs>
      <w:spacing w:before="120"/>
    </w:pPr>
  </w:style>
  <w:style w:type="paragraph" w:styleId="TOC1">
    <w:name w:val="toc 1"/>
    <w:basedOn w:val="Normal"/>
    <w:uiPriority w:val="39"/>
    <w:rsid w:val="00A317D2"/>
    <w:pPr>
      <w:tabs>
        <w:tab w:val="clear" w:pos="567"/>
        <w:tab w:val="clear" w:pos="1134"/>
        <w:tab w:val="clear" w:pos="1701"/>
        <w:tab w:val="clear" w:pos="2268"/>
        <w:tab w:val="clear" w:pos="2835"/>
        <w:tab w:val="left" w:pos="851"/>
        <w:tab w:val="right" w:pos="8505"/>
        <w:tab w:val="left" w:pos="9072"/>
      </w:tabs>
      <w:spacing w:before="200"/>
      <w:ind w:left="851" w:hanging="851"/>
    </w:pPr>
  </w:style>
  <w:style w:type="paragraph" w:styleId="TOC7">
    <w:name w:val="toc 7"/>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link w:val="FooterChar"/>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4C2957"/>
    <w:pPr>
      <w:framePr w:hSpace="180" w:wrap="around" w:vAnchor="page" w:hAnchor="margin" w:y="2101"/>
      <w:spacing w:before="840"/>
    </w:pPr>
    <w:rPr>
      <w:b/>
      <w:sz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uiPriority w:val="39"/>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4F798A"/>
    <w:pPr>
      <w:keepNext/>
      <w:spacing w:before="560" w:after="120"/>
      <w:jc w:val="center"/>
    </w:pPr>
    <w:rPr>
      <w:rFonts w:eastAsia="SimSun"/>
      <w:caps/>
      <w:sz w:val="22"/>
      <w:szCs w:val="22"/>
    </w:rPr>
  </w:style>
  <w:style w:type="paragraph" w:customStyle="1" w:styleId="Tabletext">
    <w:name w:val="Table_text"/>
    <w:basedOn w:val="Normal"/>
    <w:rsid w:val="000B0A7A"/>
    <w:pPr>
      <w:tabs>
        <w:tab w:val="clear" w:pos="567"/>
        <w:tab w:val="clear" w:pos="1134"/>
        <w:tab w:val="clear" w:pos="1701"/>
        <w:tab w:val="clear" w:pos="2268"/>
        <w:tab w:val="clear" w:pos="2835"/>
        <w:tab w:val="left" w:pos="284"/>
      </w:tabs>
      <w:spacing w:before="40" w:after="40"/>
    </w:pPr>
    <w:rPr>
      <w:rFonts w:eastAsiaTheme="minorHAnsi" w:cstheme="minorBidi"/>
      <w:sz w:val="22"/>
      <w:szCs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4F798A"/>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FootnoteTextChar">
    <w:name w:val="Footnote Text Char"/>
    <w:basedOn w:val="DefaultParagraphFont"/>
    <w:link w:val="FootnoteText"/>
    <w:uiPriority w:val="99"/>
    <w:rsid w:val="00692468"/>
    <w:rPr>
      <w:rFonts w:ascii="Calibri" w:hAnsi="Calibri"/>
      <w:sz w:val="22"/>
      <w:lang w:val="en-GB" w:eastAsia="en-US"/>
    </w:rPr>
  </w:style>
  <w:style w:type="paragraph" w:customStyle="1" w:styleId="Tablefin">
    <w:name w:val="Table_fin"/>
    <w:basedOn w:val="Tabletext"/>
    <w:rsid w:val="002A2054"/>
    <w:pPr>
      <w:spacing w:before="0" w:after="0"/>
    </w:pPr>
    <w:rPr>
      <w:rFonts w:eastAsia="SimSun"/>
    </w:rPr>
  </w:style>
  <w:style w:type="paragraph" w:styleId="NormalWeb">
    <w:name w:val="Normal (Web)"/>
    <w:basedOn w:val="Normal"/>
    <w:uiPriority w:val="99"/>
    <w:semiHidden/>
    <w:unhideWhenUsed/>
    <w:rsid w:val="0036114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Heading1Char">
    <w:name w:val="Heading 1 Char"/>
    <w:basedOn w:val="DefaultParagraphFont"/>
    <w:link w:val="Heading1"/>
    <w:uiPriority w:val="9"/>
    <w:rsid w:val="00250529"/>
    <w:rPr>
      <w:rFonts w:ascii="Calibri" w:hAnsi="Calibri"/>
      <w:b/>
      <w:sz w:val="28"/>
      <w:lang w:val="en-GB" w:eastAsia="en-US"/>
    </w:rPr>
  </w:style>
  <w:style w:type="character" w:customStyle="1" w:styleId="Heading2Char">
    <w:name w:val="Heading 2 Char"/>
    <w:basedOn w:val="DefaultParagraphFont"/>
    <w:link w:val="Heading2"/>
    <w:uiPriority w:val="9"/>
    <w:rsid w:val="00250529"/>
    <w:rPr>
      <w:rFonts w:ascii="Calibri" w:hAnsi="Calibri"/>
      <w:b/>
      <w:sz w:val="24"/>
      <w:lang w:val="en-GB" w:eastAsia="en-US"/>
    </w:rPr>
  </w:style>
  <w:style w:type="character" w:customStyle="1" w:styleId="Heading3Char">
    <w:name w:val="Heading 3 Char"/>
    <w:basedOn w:val="DefaultParagraphFont"/>
    <w:link w:val="Heading3"/>
    <w:uiPriority w:val="9"/>
    <w:rsid w:val="00250529"/>
    <w:rPr>
      <w:rFonts w:ascii="Calibri" w:hAnsi="Calibri"/>
      <w:b/>
      <w:sz w:val="24"/>
      <w:lang w:val="en-GB" w:eastAsia="en-US"/>
    </w:rPr>
  </w:style>
  <w:style w:type="character" w:customStyle="1" w:styleId="Heading4Char">
    <w:name w:val="Heading 4 Char"/>
    <w:basedOn w:val="DefaultParagraphFont"/>
    <w:link w:val="Heading4"/>
    <w:uiPriority w:val="9"/>
    <w:rsid w:val="00250529"/>
    <w:rPr>
      <w:rFonts w:ascii="Calibri" w:hAnsi="Calibri"/>
      <w:b/>
      <w:sz w:val="24"/>
      <w:lang w:val="en-GB" w:eastAsia="en-US"/>
    </w:rPr>
  </w:style>
  <w:style w:type="character" w:customStyle="1" w:styleId="Heading5Char">
    <w:name w:val="Heading 5 Char"/>
    <w:basedOn w:val="DefaultParagraphFont"/>
    <w:link w:val="Heading5"/>
    <w:uiPriority w:val="9"/>
    <w:rsid w:val="00250529"/>
    <w:rPr>
      <w:rFonts w:ascii="Calibri" w:hAnsi="Calibri"/>
      <w:b/>
      <w:sz w:val="24"/>
      <w:lang w:val="en-GB" w:eastAsia="en-US"/>
    </w:rPr>
  </w:style>
  <w:style w:type="character" w:customStyle="1" w:styleId="Heading6Char">
    <w:name w:val="Heading 6 Char"/>
    <w:basedOn w:val="DefaultParagraphFont"/>
    <w:link w:val="Heading6"/>
    <w:uiPriority w:val="9"/>
    <w:rsid w:val="00250529"/>
    <w:rPr>
      <w:rFonts w:ascii="Calibri" w:hAnsi="Calibri"/>
      <w:b/>
      <w:sz w:val="24"/>
      <w:lang w:val="en-GB" w:eastAsia="en-US"/>
    </w:rPr>
  </w:style>
  <w:style w:type="character" w:customStyle="1" w:styleId="Heading7Char">
    <w:name w:val="Heading 7 Char"/>
    <w:basedOn w:val="DefaultParagraphFont"/>
    <w:link w:val="Heading7"/>
    <w:uiPriority w:val="9"/>
    <w:rsid w:val="00250529"/>
    <w:rPr>
      <w:rFonts w:ascii="Calibri" w:hAnsi="Calibri"/>
      <w:b/>
      <w:sz w:val="24"/>
      <w:lang w:val="en-GB" w:eastAsia="en-US"/>
    </w:rPr>
  </w:style>
  <w:style w:type="character" w:customStyle="1" w:styleId="Heading8Char">
    <w:name w:val="Heading 8 Char"/>
    <w:basedOn w:val="DefaultParagraphFont"/>
    <w:link w:val="Heading8"/>
    <w:uiPriority w:val="9"/>
    <w:rsid w:val="00250529"/>
    <w:rPr>
      <w:rFonts w:ascii="Calibri" w:hAnsi="Calibri"/>
      <w:b/>
      <w:sz w:val="24"/>
      <w:lang w:val="en-GB" w:eastAsia="en-US"/>
    </w:rPr>
  </w:style>
  <w:style w:type="character" w:customStyle="1" w:styleId="Heading9Char">
    <w:name w:val="Heading 9 Char"/>
    <w:basedOn w:val="DefaultParagraphFont"/>
    <w:link w:val="Heading9"/>
    <w:uiPriority w:val="9"/>
    <w:rsid w:val="00250529"/>
    <w:rPr>
      <w:rFonts w:ascii="Calibri" w:hAnsi="Calibri"/>
      <w:b/>
      <w:sz w:val="24"/>
      <w:lang w:val="en-GB" w:eastAsia="en-US"/>
    </w:rPr>
  </w:style>
  <w:style w:type="paragraph" w:styleId="Title">
    <w:name w:val="Title"/>
    <w:basedOn w:val="Normal"/>
    <w:next w:val="Normal"/>
    <w:link w:val="TitleChar"/>
    <w:uiPriority w:val="10"/>
    <w:qFormat/>
    <w:rsid w:val="00250529"/>
    <w:pPr>
      <w:tabs>
        <w:tab w:val="clear" w:pos="567"/>
        <w:tab w:val="clear" w:pos="1134"/>
        <w:tab w:val="clear" w:pos="1701"/>
        <w:tab w:val="clear" w:pos="2268"/>
        <w:tab w:val="clear" w:pos="2835"/>
      </w:tabs>
      <w:overflowPunct/>
      <w:autoSpaceDE/>
      <w:autoSpaceDN/>
      <w:adjustRightInd/>
      <w:spacing w:before="24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0529"/>
    <w:rPr>
      <w:rFonts w:asciiTheme="majorHAnsi" w:eastAsiaTheme="majorEastAsia" w:hAnsiTheme="majorHAnsi" w:cstheme="majorBidi"/>
      <w:spacing w:val="-10"/>
      <w:kern w:val="28"/>
      <w:sz w:val="56"/>
      <w:szCs w:val="56"/>
      <w:lang w:val="en-GB" w:eastAsia="en-US"/>
      <w14:ligatures w14:val="standardContextual"/>
    </w:rPr>
  </w:style>
  <w:style w:type="paragraph" w:styleId="Subtitle0">
    <w:name w:val="Subtitle"/>
    <w:basedOn w:val="Normal"/>
    <w:next w:val="Normal"/>
    <w:link w:val="SubtitleChar"/>
    <w:uiPriority w:val="11"/>
    <w:qFormat/>
    <w:rsid w:val="00250529"/>
    <w:pPr>
      <w:keepNext/>
      <w:tabs>
        <w:tab w:val="clear" w:pos="567"/>
        <w:tab w:val="clear" w:pos="1134"/>
        <w:tab w:val="clear" w:pos="1701"/>
        <w:tab w:val="clear" w:pos="2268"/>
        <w:tab w:val="clear" w:pos="2835"/>
      </w:tabs>
      <w:overflowPunct/>
      <w:autoSpaceDE/>
      <w:autoSpaceDN/>
      <w:adjustRightInd/>
      <w:spacing w:before="240" w:after="240"/>
      <w:textAlignment w:val="auto"/>
    </w:pPr>
    <w:rPr>
      <w:rFonts w:ascii="Avenir Nxt2 W1G" w:eastAsia="Aptos" w:hAnsi="Avenir Nxt2 W1G" w:cs="Arial"/>
      <w:b/>
      <w:bCs/>
      <w:kern w:val="2"/>
      <w:sz w:val="22"/>
      <w:szCs w:val="22"/>
      <w:lang w:eastAsia="en-GB"/>
      <w14:ligatures w14:val="standardContextual"/>
    </w:rPr>
  </w:style>
  <w:style w:type="character" w:customStyle="1" w:styleId="SubtitleChar">
    <w:name w:val="Subtitle Char"/>
    <w:basedOn w:val="DefaultParagraphFont"/>
    <w:link w:val="Subtitle0"/>
    <w:uiPriority w:val="11"/>
    <w:rsid w:val="00250529"/>
    <w:rPr>
      <w:rFonts w:ascii="Avenir Nxt2 W1G" w:eastAsia="Aptos" w:hAnsi="Avenir Nxt2 W1G" w:cs="Arial"/>
      <w:b/>
      <w:bCs/>
      <w:kern w:val="2"/>
      <w:sz w:val="22"/>
      <w:szCs w:val="22"/>
      <w:lang w:val="en-GB" w:eastAsia="en-GB"/>
      <w14:ligatures w14:val="standardContextual"/>
    </w:rPr>
  </w:style>
  <w:style w:type="paragraph" w:styleId="Quote">
    <w:name w:val="Quote"/>
    <w:basedOn w:val="Normal"/>
    <w:next w:val="Normal"/>
    <w:link w:val="QuoteChar"/>
    <w:uiPriority w:val="29"/>
    <w:qFormat/>
    <w:rsid w:val="00250529"/>
    <w:pPr>
      <w:tabs>
        <w:tab w:val="clear" w:pos="567"/>
        <w:tab w:val="clear" w:pos="1134"/>
        <w:tab w:val="clear" w:pos="1701"/>
        <w:tab w:val="clear" w:pos="2268"/>
        <w:tab w:val="clear" w:pos="2835"/>
      </w:tabs>
      <w:overflowPunct/>
      <w:autoSpaceDE/>
      <w:autoSpaceDN/>
      <w:adjustRightInd/>
      <w:spacing w:before="160" w:after="240"/>
      <w:jc w:val="center"/>
      <w:textAlignment w:val="auto"/>
    </w:pPr>
    <w:rPr>
      <w:rFonts w:ascii="Avenir Nxt2 W1G" w:eastAsia="Aptos" w:hAnsi="Avenir Nxt2 W1G" w:cs="Arial"/>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50529"/>
    <w:rPr>
      <w:rFonts w:ascii="Avenir Nxt2 W1G" w:eastAsia="Aptos" w:hAnsi="Avenir Nxt2 W1G" w:cs="Arial"/>
      <w:i/>
      <w:iCs/>
      <w:color w:val="404040" w:themeColor="text1" w:themeTint="BF"/>
      <w:kern w:val="2"/>
      <w:sz w:val="22"/>
      <w:szCs w:val="22"/>
      <w:lang w:val="en-GB" w:eastAsia="en-US"/>
      <w14:ligatures w14:val="standardContextual"/>
    </w:rPr>
  </w:style>
  <w:style w:type="paragraph" w:styleId="ListParagraph">
    <w:name w:val="List Paragraph"/>
    <w:basedOn w:val="Normal"/>
    <w:link w:val="ListParagraphChar"/>
    <w:uiPriority w:val="34"/>
    <w:qFormat/>
    <w:rsid w:val="00250529"/>
    <w:pPr>
      <w:numPr>
        <w:numId w:val="9"/>
      </w:numPr>
      <w:tabs>
        <w:tab w:val="clear" w:pos="567"/>
        <w:tab w:val="clear" w:pos="1134"/>
        <w:tab w:val="clear" w:pos="1701"/>
        <w:tab w:val="clear" w:pos="2268"/>
        <w:tab w:val="clear" w:pos="2835"/>
      </w:tabs>
      <w:overflowPunct/>
      <w:autoSpaceDE/>
      <w:autoSpaceDN/>
      <w:adjustRightInd/>
      <w:spacing w:before="240" w:after="240"/>
      <w:contextualSpacing/>
      <w:textAlignment w:val="auto"/>
    </w:pPr>
    <w:rPr>
      <w:rFonts w:ascii="Avenir Nxt2 W1G" w:eastAsia="Aptos" w:hAnsi="Avenir Nxt2 W1G" w:cs="Arial"/>
      <w:kern w:val="2"/>
      <w:sz w:val="22"/>
      <w:szCs w:val="22"/>
      <w14:ligatures w14:val="standardContextual"/>
    </w:rPr>
  </w:style>
  <w:style w:type="character" w:styleId="IntenseEmphasis">
    <w:name w:val="Intense Emphasis"/>
    <w:basedOn w:val="DefaultParagraphFont"/>
    <w:uiPriority w:val="21"/>
    <w:qFormat/>
    <w:rsid w:val="00250529"/>
    <w:rPr>
      <w:i/>
      <w:iCs/>
      <w:color w:val="365F91" w:themeColor="accent1" w:themeShade="BF"/>
    </w:rPr>
  </w:style>
  <w:style w:type="character" w:styleId="IntenseReference">
    <w:name w:val="Intense Reference"/>
    <w:basedOn w:val="DefaultParagraphFont"/>
    <w:uiPriority w:val="32"/>
    <w:qFormat/>
    <w:rsid w:val="00250529"/>
    <w:rPr>
      <w:b/>
      <w:bCs/>
      <w:smallCaps/>
      <w:color w:val="365F91" w:themeColor="accent1" w:themeShade="BF"/>
      <w:spacing w:val="5"/>
    </w:rPr>
  </w:style>
  <w:style w:type="character" w:styleId="CommentReference">
    <w:name w:val="annotation reference"/>
    <w:basedOn w:val="DefaultParagraphFont"/>
    <w:uiPriority w:val="99"/>
    <w:semiHidden/>
    <w:unhideWhenUsed/>
    <w:rsid w:val="00250529"/>
    <w:rPr>
      <w:sz w:val="16"/>
      <w:szCs w:val="16"/>
    </w:rPr>
  </w:style>
  <w:style w:type="paragraph" w:styleId="CommentText">
    <w:name w:val="annotation text"/>
    <w:basedOn w:val="Normal"/>
    <w:link w:val="CommentTextChar"/>
    <w:uiPriority w:val="99"/>
    <w:unhideWhenUsed/>
    <w:rsid w:val="00250529"/>
    <w:pPr>
      <w:tabs>
        <w:tab w:val="clear" w:pos="567"/>
        <w:tab w:val="clear" w:pos="1134"/>
        <w:tab w:val="clear" w:pos="1701"/>
        <w:tab w:val="clear" w:pos="2268"/>
        <w:tab w:val="clear" w:pos="2835"/>
      </w:tabs>
      <w:overflowPunct/>
      <w:autoSpaceDE/>
      <w:autoSpaceDN/>
      <w:adjustRightInd/>
      <w:spacing w:before="240" w:after="240"/>
      <w:textAlignment w:val="auto"/>
    </w:pPr>
    <w:rPr>
      <w:rFonts w:ascii="Avenir Nxt2 W1G" w:eastAsia="Aptos" w:hAnsi="Avenir Nxt2 W1G" w:cs="Arial"/>
      <w:kern w:val="2"/>
      <w:sz w:val="20"/>
      <w14:ligatures w14:val="standardContextual"/>
    </w:rPr>
  </w:style>
  <w:style w:type="character" w:customStyle="1" w:styleId="CommentTextChar">
    <w:name w:val="Comment Text Char"/>
    <w:basedOn w:val="DefaultParagraphFont"/>
    <w:link w:val="CommentText"/>
    <w:uiPriority w:val="99"/>
    <w:rsid w:val="00250529"/>
    <w:rPr>
      <w:rFonts w:ascii="Avenir Nxt2 W1G" w:eastAsia="Aptos" w:hAnsi="Avenir Nxt2 W1G" w:cs="Arial"/>
      <w:kern w:val="2"/>
      <w:lang w:val="en-GB" w:eastAsia="en-US"/>
      <w14:ligatures w14:val="standardContextual"/>
    </w:rPr>
  </w:style>
  <w:style w:type="paragraph" w:styleId="CommentSubject">
    <w:name w:val="annotation subject"/>
    <w:basedOn w:val="CommentText"/>
    <w:next w:val="CommentText"/>
    <w:link w:val="CommentSubjectChar"/>
    <w:uiPriority w:val="99"/>
    <w:semiHidden/>
    <w:unhideWhenUsed/>
    <w:rsid w:val="00250529"/>
    <w:rPr>
      <w:b/>
      <w:bCs/>
    </w:rPr>
  </w:style>
  <w:style w:type="character" w:customStyle="1" w:styleId="CommentSubjectChar">
    <w:name w:val="Comment Subject Char"/>
    <w:basedOn w:val="CommentTextChar"/>
    <w:link w:val="CommentSubject"/>
    <w:uiPriority w:val="99"/>
    <w:semiHidden/>
    <w:rsid w:val="00250529"/>
    <w:rPr>
      <w:rFonts w:ascii="Avenir Nxt2 W1G" w:eastAsia="Aptos" w:hAnsi="Avenir Nxt2 W1G" w:cs="Arial"/>
      <w:b/>
      <w:bCs/>
      <w:kern w:val="2"/>
      <w:lang w:val="en-GB" w:eastAsia="en-US"/>
      <w14:ligatures w14:val="standardContextual"/>
    </w:rPr>
  </w:style>
  <w:style w:type="character" w:customStyle="1" w:styleId="FooterChar">
    <w:name w:val="Footer Char"/>
    <w:basedOn w:val="DefaultParagraphFont"/>
    <w:link w:val="Footer"/>
    <w:rsid w:val="00250529"/>
    <w:rPr>
      <w:rFonts w:ascii="Calibri" w:hAnsi="Calibri"/>
      <w:caps/>
      <w:noProof/>
      <w:sz w:val="16"/>
      <w:lang w:val="en-GB" w:eastAsia="en-US"/>
    </w:rPr>
  </w:style>
  <w:style w:type="paragraph" w:customStyle="1" w:styleId="paragraph">
    <w:name w:val="paragraph"/>
    <w:basedOn w:val="Normal"/>
    <w:link w:val="paragraphChar"/>
    <w:rsid w:val="00250529"/>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 w:val="22"/>
      <w:szCs w:val="22"/>
      <w:lang w:eastAsia="en-GB"/>
    </w:rPr>
  </w:style>
  <w:style w:type="character" w:customStyle="1" w:styleId="tabchar">
    <w:name w:val="tabchar"/>
    <w:basedOn w:val="DefaultParagraphFont"/>
    <w:rsid w:val="00250529"/>
  </w:style>
  <w:style w:type="character" w:styleId="Mention">
    <w:name w:val="Mention"/>
    <w:basedOn w:val="DefaultParagraphFont"/>
    <w:uiPriority w:val="99"/>
    <w:unhideWhenUsed/>
    <w:rsid w:val="00250529"/>
    <w:rPr>
      <w:color w:val="2B579A"/>
      <w:shd w:val="clear" w:color="auto" w:fill="E1DFDD"/>
    </w:rPr>
  </w:style>
  <w:style w:type="paragraph" w:styleId="Revision">
    <w:name w:val="Revision"/>
    <w:hidden/>
    <w:uiPriority w:val="99"/>
    <w:semiHidden/>
    <w:rsid w:val="00250529"/>
    <w:rPr>
      <w:rFonts w:asciiTheme="minorHAnsi" w:eastAsiaTheme="minorHAnsi" w:hAnsiTheme="minorHAnsi" w:cstheme="minorBidi"/>
      <w:kern w:val="2"/>
      <w:sz w:val="24"/>
      <w:szCs w:val="24"/>
      <w:lang w:val="en-GB" w:eastAsia="en-US"/>
      <w14:ligatures w14:val="standardContextual"/>
    </w:rPr>
  </w:style>
  <w:style w:type="table" w:styleId="PlainTable1">
    <w:name w:val="Plain Table 1"/>
    <w:basedOn w:val="TableNormal"/>
    <w:uiPriority w:val="41"/>
    <w:rsid w:val="00250529"/>
    <w:rPr>
      <w:rFonts w:asciiTheme="minorHAnsi" w:eastAsiaTheme="minorHAnsi" w:hAnsiTheme="minorHAnsi" w:cstheme="minorBidi"/>
      <w:kern w:val="2"/>
      <w:sz w:val="24"/>
      <w:szCs w:val="24"/>
      <w:lang w:val="en-GB"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50529"/>
    <w:rPr>
      <w:rFonts w:asciiTheme="minorHAnsi" w:eastAsiaTheme="minorHAnsi" w:hAnsiTheme="minorHAnsi" w:cstheme="minorBidi"/>
      <w:kern w:val="2"/>
      <w:sz w:val="24"/>
      <w:szCs w:val="24"/>
      <w:lang w:val="en-GB" w:eastAsia="en-US"/>
      <w14:ligatures w14:val="standardContextual"/>
    </w:rPr>
  </w:style>
  <w:style w:type="table" w:styleId="GridTable5Dark-Accent1">
    <w:name w:val="Grid Table 5 Dark Accent 1"/>
    <w:basedOn w:val="TableNormal"/>
    <w:uiPriority w:val="50"/>
    <w:rsid w:val="00250529"/>
    <w:rPr>
      <w:rFonts w:asciiTheme="minorHAnsi" w:eastAsiaTheme="minorHAnsi" w:hAnsiTheme="minorHAnsi" w:cstheme="minorBidi"/>
      <w:kern w:val="2"/>
      <w:sz w:val="24"/>
      <w:szCs w:val="24"/>
      <w:lang w:val="en-GB"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4">
    <w:name w:val="Grid Table 4 Accent 4"/>
    <w:basedOn w:val="TableNormal"/>
    <w:uiPriority w:val="49"/>
    <w:rsid w:val="00250529"/>
    <w:rPr>
      <w:rFonts w:asciiTheme="minorHAnsi" w:eastAsiaTheme="minorHAnsi" w:hAnsiTheme="minorHAnsi" w:cstheme="minorBidi"/>
      <w:kern w:val="2"/>
      <w:sz w:val="24"/>
      <w:szCs w:val="24"/>
      <w:lang w:val="en-GB"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3-Accent41">
    <w:name w:val="List Table 3 - Accent 41"/>
    <w:basedOn w:val="TableNormal"/>
    <w:next w:val="ListTable3-Accent4"/>
    <w:uiPriority w:val="48"/>
    <w:rsid w:val="00250529"/>
    <w:rPr>
      <w:rFonts w:asciiTheme="minorHAnsi" w:eastAsiaTheme="minorHAnsi" w:hAnsiTheme="minorHAnsi" w:cstheme="minorBidi"/>
      <w:kern w:val="2"/>
      <w:sz w:val="24"/>
      <w:szCs w:val="24"/>
      <w:lang w:val="en-GB" w:eastAsia="en-US"/>
      <w14:ligatures w14:val="standardContextual"/>
    </w:rPr>
    <w:tblPr>
      <w:tblStyleRowBandSize w:val="1"/>
      <w:tblStyleColBandSize w:val="1"/>
      <w:tblBorders>
        <w:top w:val="single" w:sz="4" w:space="0" w:color="0F9ED5"/>
        <w:left w:val="single" w:sz="4" w:space="0" w:color="0F9ED5"/>
        <w:bottom w:val="single" w:sz="4" w:space="0" w:color="0F9ED5"/>
        <w:right w:val="single" w:sz="4" w:space="0" w:color="0F9ED5"/>
      </w:tblBorders>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table" w:styleId="ListTable3-Accent4">
    <w:name w:val="List Table 3 Accent 4"/>
    <w:basedOn w:val="TableNormal"/>
    <w:uiPriority w:val="48"/>
    <w:rsid w:val="00250529"/>
    <w:rPr>
      <w:rFonts w:asciiTheme="minorHAnsi" w:eastAsiaTheme="minorHAnsi" w:hAnsiTheme="minorHAnsi" w:cstheme="minorBidi"/>
      <w:kern w:val="2"/>
      <w:sz w:val="24"/>
      <w:szCs w:val="24"/>
      <w:lang w:val="en-GB" w:eastAsia="en-US"/>
      <w14:ligatures w14:val="standardContextual"/>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GridTable5Dark-Accent11">
    <w:name w:val="Grid Table 5 Dark - Accent 11"/>
    <w:basedOn w:val="TableNormal"/>
    <w:next w:val="GridTable5Dark-Accent1"/>
    <w:uiPriority w:val="50"/>
    <w:rsid w:val="00250529"/>
    <w:rPr>
      <w:rFonts w:asciiTheme="minorHAnsi" w:eastAsia="Batang" w:hAnsiTheme="minorHAnsi" w:cstheme="minorBidi"/>
      <w:kern w:val="2"/>
      <w:sz w:val="24"/>
      <w:szCs w:val="24"/>
      <w:lang w:val="en-GB"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paragraph" w:customStyle="1" w:styleId="CommentText1">
    <w:name w:val="Comment Text1"/>
    <w:basedOn w:val="Normal"/>
    <w:uiPriority w:val="99"/>
    <w:unhideWhenUsed/>
    <w:rsid w:val="00250529"/>
    <w:pPr>
      <w:tabs>
        <w:tab w:val="clear" w:pos="567"/>
        <w:tab w:val="clear" w:pos="1134"/>
        <w:tab w:val="clear" w:pos="1701"/>
        <w:tab w:val="clear" w:pos="2268"/>
        <w:tab w:val="clear" w:pos="2835"/>
      </w:tabs>
      <w:overflowPunct/>
      <w:autoSpaceDE/>
      <w:autoSpaceDN/>
      <w:adjustRightInd/>
      <w:spacing w:before="240" w:after="240"/>
      <w:textAlignment w:val="auto"/>
    </w:pPr>
    <w:rPr>
      <w:rFonts w:ascii="Avenir Nxt2 W1G" w:eastAsia="Aptos" w:hAnsi="Avenir Nxt2 W1G" w:cs="Arial"/>
      <w:kern w:val="2"/>
      <w:sz w:val="20"/>
      <w14:ligatures w14:val="standardContextual"/>
    </w:rPr>
  </w:style>
  <w:style w:type="character" w:customStyle="1" w:styleId="CommentTextChar1">
    <w:name w:val="Comment Text Char1"/>
    <w:basedOn w:val="DefaultParagraphFont"/>
    <w:uiPriority w:val="99"/>
    <w:rsid w:val="00250529"/>
    <w:rPr>
      <w:sz w:val="20"/>
      <w:szCs w:val="20"/>
    </w:rPr>
  </w:style>
  <w:style w:type="table" w:customStyle="1" w:styleId="TableGrid1">
    <w:name w:val="Table Grid1"/>
    <w:basedOn w:val="TableNormal"/>
    <w:next w:val="TableGrid"/>
    <w:uiPriority w:val="59"/>
    <w:rsid w:val="00250529"/>
    <w:rPr>
      <w:rFonts w:asciiTheme="minorHAnsi" w:eastAsiaTheme="minorHAnsi" w:hAnsiTheme="minorHAnsi" w:cstheme="minorBidi"/>
      <w:kern w:val="2"/>
      <w:sz w:val="24"/>
      <w:szCs w:val="24"/>
      <w:lang w:val="en-GB"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250529"/>
    <w:pPr>
      <w:numPr>
        <w:numId w:val="66"/>
      </w:numPr>
    </w:pPr>
  </w:style>
  <w:style w:type="character" w:customStyle="1" w:styleId="ListParagraphChar">
    <w:name w:val="List Paragraph Char"/>
    <w:basedOn w:val="DefaultParagraphFont"/>
    <w:link w:val="ListParagraph"/>
    <w:uiPriority w:val="34"/>
    <w:rsid w:val="00250529"/>
    <w:rPr>
      <w:rFonts w:ascii="Avenir Nxt2 W1G" w:eastAsia="Aptos" w:hAnsi="Avenir Nxt2 W1G" w:cs="Arial"/>
      <w:kern w:val="2"/>
      <w:sz w:val="22"/>
      <w:szCs w:val="22"/>
      <w:lang w:val="en-GB" w:eastAsia="en-US"/>
      <w14:ligatures w14:val="standardContextual"/>
    </w:rPr>
  </w:style>
  <w:style w:type="paragraph" w:customStyle="1" w:styleId="Footnotes">
    <w:name w:val="Footnotes"/>
    <w:basedOn w:val="FootnoteText"/>
    <w:link w:val="FootnotesChar"/>
    <w:qFormat/>
    <w:rsid w:val="00250529"/>
    <w:pPr>
      <w:tabs>
        <w:tab w:val="clear" w:pos="284"/>
        <w:tab w:val="left" w:pos="256"/>
      </w:tabs>
      <w:spacing w:before="0"/>
      <w:ind w:left="255" w:hanging="255"/>
    </w:pPr>
    <w:rPr>
      <w:rFonts w:ascii="Avenir Nxt2 W1G" w:hAnsi="Avenir Nxt2 W1G"/>
      <w:sz w:val="18"/>
      <w:szCs w:val="18"/>
    </w:rPr>
  </w:style>
  <w:style w:type="character" w:customStyle="1" w:styleId="FootnotesChar">
    <w:name w:val="Footnotes Char"/>
    <w:basedOn w:val="FootnoteTextChar"/>
    <w:link w:val="Footnotes"/>
    <w:rsid w:val="00250529"/>
    <w:rPr>
      <w:rFonts w:ascii="Avenir Nxt2 W1G" w:hAnsi="Avenir Nxt2 W1G"/>
      <w:sz w:val="18"/>
      <w:szCs w:val="18"/>
      <w:lang w:val="en-GB" w:eastAsia="en-US"/>
    </w:rPr>
  </w:style>
  <w:style w:type="paragraph" w:customStyle="1" w:styleId="Notes">
    <w:name w:val="Notes"/>
    <w:basedOn w:val="Normal"/>
    <w:link w:val="NotesChar"/>
    <w:qFormat/>
    <w:rsid w:val="00250529"/>
    <w:pPr>
      <w:tabs>
        <w:tab w:val="clear" w:pos="567"/>
        <w:tab w:val="clear" w:pos="1134"/>
        <w:tab w:val="clear" w:pos="1701"/>
        <w:tab w:val="clear" w:pos="2268"/>
        <w:tab w:val="clear" w:pos="2835"/>
      </w:tabs>
      <w:overflowPunct/>
      <w:autoSpaceDE/>
      <w:autoSpaceDN/>
      <w:adjustRightInd/>
      <w:spacing w:after="120"/>
      <w:textAlignment w:val="auto"/>
    </w:pPr>
    <w:rPr>
      <w:rFonts w:ascii="Avenir Nxt2 W1G" w:eastAsia="Aptos" w:hAnsi="Avenir Nxt2 W1G" w:cs="Arial"/>
      <w:kern w:val="2"/>
      <w:sz w:val="16"/>
      <w:szCs w:val="16"/>
      <w14:ligatures w14:val="standardContextual"/>
    </w:rPr>
  </w:style>
  <w:style w:type="character" w:customStyle="1" w:styleId="NotesChar">
    <w:name w:val="Notes Char"/>
    <w:basedOn w:val="DefaultParagraphFont"/>
    <w:link w:val="Notes"/>
    <w:rsid w:val="00250529"/>
    <w:rPr>
      <w:rFonts w:ascii="Avenir Nxt2 W1G" w:eastAsia="Aptos" w:hAnsi="Avenir Nxt2 W1G" w:cs="Arial"/>
      <w:kern w:val="2"/>
      <w:sz w:val="16"/>
      <w:szCs w:val="16"/>
      <w:lang w:val="en-GB" w:eastAsia="en-US"/>
      <w14:ligatures w14:val="standardContextual"/>
    </w:rPr>
  </w:style>
  <w:style w:type="paragraph" w:customStyle="1" w:styleId="Bulletlist">
    <w:name w:val="Bullet list"/>
    <w:basedOn w:val="paragraph"/>
    <w:link w:val="BulletlistChar"/>
    <w:qFormat/>
    <w:rsid w:val="00250529"/>
    <w:pPr>
      <w:numPr>
        <w:numId w:val="4"/>
      </w:numPr>
      <w:spacing w:before="60" w:beforeAutospacing="0" w:after="60" w:afterAutospacing="0"/>
    </w:pPr>
    <w:rPr>
      <w:rFonts w:ascii="Avenir Nxt2 W1G" w:eastAsiaTheme="majorEastAsia" w:hAnsi="Avenir Nxt2 W1G" w:cs="Segoe UI"/>
    </w:rPr>
  </w:style>
  <w:style w:type="character" w:customStyle="1" w:styleId="paragraphChar">
    <w:name w:val="paragraph Char"/>
    <w:basedOn w:val="DefaultParagraphFont"/>
    <w:link w:val="paragraph"/>
    <w:rsid w:val="00250529"/>
    <w:rPr>
      <w:rFonts w:ascii="Times New Roman" w:hAnsi="Times New Roman"/>
      <w:sz w:val="22"/>
      <w:szCs w:val="22"/>
      <w:lang w:val="en-GB" w:eastAsia="en-GB"/>
    </w:rPr>
  </w:style>
  <w:style w:type="character" w:customStyle="1" w:styleId="BulletlistChar">
    <w:name w:val="Bullet list Char"/>
    <w:basedOn w:val="paragraphChar"/>
    <w:link w:val="Bulletlist"/>
    <w:rsid w:val="00250529"/>
    <w:rPr>
      <w:rFonts w:ascii="Avenir Nxt2 W1G" w:eastAsiaTheme="majorEastAsia" w:hAnsi="Avenir Nxt2 W1G" w:cs="Segoe UI"/>
      <w:sz w:val="22"/>
      <w:szCs w:val="22"/>
      <w:lang w:val="en-GB" w:eastAsia="en-GB"/>
    </w:rPr>
  </w:style>
  <w:style w:type="paragraph" w:styleId="TOCHeading">
    <w:name w:val="TOC Heading"/>
    <w:basedOn w:val="Heading1"/>
    <w:next w:val="Normal"/>
    <w:uiPriority w:val="39"/>
    <w:unhideWhenUsed/>
    <w:qFormat/>
    <w:rsid w:val="00250529"/>
    <w:pPr>
      <w:tabs>
        <w:tab w:val="clear" w:pos="567"/>
        <w:tab w:val="clear" w:pos="1134"/>
        <w:tab w:val="clear" w:pos="1701"/>
        <w:tab w:val="clear" w:pos="2268"/>
        <w:tab w:val="clear" w:pos="2835"/>
      </w:tabs>
      <w:overflowPunct/>
      <w:autoSpaceDE/>
      <w:autoSpaceDN/>
      <w:adjustRightInd/>
      <w:spacing w:before="240" w:line="259" w:lineRule="auto"/>
      <w:ind w:left="0" w:firstLine="0"/>
      <w:jc w:val="both"/>
      <w:textAlignment w:val="auto"/>
      <w:outlineLvl w:val="9"/>
    </w:pPr>
    <w:rPr>
      <w:rFonts w:ascii="Avenir Nxt2 W1G" w:eastAsiaTheme="majorEastAsia" w:hAnsi="Avenir Nxt2 W1G" w:cstheme="majorBidi"/>
      <w:b w:val="0"/>
      <w:color w:val="5F497A" w:themeColor="accent4" w:themeShade="BF"/>
      <w:sz w:val="22"/>
      <w:szCs w:val="32"/>
      <w:lang w:val="en-US"/>
    </w:rPr>
  </w:style>
  <w:style w:type="character" w:styleId="EndnoteReference">
    <w:name w:val="endnote reference"/>
    <w:basedOn w:val="DefaultParagraphFont"/>
    <w:uiPriority w:val="99"/>
    <w:semiHidden/>
    <w:unhideWhenUsed/>
    <w:rsid w:val="00250529"/>
    <w:rPr>
      <w:vertAlign w:val="superscript"/>
    </w:rPr>
  </w:style>
  <w:style w:type="paragraph" w:styleId="Date">
    <w:name w:val="Date"/>
    <w:basedOn w:val="Normal"/>
    <w:next w:val="Normal"/>
    <w:link w:val="DateChar"/>
    <w:uiPriority w:val="99"/>
    <w:unhideWhenUsed/>
    <w:rsid w:val="00250529"/>
    <w:pPr>
      <w:tabs>
        <w:tab w:val="clear" w:pos="567"/>
        <w:tab w:val="clear" w:pos="1134"/>
        <w:tab w:val="clear" w:pos="1701"/>
        <w:tab w:val="clear" w:pos="2268"/>
        <w:tab w:val="clear" w:pos="2835"/>
      </w:tabs>
      <w:overflowPunct/>
      <w:autoSpaceDE/>
      <w:autoSpaceDN/>
      <w:adjustRightInd/>
      <w:spacing w:before="240" w:after="240"/>
      <w:textAlignment w:val="auto"/>
    </w:pPr>
    <w:rPr>
      <w:rFonts w:ascii="Avenir Nxt2 W1G" w:eastAsia="Aptos" w:hAnsi="Avenir Nxt2 W1G" w:cs="Arial"/>
      <w:kern w:val="2"/>
      <w:sz w:val="22"/>
      <w:szCs w:val="22"/>
      <w14:ligatures w14:val="standardContextual"/>
    </w:rPr>
  </w:style>
  <w:style w:type="character" w:customStyle="1" w:styleId="DateChar">
    <w:name w:val="Date Char"/>
    <w:basedOn w:val="DefaultParagraphFont"/>
    <w:link w:val="Date"/>
    <w:uiPriority w:val="99"/>
    <w:rsid w:val="00250529"/>
    <w:rPr>
      <w:rFonts w:ascii="Avenir Nxt2 W1G" w:eastAsia="Aptos" w:hAnsi="Avenir Nxt2 W1G" w:cs="Arial"/>
      <w:kern w:val="2"/>
      <w:sz w:val="22"/>
      <w:szCs w:val="22"/>
      <w:lang w:val="en-GB" w:eastAsia="en-US"/>
      <w14:ligatures w14:val="standardContextual"/>
    </w:rPr>
  </w:style>
  <w:style w:type="table" w:styleId="GridTable4-Accent1">
    <w:name w:val="Grid Table 4 Accent 1"/>
    <w:basedOn w:val="TableNormal"/>
    <w:uiPriority w:val="49"/>
    <w:rsid w:val="007B22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tu.int/go/wtdc25-final-report" TargetMode="External"/><Relationship Id="rId18" Type="http://schemas.openxmlformats.org/officeDocument/2006/relationships/hyperlink" Target="https://www.itu.int/md/S25-CL-C-0105/en" TargetMode="External"/><Relationship Id="rId26" Type="http://schemas.openxmlformats.org/officeDocument/2006/relationships/hyperlink" Target="https://www.itu.int/md/S25-CWGFHR20-C-0032/en" TargetMode="External"/><Relationship Id="rId21" Type="http://schemas.openxmlformats.org/officeDocument/2006/relationships/hyperlink" Target="https://www.itu.int/md/S26-CL-INF-0010/e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tu.int/en/council/Documents/basic-texts-2023/RES-025-E.pdf" TargetMode="External"/><Relationship Id="rId17" Type="http://schemas.openxmlformats.org/officeDocument/2006/relationships/hyperlink" Target="https://www.itu.int/md/S25-CL-C-0025/en" TargetMode="External"/><Relationship Id="rId25" Type="http://schemas.openxmlformats.org/officeDocument/2006/relationships/hyperlink" Target="https://www.itu.int/md/S24-CWGFHR19-C-0015/en"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md/S26-CL-C-0025/en" TargetMode="External"/><Relationship Id="rId20" Type="http://schemas.openxmlformats.org/officeDocument/2006/relationships/hyperlink" Target="https://www.itu.int/md/S25-CL-C-0069/en" TargetMode="External"/><Relationship Id="rId29" Type="http://schemas.openxmlformats.org/officeDocument/2006/relationships/hyperlink" Target="https://www.itu.int/md/S26-CL-INF-0010/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6-CL-INF-0010/en" TargetMode="External"/><Relationship Id="rId24" Type="http://schemas.openxmlformats.org/officeDocument/2006/relationships/hyperlink" Target="https://www.itu.int/en/council/Documents/basic-texts-2023/RES-025-E.pdf" TargetMode="External"/><Relationship Id="rId32" Type="http://schemas.openxmlformats.org/officeDocument/2006/relationships/hyperlink" Target="https://www.itu.int/md/S26-CL-INF-0010/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council/cwg-fhr/Pages/default.aspx" TargetMode="External"/><Relationship Id="rId23" Type="http://schemas.openxmlformats.org/officeDocument/2006/relationships/hyperlink" Target="https://www.itu.int/md/S26-CL-INF-0010/en" TargetMode="External"/><Relationship Id="rId28" Type="http://schemas.openxmlformats.org/officeDocument/2006/relationships/hyperlink" Target="https://www.itu.int/en/council/Documents/basic-texts-2023/RES-025-E.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S25-CL-250617-DL-0006/en" TargetMode="External"/><Relationship Id="rId31" Type="http://schemas.openxmlformats.org/officeDocument/2006/relationships/hyperlink" Target="https://www.itu.int/md/S25-CL-C-0105/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publications/ITU-D/pages/publications.aspx?parent=D-TDC-WTDC-2022&amp;media=electronic" TargetMode="External"/><Relationship Id="rId22" Type="http://schemas.openxmlformats.org/officeDocument/2006/relationships/hyperlink" Target="https://www.itu.int/md/S25-CL-C-0105/en" TargetMode="External"/><Relationship Id="rId27" Type="http://schemas.openxmlformats.org/officeDocument/2006/relationships/hyperlink" Target="https://www.itu.int/md/S25-CL-C-0069/en" TargetMode="External"/><Relationship Id="rId30" Type="http://schemas.openxmlformats.org/officeDocument/2006/relationships/hyperlink" Target="https://www.itu.int/md/S25-CL-C-0105/en"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DDF2E-B01F-452E-9FF8-850E69B87E23}">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a4c22657-7647-457b-a399-8471255bb16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A6DB269-3688-49C2-94E3-89955AE33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94BDEF9F-9D1B-44DA-9FDE-43D5ED6BD2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PE_Council26.dotx</Template>
  <TotalTime>24</TotalTime>
  <Pages>9</Pages>
  <Words>3093</Words>
  <Characters>21081</Characters>
  <Application>Microsoft Office Word</Application>
  <DocSecurity>0</DocSecurity>
  <Lines>390</Lines>
  <Paragraphs>170</Paragraphs>
  <ScaleCrop>false</ScaleCrop>
  <HeadingPairs>
    <vt:vector size="2" baseType="variant">
      <vt:variant>
        <vt:lpstr>Title</vt:lpstr>
      </vt:variant>
      <vt:variant>
        <vt:i4>1</vt:i4>
      </vt:variant>
    </vt:vector>
  </HeadingPairs>
  <TitlesOfParts>
    <vt:vector size="1" baseType="lpstr">
      <vt:lpstr>Review of the ITU Regional Presence</vt:lpstr>
    </vt:vector>
  </TitlesOfParts>
  <Manager>General Secretariat</Manager>
  <Company>International Telecommunication Union (ITU)</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ITU Regional Presence</dc:title>
  <dc:subject>ITU Council 2026</dc:subject>
  <cp:keywords>C26; C2026; Council 2026; PP26</cp:keywords>
  <dc:description/>
  <cp:lastPrinted>2026-03-18T23:17:00Z</cp:lastPrinted>
  <dcterms:created xsi:type="dcterms:W3CDTF">2026-03-30T14:00:00Z</dcterms:created>
  <dcterms:modified xsi:type="dcterms:W3CDTF">2026-03-30T14:24:00Z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