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7CDA2837" w14:textId="77777777" w:rsidTr="00555C29">
        <w:trPr>
          <w:cantSplit/>
          <w:trHeight w:val="23"/>
        </w:trPr>
        <w:tc>
          <w:tcPr>
            <w:tcW w:w="3969" w:type="dxa"/>
            <w:vMerge w:val="restart"/>
            <w:tcMar>
              <w:left w:w="0" w:type="dxa"/>
            </w:tcMar>
          </w:tcPr>
          <w:p w14:paraId="19AF9C14" w14:textId="7A138C9F"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D75AB1">
              <w:rPr>
                <w:b/>
                <w:bCs/>
                <w:color w:val="000000"/>
                <w:lang w:val="zh-CN"/>
              </w:rPr>
              <w:t>PL</w:t>
            </w:r>
            <w:r w:rsidR="006C6D3F">
              <w:rPr>
                <w:b/>
                <w:bCs/>
                <w:color w:val="000000"/>
                <w:lang w:val="zh-CN"/>
              </w:rPr>
              <w:t>-</w:t>
            </w:r>
            <w:r w:rsidR="00D75AB1">
              <w:rPr>
                <w:b/>
                <w:bCs/>
                <w:color w:val="000000"/>
                <w:lang w:val="zh-CN"/>
              </w:rPr>
              <w:t>2</w:t>
            </w:r>
          </w:p>
        </w:tc>
        <w:tc>
          <w:tcPr>
            <w:tcW w:w="5245" w:type="dxa"/>
          </w:tcPr>
          <w:p w14:paraId="01037633" w14:textId="5112144B"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D75AB1">
              <w:rPr>
                <w:b/>
                <w:lang w:val="fr-CH"/>
              </w:rPr>
              <w:t>24</w:t>
            </w:r>
            <w:r w:rsidRPr="00E24D59">
              <w:rPr>
                <w:b/>
                <w:lang w:val="fr-CH"/>
              </w:rPr>
              <w:t>-C</w:t>
            </w:r>
          </w:p>
        </w:tc>
      </w:tr>
      <w:tr w:rsidR="00E24D59" w:rsidRPr="00813E5E" w14:paraId="72551864" w14:textId="77777777" w:rsidTr="00555C29">
        <w:trPr>
          <w:cantSplit/>
        </w:trPr>
        <w:tc>
          <w:tcPr>
            <w:tcW w:w="3969" w:type="dxa"/>
            <w:vMerge/>
          </w:tcPr>
          <w:p w14:paraId="5845ADD5"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042AA052" w14:textId="7BF07ECF" w:rsidR="00E24D59" w:rsidRPr="00E85629" w:rsidRDefault="00D75AB1"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0962709F" w14:textId="77777777" w:rsidTr="00555C29">
        <w:trPr>
          <w:cantSplit/>
          <w:trHeight w:val="23"/>
        </w:trPr>
        <w:tc>
          <w:tcPr>
            <w:tcW w:w="3969" w:type="dxa"/>
            <w:vMerge/>
          </w:tcPr>
          <w:p w14:paraId="4595B3C8"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B1ED873" w14:textId="2C71CB18" w:rsidR="00E24D59" w:rsidRPr="00D75AB1" w:rsidRDefault="00E24D59" w:rsidP="00555C29">
            <w:pPr>
              <w:tabs>
                <w:tab w:val="left" w:pos="851"/>
              </w:tabs>
              <w:spacing w:before="0" w:line="240" w:lineRule="atLeast"/>
              <w:jc w:val="right"/>
              <w:rPr>
                <w:b/>
                <w:lang w:val="en-US" w:eastAsia="zh-CN"/>
              </w:rPr>
            </w:pPr>
            <w:proofErr w:type="spellStart"/>
            <w:r w:rsidRPr="00E24D59">
              <w:rPr>
                <w:rFonts w:cstheme="minorHAnsi"/>
                <w:b/>
                <w:bCs/>
                <w:lang w:val="ru-RU"/>
              </w:rPr>
              <w:t>原文</w:t>
            </w:r>
            <w:proofErr w:type="spellEnd"/>
            <w:r w:rsidRPr="00E24D59">
              <w:rPr>
                <w:rFonts w:cstheme="minorHAnsi"/>
                <w:b/>
                <w:bCs/>
                <w:lang w:val="ru-RU"/>
              </w:rPr>
              <w:t>：</w:t>
            </w:r>
            <w:r w:rsidR="00D75AB1">
              <w:rPr>
                <w:rFonts w:cstheme="minorHAnsi" w:hint="eastAsia"/>
                <w:b/>
                <w:bCs/>
                <w:lang w:val="en-US" w:eastAsia="zh-CN"/>
              </w:rPr>
              <w:t>英文</w:t>
            </w:r>
          </w:p>
        </w:tc>
      </w:tr>
      <w:tr w:rsidR="00E24D59" w:rsidRPr="00813E5E" w14:paraId="289A3138" w14:textId="77777777" w:rsidTr="00555C29">
        <w:trPr>
          <w:cantSplit/>
          <w:trHeight w:val="23"/>
        </w:trPr>
        <w:tc>
          <w:tcPr>
            <w:tcW w:w="3969" w:type="dxa"/>
          </w:tcPr>
          <w:p w14:paraId="20874A1F" w14:textId="77777777" w:rsidR="00E24D59" w:rsidRPr="00813E5E" w:rsidRDefault="00E24D59" w:rsidP="00555C29">
            <w:pPr>
              <w:tabs>
                <w:tab w:val="left" w:pos="851"/>
              </w:tabs>
              <w:spacing w:line="240" w:lineRule="atLeast"/>
              <w:rPr>
                <w:b/>
              </w:rPr>
            </w:pPr>
          </w:p>
        </w:tc>
        <w:tc>
          <w:tcPr>
            <w:tcW w:w="5245" w:type="dxa"/>
          </w:tcPr>
          <w:p w14:paraId="0133503F" w14:textId="77777777" w:rsidR="00E24D59" w:rsidRDefault="00E24D59" w:rsidP="00555C29">
            <w:pPr>
              <w:tabs>
                <w:tab w:val="left" w:pos="851"/>
              </w:tabs>
              <w:spacing w:before="0" w:line="240" w:lineRule="atLeast"/>
              <w:jc w:val="right"/>
              <w:rPr>
                <w:b/>
              </w:rPr>
            </w:pPr>
          </w:p>
        </w:tc>
      </w:tr>
      <w:tr w:rsidR="00E24D59" w:rsidRPr="00813E5E" w14:paraId="5A65FEFC" w14:textId="77777777" w:rsidTr="00555C29">
        <w:trPr>
          <w:cantSplit/>
        </w:trPr>
        <w:tc>
          <w:tcPr>
            <w:tcW w:w="9214" w:type="dxa"/>
            <w:gridSpan w:val="2"/>
            <w:tcMar>
              <w:left w:w="0" w:type="dxa"/>
            </w:tcMar>
          </w:tcPr>
          <w:p w14:paraId="3E5EEAE4"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4C411247" w14:textId="77777777" w:rsidTr="00555C29">
        <w:trPr>
          <w:cantSplit/>
        </w:trPr>
        <w:tc>
          <w:tcPr>
            <w:tcW w:w="9214" w:type="dxa"/>
            <w:gridSpan w:val="2"/>
            <w:tcMar>
              <w:left w:w="0" w:type="dxa"/>
            </w:tcMar>
          </w:tcPr>
          <w:p w14:paraId="15F3FD17" w14:textId="692146D6" w:rsidR="00E24D59" w:rsidRPr="00C24DAC" w:rsidRDefault="00D75AB1" w:rsidP="00C24DAC">
            <w:pPr>
              <w:pStyle w:val="Subtitle"/>
              <w:framePr w:hSpace="0" w:wrap="auto" w:vAnchor="margin" w:hAnchor="text" w:xAlign="left" w:yAlign="inline"/>
            </w:pPr>
            <w:bookmarkStart w:id="6" w:name="dtitle1" w:colFirst="0" w:colLast="0"/>
            <w:bookmarkEnd w:id="5"/>
            <w:r>
              <w:rPr>
                <w:color w:val="000000"/>
                <w:lang w:val="zh-CN"/>
              </w:rPr>
              <w:t>对于国际电联区域代表处情况的审查</w:t>
            </w:r>
          </w:p>
        </w:tc>
      </w:tr>
      <w:tr w:rsidR="00E24D59" w:rsidRPr="00813E5E" w14:paraId="01582A68" w14:textId="77777777" w:rsidTr="00555C29">
        <w:trPr>
          <w:cantSplit/>
        </w:trPr>
        <w:tc>
          <w:tcPr>
            <w:tcW w:w="9214" w:type="dxa"/>
            <w:gridSpan w:val="2"/>
            <w:tcBorders>
              <w:top w:val="single" w:sz="4" w:space="0" w:color="auto"/>
              <w:bottom w:val="single" w:sz="4" w:space="0" w:color="auto"/>
            </w:tcBorders>
            <w:tcMar>
              <w:left w:w="0" w:type="dxa"/>
            </w:tcMar>
          </w:tcPr>
          <w:p w14:paraId="77670D19" w14:textId="7D4F0607" w:rsidR="003F086E" w:rsidRPr="00477D57" w:rsidRDefault="003F086E" w:rsidP="00555C29">
            <w:pPr>
              <w:rPr>
                <w:b/>
                <w:bCs/>
                <w:lang w:eastAsia="zh-CN"/>
              </w:rPr>
            </w:pPr>
            <w:r w:rsidRPr="00477D57">
              <w:rPr>
                <w:b/>
                <w:bCs/>
                <w:lang w:eastAsia="zh-CN"/>
              </w:rPr>
              <w:t>目的</w:t>
            </w:r>
          </w:p>
          <w:p w14:paraId="476E7A15" w14:textId="44B2D11F" w:rsidR="003F086E" w:rsidRPr="00477D57" w:rsidRDefault="00D75AB1" w:rsidP="006C6D3F">
            <w:pPr>
              <w:ind w:firstLineChars="200" w:firstLine="480"/>
              <w:rPr>
                <w:rFonts w:asciiTheme="majorEastAsia" w:eastAsiaTheme="majorEastAsia" w:hAnsiTheme="majorEastAsia"/>
                <w:lang w:eastAsia="zh-CN"/>
              </w:rPr>
            </w:pPr>
            <w:r>
              <w:rPr>
                <w:color w:val="000000"/>
                <w:lang w:val="zh-CN" w:eastAsia="zh-CN"/>
              </w:rPr>
              <w:t>本文件报告了根据理事会</w:t>
            </w:r>
            <w:r>
              <w:rPr>
                <w:color w:val="000000"/>
                <w:lang w:val="zh-CN" w:eastAsia="zh-CN"/>
              </w:rPr>
              <w:t>2025</w:t>
            </w:r>
            <w:r>
              <w:rPr>
                <w:color w:val="000000"/>
                <w:lang w:val="zh-CN" w:eastAsia="zh-CN"/>
              </w:rPr>
              <w:t>年会议的建议</w:t>
            </w:r>
            <w:r>
              <w:rPr>
                <w:rFonts w:hint="eastAsia"/>
                <w:color w:val="000000"/>
                <w:lang w:val="zh-CN" w:eastAsia="zh-CN"/>
              </w:rPr>
              <w:t>而</w:t>
            </w:r>
            <w:r>
              <w:rPr>
                <w:color w:val="000000"/>
                <w:lang w:val="zh-CN" w:eastAsia="zh-CN"/>
              </w:rPr>
              <w:t>开展的</w:t>
            </w:r>
            <w:r w:rsidRPr="000A0F82">
              <w:rPr>
                <w:rFonts w:hint="eastAsia"/>
                <w:color w:val="000000"/>
                <w:lang w:val="zh-CN" w:eastAsia="zh-CN"/>
              </w:rPr>
              <w:t>对于国际电联区域代表处情况的审查</w:t>
            </w:r>
            <w:r>
              <w:rPr>
                <w:color w:val="000000"/>
                <w:lang w:val="zh-CN" w:eastAsia="zh-CN"/>
              </w:rPr>
              <w:t>。</w:t>
            </w:r>
            <w:r>
              <w:rPr>
                <w:lang w:eastAsia="zh-CN"/>
              </w:rPr>
              <w:t>作为补充，</w:t>
            </w:r>
            <w:r>
              <w:rPr>
                <w:color w:val="000000"/>
                <w:lang w:val="zh-CN" w:eastAsia="zh-CN"/>
              </w:rPr>
              <w:t>情况通报文件（</w:t>
            </w:r>
            <w:hyperlink r:id="rId8" w:history="1">
              <w:r w:rsidR="006C6D3F" w:rsidRPr="006C6D3F">
                <w:rPr>
                  <w:rStyle w:val="Hyperlink"/>
                  <w:rFonts w:asciiTheme="minorHAnsi" w:eastAsia="SimSun" w:hAnsiTheme="minorHAnsi" w:cstheme="minorBidi"/>
                  <w:u w:val="single"/>
                  <w:lang w:eastAsia="zh-CN"/>
                </w:rPr>
                <w:t>C26/INF/10</w:t>
              </w:r>
            </w:hyperlink>
            <w:r>
              <w:rPr>
                <w:color w:val="000000"/>
                <w:lang w:val="zh-CN" w:eastAsia="zh-CN"/>
              </w:rPr>
              <w:t>）</w:t>
            </w:r>
            <w:r>
              <w:rPr>
                <w:lang w:eastAsia="zh-CN"/>
              </w:rPr>
              <w:t>阐述了本次</w:t>
            </w:r>
            <w:r>
              <w:rPr>
                <w:color w:val="000000"/>
                <w:lang w:val="zh-CN" w:eastAsia="zh-CN"/>
              </w:rPr>
              <w:t>审查的背景和</w:t>
            </w:r>
            <w:r>
              <w:rPr>
                <w:lang w:eastAsia="zh-CN"/>
              </w:rPr>
              <w:t>情况</w:t>
            </w:r>
            <w:r>
              <w:rPr>
                <w:color w:val="000000"/>
                <w:lang w:val="zh-CN" w:eastAsia="zh-CN"/>
              </w:rPr>
              <w:t>、理事会确定的方法以及审查</w:t>
            </w:r>
            <w:r>
              <w:rPr>
                <w:lang w:eastAsia="zh-CN"/>
              </w:rPr>
              <w:t>得出</w:t>
            </w:r>
            <w:r>
              <w:rPr>
                <w:color w:val="000000"/>
                <w:lang w:val="zh-CN" w:eastAsia="zh-CN"/>
              </w:rPr>
              <w:t>的详细</w:t>
            </w:r>
            <w:r>
              <w:rPr>
                <w:lang w:eastAsia="zh-CN"/>
              </w:rPr>
              <w:t>结论</w:t>
            </w:r>
            <w:r>
              <w:rPr>
                <w:rFonts w:ascii="SimSun" w:hAnsi="SimSun" w:cs="SimSun" w:hint="eastAsia"/>
                <w:lang w:eastAsia="zh-CN"/>
              </w:rPr>
              <w:t>。</w:t>
            </w:r>
          </w:p>
          <w:p w14:paraId="744E5729" w14:textId="77777777" w:rsidR="003F086E" w:rsidRPr="00477D57" w:rsidRDefault="003F086E" w:rsidP="00555C29">
            <w:pPr>
              <w:rPr>
                <w:b/>
                <w:bCs/>
                <w:lang w:eastAsia="zh-CN"/>
              </w:rPr>
            </w:pPr>
            <w:r w:rsidRPr="00477D57">
              <w:rPr>
                <w:b/>
                <w:bCs/>
                <w:lang w:eastAsia="zh-CN"/>
              </w:rPr>
              <w:t>理事会需采取的行动</w:t>
            </w:r>
          </w:p>
          <w:p w14:paraId="7C72B06F" w14:textId="07E26E47" w:rsidR="003F086E" w:rsidRPr="00477D57" w:rsidRDefault="00D75AB1" w:rsidP="006C6D3F">
            <w:pPr>
              <w:ind w:firstLineChars="200" w:firstLine="480"/>
              <w:rPr>
                <w:rFonts w:asciiTheme="majorEastAsia" w:eastAsiaTheme="majorEastAsia" w:hAnsiTheme="majorEastAsia"/>
                <w:lang w:eastAsia="zh-CN"/>
              </w:rPr>
            </w:pPr>
            <w:r>
              <w:rPr>
                <w:color w:val="000000"/>
                <w:lang w:val="zh-CN" w:eastAsia="zh-CN"/>
              </w:rPr>
              <w:t>请理事会</w:t>
            </w:r>
            <w:r>
              <w:rPr>
                <w:rFonts w:hint="eastAsia"/>
                <w:color w:val="000000"/>
                <w:lang w:val="zh-CN" w:eastAsia="zh-CN"/>
              </w:rPr>
              <w:t>将</w:t>
            </w:r>
            <w:r>
              <w:rPr>
                <w:color w:val="000000"/>
                <w:lang w:val="zh-CN" w:eastAsia="zh-CN"/>
              </w:rPr>
              <w:t>本报告</w:t>
            </w:r>
            <w:r w:rsidRPr="000A0F82">
              <w:rPr>
                <w:rFonts w:hint="eastAsia"/>
                <w:b/>
                <w:bCs/>
                <w:color w:val="000000"/>
                <w:lang w:val="zh-CN" w:eastAsia="zh-CN"/>
              </w:rPr>
              <w:t>记录在案</w:t>
            </w:r>
            <w:r>
              <w:rPr>
                <w:rFonts w:hint="eastAsia"/>
                <w:color w:val="000000"/>
                <w:lang w:val="zh-CN" w:eastAsia="zh-CN"/>
              </w:rPr>
              <w:t>并予以</w:t>
            </w:r>
            <w:r w:rsidRPr="000A0F82">
              <w:rPr>
                <w:rFonts w:hint="eastAsia"/>
                <w:b/>
                <w:bCs/>
                <w:color w:val="000000"/>
                <w:lang w:val="zh-CN" w:eastAsia="zh-CN"/>
              </w:rPr>
              <w:t>审议</w:t>
            </w:r>
            <w:r>
              <w:rPr>
                <w:color w:val="000000"/>
                <w:lang w:val="zh-CN" w:eastAsia="zh-CN"/>
              </w:rPr>
              <w:t>。</w:t>
            </w:r>
          </w:p>
          <w:p w14:paraId="56E78BEF"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0BF0222D" w14:textId="3BD88452" w:rsidR="003F086E" w:rsidRPr="00477D57" w:rsidRDefault="00D75AB1" w:rsidP="006C6D3F">
            <w:pPr>
              <w:ind w:firstLineChars="200" w:firstLine="480"/>
              <w:rPr>
                <w:rFonts w:asciiTheme="majorEastAsia" w:eastAsiaTheme="majorEastAsia" w:hAnsiTheme="majorEastAsia"/>
                <w:lang w:eastAsia="zh-CN"/>
              </w:rPr>
            </w:pPr>
            <w:r>
              <w:rPr>
                <w:color w:val="000000"/>
                <w:lang w:val="zh-CN" w:eastAsia="zh-CN"/>
              </w:rPr>
              <w:t>区域代表性。</w:t>
            </w:r>
          </w:p>
          <w:p w14:paraId="165BBD5D" w14:textId="77777777" w:rsidR="003F086E" w:rsidRPr="00477D57" w:rsidRDefault="003F086E" w:rsidP="00555C29">
            <w:pPr>
              <w:rPr>
                <w:b/>
                <w:bCs/>
                <w:lang w:eastAsia="zh-CN"/>
              </w:rPr>
            </w:pPr>
            <w:r w:rsidRPr="00477D57">
              <w:rPr>
                <w:b/>
                <w:bCs/>
                <w:lang w:eastAsia="zh-CN"/>
              </w:rPr>
              <w:t>财务影响</w:t>
            </w:r>
          </w:p>
          <w:p w14:paraId="587C6848" w14:textId="7EF01E9D" w:rsidR="008F64AD" w:rsidRPr="00477D57" w:rsidRDefault="00D75AB1" w:rsidP="006C6D3F">
            <w:pPr>
              <w:ind w:firstLineChars="200" w:firstLine="480"/>
              <w:rPr>
                <w:rFonts w:asciiTheme="majorEastAsia" w:eastAsiaTheme="majorEastAsia" w:hAnsiTheme="majorEastAsia"/>
                <w:lang w:eastAsia="zh-CN"/>
              </w:rPr>
            </w:pPr>
            <w:r w:rsidRPr="000A0F82">
              <w:rPr>
                <w:rFonts w:hint="eastAsia"/>
                <w:color w:val="000000"/>
                <w:lang w:val="zh-CN" w:eastAsia="zh-CN"/>
              </w:rPr>
              <w:t>目前不会产生任何财务影响</w:t>
            </w:r>
            <w:r>
              <w:rPr>
                <w:color w:val="000000"/>
                <w:lang w:val="zh-CN" w:eastAsia="zh-CN"/>
              </w:rPr>
              <w:t>。</w:t>
            </w:r>
          </w:p>
          <w:p w14:paraId="37B987A5" w14:textId="77777777" w:rsidR="00E24D59" w:rsidRPr="00DA2D30" w:rsidRDefault="00DA2D30" w:rsidP="00DA2D30">
            <w:pPr>
              <w:rPr>
                <w:lang w:eastAsia="zh-CN"/>
              </w:rPr>
            </w:pPr>
            <w:r>
              <w:rPr>
                <w:lang w:eastAsia="zh-CN"/>
              </w:rPr>
              <w:t>_______________</w:t>
            </w:r>
          </w:p>
          <w:p w14:paraId="63959796" w14:textId="77777777" w:rsidR="00E24D59" w:rsidRPr="00477D57" w:rsidRDefault="00E24D59" w:rsidP="00555C29">
            <w:pPr>
              <w:rPr>
                <w:b/>
                <w:bCs/>
                <w:lang w:eastAsia="zh-CN"/>
              </w:rPr>
            </w:pPr>
            <w:r w:rsidRPr="00477D57">
              <w:rPr>
                <w:rFonts w:hint="eastAsia"/>
                <w:b/>
                <w:bCs/>
                <w:lang w:eastAsia="zh-CN"/>
              </w:rPr>
              <w:t>参考文件</w:t>
            </w:r>
          </w:p>
          <w:p w14:paraId="7CE53CBD" w14:textId="6CBD7114" w:rsidR="00E24D59" w:rsidRPr="006C6D3F" w:rsidRDefault="00D75AB1" w:rsidP="006C6D3F">
            <w:pPr>
              <w:spacing w:after="120"/>
              <w:ind w:firstLineChars="200" w:firstLine="480"/>
              <w:rPr>
                <w:rFonts w:asciiTheme="majorEastAsia" w:eastAsia="STKaiti" w:hAnsiTheme="majorEastAsia"/>
                <w:i/>
                <w:iCs/>
                <w:sz w:val="22"/>
                <w:szCs w:val="22"/>
                <w:lang w:eastAsia="zh-CN"/>
              </w:rPr>
            </w:pPr>
            <w:r w:rsidRPr="006C6D3F">
              <w:rPr>
                <w:rFonts w:eastAsia="STKaiti" w:hint="eastAsia"/>
                <w:lang w:eastAsia="zh-CN"/>
              </w:rPr>
              <w:t>全权代表大会</w:t>
            </w:r>
            <w:hyperlink r:id="rId9" w:history="1">
              <w:r w:rsidRPr="006C6D3F">
                <w:rPr>
                  <w:rStyle w:val="Hyperlink"/>
                  <w:rFonts w:eastAsia="STKaiti" w:hint="eastAsia"/>
                  <w:noProof w:val="0"/>
                  <w:u w:val="single"/>
                  <w:lang w:eastAsia="zh-CN"/>
                </w:rPr>
                <w:t>第</w:t>
              </w:r>
              <w:r w:rsidRPr="006C6D3F">
                <w:rPr>
                  <w:rStyle w:val="Hyperlink"/>
                  <w:rFonts w:eastAsia="STKaiti" w:hint="eastAsia"/>
                  <w:noProof w:val="0"/>
                  <w:u w:val="single"/>
                  <w:lang w:eastAsia="zh-CN"/>
                </w:rPr>
                <w:t>25</w:t>
              </w:r>
              <w:r w:rsidRPr="006C6D3F">
                <w:rPr>
                  <w:rStyle w:val="Hyperlink"/>
                  <w:rFonts w:eastAsia="STKaiti" w:hint="eastAsia"/>
                  <w:noProof w:val="0"/>
                  <w:u w:val="single"/>
                  <w:lang w:eastAsia="zh-CN"/>
                </w:rPr>
                <w:t>号决议（</w:t>
              </w:r>
              <w:r w:rsidRPr="006C6D3F">
                <w:rPr>
                  <w:rStyle w:val="Hyperlink"/>
                  <w:rFonts w:eastAsia="STKaiti" w:hint="eastAsia"/>
                  <w:noProof w:val="0"/>
                  <w:u w:val="single"/>
                  <w:lang w:eastAsia="zh-CN"/>
                </w:rPr>
                <w:t>2022</w:t>
              </w:r>
              <w:r w:rsidRPr="006C6D3F">
                <w:rPr>
                  <w:rStyle w:val="Hyperlink"/>
                  <w:rFonts w:eastAsia="STKaiti" w:hint="eastAsia"/>
                  <w:noProof w:val="0"/>
                  <w:u w:val="single"/>
                  <w:lang w:eastAsia="zh-CN"/>
                </w:rPr>
                <w:t>年，布加勒斯特，修订版）</w:t>
              </w:r>
            </w:hyperlink>
            <w:r w:rsidR="006C6D3F">
              <w:rPr>
                <w:rFonts w:ascii="STKaiti" w:eastAsia="STKaiti" w:hAnsi="STKaiti" w:hint="eastAsia"/>
                <w:lang w:eastAsia="zh-CN"/>
              </w:rPr>
              <w:t>；</w:t>
            </w:r>
            <w:r w:rsidRPr="006C6D3F">
              <w:rPr>
                <w:rFonts w:eastAsia="STKaiti" w:hint="eastAsia"/>
                <w:lang w:eastAsia="zh-CN"/>
              </w:rPr>
              <w:t>世界电信发展大会（</w:t>
            </w:r>
            <w:r w:rsidRPr="006C6D3F">
              <w:rPr>
                <w:rFonts w:eastAsia="STKaiti" w:hint="eastAsia"/>
                <w:lang w:eastAsia="zh-CN"/>
              </w:rPr>
              <w:t>WTDC</w:t>
            </w:r>
            <w:r w:rsidRPr="006C6D3F">
              <w:rPr>
                <w:rFonts w:eastAsia="STKaiti" w:hint="eastAsia"/>
                <w:lang w:eastAsia="zh-CN"/>
              </w:rPr>
              <w:t>）</w:t>
            </w:r>
            <w:hyperlink r:id="rId10" w:history="1">
              <w:r w:rsidRPr="006C6D3F">
                <w:rPr>
                  <w:rStyle w:val="Hyperlink"/>
                  <w:rFonts w:eastAsia="STKaiti" w:hint="eastAsia"/>
                  <w:noProof w:val="0"/>
                  <w:u w:val="single"/>
                  <w:lang w:eastAsia="zh-CN"/>
                </w:rPr>
                <w:t>第</w:t>
              </w:r>
              <w:r w:rsidRPr="006C6D3F">
                <w:rPr>
                  <w:rStyle w:val="Hyperlink"/>
                  <w:rFonts w:eastAsia="STKaiti" w:hint="eastAsia"/>
                  <w:noProof w:val="0"/>
                  <w:u w:val="single"/>
                  <w:lang w:eastAsia="zh-CN"/>
                </w:rPr>
                <w:t>17</w:t>
              </w:r>
              <w:r w:rsidRPr="006C6D3F">
                <w:rPr>
                  <w:rStyle w:val="Hyperlink"/>
                  <w:rFonts w:eastAsia="STKaiti" w:hint="eastAsia"/>
                  <w:noProof w:val="0"/>
                  <w:u w:val="single"/>
                  <w:lang w:eastAsia="zh-CN"/>
                </w:rPr>
                <w:t>号决议（</w:t>
              </w:r>
              <w:r w:rsidRPr="006C6D3F">
                <w:rPr>
                  <w:rStyle w:val="Hyperlink"/>
                  <w:rFonts w:eastAsia="STKaiti" w:hint="eastAsia"/>
                  <w:noProof w:val="0"/>
                  <w:u w:val="single"/>
                  <w:lang w:eastAsia="zh-CN"/>
                </w:rPr>
                <w:t>2025</w:t>
              </w:r>
              <w:r w:rsidRPr="006C6D3F">
                <w:rPr>
                  <w:rStyle w:val="Hyperlink"/>
                  <w:rFonts w:eastAsia="STKaiti" w:hint="eastAsia"/>
                  <w:noProof w:val="0"/>
                  <w:u w:val="single"/>
                  <w:lang w:eastAsia="zh-CN"/>
                </w:rPr>
                <w:t>年，巴库，修订版）</w:t>
              </w:r>
            </w:hyperlink>
            <w:hyperlink r:id="rId11" w:history="1">
              <w:r w:rsidRPr="006C6D3F">
                <w:rPr>
                  <w:rStyle w:val="Hyperlink"/>
                  <w:rFonts w:eastAsia="STKaiti" w:hint="eastAsia"/>
                  <w:noProof w:val="0"/>
                  <w:u w:val="single"/>
                  <w:lang w:eastAsia="zh-CN"/>
                </w:rPr>
                <w:t>和第</w:t>
              </w:r>
              <w:r w:rsidRPr="006C6D3F">
                <w:rPr>
                  <w:rStyle w:val="Hyperlink"/>
                  <w:rFonts w:eastAsia="STKaiti" w:hint="eastAsia"/>
                  <w:noProof w:val="0"/>
                  <w:u w:val="single"/>
                  <w:lang w:eastAsia="zh-CN"/>
                </w:rPr>
                <w:t>31</w:t>
              </w:r>
              <w:r w:rsidRPr="006C6D3F">
                <w:rPr>
                  <w:rStyle w:val="Hyperlink"/>
                  <w:rFonts w:eastAsia="STKaiti" w:hint="eastAsia"/>
                  <w:noProof w:val="0"/>
                  <w:u w:val="single"/>
                  <w:lang w:eastAsia="zh-CN"/>
                </w:rPr>
                <w:t>号决议（</w:t>
              </w:r>
              <w:r w:rsidRPr="006C6D3F">
                <w:rPr>
                  <w:rStyle w:val="Hyperlink"/>
                  <w:rFonts w:eastAsia="STKaiti" w:hint="eastAsia"/>
                  <w:noProof w:val="0"/>
                  <w:u w:val="single"/>
                  <w:lang w:eastAsia="zh-CN"/>
                </w:rPr>
                <w:t>2025</w:t>
              </w:r>
              <w:r w:rsidRPr="006C6D3F">
                <w:rPr>
                  <w:rStyle w:val="Hyperlink"/>
                  <w:rFonts w:eastAsia="STKaiti" w:hint="eastAsia"/>
                  <w:noProof w:val="0"/>
                  <w:u w:val="single"/>
                  <w:lang w:eastAsia="zh-CN"/>
                </w:rPr>
                <w:t>年，巴库，修订版）</w:t>
              </w:r>
            </w:hyperlink>
            <w:r w:rsidR="00CE772B">
              <w:rPr>
                <w:rFonts w:ascii="STKaiti" w:eastAsia="STKaiti" w:hAnsi="STKaiti" w:hint="eastAsia"/>
                <w:lang w:eastAsia="zh-CN"/>
              </w:rPr>
              <w:t>；</w:t>
            </w:r>
            <w:hyperlink r:id="rId12" w:history="1">
              <w:r w:rsidRPr="00CE772B">
                <w:rPr>
                  <w:rStyle w:val="Hyperlink"/>
                  <w:rFonts w:eastAsia="STKaiti" w:hint="eastAsia"/>
                  <w:noProof w:val="0"/>
                  <w:u w:val="single"/>
                  <w:lang w:eastAsia="zh-CN"/>
                </w:rPr>
                <w:t>WTDC-22</w:t>
              </w:r>
            </w:hyperlink>
            <w:r w:rsidRPr="00CE772B">
              <w:rPr>
                <w:rFonts w:eastAsia="STKaiti" w:hint="eastAsia"/>
                <w:lang w:eastAsia="zh-CN"/>
              </w:rPr>
              <w:t>最后</w:t>
            </w:r>
            <w:r w:rsidRPr="006C6D3F">
              <w:rPr>
                <w:rFonts w:eastAsia="STKaiti" w:hint="eastAsia"/>
                <w:lang w:eastAsia="zh-CN"/>
              </w:rPr>
              <w:t>报告（《</w:t>
            </w:r>
            <w:r w:rsidR="00CE772B" w:rsidRPr="00CE772B">
              <w:rPr>
                <w:rFonts w:eastAsia="STKaiti"/>
                <w:u w:val="single"/>
                <w:lang w:eastAsia="zh-CN"/>
              </w:rPr>
              <w:fldChar w:fldCharType="begin"/>
            </w:r>
            <w:r w:rsidR="00CE772B" w:rsidRPr="00CE772B">
              <w:rPr>
                <w:rFonts w:eastAsia="STKaiti"/>
                <w:u w:val="single"/>
                <w:lang w:eastAsia="zh-CN"/>
              </w:rPr>
              <w:instrText xml:space="preserve"> </w:instrText>
            </w:r>
            <w:r w:rsidR="00CE772B" w:rsidRPr="00CE772B">
              <w:rPr>
                <w:rFonts w:eastAsia="STKaiti" w:hint="eastAsia"/>
                <w:u w:val="single"/>
                <w:lang w:eastAsia="zh-CN"/>
              </w:rPr>
              <w:instrText>HYPERLINK "https://bdmsweb.itu.int/dms_pub/itu-d/opb/tdc/D-TDC-WTDC-2022-PDF-C.pdf"</w:instrText>
            </w:r>
            <w:r w:rsidR="00CE772B" w:rsidRPr="00CE772B">
              <w:rPr>
                <w:rFonts w:eastAsia="STKaiti"/>
                <w:u w:val="single"/>
                <w:lang w:eastAsia="zh-CN"/>
              </w:rPr>
              <w:instrText xml:space="preserve"> </w:instrText>
            </w:r>
            <w:r w:rsidR="00CE772B" w:rsidRPr="00CE772B">
              <w:rPr>
                <w:rFonts w:eastAsia="STKaiti"/>
                <w:u w:val="single"/>
                <w:lang w:eastAsia="zh-CN"/>
              </w:rPr>
            </w:r>
            <w:r w:rsidR="00CE772B" w:rsidRPr="00CE772B">
              <w:rPr>
                <w:rFonts w:eastAsia="STKaiti"/>
                <w:u w:val="single"/>
                <w:lang w:eastAsia="zh-CN"/>
              </w:rPr>
              <w:fldChar w:fldCharType="separate"/>
            </w:r>
            <w:r w:rsidRPr="00CE772B">
              <w:rPr>
                <w:rStyle w:val="Hyperlink"/>
                <w:rFonts w:eastAsia="STKaiti" w:hint="eastAsia"/>
                <w:noProof w:val="0"/>
                <w:u w:val="single"/>
                <w:lang w:eastAsia="zh-CN"/>
              </w:rPr>
              <w:t>基加利行动计划</w:t>
            </w:r>
            <w:r w:rsidR="00CE772B" w:rsidRPr="00CE772B">
              <w:rPr>
                <w:rFonts w:eastAsia="STKaiti"/>
                <w:u w:val="single"/>
                <w:lang w:eastAsia="zh-CN"/>
              </w:rPr>
              <w:fldChar w:fldCharType="end"/>
            </w:r>
            <w:r w:rsidRPr="006C6D3F">
              <w:rPr>
                <w:rFonts w:eastAsia="STKaiti" w:hint="eastAsia"/>
                <w:lang w:eastAsia="zh-CN"/>
              </w:rPr>
              <w:t>》）</w:t>
            </w:r>
            <w:r w:rsidR="00CE772B">
              <w:rPr>
                <w:rFonts w:eastAsia="STKaiti" w:hint="eastAsia"/>
                <w:lang w:eastAsia="zh-CN"/>
              </w:rPr>
              <w:t>；</w:t>
            </w:r>
            <w:r w:rsidR="00CE772B" w:rsidRPr="00CE772B">
              <w:rPr>
                <w:rFonts w:eastAsia="STKaiti"/>
                <w:u w:val="single"/>
                <w:lang w:eastAsia="zh-CN"/>
              </w:rPr>
              <w:fldChar w:fldCharType="begin"/>
            </w:r>
            <w:r w:rsidR="00CE772B" w:rsidRPr="00CE772B">
              <w:rPr>
                <w:rFonts w:eastAsia="STKaiti"/>
                <w:u w:val="single"/>
                <w:lang w:eastAsia="zh-CN"/>
              </w:rPr>
              <w:instrText xml:space="preserve"> </w:instrText>
            </w:r>
            <w:r w:rsidR="00CE772B" w:rsidRPr="00CE772B">
              <w:rPr>
                <w:rFonts w:eastAsia="STKaiti" w:hint="eastAsia"/>
                <w:u w:val="single"/>
                <w:lang w:eastAsia="zh-CN"/>
              </w:rPr>
              <w:instrText>HYPERLINK "https://www.itu.int/en/council/cwg-fhr/Pages/default.aspx"</w:instrText>
            </w:r>
            <w:r w:rsidR="00CE772B" w:rsidRPr="00CE772B">
              <w:rPr>
                <w:rFonts w:eastAsia="STKaiti"/>
                <w:u w:val="single"/>
                <w:lang w:eastAsia="zh-CN"/>
              </w:rPr>
              <w:instrText xml:space="preserve"> </w:instrText>
            </w:r>
            <w:r w:rsidR="00CE772B" w:rsidRPr="00CE772B">
              <w:rPr>
                <w:rFonts w:eastAsia="STKaiti"/>
                <w:u w:val="single"/>
                <w:lang w:eastAsia="zh-CN"/>
              </w:rPr>
            </w:r>
            <w:r w:rsidR="00CE772B" w:rsidRPr="00CE772B">
              <w:rPr>
                <w:rFonts w:eastAsia="STKaiti"/>
                <w:u w:val="single"/>
                <w:lang w:eastAsia="zh-CN"/>
              </w:rPr>
              <w:fldChar w:fldCharType="separate"/>
            </w:r>
            <w:r w:rsidRPr="00CE772B">
              <w:rPr>
                <w:rStyle w:val="Hyperlink"/>
                <w:rFonts w:eastAsia="STKaiti" w:hint="eastAsia"/>
                <w:noProof w:val="0"/>
                <w:u w:val="single"/>
                <w:lang w:eastAsia="zh-CN"/>
              </w:rPr>
              <w:t>CWG-FHR</w:t>
            </w:r>
            <w:r w:rsidRPr="00CE772B">
              <w:rPr>
                <w:rStyle w:val="Hyperlink"/>
                <w:rFonts w:eastAsia="STKaiti" w:hint="eastAsia"/>
                <w:noProof w:val="0"/>
                <w:u w:val="single"/>
                <w:lang w:eastAsia="zh-CN"/>
              </w:rPr>
              <w:t>网站</w:t>
            </w:r>
            <w:r w:rsidR="00CE772B" w:rsidRPr="00CE772B">
              <w:rPr>
                <w:rFonts w:eastAsia="STKaiti"/>
                <w:u w:val="single"/>
                <w:lang w:eastAsia="zh-CN"/>
              </w:rPr>
              <w:fldChar w:fldCharType="end"/>
            </w:r>
            <w:r w:rsidR="00CE772B">
              <w:rPr>
                <w:rFonts w:eastAsia="STKaiti" w:hint="eastAsia"/>
                <w:lang w:eastAsia="zh-CN"/>
              </w:rPr>
              <w:t>；</w:t>
            </w:r>
            <w:r w:rsidRPr="006C6D3F">
              <w:rPr>
                <w:rFonts w:eastAsia="STKaiti" w:hint="eastAsia"/>
                <w:lang w:eastAsia="zh-CN"/>
              </w:rPr>
              <w:t>理事会</w:t>
            </w:r>
            <w:hyperlink r:id="rId13" w:history="1">
              <w:r w:rsidR="00CE772B" w:rsidRPr="00CE772B">
                <w:rPr>
                  <w:rStyle w:val="Hyperlink"/>
                  <w:rFonts w:asciiTheme="minorHAnsi" w:eastAsia="SimSun" w:hAnsiTheme="minorHAnsi" w:cstheme="minorHAnsi"/>
                  <w:sz w:val="22"/>
                  <w:szCs w:val="22"/>
                  <w:u w:val="single"/>
                  <w:lang w:eastAsia="zh-CN"/>
                </w:rPr>
                <w:t>C26/25</w:t>
              </w:r>
            </w:hyperlink>
            <w:r w:rsidRPr="006C6D3F">
              <w:rPr>
                <w:rFonts w:eastAsia="STKaiti" w:hint="eastAsia"/>
                <w:lang w:eastAsia="zh-CN"/>
              </w:rPr>
              <w:t>、</w:t>
            </w:r>
            <w:r w:rsidR="00CE772B" w:rsidRPr="00CE772B">
              <w:rPr>
                <w:rFonts w:eastAsia="STKaiti"/>
                <w:u w:val="single"/>
                <w:lang w:eastAsia="zh-CN"/>
              </w:rPr>
              <w:fldChar w:fldCharType="begin"/>
            </w:r>
            <w:r w:rsidR="00CE772B" w:rsidRPr="00CE772B">
              <w:rPr>
                <w:rFonts w:eastAsia="STKaiti"/>
                <w:u w:val="single"/>
                <w:lang w:eastAsia="zh-CN"/>
              </w:rPr>
              <w:instrText xml:space="preserve"> </w:instrText>
            </w:r>
            <w:r w:rsidR="00CE772B" w:rsidRPr="00CE772B">
              <w:rPr>
                <w:rFonts w:eastAsia="STKaiti" w:hint="eastAsia"/>
                <w:u w:val="single"/>
                <w:lang w:eastAsia="zh-CN"/>
              </w:rPr>
              <w:instrText>HYPERLINK "https://www.itu.int/md/S25-CL-C-0025/en"</w:instrText>
            </w:r>
            <w:r w:rsidR="00CE772B" w:rsidRPr="00CE772B">
              <w:rPr>
                <w:rFonts w:eastAsia="STKaiti"/>
                <w:u w:val="single"/>
                <w:lang w:eastAsia="zh-CN"/>
              </w:rPr>
              <w:instrText xml:space="preserve"> </w:instrText>
            </w:r>
            <w:r w:rsidR="00CE772B" w:rsidRPr="00CE772B">
              <w:rPr>
                <w:rFonts w:eastAsia="STKaiti"/>
                <w:u w:val="single"/>
                <w:lang w:eastAsia="zh-CN"/>
              </w:rPr>
            </w:r>
            <w:r w:rsidR="00CE772B" w:rsidRPr="00CE772B">
              <w:rPr>
                <w:rFonts w:eastAsia="STKaiti"/>
                <w:u w:val="single"/>
                <w:lang w:eastAsia="zh-CN"/>
              </w:rPr>
              <w:fldChar w:fldCharType="separate"/>
            </w:r>
            <w:proofErr w:type="spellStart"/>
            <w:r w:rsidRPr="00CE772B">
              <w:rPr>
                <w:rStyle w:val="Hyperlink"/>
                <w:rFonts w:eastAsia="STKaiti" w:hint="eastAsia"/>
                <w:noProof w:val="0"/>
                <w:u w:val="single"/>
                <w:lang w:eastAsia="zh-CN"/>
              </w:rPr>
              <w:t>C25</w:t>
            </w:r>
            <w:proofErr w:type="spellEnd"/>
            <w:r w:rsidRPr="00CE772B">
              <w:rPr>
                <w:rStyle w:val="Hyperlink"/>
                <w:rFonts w:eastAsia="STKaiti" w:hint="eastAsia"/>
                <w:noProof w:val="0"/>
                <w:u w:val="single"/>
                <w:lang w:eastAsia="zh-CN"/>
              </w:rPr>
              <w:t>/25</w:t>
            </w:r>
            <w:r w:rsidR="00CE772B" w:rsidRPr="00CE772B">
              <w:rPr>
                <w:rFonts w:eastAsia="STKaiti"/>
                <w:u w:val="single"/>
                <w:lang w:eastAsia="zh-CN"/>
              </w:rPr>
              <w:fldChar w:fldCharType="end"/>
            </w:r>
            <w:r w:rsidRPr="006C6D3F">
              <w:rPr>
                <w:rFonts w:eastAsia="STKaiti" w:hint="eastAsia"/>
                <w:lang w:eastAsia="zh-CN"/>
              </w:rPr>
              <w:t>、</w:t>
            </w:r>
            <w:r w:rsidR="00CE772B" w:rsidRPr="00CE772B">
              <w:rPr>
                <w:rFonts w:eastAsia="STKaiti"/>
                <w:u w:val="single"/>
                <w:lang w:eastAsia="zh-CN"/>
              </w:rPr>
              <w:fldChar w:fldCharType="begin"/>
            </w:r>
            <w:r w:rsidR="00CE772B" w:rsidRPr="00CE772B">
              <w:rPr>
                <w:rFonts w:eastAsia="STKaiti"/>
                <w:u w:val="single"/>
                <w:lang w:eastAsia="zh-CN"/>
              </w:rPr>
              <w:instrText xml:space="preserve"> </w:instrText>
            </w:r>
            <w:r w:rsidR="00CE772B" w:rsidRPr="00CE772B">
              <w:rPr>
                <w:rFonts w:eastAsia="STKaiti" w:hint="eastAsia"/>
                <w:u w:val="single"/>
                <w:lang w:eastAsia="zh-CN"/>
              </w:rPr>
              <w:instrText>HYPERLINK "https://www.itu.int/md/S25-CL-C-0105/en"</w:instrText>
            </w:r>
            <w:r w:rsidR="00CE772B" w:rsidRPr="00CE772B">
              <w:rPr>
                <w:rFonts w:eastAsia="STKaiti"/>
                <w:u w:val="single"/>
                <w:lang w:eastAsia="zh-CN"/>
              </w:rPr>
              <w:instrText xml:space="preserve"> </w:instrText>
            </w:r>
            <w:r w:rsidR="00CE772B" w:rsidRPr="00CE772B">
              <w:rPr>
                <w:rFonts w:eastAsia="STKaiti"/>
                <w:u w:val="single"/>
                <w:lang w:eastAsia="zh-CN"/>
              </w:rPr>
            </w:r>
            <w:r w:rsidR="00CE772B" w:rsidRPr="00CE772B">
              <w:rPr>
                <w:rFonts w:eastAsia="STKaiti"/>
                <w:u w:val="single"/>
                <w:lang w:eastAsia="zh-CN"/>
              </w:rPr>
              <w:fldChar w:fldCharType="separate"/>
            </w:r>
            <w:proofErr w:type="spellStart"/>
            <w:r w:rsidRPr="00CE772B">
              <w:rPr>
                <w:rStyle w:val="Hyperlink"/>
                <w:rFonts w:eastAsia="STKaiti" w:hint="eastAsia"/>
                <w:noProof w:val="0"/>
                <w:u w:val="single"/>
                <w:lang w:eastAsia="zh-CN"/>
              </w:rPr>
              <w:t>C25</w:t>
            </w:r>
            <w:proofErr w:type="spellEnd"/>
            <w:r w:rsidRPr="00CE772B">
              <w:rPr>
                <w:rStyle w:val="Hyperlink"/>
                <w:rFonts w:eastAsia="STKaiti" w:hint="eastAsia"/>
                <w:noProof w:val="0"/>
                <w:u w:val="single"/>
                <w:lang w:eastAsia="zh-CN"/>
              </w:rPr>
              <w:t>/105</w:t>
            </w:r>
            <w:r w:rsidR="00CE772B" w:rsidRPr="00CE772B">
              <w:rPr>
                <w:rFonts w:eastAsia="STKaiti"/>
                <w:u w:val="single"/>
                <w:lang w:eastAsia="zh-CN"/>
              </w:rPr>
              <w:fldChar w:fldCharType="end"/>
            </w:r>
            <w:r w:rsidRPr="006C6D3F">
              <w:rPr>
                <w:rFonts w:eastAsia="STKaiti" w:hint="eastAsia"/>
                <w:lang w:eastAsia="zh-CN"/>
              </w:rPr>
              <w:t>、</w:t>
            </w:r>
            <w:r w:rsidR="00CE772B" w:rsidRPr="00CE772B">
              <w:rPr>
                <w:rFonts w:eastAsia="STKaiti"/>
                <w:u w:val="single"/>
                <w:lang w:eastAsia="zh-CN"/>
              </w:rPr>
              <w:fldChar w:fldCharType="begin"/>
            </w:r>
            <w:r w:rsidR="00CE772B" w:rsidRPr="00CE772B">
              <w:rPr>
                <w:rFonts w:eastAsia="STKaiti"/>
                <w:u w:val="single"/>
                <w:lang w:eastAsia="zh-CN"/>
              </w:rPr>
              <w:instrText xml:space="preserve"> </w:instrText>
            </w:r>
            <w:r w:rsidR="00CE772B" w:rsidRPr="00CE772B">
              <w:rPr>
                <w:rFonts w:eastAsia="STKaiti" w:hint="eastAsia"/>
                <w:u w:val="single"/>
                <w:lang w:eastAsia="zh-CN"/>
              </w:rPr>
              <w:instrText>HYPERLINK "https://www.itu.int/md/S25-CL-250617-DL-0006/en"</w:instrText>
            </w:r>
            <w:r w:rsidR="00CE772B" w:rsidRPr="00CE772B">
              <w:rPr>
                <w:rFonts w:eastAsia="STKaiti"/>
                <w:u w:val="single"/>
                <w:lang w:eastAsia="zh-CN"/>
              </w:rPr>
              <w:instrText xml:space="preserve"> </w:instrText>
            </w:r>
            <w:r w:rsidR="00CE772B" w:rsidRPr="00CE772B">
              <w:rPr>
                <w:rFonts w:eastAsia="STKaiti"/>
                <w:u w:val="single"/>
                <w:lang w:eastAsia="zh-CN"/>
              </w:rPr>
            </w:r>
            <w:r w:rsidR="00CE772B" w:rsidRPr="00CE772B">
              <w:rPr>
                <w:rFonts w:eastAsia="STKaiti"/>
                <w:u w:val="single"/>
                <w:lang w:eastAsia="zh-CN"/>
              </w:rPr>
              <w:fldChar w:fldCharType="separate"/>
            </w:r>
            <w:proofErr w:type="spellStart"/>
            <w:r w:rsidRPr="00CE772B">
              <w:rPr>
                <w:rStyle w:val="Hyperlink"/>
                <w:rFonts w:eastAsia="STKaiti" w:hint="eastAsia"/>
                <w:noProof w:val="0"/>
                <w:u w:val="single"/>
                <w:lang w:eastAsia="zh-CN"/>
              </w:rPr>
              <w:t>C25</w:t>
            </w:r>
            <w:proofErr w:type="spellEnd"/>
            <w:r w:rsidRPr="00CE772B">
              <w:rPr>
                <w:rStyle w:val="Hyperlink"/>
                <w:rFonts w:eastAsia="STKaiti" w:hint="eastAsia"/>
                <w:noProof w:val="0"/>
                <w:u w:val="single"/>
                <w:lang w:eastAsia="zh-CN"/>
              </w:rPr>
              <w:t>/DL/6</w:t>
            </w:r>
            <w:r w:rsidR="00CE772B" w:rsidRPr="00CE772B">
              <w:rPr>
                <w:rFonts w:eastAsia="STKaiti"/>
                <w:u w:val="single"/>
                <w:lang w:eastAsia="zh-CN"/>
              </w:rPr>
              <w:fldChar w:fldCharType="end"/>
            </w:r>
            <w:r w:rsidRPr="006C6D3F">
              <w:rPr>
                <w:rFonts w:eastAsia="STKaiti" w:hint="eastAsia"/>
                <w:lang w:eastAsia="zh-CN"/>
              </w:rPr>
              <w:t>、</w:t>
            </w:r>
            <w:r w:rsidR="00CE772B" w:rsidRPr="00CE772B">
              <w:rPr>
                <w:rFonts w:eastAsia="STKaiti"/>
                <w:u w:val="single"/>
                <w:lang w:eastAsia="zh-CN"/>
              </w:rPr>
              <w:fldChar w:fldCharType="begin"/>
            </w:r>
            <w:r w:rsidR="00CE772B" w:rsidRPr="00CE772B">
              <w:rPr>
                <w:rFonts w:eastAsia="STKaiti"/>
                <w:u w:val="single"/>
                <w:lang w:eastAsia="zh-CN"/>
              </w:rPr>
              <w:instrText xml:space="preserve"> </w:instrText>
            </w:r>
            <w:r w:rsidR="00CE772B" w:rsidRPr="00CE772B">
              <w:rPr>
                <w:rFonts w:eastAsia="STKaiti" w:hint="eastAsia"/>
                <w:u w:val="single"/>
                <w:lang w:eastAsia="zh-CN"/>
              </w:rPr>
              <w:instrText>HYPERLINK "https://www.itu.int/md/S25-CL-C-0069/en"</w:instrText>
            </w:r>
            <w:r w:rsidR="00CE772B" w:rsidRPr="00CE772B">
              <w:rPr>
                <w:rFonts w:eastAsia="STKaiti"/>
                <w:u w:val="single"/>
                <w:lang w:eastAsia="zh-CN"/>
              </w:rPr>
              <w:instrText xml:space="preserve"> </w:instrText>
            </w:r>
            <w:r w:rsidR="00CE772B" w:rsidRPr="00CE772B">
              <w:rPr>
                <w:rFonts w:eastAsia="STKaiti"/>
                <w:u w:val="single"/>
                <w:lang w:eastAsia="zh-CN"/>
              </w:rPr>
            </w:r>
            <w:r w:rsidR="00CE772B" w:rsidRPr="00CE772B">
              <w:rPr>
                <w:rFonts w:eastAsia="STKaiti"/>
                <w:u w:val="single"/>
                <w:lang w:eastAsia="zh-CN"/>
              </w:rPr>
              <w:fldChar w:fldCharType="separate"/>
            </w:r>
            <w:proofErr w:type="spellStart"/>
            <w:r w:rsidRPr="00CE772B">
              <w:rPr>
                <w:rStyle w:val="Hyperlink"/>
                <w:rFonts w:eastAsia="STKaiti" w:hint="eastAsia"/>
                <w:noProof w:val="0"/>
                <w:u w:val="single"/>
                <w:lang w:eastAsia="zh-CN"/>
              </w:rPr>
              <w:t>C25</w:t>
            </w:r>
            <w:proofErr w:type="spellEnd"/>
            <w:r w:rsidRPr="00CE772B">
              <w:rPr>
                <w:rStyle w:val="Hyperlink"/>
                <w:rFonts w:eastAsia="STKaiti" w:hint="eastAsia"/>
                <w:noProof w:val="0"/>
                <w:u w:val="single"/>
                <w:lang w:eastAsia="zh-CN"/>
              </w:rPr>
              <w:t>/69</w:t>
            </w:r>
            <w:r w:rsidR="00CE772B" w:rsidRPr="00CE772B">
              <w:rPr>
                <w:rFonts w:eastAsia="STKaiti"/>
                <w:u w:val="single"/>
                <w:lang w:eastAsia="zh-CN"/>
              </w:rPr>
              <w:fldChar w:fldCharType="end"/>
            </w:r>
            <w:r w:rsidRPr="006C6D3F">
              <w:rPr>
                <w:rFonts w:eastAsia="STKaiti" w:hint="eastAsia"/>
                <w:lang w:eastAsia="zh-CN"/>
              </w:rPr>
              <w:t>和</w:t>
            </w:r>
            <w:r w:rsidR="00CE772B" w:rsidRPr="00CE772B">
              <w:rPr>
                <w:rFonts w:eastAsia="STKaiti"/>
                <w:u w:val="single"/>
                <w:lang w:eastAsia="zh-CN"/>
              </w:rPr>
              <w:fldChar w:fldCharType="begin"/>
            </w:r>
            <w:r w:rsidR="00CE772B" w:rsidRPr="00CE772B">
              <w:rPr>
                <w:rFonts w:eastAsia="STKaiti"/>
                <w:u w:val="single"/>
                <w:lang w:eastAsia="zh-CN"/>
              </w:rPr>
              <w:instrText xml:space="preserve"> </w:instrText>
            </w:r>
            <w:r w:rsidR="00CE772B" w:rsidRPr="00CE772B">
              <w:rPr>
                <w:rFonts w:eastAsia="STKaiti" w:hint="eastAsia"/>
                <w:u w:val="single"/>
                <w:lang w:eastAsia="zh-CN"/>
              </w:rPr>
              <w:instrText>HYPERLINK "https://www.itu.int/md/S26-CL-INF-0010/en"</w:instrText>
            </w:r>
            <w:r w:rsidR="00CE772B" w:rsidRPr="00CE772B">
              <w:rPr>
                <w:rFonts w:eastAsia="STKaiti"/>
                <w:u w:val="single"/>
                <w:lang w:eastAsia="zh-CN"/>
              </w:rPr>
              <w:instrText xml:space="preserve"> </w:instrText>
            </w:r>
            <w:r w:rsidR="00CE772B" w:rsidRPr="00CE772B">
              <w:rPr>
                <w:rFonts w:eastAsia="STKaiti"/>
                <w:u w:val="single"/>
                <w:lang w:eastAsia="zh-CN"/>
              </w:rPr>
            </w:r>
            <w:r w:rsidR="00CE772B" w:rsidRPr="00CE772B">
              <w:rPr>
                <w:rFonts w:eastAsia="STKaiti"/>
                <w:u w:val="single"/>
                <w:lang w:eastAsia="zh-CN"/>
              </w:rPr>
              <w:fldChar w:fldCharType="separate"/>
            </w:r>
            <w:proofErr w:type="spellStart"/>
            <w:r w:rsidRPr="00CE772B">
              <w:rPr>
                <w:rStyle w:val="Hyperlink"/>
                <w:rFonts w:eastAsia="STKaiti" w:hint="eastAsia"/>
                <w:noProof w:val="0"/>
                <w:u w:val="single"/>
                <w:lang w:eastAsia="zh-CN"/>
              </w:rPr>
              <w:t>C26</w:t>
            </w:r>
            <w:proofErr w:type="spellEnd"/>
            <w:r w:rsidRPr="00CE772B">
              <w:rPr>
                <w:rStyle w:val="Hyperlink"/>
                <w:rFonts w:eastAsia="STKaiti" w:hint="eastAsia"/>
                <w:noProof w:val="0"/>
                <w:u w:val="single"/>
                <w:lang w:eastAsia="zh-CN"/>
              </w:rPr>
              <w:t>/INF/10</w:t>
            </w:r>
            <w:r w:rsidR="00CE772B" w:rsidRPr="00CE772B">
              <w:rPr>
                <w:rFonts w:eastAsia="STKaiti"/>
                <w:u w:val="single"/>
                <w:lang w:eastAsia="zh-CN"/>
              </w:rPr>
              <w:fldChar w:fldCharType="end"/>
            </w:r>
            <w:r w:rsidRPr="006C6D3F">
              <w:rPr>
                <w:rFonts w:eastAsia="STKaiti" w:hint="eastAsia"/>
                <w:lang w:eastAsia="zh-CN"/>
              </w:rPr>
              <w:t>号文件</w:t>
            </w:r>
          </w:p>
        </w:tc>
      </w:tr>
      <w:bookmarkEnd w:id="2"/>
      <w:bookmarkEnd w:id="6"/>
    </w:tbl>
    <w:p w14:paraId="210F846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45991EA" w14:textId="3D509986" w:rsidR="00D75AB1" w:rsidRPr="00DB101C" w:rsidRDefault="00D75AB1" w:rsidP="0020499A">
      <w:pPr>
        <w:ind w:firstLineChars="200" w:firstLine="480"/>
        <w:rPr>
          <w:rFonts w:eastAsia="Batang"/>
          <w:lang w:eastAsia="zh-CN"/>
        </w:rPr>
      </w:pPr>
      <w:r w:rsidRPr="000A0F82">
        <w:rPr>
          <w:rFonts w:hint="eastAsia"/>
          <w:lang w:val="zh-CN" w:eastAsia="zh-CN"/>
        </w:rPr>
        <w:lastRenderedPageBreak/>
        <w:t>本文件概述了根据理事会</w:t>
      </w:r>
      <w:r w:rsidRPr="000A0F82">
        <w:rPr>
          <w:rFonts w:hint="eastAsia"/>
          <w:lang w:val="zh-CN" w:eastAsia="zh-CN"/>
        </w:rPr>
        <w:t>2025</w:t>
      </w:r>
      <w:r w:rsidRPr="000A0F82">
        <w:rPr>
          <w:rFonts w:hint="eastAsia"/>
          <w:lang w:val="zh-CN" w:eastAsia="zh-CN"/>
        </w:rPr>
        <w:t>年会议的建议代表秘书长开展的</w:t>
      </w:r>
      <w:r w:rsidRPr="000A0F82">
        <w:rPr>
          <w:rFonts w:hint="eastAsia"/>
          <w:color w:val="000000"/>
          <w:lang w:val="zh-CN" w:eastAsia="zh-CN"/>
        </w:rPr>
        <w:t>对于国际电联区域代表处情况的审查</w:t>
      </w:r>
      <w:r w:rsidRPr="000A0F82">
        <w:rPr>
          <w:rFonts w:hint="eastAsia"/>
          <w:lang w:val="zh-CN" w:eastAsia="zh-CN"/>
        </w:rPr>
        <w:t>最后报告的主要结果（行政和管理常设委员会主席的报告，</w:t>
      </w:r>
      <w:r w:rsidR="0020499A" w:rsidRPr="0020499A">
        <w:rPr>
          <w:u w:val="single"/>
          <w:lang w:val="zh-CN" w:eastAsia="zh-CN"/>
        </w:rPr>
        <w:fldChar w:fldCharType="begin"/>
      </w:r>
      <w:r w:rsidR="0020499A" w:rsidRPr="0020499A">
        <w:rPr>
          <w:u w:val="single"/>
          <w:lang w:val="zh-CN" w:eastAsia="zh-CN"/>
        </w:rPr>
        <w:instrText xml:space="preserve"> </w:instrText>
      </w:r>
      <w:r w:rsidR="0020499A" w:rsidRPr="0020499A">
        <w:rPr>
          <w:rFonts w:hint="eastAsia"/>
          <w:u w:val="single"/>
          <w:lang w:val="zh-CN" w:eastAsia="zh-CN"/>
        </w:rPr>
        <w:instrText>HYPERLINK "https://www.itu.int/md/S25-CL-C-0105/en"</w:instrText>
      </w:r>
      <w:r w:rsidR="0020499A" w:rsidRPr="0020499A">
        <w:rPr>
          <w:u w:val="single"/>
          <w:lang w:val="zh-CN" w:eastAsia="zh-CN"/>
        </w:rPr>
        <w:instrText xml:space="preserve"> </w:instrText>
      </w:r>
      <w:r w:rsidR="0020499A" w:rsidRPr="0020499A">
        <w:rPr>
          <w:u w:val="single"/>
          <w:lang w:val="zh-CN" w:eastAsia="zh-CN"/>
        </w:rPr>
      </w:r>
      <w:r w:rsidR="0020499A" w:rsidRPr="0020499A">
        <w:rPr>
          <w:u w:val="single"/>
          <w:lang w:val="zh-CN" w:eastAsia="zh-CN"/>
        </w:rPr>
        <w:fldChar w:fldCharType="separate"/>
      </w:r>
      <w:r w:rsidRPr="0020499A">
        <w:rPr>
          <w:rStyle w:val="Hyperlink"/>
          <w:rFonts w:eastAsia="SimSun" w:hint="eastAsia"/>
          <w:noProof w:val="0"/>
          <w:u w:val="single"/>
          <w:lang w:val="zh-CN" w:eastAsia="zh-CN"/>
        </w:rPr>
        <w:t>C25/105</w:t>
      </w:r>
      <w:r w:rsidR="0020499A" w:rsidRPr="0020499A">
        <w:rPr>
          <w:u w:val="single"/>
          <w:lang w:val="zh-CN" w:eastAsia="zh-CN"/>
        </w:rPr>
        <w:fldChar w:fldCharType="end"/>
      </w:r>
      <w:r w:rsidRPr="000A0F82">
        <w:rPr>
          <w:rFonts w:hint="eastAsia"/>
          <w:lang w:val="zh-CN" w:eastAsia="zh-CN"/>
        </w:rPr>
        <w:t>号文件，第</w:t>
      </w:r>
      <w:r w:rsidRPr="000A0F82">
        <w:rPr>
          <w:rFonts w:hint="eastAsia"/>
          <w:lang w:val="zh-CN" w:eastAsia="zh-CN"/>
        </w:rPr>
        <w:t>26</w:t>
      </w:r>
      <w:r w:rsidRPr="000A0F82">
        <w:rPr>
          <w:rFonts w:hint="eastAsia"/>
          <w:lang w:val="zh-CN" w:eastAsia="zh-CN"/>
        </w:rPr>
        <w:t>段，附件</w:t>
      </w:r>
      <w:r w:rsidRPr="000A0F82">
        <w:rPr>
          <w:rFonts w:hint="eastAsia"/>
          <w:lang w:val="zh-CN" w:eastAsia="zh-CN"/>
        </w:rPr>
        <w:t>H</w:t>
      </w:r>
      <w:r w:rsidRPr="000A0F82">
        <w:rPr>
          <w:rFonts w:hint="eastAsia"/>
          <w:lang w:val="zh-CN" w:eastAsia="zh-CN"/>
        </w:rPr>
        <w:t>，附件</w:t>
      </w:r>
      <w:r w:rsidRPr="000A0F82">
        <w:rPr>
          <w:rFonts w:hint="eastAsia"/>
          <w:lang w:val="zh-CN" w:eastAsia="zh-CN"/>
        </w:rPr>
        <w:t>A</w:t>
      </w:r>
      <w:r w:rsidRPr="000A0F82">
        <w:rPr>
          <w:rFonts w:hint="eastAsia"/>
          <w:lang w:val="zh-CN" w:eastAsia="zh-CN"/>
        </w:rPr>
        <w:t>和附件</w:t>
      </w:r>
      <w:r w:rsidRPr="000A0F82">
        <w:rPr>
          <w:rFonts w:hint="eastAsia"/>
          <w:lang w:val="zh-CN" w:eastAsia="zh-CN"/>
        </w:rPr>
        <w:t>1</w:t>
      </w:r>
      <w:r w:rsidRPr="000A0F82">
        <w:rPr>
          <w:rFonts w:hint="eastAsia"/>
          <w:lang w:val="zh-CN" w:eastAsia="zh-CN"/>
        </w:rPr>
        <w:t>）。</w:t>
      </w:r>
      <w:r w:rsidR="0020499A" w:rsidRPr="0020499A">
        <w:rPr>
          <w:u w:val="single"/>
          <w:lang w:val="zh-CN" w:eastAsia="zh-CN"/>
        </w:rPr>
        <w:fldChar w:fldCharType="begin"/>
      </w:r>
      <w:r w:rsidR="0020499A" w:rsidRPr="0020499A">
        <w:rPr>
          <w:u w:val="single"/>
          <w:lang w:val="zh-CN" w:eastAsia="zh-CN"/>
        </w:rPr>
        <w:instrText xml:space="preserve"> </w:instrText>
      </w:r>
      <w:r w:rsidR="0020499A" w:rsidRPr="0020499A">
        <w:rPr>
          <w:rFonts w:hint="eastAsia"/>
          <w:u w:val="single"/>
          <w:lang w:val="zh-CN" w:eastAsia="zh-CN"/>
        </w:rPr>
        <w:instrText>HYPERLINK "https://www.itu.int/md/S26-CL-INF-0010/en"</w:instrText>
      </w:r>
      <w:r w:rsidR="0020499A" w:rsidRPr="0020499A">
        <w:rPr>
          <w:u w:val="single"/>
          <w:lang w:val="zh-CN" w:eastAsia="zh-CN"/>
        </w:rPr>
        <w:instrText xml:space="preserve"> </w:instrText>
      </w:r>
      <w:r w:rsidR="0020499A" w:rsidRPr="0020499A">
        <w:rPr>
          <w:u w:val="single"/>
          <w:lang w:val="zh-CN" w:eastAsia="zh-CN"/>
        </w:rPr>
      </w:r>
      <w:r w:rsidR="0020499A" w:rsidRPr="0020499A">
        <w:rPr>
          <w:u w:val="single"/>
          <w:lang w:val="zh-CN" w:eastAsia="zh-CN"/>
        </w:rPr>
        <w:fldChar w:fldCharType="separate"/>
      </w:r>
      <w:r w:rsidRPr="0020499A">
        <w:rPr>
          <w:rStyle w:val="Hyperlink"/>
          <w:rFonts w:eastAsia="SimSun" w:hint="eastAsia"/>
          <w:noProof w:val="0"/>
          <w:u w:val="single"/>
          <w:lang w:val="zh-CN" w:eastAsia="zh-CN"/>
        </w:rPr>
        <w:t>C26/INF/10</w:t>
      </w:r>
      <w:r w:rsidR="0020499A" w:rsidRPr="0020499A">
        <w:rPr>
          <w:u w:val="single"/>
          <w:lang w:val="zh-CN" w:eastAsia="zh-CN"/>
        </w:rPr>
        <w:fldChar w:fldCharType="end"/>
      </w:r>
      <w:r w:rsidRPr="000A0F82">
        <w:rPr>
          <w:rFonts w:hint="eastAsia"/>
          <w:lang w:val="zh-CN" w:eastAsia="zh-CN"/>
        </w:rPr>
        <w:t>号文件提供了审查的背景和</w:t>
      </w:r>
      <w:r>
        <w:rPr>
          <w:rFonts w:hint="eastAsia"/>
          <w:lang w:val="zh-CN" w:eastAsia="zh-CN"/>
        </w:rPr>
        <w:t>情况</w:t>
      </w:r>
      <w:r w:rsidRPr="000A0F82">
        <w:rPr>
          <w:rFonts w:hint="eastAsia"/>
          <w:lang w:val="zh-CN" w:eastAsia="zh-CN"/>
        </w:rPr>
        <w:t>、理事会规定的方法以及审查</w:t>
      </w:r>
      <w:r>
        <w:rPr>
          <w:rFonts w:hint="eastAsia"/>
          <w:lang w:val="zh-CN" w:eastAsia="zh-CN"/>
        </w:rPr>
        <w:t>得出</w:t>
      </w:r>
      <w:r w:rsidRPr="000A0F82">
        <w:rPr>
          <w:rFonts w:hint="eastAsia"/>
          <w:lang w:val="zh-CN" w:eastAsia="zh-CN"/>
        </w:rPr>
        <w:t>的详细</w:t>
      </w:r>
      <w:r>
        <w:rPr>
          <w:rFonts w:hint="eastAsia"/>
          <w:lang w:val="zh-CN" w:eastAsia="zh-CN"/>
        </w:rPr>
        <w:t>结论</w:t>
      </w:r>
      <w:r w:rsidRPr="000A0F82">
        <w:rPr>
          <w:rFonts w:hint="eastAsia"/>
          <w:lang w:val="zh-CN" w:eastAsia="zh-CN"/>
        </w:rPr>
        <w:t>。</w:t>
      </w:r>
      <w:hyperlink r:id="rId14"/>
      <w:hyperlink r:id="rId15"/>
    </w:p>
    <w:p w14:paraId="7B3F736E" w14:textId="77777777" w:rsidR="00D75AB1" w:rsidRPr="00554552" w:rsidRDefault="00D75AB1" w:rsidP="00975CF0">
      <w:pPr>
        <w:pStyle w:val="Heading1"/>
      </w:pPr>
      <w:r>
        <w:t>1</w:t>
      </w:r>
      <w:r>
        <w:tab/>
      </w:r>
      <w:r>
        <w:t>背景</w:t>
      </w:r>
    </w:p>
    <w:p w14:paraId="4C3C305B" w14:textId="11E6CD29" w:rsidR="00D75AB1" w:rsidRPr="00DB101C" w:rsidRDefault="00D75AB1" w:rsidP="00D75AB1">
      <w:pPr>
        <w:rPr>
          <w:lang w:eastAsia="zh-CN"/>
        </w:rPr>
      </w:pPr>
      <w:r>
        <w:rPr>
          <w:lang w:val="zh-CN" w:eastAsia="zh-CN"/>
        </w:rPr>
        <w:t>1.1</w:t>
      </w:r>
      <w:r>
        <w:rPr>
          <w:lang w:val="zh-CN" w:eastAsia="zh-CN"/>
        </w:rPr>
        <w:tab/>
      </w:r>
      <w:r>
        <w:rPr>
          <w:lang w:val="zh-CN" w:eastAsia="zh-CN"/>
        </w:rPr>
        <w:t>理事会财务和人力资源工作组（</w:t>
      </w:r>
      <w:r>
        <w:rPr>
          <w:lang w:val="zh-CN" w:eastAsia="zh-CN"/>
        </w:rPr>
        <w:t>CWG-FHR</w:t>
      </w:r>
      <w:r>
        <w:rPr>
          <w:lang w:val="zh-CN" w:eastAsia="zh-CN"/>
        </w:rPr>
        <w:t>）在其第</w:t>
      </w:r>
      <w:r>
        <w:rPr>
          <w:lang w:val="zh-CN" w:eastAsia="zh-CN"/>
        </w:rPr>
        <w:t>19</w:t>
      </w:r>
      <w:r>
        <w:rPr>
          <w:lang w:val="zh-CN" w:eastAsia="zh-CN"/>
        </w:rPr>
        <w:t>次会议（</w:t>
      </w:r>
      <w:r>
        <w:rPr>
          <w:lang w:val="zh-CN" w:eastAsia="zh-CN"/>
        </w:rPr>
        <w:t>2024</w:t>
      </w:r>
      <w:r>
        <w:rPr>
          <w:lang w:val="zh-CN" w:eastAsia="zh-CN"/>
        </w:rPr>
        <w:t>年</w:t>
      </w:r>
      <w:r>
        <w:rPr>
          <w:lang w:val="zh-CN" w:eastAsia="zh-CN"/>
        </w:rPr>
        <w:t>9</w:t>
      </w:r>
      <w:r>
        <w:rPr>
          <w:lang w:val="zh-CN" w:eastAsia="zh-CN"/>
        </w:rPr>
        <w:t>月</w:t>
      </w:r>
      <w:r>
        <w:rPr>
          <w:lang w:val="zh-CN" w:eastAsia="zh-CN"/>
        </w:rPr>
        <w:t>30</w:t>
      </w:r>
      <w:r>
        <w:rPr>
          <w:lang w:val="zh-CN" w:eastAsia="zh-CN"/>
        </w:rPr>
        <w:t>日至</w:t>
      </w:r>
      <w:r>
        <w:rPr>
          <w:lang w:val="zh-CN" w:eastAsia="zh-CN"/>
        </w:rPr>
        <w:t>10</w:t>
      </w:r>
      <w:r>
        <w:rPr>
          <w:lang w:val="zh-CN" w:eastAsia="zh-CN"/>
        </w:rPr>
        <w:t>月</w:t>
      </w:r>
      <w:r>
        <w:rPr>
          <w:lang w:val="zh-CN" w:eastAsia="zh-CN"/>
        </w:rPr>
        <w:t>11</w:t>
      </w:r>
      <w:r>
        <w:rPr>
          <w:lang w:val="zh-CN" w:eastAsia="zh-CN"/>
        </w:rPr>
        <w:t>日）上成立了一个在线信函通信组（</w:t>
      </w:r>
      <w:r>
        <w:rPr>
          <w:lang w:val="zh-CN" w:eastAsia="zh-CN"/>
        </w:rPr>
        <w:t>OCG</w:t>
      </w:r>
      <w:r>
        <w:rPr>
          <w:lang w:val="zh-CN" w:eastAsia="zh-CN"/>
        </w:rPr>
        <w:t>），以起草全权代表大会关于加强国际电联区域代表处作用的</w:t>
      </w:r>
      <w:r w:rsidR="0020499A" w:rsidRPr="0020499A">
        <w:rPr>
          <w:u w:val="single"/>
          <w:lang w:val="zh-CN" w:eastAsia="zh-CN"/>
        </w:rPr>
        <w:fldChar w:fldCharType="begin"/>
      </w:r>
      <w:r w:rsidR="0020499A" w:rsidRPr="0020499A">
        <w:rPr>
          <w:u w:val="single"/>
          <w:lang w:val="zh-CN" w:eastAsia="zh-CN"/>
        </w:rPr>
        <w:instrText xml:space="preserve"> HYPERLINK "https://www.itu.int/en/council/Documents/basic-texts-2023/RES-025-C.pdf" </w:instrText>
      </w:r>
      <w:r w:rsidR="0020499A" w:rsidRPr="0020499A">
        <w:rPr>
          <w:u w:val="single"/>
          <w:lang w:val="zh-CN" w:eastAsia="zh-CN"/>
        </w:rPr>
      </w:r>
      <w:r w:rsidR="0020499A" w:rsidRPr="0020499A">
        <w:rPr>
          <w:u w:val="single"/>
          <w:lang w:val="zh-CN" w:eastAsia="zh-CN"/>
        </w:rPr>
        <w:fldChar w:fldCharType="separate"/>
      </w:r>
      <w:r w:rsidRPr="0020499A">
        <w:rPr>
          <w:rStyle w:val="Hyperlink"/>
          <w:rFonts w:eastAsia="SimSun"/>
          <w:noProof w:val="0"/>
          <w:u w:val="single"/>
          <w:lang w:val="zh-CN" w:eastAsia="zh-CN"/>
        </w:rPr>
        <w:t>第</w:t>
      </w:r>
      <w:r w:rsidRPr="0020499A">
        <w:rPr>
          <w:rStyle w:val="Hyperlink"/>
          <w:rFonts w:eastAsia="SimSun"/>
          <w:noProof w:val="0"/>
          <w:u w:val="single"/>
          <w:lang w:val="zh-CN" w:eastAsia="zh-CN"/>
        </w:rPr>
        <w:t>25</w:t>
      </w:r>
      <w:r w:rsidRPr="0020499A">
        <w:rPr>
          <w:rStyle w:val="Hyperlink"/>
          <w:rFonts w:eastAsia="SimSun"/>
          <w:noProof w:val="0"/>
          <w:u w:val="single"/>
          <w:lang w:val="zh-CN" w:eastAsia="zh-CN"/>
        </w:rPr>
        <w:t>号决议（</w:t>
      </w:r>
      <w:r w:rsidRPr="0020499A">
        <w:rPr>
          <w:rStyle w:val="Hyperlink"/>
          <w:rFonts w:eastAsia="SimSun"/>
          <w:noProof w:val="0"/>
          <w:u w:val="single"/>
          <w:lang w:val="zh-CN" w:eastAsia="zh-CN"/>
        </w:rPr>
        <w:t>2022</w:t>
      </w:r>
      <w:r w:rsidRPr="0020499A">
        <w:rPr>
          <w:rStyle w:val="Hyperlink"/>
          <w:rFonts w:eastAsia="SimSun"/>
          <w:noProof w:val="0"/>
          <w:u w:val="single"/>
          <w:lang w:val="zh-CN" w:eastAsia="zh-CN"/>
        </w:rPr>
        <w:t>年，布加勒斯特，修订版）</w:t>
      </w:r>
      <w:r w:rsidR="0020499A" w:rsidRPr="0020499A">
        <w:rPr>
          <w:u w:val="single"/>
          <w:lang w:val="zh-CN" w:eastAsia="zh-CN"/>
        </w:rPr>
        <w:fldChar w:fldCharType="end"/>
      </w:r>
      <w:r>
        <w:rPr>
          <w:lang w:val="zh-CN" w:eastAsia="zh-CN"/>
        </w:rPr>
        <w:t>要求的审查区域代表处的职责范围（</w:t>
      </w:r>
      <w:r>
        <w:rPr>
          <w:lang w:val="zh-CN" w:eastAsia="zh-CN"/>
        </w:rPr>
        <w:t>ToR</w:t>
      </w:r>
      <w:r>
        <w:rPr>
          <w:lang w:val="zh-CN" w:eastAsia="zh-CN"/>
        </w:rPr>
        <w:t>）。</w:t>
      </w:r>
      <w:r w:rsidR="004A2DF9">
        <w:fldChar w:fldCharType="begin"/>
      </w:r>
      <w:r w:rsidR="004A2DF9">
        <w:rPr>
          <w:lang w:eastAsia="zh-CN"/>
        </w:rPr>
        <w:instrText xml:space="preserve"> HYPERLINK "https://www.itu.int/en/council/Documents/basic-texts-2023/RES-025-E.pdf" </w:instrText>
      </w:r>
      <w:r w:rsidR="004A2DF9">
        <w:fldChar w:fldCharType="separate"/>
      </w:r>
      <w:r w:rsidR="004A2DF9">
        <w:fldChar w:fldCharType="end"/>
      </w:r>
    </w:p>
    <w:p w14:paraId="3C17F464" w14:textId="77777777" w:rsidR="00D75AB1" w:rsidRPr="00DB101C" w:rsidRDefault="00D75AB1" w:rsidP="00D75AB1">
      <w:pPr>
        <w:rPr>
          <w:lang w:eastAsia="zh-CN"/>
        </w:rPr>
      </w:pPr>
      <w:r>
        <w:rPr>
          <w:lang w:val="zh-CN" w:eastAsia="zh-CN"/>
        </w:rPr>
        <w:t>1.2</w:t>
      </w:r>
      <w:r>
        <w:rPr>
          <w:lang w:val="zh-CN" w:eastAsia="zh-CN"/>
        </w:rPr>
        <w:tab/>
      </w:r>
      <w:r>
        <w:rPr>
          <w:lang w:val="zh-CN" w:eastAsia="zh-CN"/>
        </w:rPr>
        <w:t>根据该决议的</w:t>
      </w:r>
      <w:r w:rsidRPr="004B20F3">
        <w:rPr>
          <w:rFonts w:ascii="STKaiti" w:eastAsia="STKaiti" w:hAnsi="STKaiti"/>
          <w:lang w:val="zh-CN" w:eastAsia="zh-CN"/>
        </w:rPr>
        <w:t>责成</w:t>
      </w:r>
      <w:r>
        <w:rPr>
          <w:lang w:val="zh-CN" w:eastAsia="zh-CN"/>
        </w:rPr>
        <w:t>4</w:t>
      </w:r>
      <w:r>
        <w:rPr>
          <w:lang w:val="zh-CN" w:eastAsia="zh-CN"/>
        </w:rPr>
        <w:t>，</w:t>
      </w:r>
      <w:r>
        <w:rPr>
          <w:rFonts w:hint="eastAsia"/>
          <w:lang w:val="zh-CN" w:eastAsia="zh-CN"/>
        </w:rPr>
        <w:t>要求</w:t>
      </w:r>
      <w:r>
        <w:rPr>
          <w:lang w:val="zh-CN" w:eastAsia="zh-CN"/>
        </w:rPr>
        <w:t>秘书长：</w:t>
      </w:r>
    </w:p>
    <w:p w14:paraId="7E07784A" w14:textId="77777777" w:rsidR="00D75AB1" w:rsidRPr="00DB101C" w:rsidRDefault="00D75AB1" w:rsidP="00D75AB1">
      <w:pPr>
        <w:pStyle w:val="enumlev1"/>
        <w:rPr>
          <w:lang w:eastAsia="zh-CN"/>
        </w:rPr>
      </w:pPr>
      <w:r>
        <w:rPr>
          <w:lang w:val="zh-CN" w:eastAsia="zh-CN"/>
        </w:rPr>
        <w:tab/>
      </w:r>
      <w:r>
        <w:rPr>
          <w:rFonts w:hint="eastAsia"/>
          <w:lang w:val="zh-CN" w:eastAsia="zh-CN"/>
        </w:rPr>
        <w:t>“</w:t>
      </w:r>
      <w:r w:rsidRPr="004B20F3">
        <w:rPr>
          <w:rFonts w:hint="eastAsia"/>
          <w:lang w:val="zh-CN" w:eastAsia="zh-CN"/>
        </w:rPr>
        <w:t>在现有财务资源范围内，每四年开展一次各成员国、部门成员和区域性电信组织对国际电联区域代表处作用的满意度调查，并将调查结果纳入在提交给每届全权代表大会之前召开的理事会会议的报告中</w:t>
      </w:r>
      <w:r>
        <w:rPr>
          <w:rFonts w:hint="eastAsia"/>
          <w:lang w:val="zh-CN" w:eastAsia="zh-CN"/>
        </w:rPr>
        <w:t>”</w:t>
      </w:r>
      <w:r>
        <w:rPr>
          <w:lang w:val="zh-CN" w:eastAsia="zh-CN"/>
        </w:rPr>
        <w:t>。</w:t>
      </w:r>
    </w:p>
    <w:p w14:paraId="7F9EB886" w14:textId="058D263C" w:rsidR="00D75AB1" w:rsidRPr="00DB101C" w:rsidRDefault="00D75AB1" w:rsidP="00D75AB1">
      <w:pPr>
        <w:rPr>
          <w:spacing w:val="-3"/>
          <w:lang w:eastAsia="zh-CN"/>
        </w:rPr>
      </w:pPr>
      <w:r>
        <w:rPr>
          <w:lang w:val="zh-CN" w:eastAsia="zh-CN"/>
        </w:rPr>
        <w:t>1.3</w:t>
      </w:r>
      <w:r>
        <w:rPr>
          <w:lang w:val="zh-CN" w:eastAsia="zh-CN"/>
        </w:rPr>
        <w:tab/>
        <w:t>CWG-FHR</w:t>
      </w:r>
      <w:r>
        <w:rPr>
          <w:lang w:val="zh-CN" w:eastAsia="zh-CN"/>
        </w:rPr>
        <w:t>第</w:t>
      </w:r>
      <w:r>
        <w:rPr>
          <w:lang w:val="zh-CN" w:eastAsia="zh-CN"/>
        </w:rPr>
        <w:t>20</w:t>
      </w:r>
      <w:r>
        <w:rPr>
          <w:lang w:val="zh-CN" w:eastAsia="zh-CN"/>
        </w:rPr>
        <w:t>次会议（</w:t>
      </w:r>
      <w:r>
        <w:rPr>
          <w:lang w:val="zh-CN" w:eastAsia="zh-CN"/>
        </w:rPr>
        <w:t>2025</w:t>
      </w:r>
      <w:r>
        <w:rPr>
          <w:lang w:val="zh-CN" w:eastAsia="zh-CN"/>
        </w:rPr>
        <w:t>年</w:t>
      </w:r>
      <w:r>
        <w:rPr>
          <w:lang w:val="zh-CN" w:eastAsia="zh-CN"/>
        </w:rPr>
        <w:t>2</w:t>
      </w:r>
      <w:r>
        <w:rPr>
          <w:lang w:val="zh-CN" w:eastAsia="zh-CN"/>
        </w:rPr>
        <w:t>月</w:t>
      </w:r>
      <w:r>
        <w:rPr>
          <w:lang w:val="zh-CN" w:eastAsia="zh-CN"/>
        </w:rPr>
        <w:t>10</w:t>
      </w:r>
      <w:r>
        <w:rPr>
          <w:lang w:val="zh-CN" w:eastAsia="zh-CN"/>
        </w:rPr>
        <w:t>日至</w:t>
      </w:r>
      <w:r>
        <w:rPr>
          <w:lang w:val="zh-CN" w:eastAsia="zh-CN"/>
        </w:rPr>
        <w:t>21</w:t>
      </w:r>
      <w:r>
        <w:rPr>
          <w:lang w:val="zh-CN" w:eastAsia="zh-CN"/>
        </w:rPr>
        <w:t>日）</w:t>
      </w:r>
      <w:r>
        <w:rPr>
          <w:rFonts w:hint="eastAsia"/>
          <w:lang w:val="zh-CN" w:eastAsia="zh-CN"/>
        </w:rPr>
        <w:t>审查</w:t>
      </w:r>
      <w:r>
        <w:rPr>
          <w:lang w:val="zh-CN" w:eastAsia="zh-CN"/>
        </w:rPr>
        <w:t>了经修订的职责范围。这些会议报告见</w:t>
      </w:r>
      <w:hyperlink r:id="rId16" w:history="1">
        <w:r w:rsidRPr="0020499A">
          <w:rPr>
            <w:rStyle w:val="Hyperlink"/>
            <w:rFonts w:eastAsia="SimSun"/>
            <w:noProof w:val="0"/>
            <w:u w:val="single"/>
            <w:lang w:val="zh-CN" w:eastAsia="zh-CN"/>
          </w:rPr>
          <w:t>CWG-FHR-19/15</w:t>
        </w:r>
      </w:hyperlink>
      <w:r>
        <w:rPr>
          <w:lang w:val="zh-CN" w:eastAsia="zh-CN"/>
        </w:rPr>
        <w:t>和</w:t>
      </w:r>
      <w:hyperlink r:id="rId17" w:history="1">
        <w:r w:rsidRPr="0020499A">
          <w:rPr>
            <w:rStyle w:val="Hyperlink"/>
            <w:rFonts w:eastAsia="SimSun"/>
            <w:noProof w:val="0"/>
            <w:u w:val="single"/>
            <w:lang w:val="zh-CN" w:eastAsia="zh-CN"/>
          </w:rPr>
          <w:t>CWG-FHR-20/32</w:t>
        </w:r>
      </w:hyperlink>
      <w:r>
        <w:rPr>
          <w:lang w:val="zh-CN" w:eastAsia="zh-CN"/>
        </w:rPr>
        <w:t>号文件。</w:t>
      </w:r>
      <w:hyperlink r:id="rId18" w:history="1"/>
      <w:hyperlink r:id="rId19"/>
    </w:p>
    <w:p w14:paraId="0719E073" w14:textId="77777777" w:rsidR="00D75AB1" w:rsidRPr="00DB101C" w:rsidRDefault="00D75AB1" w:rsidP="00D75AB1">
      <w:pPr>
        <w:rPr>
          <w:lang w:eastAsia="zh-CN"/>
        </w:rPr>
      </w:pPr>
      <w:r>
        <w:rPr>
          <w:lang w:val="zh-CN" w:eastAsia="zh-CN"/>
        </w:rPr>
        <w:t>1.4</w:t>
      </w:r>
      <w:r>
        <w:rPr>
          <w:lang w:val="zh-CN" w:eastAsia="zh-CN"/>
        </w:rPr>
        <w:tab/>
      </w:r>
      <w:r>
        <w:rPr>
          <w:lang w:eastAsia="zh-CN"/>
        </w:rPr>
        <w:t>经慎重考虑，</w:t>
      </w:r>
      <w:r>
        <w:rPr>
          <w:lang w:val="zh-CN" w:eastAsia="zh-CN"/>
        </w:rPr>
        <w:t>理事会</w:t>
      </w:r>
      <w:r>
        <w:rPr>
          <w:lang w:val="zh-CN" w:eastAsia="zh-CN"/>
        </w:rPr>
        <w:t>2025</w:t>
      </w:r>
      <w:r>
        <w:rPr>
          <w:lang w:val="zh-CN" w:eastAsia="zh-CN"/>
        </w:rPr>
        <w:t>年会议</w:t>
      </w:r>
      <w:r>
        <w:rPr>
          <w:lang w:eastAsia="zh-CN"/>
        </w:rPr>
        <w:t>向国际电信联盟（</w:t>
      </w:r>
      <w:r>
        <w:rPr>
          <w:lang w:val="zh-CN" w:eastAsia="zh-CN"/>
        </w:rPr>
        <w:t>国际电联</w:t>
      </w:r>
      <w:r>
        <w:rPr>
          <w:lang w:eastAsia="zh-CN"/>
        </w:rPr>
        <w:t>）秘书处和电信发展局（</w:t>
      </w:r>
      <w:r>
        <w:rPr>
          <w:lang w:eastAsia="zh-CN"/>
        </w:rPr>
        <w:t>BDT</w:t>
      </w:r>
      <w:r>
        <w:rPr>
          <w:lang w:eastAsia="zh-CN"/>
        </w:rPr>
        <w:t>）下达了以下指示</w:t>
      </w:r>
      <w:r>
        <w:rPr>
          <w:rFonts w:ascii="SimSun" w:hAnsi="SimSun" w:cs="SimSun" w:hint="eastAsia"/>
          <w:lang w:eastAsia="zh-CN"/>
        </w:rPr>
        <w:t>：</w:t>
      </w:r>
    </w:p>
    <w:p w14:paraId="06C44152" w14:textId="21EFF21F" w:rsidR="00D75AB1" w:rsidRPr="00DB101C" w:rsidRDefault="00D75AB1" w:rsidP="00D75AB1">
      <w:pPr>
        <w:pStyle w:val="enumlev1"/>
        <w:rPr>
          <w:lang w:eastAsia="zh-CN"/>
        </w:rPr>
      </w:pPr>
      <w:r>
        <w:rPr>
          <w:lang w:val="zh-CN" w:eastAsia="zh-CN"/>
        </w:rPr>
        <w:t>a)</w:t>
      </w:r>
      <w:r>
        <w:rPr>
          <w:lang w:val="zh-CN" w:eastAsia="zh-CN"/>
        </w:rPr>
        <w:tab/>
      </w:r>
      <w:r>
        <w:rPr>
          <w:lang w:val="zh-CN" w:eastAsia="zh-CN"/>
        </w:rPr>
        <w:t>对国际电联区域代表处的审查将由秘书长进行，并由跨部门任务组提供支持。任务组由三个局的主任及其提名人和国际电联区域</w:t>
      </w:r>
      <w:r>
        <w:rPr>
          <w:rFonts w:hint="eastAsia"/>
          <w:lang w:val="zh-CN" w:eastAsia="zh-CN"/>
        </w:rPr>
        <w:t>代表处</w:t>
      </w:r>
      <w:r>
        <w:rPr>
          <w:lang w:val="zh-CN" w:eastAsia="zh-CN"/>
        </w:rPr>
        <w:t>主任组成，并由国际电联副秘书长主持。</w:t>
      </w:r>
    </w:p>
    <w:p w14:paraId="320A9A57" w14:textId="77777777" w:rsidR="00D75AB1" w:rsidRPr="00DB101C" w:rsidRDefault="00D75AB1" w:rsidP="00D75AB1">
      <w:pPr>
        <w:pStyle w:val="enumlev1"/>
        <w:rPr>
          <w:lang w:eastAsia="zh-CN"/>
        </w:rPr>
      </w:pPr>
      <w:r>
        <w:rPr>
          <w:lang w:val="zh-CN" w:eastAsia="zh-CN"/>
        </w:rPr>
        <w:t>b)</w:t>
      </w:r>
      <w:r>
        <w:rPr>
          <w:lang w:val="zh-CN" w:eastAsia="zh-CN"/>
        </w:rPr>
        <w:tab/>
      </w:r>
      <w:r>
        <w:rPr>
          <w:lang w:val="zh-CN" w:eastAsia="zh-CN"/>
        </w:rPr>
        <w:t>审查将在已批准的国际电联预算和国际电联现有人力资源范围内进行。将不聘请外部顾问。</w:t>
      </w:r>
    </w:p>
    <w:p w14:paraId="5BCFD43F" w14:textId="77777777" w:rsidR="00D75AB1" w:rsidRPr="00DB101C" w:rsidRDefault="00D75AB1" w:rsidP="00D75AB1">
      <w:pPr>
        <w:pStyle w:val="enumlev1"/>
        <w:rPr>
          <w:lang w:eastAsia="zh-CN"/>
        </w:rPr>
      </w:pPr>
      <w:r>
        <w:rPr>
          <w:lang w:val="zh-CN" w:eastAsia="zh-CN"/>
        </w:rPr>
        <w:t>c)</w:t>
      </w:r>
      <w:r>
        <w:rPr>
          <w:lang w:val="zh-CN" w:eastAsia="zh-CN"/>
        </w:rPr>
        <w:tab/>
      </w:r>
      <w:r>
        <w:rPr>
          <w:lang w:val="zh-CN" w:eastAsia="zh-CN"/>
        </w:rPr>
        <w:t>跨部门任务组在审查期间将主要依赖电信发展局的输入意见。电信发展局须负责开展第</w:t>
      </w:r>
      <w:r>
        <w:rPr>
          <w:lang w:val="zh-CN" w:eastAsia="zh-CN"/>
        </w:rPr>
        <w:t>2</w:t>
      </w:r>
      <w:r>
        <w:rPr>
          <w:lang w:val="zh-CN" w:eastAsia="zh-CN"/>
        </w:rPr>
        <w:t>阶段（数据收集和</w:t>
      </w:r>
      <w:r>
        <w:rPr>
          <w:rFonts w:hint="eastAsia"/>
          <w:lang w:val="zh-CN" w:eastAsia="zh-CN"/>
        </w:rPr>
        <w:t>初始</w:t>
      </w:r>
      <w:r>
        <w:rPr>
          <w:lang w:val="zh-CN" w:eastAsia="zh-CN"/>
        </w:rPr>
        <w:t>分析）</w:t>
      </w:r>
      <w:r>
        <w:rPr>
          <w:rFonts w:hint="eastAsia"/>
          <w:lang w:val="zh-CN" w:eastAsia="zh-CN"/>
        </w:rPr>
        <w:t>的</w:t>
      </w:r>
      <w:r>
        <w:rPr>
          <w:lang w:val="zh-CN" w:eastAsia="zh-CN"/>
        </w:rPr>
        <w:t>审查</w:t>
      </w:r>
      <w:r>
        <w:rPr>
          <w:rFonts w:hint="eastAsia"/>
          <w:lang w:val="zh-CN" w:eastAsia="zh-CN"/>
        </w:rPr>
        <w:t>工作</w:t>
      </w:r>
      <w:r>
        <w:rPr>
          <w:lang w:val="zh-CN" w:eastAsia="zh-CN"/>
        </w:rPr>
        <w:t>（有关四个阶段的说明见以下第</w:t>
      </w:r>
      <w:r>
        <w:rPr>
          <w:lang w:val="zh-CN" w:eastAsia="zh-CN"/>
        </w:rPr>
        <w:t>2</w:t>
      </w:r>
      <w:r>
        <w:rPr>
          <w:lang w:val="zh-CN" w:eastAsia="zh-CN"/>
        </w:rPr>
        <w:t>节）。</w:t>
      </w:r>
    </w:p>
    <w:p w14:paraId="4F0E4A28" w14:textId="77777777" w:rsidR="00D75AB1" w:rsidRPr="00DB101C" w:rsidRDefault="00D75AB1" w:rsidP="00D75AB1">
      <w:pPr>
        <w:pStyle w:val="enumlev1"/>
        <w:rPr>
          <w:lang w:eastAsia="zh-CN"/>
        </w:rPr>
      </w:pPr>
      <w:r>
        <w:rPr>
          <w:lang w:val="zh-CN" w:eastAsia="zh-CN"/>
        </w:rPr>
        <w:t>d)</w:t>
      </w:r>
      <w:r>
        <w:rPr>
          <w:lang w:val="zh-CN" w:eastAsia="zh-CN"/>
        </w:rPr>
        <w:tab/>
      </w:r>
      <w:r>
        <w:rPr>
          <w:lang w:val="zh-CN" w:eastAsia="zh-CN"/>
        </w:rPr>
        <w:t>成员国的参与被确定为审查工作的一个关键组成部分。秘书长将根据需要向</w:t>
      </w:r>
      <w:r>
        <w:rPr>
          <w:lang w:val="zh-CN" w:eastAsia="zh-CN"/>
        </w:rPr>
        <w:t>CWG-FHR</w:t>
      </w:r>
      <w:r>
        <w:rPr>
          <w:lang w:val="zh-CN" w:eastAsia="zh-CN"/>
        </w:rPr>
        <w:t>和国际电联理事会报告审查的实施情况。</w:t>
      </w:r>
    </w:p>
    <w:p w14:paraId="723FAF21" w14:textId="77777777" w:rsidR="00D75AB1" w:rsidRPr="00DB101C" w:rsidRDefault="00D75AB1" w:rsidP="00D75AB1">
      <w:pPr>
        <w:rPr>
          <w:lang w:eastAsia="zh-CN"/>
        </w:rPr>
      </w:pPr>
      <w:r>
        <w:rPr>
          <w:lang w:val="zh-CN" w:eastAsia="zh-CN"/>
        </w:rPr>
        <w:t>1.5</w:t>
      </w:r>
      <w:r>
        <w:rPr>
          <w:lang w:val="zh-CN" w:eastAsia="zh-CN"/>
        </w:rPr>
        <w:tab/>
      </w:r>
      <w:r>
        <w:rPr>
          <w:lang w:val="zh-CN" w:eastAsia="zh-CN"/>
        </w:rPr>
        <w:t>成立了一个审查区域代表处作用的跨部门任务组（</w:t>
      </w:r>
      <w:r>
        <w:rPr>
          <w:lang w:val="zh-CN" w:eastAsia="zh-CN"/>
        </w:rPr>
        <w:t>ISTF</w:t>
      </w:r>
      <w:r>
        <w:rPr>
          <w:lang w:val="zh-CN" w:eastAsia="zh-CN"/>
        </w:rPr>
        <w:t>），由副秘书长担任主席，成员包括三个局的主任、区域代表处主任以及来自发展局、无线电通信局和标准化局以及总秘书处的其他代表。</w:t>
      </w:r>
    </w:p>
    <w:p w14:paraId="102E7396" w14:textId="77777777" w:rsidR="00D75AB1" w:rsidRPr="00554552" w:rsidRDefault="00D75AB1" w:rsidP="00975CF0">
      <w:pPr>
        <w:pStyle w:val="Heading1"/>
      </w:pPr>
      <w:r w:rsidRPr="00E51A8D">
        <w:t>2</w:t>
      </w:r>
      <w:r w:rsidRPr="00E51A8D">
        <w:tab/>
      </w:r>
      <w:r w:rsidRPr="00E51A8D">
        <w:t>审查结构、时间表和可交付成果</w:t>
      </w:r>
    </w:p>
    <w:p w14:paraId="6114F8DD" w14:textId="0437089F" w:rsidR="00D75AB1" w:rsidRPr="00DB101C" w:rsidRDefault="00D75AB1" w:rsidP="00D75AB1">
      <w:pPr>
        <w:rPr>
          <w:rFonts w:asciiTheme="minorHAnsi" w:hAnsiTheme="minorHAnsi" w:cstheme="minorBidi"/>
          <w:lang w:eastAsia="zh-CN"/>
        </w:rPr>
      </w:pPr>
      <w:r>
        <w:rPr>
          <w:lang w:val="zh-CN" w:eastAsia="zh-CN"/>
        </w:rPr>
        <w:t>2.1</w:t>
      </w:r>
      <w:r>
        <w:rPr>
          <w:lang w:val="zh-CN" w:eastAsia="zh-CN"/>
        </w:rPr>
        <w:tab/>
      </w:r>
      <w:r>
        <w:rPr>
          <w:lang w:val="zh-CN" w:eastAsia="zh-CN"/>
        </w:rPr>
        <w:t>审查历时</w:t>
      </w:r>
      <w:r>
        <w:rPr>
          <w:lang w:val="zh-CN" w:eastAsia="zh-CN"/>
        </w:rPr>
        <w:t>10</w:t>
      </w:r>
      <w:r>
        <w:rPr>
          <w:lang w:val="zh-CN" w:eastAsia="zh-CN"/>
        </w:rPr>
        <w:t>个月，从</w:t>
      </w:r>
      <w:r>
        <w:rPr>
          <w:lang w:val="zh-CN" w:eastAsia="zh-CN"/>
        </w:rPr>
        <w:t>2025</w:t>
      </w:r>
      <w:r>
        <w:rPr>
          <w:lang w:val="zh-CN" w:eastAsia="zh-CN"/>
        </w:rPr>
        <w:t>年</w:t>
      </w:r>
      <w:r>
        <w:rPr>
          <w:lang w:val="zh-CN" w:eastAsia="zh-CN"/>
        </w:rPr>
        <w:t>7</w:t>
      </w:r>
      <w:r>
        <w:rPr>
          <w:lang w:val="zh-CN" w:eastAsia="zh-CN"/>
        </w:rPr>
        <w:t>月至</w:t>
      </w:r>
      <w:r>
        <w:rPr>
          <w:lang w:val="zh-CN" w:eastAsia="zh-CN"/>
        </w:rPr>
        <w:t>2026</w:t>
      </w:r>
      <w:r>
        <w:rPr>
          <w:lang w:val="zh-CN" w:eastAsia="zh-CN"/>
        </w:rPr>
        <w:t>年</w:t>
      </w:r>
      <w:r>
        <w:rPr>
          <w:lang w:val="zh-CN" w:eastAsia="zh-CN"/>
        </w:rPr>
        <w:t>4</w:t>
      </w:r>
      <w:r>
        <w:rPr>
          <w:lang w:val="zh-CN" w:eastAsia="zh-CN"/>
        </w:rPr>
        <w:t>月，分为四个阶段，如</w:t>
      </w:r>
      <w:hyperlink r:id="rId20" w:history="1">
        <w:r w:rsidRPr="0020499A">
          <w:rPr>
            <w:rStyle w:val="Hyperlink"/>
            <w:rFonts w:eastAsia="SimSun"/>
            <w:noProof w:val="0"/>
            <w:u w:val="single"/>
            <w:lang w:val="zh-CN" w:eastAsia="zh-CN"/>
          </w:rPr>
          <w:t>C25/69</w:t>
        </w:r>
        <w:r w:rsidR="0020499A" w:rsidRPr="0020499A">
          <w:rPr>
            <w:rStyle w:val="Hyperlink"/>
            <w:rFonts w:eastAsia="SimSun" w:hint="eastAsia"/>
            <w:noProof w:val="0"/>
            <w:u w:val="single"/>
            <w:lang w:val="zh-CN" w:eastAsia="zh-CN"/>
          </w:rPr>
          <w:t>(</w:t>
        </w:r>
        <w:r w:rsidRPr="0020499A">
          <w:rPr>
            <w:rStyle w:val="Hyperlink"/>
            <w:rFonts w:eastAsia="SimSun"/>
            <w:noProof w:val="0"/>
            <w:u w:val="single"/>
            <w:lang w:val="zh-CN" w:eastAsia="zh-CN"/>
          </w:rPr>
          <w:t>Rev.1</w:t>
        </w:r>
        <w:r w:rsidR="0020499A" w:rsidRPr="0020499A">
          <w:rPr>
            <w:rStyle w:val="Hyperlink"/>
            <w:rFonts w:eastAsia="SimSun" w:hint="eastAsia"/>
            <w:noProof w:val="0"/>
            <w:u w:val="single"/>
            <w:lang w:val="zh-CN" w:eastAsia="zh-CN"/>
          </w:rPr>
          <w:t>)</w:t>
        </w:r>
      </w:hyperlink>
      <w:r>
        <w:rPr>
          <w:lang w:val="zh-CN" w:eastAsia="zh-CN"/>
        </w:rPr>
        <w:t>号文件所述，</w:t>
      </w:r>
      <w:r>
        <w:rPr>
          <w:rFonts w:hint="eastAsia"/>
          <w:lang w:val="zh-CN" w:eastAsia="zh-CN"/>
        </w:rPr>
        <w:t>摘要</w:t>
      </w:r>
      <w:r>
        <w:rPr>
          <w:lang w:val="zh-CN" w:eastAsia="zh-CN"/>
        </w:rPr>
        <w:t>如下表所示。根据在世界电信发展大会期间召开的特别会议上收到的输入意见，对时间安排进行了调整。</w:t>
      </w:r>
      <w:hyperlink r:id="rId21"/>
    </w:p>
    <w:p w14:paraId="7C9C190A" w14:textId="77777777" w:rsidR="00D75AB1" w:rsidRPr="00DB101C" w:rsidRDefault="00D75AB1" w:rsidP="00D75AB1">
      <w:pPr>
        <w:spacing w:before="0"/>
        <w:rPr>
          <w:rFonts w:asciiTheme="minorHAnsi" w:hAnsiTheme="minorHAnsi" w:cstheme="minorBidi"/>
          <w:lang w:eastAsia="zh-CN"/>
        </w:rPr>
      </w:pPr>
    </w:p>
    <w:tbl>
      <w:tblPr>
        <w:tblStyle w:val="TableGrid1"/>
        <w:tblW w:w="0" w:type="auto"/>
        <w:tblLayout w:type="fixed"/>
        <w:tblLook w:val="04A0" w:firstRow="1" w:lastRow="0" w:firstColumn="1" w:lastColumn="0" w:noHBand="0" w:noVBand="1"/>
      </w:tblPr>
      <w:tblGrid>
        <w:gridCol w:w="1635"/>
        <w:gridCol w:w="1951"/>
        <w:gridCol w:w="5479"/>
      </w:tblGrid>
      <w:tr w:rsidR="00D75AB1" w:rsidRPr="00A074AB" w14:paraId="3D44DFA0" w14:textId="77777777" w:rsidTr="00A26DEC">
        <w:trPr>
          <w:trHeight w:val="300"/>
        </w:trPr>
        <w:tc>
          <w:tcPr>
            <w:tcW w:w="1635" w:type="dxa"/>
          </w:tcPr>
          <w:p w14:paraId="0B797DE9" w14:textId="77777777" w:rsidR="00D75AB1" w:rsidRPr="00CE772B" w:rsidRDefault="00D75AB1" w:rsidP="00975CF0">
            <w:pPr>
              <w:pStyle w:val="Tablehead"/>
              <w:keepLines/>
              <w:rPr>
                <w:rFonts w:ascii="Times New Roman" w:eastAsiaTheme="minorEastAsia" w:hAnsi="Times New Roman"/>
                <w:bCs/>
                <w:color w:val="000000"/>
              </w:rPr>
            </w:pPr>
            <w:proofErr w:type="spellStart"/>
            <w:r w:rsidRPr="00CE772B">
              <w:rPr>
                <w:rFonts w:ascii="Times New Roman" w:eastAsiaTheme="minorEastAsia" w:hAnsi="Times New Roman" w:hint="eastAsia"/>
                <w:bCs/>
                <w:color w:val="000000"/>
              </w:rPr>
              <w:lastRenderedPageBreak/>
              <w:t>阶段（进展</w:t>
            </w:r>
            <w:proofErr w:type="spellEnd"/>
            <w:r w:rsidRPr="00CE772B">
              <w:rPr>
                <w:rFonts w:ascii="Times New Roman" w:eastAsiaTheme="minorEastAsia" w:hAnsi="Times New Roman" w:hint="eastAsia"/>
                <w:bCs/>
                <w:color w:val="000000"/>
              </w:rPr>
              <w:t>）</w:t>
            </w:r>
          </w:p>
        </w:tc>
        <w:tc>
          <w:tcPr>
            <w:tcW w:w="1951" w:type="dxa"/>
          </w:tcPr>
          <w:p w14:paraId="4EE00F10" w14:textId="77777777" w:rsidR="00D75AB1" w:rsidRPr="00CE772B" w:rsidRDefault="00D75AB1" w:rsidP="00975CF0">
            <w:pPr>
              <w:pStyle w:val="Tablehead"/>
              <w:keepLines/>
              <w:rPr>
                <w:rFonts w:ascii="Times New Roman" w:eastAsiaTheme="minorEastAsia" w:hAnsi="Times New Roman"/>
                <w:bCs/>
                <w:color w:val="000000"/>
              </w:rPr>
            </w:pPr>
            <w:proofErr w:type="spellStart"/>
            <w:r w:rsidRPr="00CE772B">
              <w:rPr>
                <w:rFonts w:ascii="Times New Roman" w:eastAsiaTheme="minorEastAsia" w:hAnsi="Times New Roman" w:hint="eastAsia"/>
                <w:bCs/>
                <w:color w:val="000000"/>
              </w:rPr>
              <w:t>时间段</w:t>
            </w:r>
            <w:proofErr w:type="spellEnd"/>
          </w:p>
        </w:tc>
        <w:tc>
          <w:tcPr>
            <w:tcW w:w="5479" w:type="dxa"/>
          </w:tcPr>
          <w:p w14:paraId="04AEB43B" w14:textId="77777777" w:rsidR="00D75AB1" w:rsidRPr="00CE772B" w:rsidRDefault="00D75AB1" w:rsidP="00975CF0">
            <w:pPr>
              <w:pStyle w:val="Tablehead"/>
              <w:keepLines/>
              <w:rPr>
                <w:rFonts w:ascii="Times New Roman" w:eastAsiaTheme="minorEastAsia" w:hAnsi="Times New Roman"/>
                <w:bCs/>
                <w:color w:val="000000"/>
              </w:rPr>
            </w:pPr>
            <w:proofErr w:type="spellStart"/>
            <w:r w:rsidRPr="00CE772B">
              <w:rPr>
                <w:rFonts w:ascii="Times New Roman" w:eastAsiaTheme="minorEastAsia" w:hAnsi="Times New Roman" w:hint="eastAsia"/>
                <w:bCs/>
                <w:color w:val="000000"/>
              </w:rPr>
              <w:t>可交付成果</w:t>
            </w:r>
            <w:proofErr w:type="spellEnd"/>
          </w:p>
        </w:tc>
      </w:tr>
      <w:tr w:rsidR="00D75AB1" w:rsidRPr="00A074AB" w14:paraId="7BF37E33" w14:textId="77777777" w:rsidTr="00A26DEC">
        <w:trPr>
          <w:trHeight w:val="300"/>
        </w:trPr>
        <w:tc>
          <w:tcPr>
            <w:tcW w:w="1635" w:type="dxa"/>
          </w:tcPr>
          <w:p w14:paraId="4210C51F" w14:textId="66449D09" w:rsidR="00D75AB1" w:rsidRPr="0020499A" w:rsidRDefault="00D75AB1" w:rsidP="00975CF0">
            <w:pPr>
              <w:pStyle w:val="Tabletext"/>
              <w:keepNext/>
              <w:keepLines/>
              <w:rPr>
                <w:rFonts w:eastAsia="SimSun" w:cs="Calibri"/>
                <w:color w:val="000000"/>
              </w:rPr>
            </w:pPr>
            <w:r w:rsidRPr="005B5DA2">
              <w:rPr>
                <w:rFonts w:eastAsia="SimSun" w:cs="Calibri" w:hint="eastAsia"/>
                <w:b/>
                <w:bCs/>
                <w:color w:val="000000"/>
              </w:rPr>
              <w:t>第</w:t>
            </w:r>
            <w:r w:rsidRPr="005B5DA2">
              <w:rPr>
                <w:rFonts w:eastAsia="SimSun" w:cs="Calibri"/>
                <w:b/>
                <w:bCs/>
                <w:color w:val="000000"/>
              </w:rPr>
              <w:t>1</w:t>
            </w:r>
            <w:proofErr w:type="spellStart"/>
            <w:r w:rsidRPr="005B5DA2">
              <w:rPr>
                <w:rFonts w:eastAsia="SimSun" w:cs="Calibri" w:hint="eastAsia"/>
                <w:b/>
                <w:bCs/>
                <w:color w:val="000000"/>
              </w:rPr>
              <w:t>阶段</w:t>
            </w:r>
            <w:proofErr w:type="spellEnd"/>
            <w:r w:rsidRPr="005B5DA2">
              <w:rPr>
                <w:rFonts w:eastAsia="SimSun" w:cs="Calibri" w:hint="eastAsia"/>
                <w:b/>
                <w:bCs/>
                <w:color w:val="000000"/>
              </w:rPr>
              <w:t>：</w:t>
            </w:r>
            <w:r w:rsidR="005B5DA2">
              <w:rPr>
                <w:rFonts w:eastAsia="SimSun" w:cs="Calibri"/>
                <w:color w:val="000000"/>
              </w:rPr>
              <w:br/>
            </w:r>
            <w:proofErr w:type="spellStart"/>
            <w:r w:rsidRPr="0020499A">
              <w:rPr>
                <w:rFonts w:eastAsia="SimSun" w:cs="Calibri" w:hint="eastAsia"/>
                <w:color w:val="000000"/>
              </w:rPr>
              <w:t>初步评估</w:t>
            </w:r>
            <w:proofErr w:type="spellEnd"/>
          </w:p>
        </w:tc>
        <w:tc>
          <w:tcPr>
            <w:tcW w:w="1951" w:type="dxa"/>
          </w:tcPr>
          <w:p w14:paraId="186704CA" w14:textId="7FF28636" w:rsidR="00D75AB1" w:rsidRPr="0020499A" w:rsidRDefault="00D75AB1" w:rsidP="00975CF0">
            <w:pPr>
              <w:pStyle w:val="Tabletext"/>
              <w:keepNext/>
              <w:keepLines/>
              <w:rPr>
                <w:rFonts w:eastAsia="SimSun" w:cs="Calibri"/>
                <w:color w:val="000000"/>
              </w:rPr>
            </w:pPr>
            <w:r w:rsidRPr="0020499A">
              <w:rPr>
                <w:rFonts w:eastAsia="SimSun" w:cs="Calibri"/>
                <w:color w:val="000000"/>
                <w:lang w:val="zh-CN"/>
              </w:rPr>
              <w:t>2025</w:t>
            </w:r>
            <w:r w:rsidRPr="0020499A">
              <w:rPr>
                <w:rFonts w:eastAsia="SimSun" w:cs="Calibri" w:hint="eastAsia"/>
                <w:color w:val="000000"/>
                <w:lang w:val="zh-CN"/>
              </w:rPr>
              <w:t>年</w:t>
            </w:r>
            <w:r w:rsidRPr="0020499A">
              <w:rPr>
                <w:rFonts w:eastAsia="SimSun" w:cs="Calibri"/>
                <w:color w:val="000000"/>
                <w:lang w:val="zh-CN"/>
              </w:rPr>
              <w:t>7</w:t>
            </w:r>
            <w:r w:rsidRPr="0020499A">
              <w:rPr>
                <w:rFonts w:eastAsia="SimSun" w:cs="Calibri" w:hint="eastAsia"/>
                <w:color w:val="000000"/>
                <w:lang w:val="zh-CN"/>
              </w:rPr>
              <w:t>月</w:t>
            </w:r>
            <w:r w:rsidR="005B5DA2">
              <w:rPr>
                <w:rFonts w:eastAsia="SimSun" w:cs="Calibri" w:hint="eastAsia"/>
                <w:color w:val="000000"/>
                <w:lang w:val="zh-CN" w:eastAsia="zh-CN"/>
              </w:rPr>
              <w:t xml:space="preserve"> </w:t>
            </w:r>
            <w:r w:rsidR="005B5DA2" w:rsidRPr="005B5DA2">
              <w:rPr>
                <w:rFonts w:cs="Calibri"/>
                <w:color w:val="000000"/>
                <w:lang w:val="zh-CN"/>
              </w:rPr>
              <w:t>–</w:t>
            </w:r>
            <w:r w:rsidR="005B5DA2">
              <w:rPr>
                <w:rFonts w:eastAsiaTheme="minorEastAsia" w:cs="Calibri"/>
                <w:color w:val="000000"/>
                <w:lang w:val="zh-CN" w:eastAsia="zh-CN"/>
              </w:rPr>
              <w:t xml:space="preserve"> </w:t>
            </w:r>
            <w:r w:rsidRPr="0020499A">
              <w:rPr>
                <w:rFonts w:eastAsia="SimSun" w:cs="Calibri"/>
                <w:color w:val="000000"/>
                <w:lang w:val="zh-CN"/>
              </w:rPr>
              <w:t>8</w:t>
            </w:r>
            <w:r w:rsidRPr="0020499A">
              <w:rPr>
                <w:rFonts w:eastAsia="SimSun" w:cs="Calibri" w:hint="eastAsia"/>
                <w:color w:val="000000"/>
                <w:lang w:val="zh-CN"/>
              </w:rPr>
              <w:t>月</w:t>
            </w:r>
          </w:p>
        </w:tc>
        <w:tc>
          <w:tcPr>
            <w:tcW w:w="5479" w:type="dxa"/>
          </w:tcPr>
          <w:p w14:paraId="432F7AA5" w14:textId="5BE74E5D" w:rsidR="00D75AB1" w:rsidRPr="0020499A" w:rsidRDefault="0020499A" w:rsidP="00975CF0">
            <w:pPr>
              <w:pStyle w:val="Tabletext"/>
              <w:keepNext/>
              <w:keepLines/>
              <w:rPr>
                <w:rFonts w:eastAsia="SimSun" w:cs="Calibri"/>
                <w:color w:val="000000"/>
                <w:lang w:eastAsia="zh-CN"/>
              </w:rPr>
            </w:pPr>
            <w:r w:rsidRPr="0020499A">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组建审查团队并制定工作规程。</w:t>
            </w:r>
          </w:p>
          <w:p w14:paraId="0F80EDCD" w14:textId="6407B4ED" w:rsidR="00D75AB1" w:rsidRPr="0020499A" w:rsidRDefault="005B5DA2" w:rsidP="00975CF0">
            <w:pPr>
              <w:pStyle w:val="Tabletext"/>
              <w:keepNext/>
              <w:keepLines/>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阐明审查目标</w:t>
            </w:r>
            <w:r w:rsidR="00D75AB1" w:rsidRPr="0020499A">
              <w:rPr>
                <w:rFonts w:eastAsia="SimSun" w:cs="Calibri" w:hint="eastAsia"/>
                <w:color w:val="000000"/>
                <w:lang w:eastAsia="zh-CN"/>
              </w:rPr>
              <w:t>及方法</w:t>
            </w:r>
            <w:r w:rsidR="00D75AB1" w:rsidRPr="0020499A">
              <w:rPr>
                <w:rFonts w:eastAsia="SimSun" w:cs="Calibri" w:hint="eastAsia"/>
                <w:color w:val="000000"/>
                <w:lang w:val="zh-CN" w:eastAsia="zh-CN"/>
              </w:rPr>
              <w:t>。</w:t>
            </w:r>
          </w:p>
          <w:p w14:paraId="602F8D7D" w14:textId="31FF0926" w:rsidR="00D75AB1" w:rsidRPr="0020499A" w:rsidRDefault="005B5DA2" w:rsidP="00975CF0">
            <w:pPr>
              <w:pStyle w:val="Tabletext"/>
              <w:keepNext/>
              <w:keepLines/>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开发量身定制的数据收集工具（如调查、访谈问题）。</w:t>
            </w:r>
          </w:p>
          <w:p w14:paraId="1B53E135" w14:textId="7436124D" w:rsidR="00D75AB1" w:rsidRPr="0020499A" w:rsidRDefault="005B5DA2" w:rsidP="00975CF0">
            <w:pPr>
              <w:pStyle w:val="Tabletext"/>
              <w:keepNext/>
              <w:keepLines/>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确保审查指标与国际电联的关键绩效指标和战略目标保持一致。</w:t>
            </w:r>
          </w:p>
        </w:tc>
      </w:tr>
      <w:tr w:rsidR="00D75AB1" w:rsidRPr="00A074AB" w14:paraId="10356CF1" w14:textId="77777777" w:rsidTr="00A26DEC">
        <w:trPr>
          <w:trHeight w:val="300"/>
        </w:trPr>
        <w:tc>
          <w:tcPr>
            <w:tcW w:w="1635" w:type="dxa"/>
          </w:tcPr>
          <w:p w14:paraId="473D6376" w14:textId="5C30FB0E" w:rsidR="00D75AB1" w:rsidRPr="0020499A" w:rsidRDefault="00D75AB1" w:rsidP="0020499A">
            <w:pPr>
              <w:pStyle w:val="Tabletext"/>
              <w:rPr>
                <w:rFonts w:eastAsia="SimSun" w:cs="Calibri"/>
                <w:color w:val="000000"/>
                <w:lang w:eastAsia="zh-CN"/>
              </w:rPr>
            </w:pPr>
            <w:r w:rsidRPr="005B5DA2">
              <w:rPr>
                <w:rFonts w:eastAsia="SimSun" w:cs="Calibri" w:hint="eastAsia"/>
                <w:b/>
                <w:bCs/>
                <w:color w:val="000000"/>
                <w:lang w:val="zh-CN" w:eastAsia="zh-CN"/>
              </w:rPr>
              <w:t>第</w:t>
            </w:r>
            <w:r w:rsidRPr="005B5DA2">
              <w:rPr>
                <w:rFonts w:eastAsia="SimSun" w:cs="Calibri"/>
                <w:b/>
                <w:bCs/>
                <w:color w:val="000000"/>
                <w:lang w:val="zh-CN" w:eastAsia="zh-CN"/>
              </w:rPr>
              <w:t>2</w:t>
            </w:r>
            <w:r w:rsidRPr="005B5DA2">
              <w:rPr>
                <w:rFonts w:eastAsia="SimSun" w:cs="Calibri" w:hint="eastAsia"/>
                <w:b/>
                <w:bCs/>
                <w:color w:val="000000"/>
                <w:lang w:val="zh-CN" w:eastAsia="zh-CN"/>
              </w:rPr>
              <w:t>阶段：</w:t>
            </w:r>
            <w:r w:rsidR="005B5DA2">
              <w:rPr>
                <w:rFonts w:eastAsia="SimSun" w:cs="Calibri"/>
                <w:b/>
                <w:bCs/>
                <w:color w:val="000000"/>
                <w:lang w:val="zh-CN" w:eastAsia="zh-CN"/>
              </w:rPr>
              <w:br/>
            </w:r>
            <w:r w:rsidRPr="0020499A">
              <w:rPr>
                <w:rFonts w:eastAsia="SimSun" w:cs="Calibri" w:hint="eastAsia"/>
                <w:color w:val="000000"/>
                <w:lang w:val="zh-CN" w:eastAsia="zh-CN"/>
              </w:rPr>
              <w:t>数据收集和</w:t>
            </w:r>
            <w:r w:rsidR="005B5DA2">
              <w:rPr>
                <w:rFonts w:eastAsia="SimSun" w:cs="Calibri"/>
                <w:color w:val="000000"/>
                <w:lang w:val="zh-CN" w:eastAsia="zh-CN"/>
              </w:rPr>
              <w:br/>
            </w:r>
            <w:r w:rsidRPr="0020499A">
              <w:rPr>
                <w:rFonts w:eastAsia="SimSun" w:cs="Calibri" w:hint="eastAsia"/>
                <w:color w:val="000000"/>
                <w:lang w:val="zh-CN" w:eastAsia="zh-CN"/>
              </w:rPr>
              <w:t>初始分析</w:t>
            </w:r>
          </w:p>
        </w:tc>
        <w:tc>
          <w:tcPr>
            <w:tcW w:w="1951" w:type="dxa"/>
          </w:tcPr>
          <w:p w14:paraId="191D864D" w14:textId="0CC47BA1" w:rsidR="00D75AB1" w:rsidRPr="0020499A" w:rsidRDefault="00D75AB1" w:rsidP="0020499A">
            <w:pPr>
              <w:pStyle w:val="Tabletext"/>
              <w:rPr>
                <w:rFonts w:eastAsia="SimSun" w:cs="Calibri"/>
                <w:color w:val="000000"/>
              </w:rPr>
            </w:pPr>
            <w:r w:rsidRPr="0020499A">
              <w:rPr>
                <w:rFonts w:eastAsia="SimSun" w:cs="Calibri"/>
                <w:color w:val="000000"/>
                <w:lang w:val="zh-CN"/>
              </w:rPr>
              <w:t>2025</w:t>
            </w:r>
            <w:r w:rsidRPr="0020499A">
              <w:rPr>
                <w:rFonts w:eastAsia="SimSun" w:cs="Calibri" w:hint="eastAsia"/>
                <w:color w:val="000000"/>
                <w:lang w:val="zh-CN"/>
              </w:rPr>
              <w:t>年</w:t>
            </w:r>
            <w:r w:rsidRPr="0020499A">
              <w:rPr>
                <w:rFonts w:eastAsia="SimSun" w:cs="Calibri" w:hint="eastAsia"/>
                <w:color w:val="000000"/>
                <w:lang w:val="zh-CN"/>
              </w:rPr>
              <w:t>9</w:t>
            </w:r>
            <w:r w:rsidRPr="0020499A">
              <w:rPr>
                <w:rFonts w:eastAsia="SimSun" w:cs="Calibri" w:hint="eastAsia"/>
                <w:color w:val="000000"/>
                <w:lang w:val="zh-CN"/>
              </w:rPr>
              <w:t>月</w:t>
            </w:r>
            <w:r w:rsidR="005B5DA2">
              <w:rPr>
                <w:rFonts w:eastAsia="SimSun" w:cs="Calibri" w:hint="eastAsia"/>
                <w:color w:val="000000"/>
                <w:lang w:val="zh-CN" w:eastAsia="zh-CN"/>
              </w:rPr>
              <w:t xml:space="preserve"> </w:t>
            </w:r>
            <w:r w:rsidR="005B5DA2" w:rsidRPr="005B5DA2">
              <w:rPr>
                <w:rFonts w:cs="Calibri"/>
                <w:color w:val="000000"/>
                <w:lang w:val="zh-CN"/>
              </w:rPr>
              <w:t>–</w:t>
            </w:r>
            <w:r w:rsidR="005B5DA2">
              <w:rPr>
                <w:rFonts w:eastAsiaTheme="minorEastAsia" w:cs="Calibri"/>
                <w:color w:val="000000"/>
                <w:lang w:val="zh-CN" w:eastAsia="zh-CN"/>
              </w:rPr>
              <w:t xml:space="preserve"> </w:t>
            </w:r>
            <w:r w:rsidRPr="0020499A">
              <w:rPr>
                <w:rFonts w:eastAsia="SimSun" w:cs="Calibri" w:hint="eastAsia"/>
                <w:color w:val="000000"/>
                <w:lang w:val="zh-CN"/>
              </w:rPr>
              <w:t>11</w:t>
            </w:r>
            <w:r w:rsidRPr="0020499A">
              <w:rPr>
                <w:rFonts w:eastAsia="SimSun" w:cs="Calibri" w:hint="eastAsia"/>
                <w:color w:val="000000"/>
                <w:lang w:val="zh-CN"/>
              </w:rPr>
              <w:t>月</w:t>
            </w:r>
          </w:p>
        </w:tc>
        <w:tc>
          <w:tcPr>
            <w:tcW w:w="5479" w:type="dxa"/>
          </w:tcPr>
          <w:p w14:paraId="1CB6090C" w14:textId="538C29DE" w:rsidR="00D75AB1" w:rsidRPr="0020499A" w:rsidRDefault="005B5DA2" w:rsidP="0020499A">
            <w:pPr>
              <w:pStyle w:val="Tabletext"/>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对利益攸关方群体开展访谈和调查。</w:t>
            </w:r>
          </w:p>
          <w:p w14:paraId="0E85D95E" w14:textId="010C9CE7" w:rsidR="00D75AB1" w:rsidRPr="0020499A" w:rsidRDefault="005B5DA2" w:rsidP="0020499A">
            <w:pPr>
              <w:pStyle w:val="Tabletext"/>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基准测试练习。</w:t>
            </w:r>
          </w:p>
          <w:p w14:paraId="3FF0B3FB" w14:textId="042BE27C" w:rsidR="00D75AB1" w:rsidRPr="0020499A" w:rsidRDefault="005B5DA2" w:rsidP="0020499A">
            <w:pPr>
              <w:pStyle w:val="Tabletext"/>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初始分析，并确定新兴模式和关键主题。</w:t>
            </w:r>
          </w:p>
        </w:tc>
      </w:tr>
      <w:tr w:rsidR="00D75AB1" w:rsidRPr="00A074AB" w14:paraId="48B7BBA7" w14:textId="77777777" w:rsidTr="00A26DEC">
        <w:trPr>
          <w:trHeight w:val="300"/>
        </w:trPr>
        <w:tc>
          <w:tcPr>
            <w:tcW w:w="1635" w:type="dxa"/>
          </w:tcPr>
          <w:p w14:paraId="6CA11B56" w14:textId="5626CA44" w:rsidR="00D75AB1" w:rsidRPr="0020499A" w:rsidRDefault="00D75AB1" w:rsidP="0020499A">
            <w:pPr>
              <w:pStyle w:val="Tabletext"/>
              <w:rPr>
                <w:rFonts w:eastAsia="SimSun" w:cs="Calibri"/>
                <w:color w:val="000000"/>
                <w:lang w:eastAsia="zh-CN"/>
              </w:rPr>
            </w:pPr>
            <w:r w:rsidRPr="005B5DA2">
              <w:rPr>
                <w:rFonts w:eastAsia="SimSun" w:cs="Calibri" w:hint="eastAsia"/>
                <w:b/>
                <w:bCs/>
                <w:color w:val="000000"/>
                <w:lang w:val="zh-CN" w:eastAsia="zh-CN"/>
              </w:rPr>
              <w:t>第</w:t>
            </w:r>
            <w:r w:rsidRPr="005B5DA2">
              <w:rPr>
                <w:rFonts w:eastAsia="SimSun" w:cs="Calibri"/>
                <w:b/>
                <w:bCs/>
                <w:color w:val="000000"/>
                <w:lang w:val="zh-CN" w:eastAsia="zh-CN"/>
              </w:rPr>
              <w:t>3</w:t>
            </w:r>
            <w:r w:rsidRPr="005B5DA2">
              <w:rPr>
                <w:rFonts w:eastAsia="SimSun" w:cs="Calibri" w:hint="eastAsia"/>
                <w:b/>
                <w:bCs/>
                <w:color w:val="000000"/>
                <w:lang w:val="zh-CN" w:eastAsia="zh-CN"/>
              </w:rPr>
              <w:t>阶段：</w:t>
            </w:r>
            <w:r w:rsidR="005B5DA2">
              <w:rPr>
                <w:rFonts w:eastAsia="SimSun" w:cs="Calibri"/>
                <w:b/>
                <w:bCs/>
                <w:color w:val="000000"/>
                <w:lang w:val="zh-CN" w:eastAsia="zh-CN"/>
              </w:rPr>
              <w:br/>
            </w:r>
            <w:r w:rsidRPr="0020499A">
              <w:rPr>
                <w:rFonts w:eastAsia="SimSun" w:cs="Calibri" w:hint="eastAsia"/>
                <w:color w:val="000000"/>
                <w:lang w:val="zh-CN" w:eastAsia="zh-CN"/>
              </w:rPr>
              <w:t>详细分析和</w:t>
            </w:r>
            <w:r w:rsidR="005B5DA2">
              <w:rPr>
                <w:rFonts w:eastAsia="SimSun" w:cs="Calibri"/>
                <w:color w:val="000000"/>
                <w:lang w:val="zh-CN" w:eastAsia="zh-CN"/>
              </w:rPr>
              <w:br/>
            </w:r>
            <w:r w:rsidRPr="0020499A">
              <w:rPr>
                <w:rFonts w:eastAsia="SimSun" w:cs="Calibri" w:hint="eastAsia"/>
                <w:color w:val="000000"/>
                <w:lang w:val="zh-CN" w:eastAsia="zh-CN"/>
              </w:rPr>
              <w:t>起草报告</w:t>
            </w:r>
          </w:p>
        </w:tc>
        <w:tc>
          <w:tcPr>
            <w:tcW w:w="1951" w:type="dxa"/>
          </w:tcPr>
          <w:p w14:paraId="7BA29E83" w14:textId="4A599F7F" w:rsidR="00D75AB1" w:rsidRPr="0020499A" w:rsidRDefault="00D75AB1" w:rsidP="0020499A">
            <w:pPr>
              <w:pStyle w:val="Tabletext"/>
              <w:rPr>
                <w:rFonts w:eastAsia="SimSun" w:cs="Calibri"/>
                <w:color w:val="000000"/>
              </w:rPr>
            </w:pPr>
            <w:r w:rsidRPr="0020499A">
              <w:rPr>
                <w:rFonts w:eastAsia="SimSun" w:cs="Calibri"/>
                <w:color w:val="000000"/>
                <w:lang w:val="zh-CN"/>
              </w:rPr>
              <w:t>2025</w:t>
            </w:r>
            <w:r w:rsidRPr="0020499A">
              <w:rPr>
                <w:rFonts w:eastAsia="SimSun" w:cs="Calibri" w:hint="eastAsia"/>
                <w:color w:val="000000"/>
                <w:lang w:val="zh-CN"/>
              </w:rPr>
              <w:t>年</w:t>
            </w:r>
            <w:r w:rsidRPr="0020499A">
              <w:rPr>
                <w:rFonts w:eastAsia="SimSun" w:cs="Calibri"/>
                <w:color w:val="000000"/>
                <w:lang w:val="zh-CN"/>
              </w:rPr>
              <w:t>1</w:t>
            </w:r>
            <w:r w:rsidRPr="0020499A">
              <w:rPr>
                <w:rFonts w:eastAsia="SimSun" w:cs="Calibri" w:hint="eastAsia"/>
                <w:color w:val="000000"/>
                <w:lang w:val="zh-CN"/>
              </w:rPr>
              <w:t>2</w:t>
            </w:r>
            <w:r w:rsidRPr="0020499A">
              <w:rPr>
                <w:rFonts w:eastAsia="SimSun" w:cs="Calibri" w:hint="eastAsia"/>
                <w:color w:val="000000"/>
                <w:lang w:val="zh-CN"/>
              </w:rPr>
              <w:t>月</w:t>
            </w:r>
            <w:r w:rsidR="005B5DA2">
              <w:rPr>
                <w:rFonts w:eastAsia="SimSun" w:cs="Calibri" w:hint="eastAsia"/>
                <w:color w:val="000000"/>
                <w:lang w:val="zh-CN" w:eastAsia="zh-CN"/>
              </w:rPr>
              <w:t xml:space="preserve"> </w:t>
            </w:r>
            <w:r w:rsidR="005B5DA2" w:rsidRPr="005B5DA2">
              <w:rPr>
                <w:rFonts w:cs="Calibri"/>
                <w:color w:val="000000"/>
                <w:lang w:val="zh-CN"/>
              </w:rPr>
              <w:t>–</w:t>
            </w:r>
            <w:r w:rsidR="005B5DA2">
              <w:rPr>
                <w:rFonts w:eastAsiaTheme="minorEastAsia" w:cs="Calibri"/>
                <w:color w:val="000000"/>
                <w:lang w:val="zh-CN" w:eastAsia="zh-CN"/>
              </w:rPr>
              <w:t xml:space="preserve"> </w:t>
            </w:r>
            <w:r w:rsidRPr="0020499A">
              <w:rPr>
                <w:rFonts w:eastAsia="SimSun" w:cs="Calibri"/>
                <w:color w:val="000000"/>
                <w:lang w:val="zh-CN"/>
              </w:rPr>
              <w:t>2026</w:t>
            </w:r>
            <w:r w:rsidRPr="0020499A">
              <w:rPr>
                <w:rFonts w:eastAsia="SimSun" w:cs="Calibri" w:hint="eastAsia"/>
                <w:color w:val="000000"/>
                <w:lang w:val="zh-CN"/>
              </w:rPr>
              <w:t>年</w:t>
            </w:r>
            <w:r w:rsidRPr="0020499A">
              <w:rPr>
                <w:rFonts w:eastAsia="SimSun" w:cs="Calibri"/>
                <w:color w:val="000000"/>
                <w:lang w:val="zh-CN"/>
              </w:rPr>
              <w:t>2</w:t>
            </w:r>
            <w:r w:rsidRPr="0020499A">
              <w:rPr>
                <w:rFonts w:eastAsia="SimSun" w:cs="Calibri" w:hint="eastAsia"/>
                <w:color w:val="000000"/>
                <w:lang w:val="zh-CN"/>
              </w:rPr>
              <w:t>月</w:t>
            </w:r>
          </w:p>
        </w:tc>
        <w:tc>
          <w:tcPr>
            <w:tcW w:w="5479" w:type="dxa"/>
          </w:tcPr>
          <w:p w14:paraId="28A7F390" w14:textId="32216D8C" w:rsidR="00D75AB1" w:rsidRPr="0020499A" w:rsidRDefault="005B5DA2" w:rsidP="0020499A">
            <w:pPr>
              <w:pStyle w:val="Tabletext"/>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根据初始分析，对审查结果进行全面分析。</w:t>
            </w:r>
          </w:p>
          <w:p w14:paraId="4E37AB69" w14:textId="35894186" w:rsidR="00D75AB1" w:rsidRPr="0020499A" w:rsidRDefault="005B5DA2" w:rsidP="0020499A">
            <w:pPr>
              <w:pStyle w:val="Tabletext"/>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起草审查报告草案，包括初步建议。</w:t>
            </w:r>
          </w:p>
        </w:tc>
      </w:tr>
      <w:tr w:rsidR="00D75AB1" w:rsidRPr="00A074AB" w14:paraId="29F342AE" w14:textId="77777777" w:rsidTr="00A26DEC">
        <w:trPr>
          <w:trHeight w:val="300"/>
        </w:trPr>
        <w:tc>
          <w:tcPr>
            <w:tcW w:w="1635" w:type="dxa"/>
          </w:tcPr>
          <w:p w14:paraId="4BA6CDB5" w14:textId="71493F41" w:rsidR="00D75AB1" w:rsidRPr="0020499A" w:rsidRDefault="00D75AB1" w:rsidP="0020499A">
            <w:pPr>
              <w:pStyle w:val="Tabletext"/>
              <w:rPr>
                <w:rFonts w:eastAsia="SimSun" w:cs="Calibri"/>
                <w:color w:val="000000"/>
              </w:rPr>
            </w:pPr>
            <w:r w:rsidRPr="005B5DA2">
              <w:rPr>
                <w:rFonts w:eastAsia="SimSun" w:cs="Calibri" w:hint="eastAsia"/>
                <w:b/>
                <w:bCs/>
                <w:color w:val="000000"/>
                <w:lang w:val="zh-CN"/>
              </w:rPr>
              <w:t>第</w:t>
            </w:r>
            <w:r w:rsidRPr="005B5DA2">
              <w:rPr>
                <w:rFonts w:eastAsia="SimSun" w:cs="Calibri"/>
                <w:b/>
                <w:bCs/>
                <w:color w:val="000000"/>
                <w:lang w:val="zh-CN"/>
              </w:rPr>
              <w:t>4</w:t>
            </w:r>
            <w:proofErr w:type="spellStart"/>
            <w:r w:rsidRPr="005B5DA2">
              <w:rPr>
                <w:rFonts w:eastAsia="SimSun" w:cs="Calibri" w:hint="eastAsia"/>
                <w:b/>
                <w:bCs/>
                <w:color w:val="000000"/>
                <w:lang w:val="zh-CN"/>
              </w:rPr>
              <w:t>阶段</w:t>
            </w:r>
            <w:proofErr w:type="spellEnd"/>
            <w:r w:rsidRPr="005B5DA2">
              <w:rPr>
                <w:rFonts w:eastAsia="SimSun" w:cs="Calibri" w:hint="eastAsia"/>
                <w:b/>
                <w:bCs/>
                <w:color w:val="000000"/>
                <w:lang w:val="zh-CN"/>
              </w:rPr>
              <w:t>：</w:t>
            </w:r>
            <w:r w:rsidR="005B5DA2">
              <w:rPr>
                <w:rFonts w:eastAsia="SimSun" w:cs="Calibri"/>
                <w:color w:val="000000"/>
                <w:lang w:val="zh-CN"/>
              </w:rPr>
              <w:br/>
            </w:r>
            <w:proofErr w:type="spellStart"/>
            <w:r w:rsidRPr="0020499A">
              <w:rPr>
                <w:rFonts w:eastAsia="SimSun" w:cs="Calibri" w:hint="eastAsia"/>
                <w:color w:val="000000"/>
                <w:lang w:val="zh-CN"/>
              </w:rPr>
              <w:t>验证和报告</w:t>
            </w:r>
            <w:proofErr w:type="spellEnd"/>
          </w:p>
        </w:tc>
        <w:tc>
          <w:tcPr>
            <w:tcW w:w="1951" w:type="dxa"/>
          </w:tcPr>
          <w:p w14:paraId="592E8300" w14:textId="5BA34B5D" w:rsidR="00D75AB1" w:rsidRPr="0020499A" w:rsidRDefault="00D75AB1" w:rsidP="0020499A">
            <w:pPr>
              <w:pStyle w:val="Tabletext"/>
              <w:rPr>
                <w:rFonts w:eastAsia="SimSun" w:cs="Calibri"/>
                <w:color w:val="000000"/>
              </w:rPr>
            </w:pPr>
            <w:r w:rsidRPr="0020499A">
              <w:rPr>
                <w:rFonts w:eastAsia="SimSun" w:cs="Calibri"/>
                <w:color w:val="000000"/>
                <w:lang w:val="zh-CN"/>
              </w:rPr>
              <w:t>2026</w:t>
            </w:r>
            <w:r w:rsidRPr="0020499A">
              <w:rPr>
                <w:rFonts w:eastAsia="SimSun" w:cs="Calibri" w:hint="eastAsia"/>
                <w:color w:val="000000"/>
                <w:lang w:val="zh-CN"/>
              </w:rPr>
              <w:t>年</w:t>
            </w:r>
            <w:r w:rsidRPr="0020499A">
              <w:rPr>
                <w:rFonts w:eastAsia="SimSun" w:cs="Calibri"/>
                <w:color w:val="000000"/>
                <w:lang w:val="zh-CN"/>
              </w:rPr>
              <w:t>3</w:t>
            </w:r>
            <w:r w:rsidRPr="0020499A">
              <w:rPr>
                <w:rFonts w:eastAsia="SimSun" w:cs="Calibri" w:hint="eastAsia"/>
                <w:color w:val="000000"/>
                <w:lang w:val="zh-CN"/>
              </w:rPr>
              <w:t>月</w:t>
            </w:r>
            <w:r w:rsidR="005B5DA2">
              <w:rPr>
                <w:rFonts w:eastAsia="SimSun" w:cs="Calibri" w:hint="eastAsia"/>
                <w:color w:val="000000"/>
                <w:lang w:val="zh-CN" w:eastAsia="zh-CN"/>
              </w:rPr>
              <w:t xml:space="preserve"> </w:t>
            </w:r>
            <w:r w:rsidR="005B5DA2" w:rsidRPr="005B5DA2">
              <w:rPr>
                <w:rFonts w:cs="Calibri"/>
                <w:color w:val="000000"/>
                <w:lang w:val="zh-CN"/>
              </w:rPr>
              <w:t>–</w:t>
            </w:r>
            <w:r w:rsidR="005B5DA2">
              <w:rPr>
                <w:rFonts w:eastAsiaTheme="minorEastAsia" w:cs="Calibri"/>
                <w:color w:val="000000"/>
                <w:lang w:val="zh-CN" w:eastAsia="zh-CN"/>
              </w:rPr>
              <w:t xml:space="preserve"> </w:t>
            </w:r>
            <w:r w:rsidRPr="0020499A">
              <w:rPr>
                <w:rFonts w:eastAsia="SimSun" w:cs="Calibri"/>
                <w:color w:val="000000"/>
                <w:lang w:val="zh-CN"/>
              </w:rPr>
              <w:t>4</w:t>
            </w:r>
            <w:r w:rsidRPr="0020499A">
              <w:rPr>
                <w:rFonts w:eastAsia="SimSun" w:cs="Calibri" w:hint="eastAsia"/>
                <w:color w:val="000000"/>
                <w:lang w:val="zh-CN"/>
              </w:rPr>
              <w:t>月</w:t>
            </w:r>
          </w:p>
        </w:tc>
        <w:tc>
          <w:tcPr>
            <w:tcW w:w="5479" w:type="dxa"/>
          </w:tcPr>
          <w:p w14:paraId="68648691" w14:textId="643024BA" w:rsidR="00D75AB1" w:rsidRPr="0020499A" w:rsidRDefault="005B5DA2" w:rsidP="0020499A">
            <w:pPr>
              <w:pStyle w:val="Tabletext"/>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验证审查报告草案。</w:t>
            </w:r>
          </w:p>
          <w:p w14:paraId="738B5445" w14:textId="735DCB4E" w:rsidR="00D75AB1" w:rsidRPr="0020499A" w:rsidRDefault="005B5DA2" w:rsidP="0020499A">
            <w:pPr>
              <w:pStyle w:val="Tabletext"/>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纳入验证反馈意见。</w:t>
            </w:r>
          </w:p>
          <w:p w14:paraId="432CD4FA" w14:textId="3A4F3B51" w:rsidR="00D75AB1" w:rsidRPr="0020499A" w:rsidRDefault="005B5DA2" w:rsidP="0020499A">
            <w:pPr>
              <w:pStyle w:val="Tabletext"/>
              <w:rPr>
                <w:rFonts w:eastAsia="SimSun" w:cs="Calibri"/>
                <w:color w:val="000000"/>
                <w:lang w:eastAsia="zh-CN"/>
              </w:rPr>
            </w:pPr>
            <w:r w:rsidRPr="005B5DA2">
              <w:rPr>
                <w:rFonts w:cs="Calibri"/>
                <w:color w:val="000000"/>
                <w:lang w:val="zh-CN" w:eastAsia="zh-CN"/>
              </w:rPr>
              <w:t>•</w:t>
            </w:r>
            <w:r w:rsidR="00D75AB1" w:rsidRPr="0020499A">
              <w:rPr>
                <w:rFonts w:eastAsia="SimSun" w:cs="Calibri"/>
                <w:color w:val="000000"/>
                <w:lang w:val="zh-CN" w:eastAsia="zh-CN"/>
              </w:rPr>
              <w:tab/>
            </w:r>
            <w:r w:rsidR="00D75AB1" w:rsidRPr="0020499A">
              <w:rPr>
                <w:rFonts w:eastAsia="SimSun" w:cs="Calibri" w:hint="eastAsia"/>
                <w:color w:val="000000"/>
                <w:lang w:val="zh-CN" w:eastAsia="zh-CN"/>
              </w:rPr>
              <w:t>起草最后审查报告，供理事会和</w:t>
            </w:r>
            <w:r w:rsidR="00D75AB1" w:rsidRPr="0020499A">
              <w:rPr>
                <w:rFonts w:eastAsia="SimSun" w:cs="Calibri"/>
                <w:color w:val="000000"/>
                <w:lang w:val="zh-CN" w:eastAsia="zh-CN"/>
              </w:rPr>
              <w:t>2026</w:t>
            </w:r>
            <w:r w:rsidR="00D75AB1" w:rsidRPr="0020499A">
              <w:rPr>
                <w:rFonts w:eastAsia="SimSun" w:cs="Calibri" w:hint="eastAsia"/>
                <w:color w:val="000000"/>
                <w:lang w:val="zh-CN" w:eastAsia="zh-CN"/>
              </w:rPr>
              <w:t>年全权代表大会（</w:t>
            </w:r>
            <w:r w:rsidR="00D75AB1" w:rsidRPr="0020499A">
              <w:rPr>
                <w:rFonts w:eastAsia="SimSun" w:cs="Calibri"/>
                <w:color w:val="000000"/>
                <w:lang w:val="zh-CN" w:eastAsia="zh-CN"/>
              </w:rPr>
              <w:t>PP-26</w:t>
            </w:r>
            <w:r w:rsidR="00D75AB1" w:rsidRPr="0020499A">
              <w:rPr>
                <w:rFonts w:eastAsia="SimSun" w:cs="Calibri" w:hint="eastAsia"/>
                <w:color w:val="000000"/>
                <w:lang w:val="zh-CN" w:eastAsia="zh-CN"/>
              </w:rPr>
              <w:t>）审议。</w:t>
            </w:r>
          </w:p>
        </w:tc>
      </w:tr>
    </w:tbl>
    <w:p w14:paraId="007684CF" w14:textId="77777777" w:rsidR="00D75AB1" w:rsidRPr="00554552" w:rsidRDefault="00D75AB1" w:rsidP="00975CF0">
      <w:pPr>
        <w:pStyle w:val="Heading1"/>
      </w:pPr>
      <w:r>
        <w:t>3</w:t>
      </w:r>
      <w:r>
        <w:tab/>
      </w:r>
      <w:r>
        <w:t>电信发展局开展的工作</w:t>
      </w:r>
    </w:p>
    <w:p w14:paraId="5DD1BA4F" w14:textId="77777777" w:rsidR="00D75AB1" w:rsidRPr="00DB101C" w:rsidRDefault="00D75AB1" w:rsidP="00D75AB1">
      <w:pPr>
        <w:rPr>
          <w:b/>
          <w:bCs/>
          <w:lang w:eastAsia="zh-CN"/>
        </w:rPr>
      </w:pPr>
      <w:r>
        <w:rPr>
          <w:lang w:val="zh-CN" w:eastAsia="zh-CN"/>
        </w:rPr>
        <w:t>3.1</w:t>
      </w:r>
      <w:r>
        <w:rPr>
          <w:lang w:val="zh-CN" w:eastAsia="zh-CN"/>
        </w:rPr>
        <w:tab/>
      </w:r>
      <w:r>
        <w:rPr>
          <w:lang w:val="zh-CN" w:eastAsia="zh-CN"/>
        </w:rPr>
        <w:t>为</w:t>
      </w:r>
      <w:r>
        <w:rPr>
          <w:rFonts w:hint="eastAsia"/>
          <w:lang w:val="zh-CN" w:eastAsia="zh-CN"/>
        </w:rPr>
        <w:t>编制</w:t>
      </w:r>
      <w:r>
        <w:rPr>
          <w:lang w:val="zh-CN" w:eastAsia="zh-CN"/>
        </w:rPr>
        <w:t>国际电联秘书长报告</w:t>
      </w:r>
      <w:r>
        <w:rPr>
          <w:rFonts w:hint="eastAsia"/>
          <w:lang w:val="zh-CN" w:eastAsia="zh-CN"/>
        </w:rPr>
        <w:t>提供</w:t>
      </w:r>
      <w:r>
        <w:rPr>
          <w:lang w:val="zh-CN" w:eastAsia="zh-CN"/>
        </w:rPr>
        <w:t>输入</w:t>
      </w:r>
      <w:r>
        <w:rPr>
          <w:rFonts w:hint="eastAsia"/>
          <w:lang w:val="zh-CN" w:eastAsia="zh-CN"/>
        </w:rPr>
        <w:t>意见</w:t>
      </w:r>
      <w:r>
        <w:rPr>
          <w:lang w:val="zh-CN" w:eastAsia="zh-CN"/>
        </w:rPr>
        <w:t>，电信发展局开展了以下活动：</w:t>
      </w:r>
      <w:hyperlink r:id="rId22" w:history="1"/>
    </w:p>
    <w:p w14:paraId="51E562FC" w14:textId="77777777" w:rsidR="00D75AB1" w:rsidRPr="00DB101C" w:rsidRDefault="00D75AB1" w:rsidP="00D75AB1">
      <w:pPr>
        <w:pStyle w:val="enumlev1"/>
        <w:rPr>
          <w:lang w:eastAsia="zh-CN"/>
        </w:rPr>
      </w:pPr>
      <w:r>
        <w:rPr>
          <w:lang w:val="zh-CN" w:eastAsia="zh-CN"/>
        </w:rPr>
        <w:t>1</w:t>
      </w:r>
      <w:r>
        <w:rPr>
          <w:lang w:val="zh-CN" w:eastAsia="zh-CN"/>
        </w:rPr>
        <w:tab/>
      </w:r>
      <w:r>
        <w:rPr>
          <w:lang w:val="zh-CN" w:eastAsia="zh-CN"/>
        </w:rPr>
        <w:t>设计和启动国际电联成员调查</w:t>
      </w:r>
    </w:p>
    <w:p w14:paraId="68132D45" w14:textId="77777777" w:rsidR="00D75AB1" w:rsidRPr="00DB101C" w:rsidRDefault="00D75AB1" w:rsidP="00D75AB1">
      <w:pPr>
        <w:pStyle w:val="enumlev1"/>
        <w:rPr>
          <w:lang w:eastAsia="zh-CN"/>
        </w:rPr>
      </w:pPr>
      <w:r>
        <w:rPr>
          <w:lang w:val="zh-CN" w:eastAsia="zh-CN"/>
        </w:rPr>
        <w:t>2</w:t>
      </w:r>
      <w:r>
        <w:rPr>
          <w:lang w:val="zh-CN" w:eastAsia="zh-CN"/>
        </w:rPr>
        <w:tab/>
      </w:r>
      <w:r>
        <w:rPr>
          <w:rFonts w:hint="eastAsia"/>
          <w:lang w:val="zh-CN" w:eastAsia="zh-CN"/>
        </w:rPr>
        <w:t>案头审查</w:t>
      </w:r>
    </w:p>
    <w:p w14:paraId="42BC9419" w14:textId="77777777" w:rsidR="00D75AB1" w:rsidRPr="00DB101C" w:rsidRDefault="00D75AB1" w:rsidP="00D75AB1">
      <w:pPr>
        <w:pStyle w:val="enumlev1"/>
        <w:rPr>
          <w:lang w:eastAsia="zh-CN"/>
        </w:rPr>
      </w:pPr>
      <w:r>
        <w:rPr>
          <w:lang w:val="zh-CN" w:eastAsia="zh-CN"/>
        </w:rPr>
        <w:t>3</w:t>
      </w:r>
      <w:r>
        <w:rPr>
          <w:lang w:val="zh-CN" w:eastAsia="zh-CN"/>
        </w:rPr>
        <w:tab/>
      </w:r>
      <w:r>
        <w:rPr>
          <w:lang w:val="zh-CN" w:eastAsia="zh-CN"/>
        </w:rPr>
        <w:t>利益攸关方磋商，包括设计和启动内部评估（</w:t>
      </w:r>
      <w:r>
        <w:rPr>
          <w:lang w:val="zh-CN" w:eastAsia="zh-CN"/>
        </w:rPr>
        <w:t>IA</w:t>
      </w:r>
      <w:r>
        <w:rPr>
          <w:lang w:val="zh-CN" w:eastAsia="zh-CN"/>
        </w:rPr>
        <w:t>）调查，以及</w:t>
      </w:r>
      <w:r>
        <w:rPr>
          <w:lang w:val="zh-CN" w:eastAsia="zh-CN"/>
        </w:rPr>
        <w:t>RTO</w:t>
      </w:r>
      <w:r>
        <w:rPr>
          <w:lang w:val="zh-CN" w:eastAsia="zh-CN"/>
        </w:rPr>
        <w:t>访谈</w:t>
      </w:r>
    </w:p>
    <w:p w14:paraId="578A495D" w14:textId="77777777" w:rsidR="00D75AB1" w:rsidRPr="00DB101C" w:rsidRDefault="00D75AB1" w:rsidP="00D75AB1">
      <w:pPr>
        <w:pStyle w:val="enumlev1"/>
        <w:rPr>
          <w:lang w:eastAsia="zh-CN"/>
        </w:rPr>
      </w:pPr>
      <w:r>
        <w:rPr>
          <w:lang w:val="zh-CN" w:eastAsia="zh-CN"/>
        </w:rPr>
        <w:t>4</w:t>
      </w:r>
      <w:r>
        <w:rPr>
          <w:lang w:val="zh-CN" w:eastAsia="zh-CN"/>
        </w:rPr>
        <w:tab/>
      </w:r>
      <w:r>
        <w:rPr>
          <w:lang w:val="zh-CN" w:eastAsia="zh-CN"/>
        </w:rPr>
        <w:t>根据</w:t>
      </w:r>
      <w:r>
        <w:rPr>
          <w:lang w:val="zh-CN" w:eastAsia="zh-CN"/>
        </w:rPr>
        <w:t>CWG-FHR</w:t>
      </w:r>
      <w:r>
        <w:rPr>
          <w:lang w:val="zh-CN" w:eastAsia="zh-CN"/>
        </w:rPr>
        <w:t>和理事会的指示进行定期报告。</w:t>
      </w:r>
    </w:p>
    <w:p w14:paraId="6F2D5D28" w14:textId="712F4F20" w:rsidR="00D75AB1" w:rsidRPr="00DB101C" w:rsidRDefault="00D75AB1" w:rsidP="004A2DF9">
      <w:pPr>
        <w:ind w:firstLineChars="200" w:firstLine="480"/>
        <w:rPr>
          <w:rFonts w:asciiTheme="minorHAnsi" w:hAnsiTheme="minorHAnsi" w:cstheme="minorBidi"/>
          <w:lang w:eastAsia="zh-CN"/>
        </w:rPr>
      </w:pPr>
      <w:r>
        <w:rPr>
          <w:lang w:val="zh-CN" w:eastAsia="zh-CN"/>
        </w:rPr>
        <w:t>上述活动的更多</w:t>
      </w:r>
      <w:r>
        <w:rPr>
          <w:rFonts w:hint="eastAsia"/>
          <w:lang w:val="zh-CN" w:eastAsia="zh-CN"/>
        </w:rPr>
        <w:t>详情</w:t>
      </w:r>
      <w:r>
        <w:rPr>
          <w:lang w:val="zh-CN" w:eastAsia="zh-CN"/>
        </w:rPr>
        <w:t>见情况通报文件（</w:t>
      </w:r>
      <w:hyperlink r:id="rId23" w:history="1">
        <w:r w:rsidR="005B5DA2" w:rsidRPr="005B5DA2">
          <w:rPr>
            <w:rStyle w:val="Hyperlink"/>
            <w:rFonts w:asciiTheme="minorHAnsi" w:eastAsia="SimSun" w:hAnsiTheme="minorHAnsi" w:cstheme="minorBidi"/>
            <w:u w:val="single"/>
            <w:lang w:eastAsia="zh-CN"/>
          </w:rPr>
          <w:t>C26/INF/10</w:t>
        </w:r>
      </w:hyperlink>
      <w:r>
        <w:rPr>
          <w:lang w:val="zh-CN" w:eastAsia="zh-CN"/>
        </w:rPr>
        <w:t>）。</w:t>
      </w:r>
      <w:r>
        <w:fldChar w:fldCharType="begin"/>
      </w:r>
      <w:r>
        <w:rPr>
          <w:lang w:eastAsia="zh-CN"/>
        </w:rPr>
        <w:instrText xml:space="preserve"> HYPERLINK "https://www.itu.int/md/S26-CL-INF-0010/en" \h </w:instrText>
      </w:r>
      <w:r>
        <w:fldChar w:fldCharType="separate"/>
      </w:r>
      <w:r>
        <w:fldChar w:fldCharType="end"/>
      </w:r>
    </w:p>
    <w:p w14:paraId="3A5BC8B5" w14:textId="77777777" w:rsidR="00D75AB1" w:rsidRPr="00975CF0" w:rsidRDefault="00D75AB1" w:rsidP="00975CF0">
      <w:pPr>
        <w:pStyle w:val="Heading1"/>
      </w:pPr>
      <w:r>
        <w:t>4</w:t>
      </w:r>
      <w:r>
        <w:tab/>
      </w:r>
      <w:r>
        <w:t>方法</w:t>
      </w:r>
    </w:p>
    <w:p w14:paraId="35318C10" w14:textId="6B7EA4C1" w:rsidR="00D75AB1" w:rsidRPr="00DB101C" w:rsidRDefault="00D75AB1" w:rsidP="005B5DA2">
      <w:pPr>
        <w:spacing w:after="120"/>
        <w:rPr>
          <w:rFonts w:asciiTheme="minorHAnsi" w:hAnsiTheme="minorHAnsi" w:cstheme="minorBidi"/>
          <w:lang w:eastAsia="zh-CN"/>
        </w:rPr>
      </w:pPr>
      <w:r>
        <w:rPr>
          <w:lang w:val="zh-CN" w:eastAsia="zh-CN"/>
        </w:rPr>
        <w:t>4.1</w:t>
      </w:r>
      <w:r>
        <w:rPr>
          <w:lang w:val="zh-CN" w:eastAsia="zh-CN"/>
        </w:rPr>
        <w:tab/>
      </w:r>
      <w:r>
        <w:rPr>
          <w:lang w:val="zh-CN" w:eastAsia="zh-CN"/>
        </w:rPr>
        <w:t>审查方法遵循了</w:t>
      </w:r>
      <w:r w:rsidR="005B5DA2">
        <w:fldChar w:fldCharType="begin"/>
      </w:r>
      <w:r w:rsidR="005B5DA2">
        <w:rPr>
          <w:lang w:eastAsia="zh-CN"/>
        </w:rPr>
        <w:instrText>HYPERLINK "https://www.itu.int/md/S25-CL-C-0105/en"</w:instrText>
      </w:r>
      <w:r w:rsidR="005B5DA2">
        <w:fldChar w:fldCharType="separate"/>
      </w:r>
      <w:r w:rsidR="005B5DA2" w:rsidRPr="005B5DA2">
        <w:rPr>
          <w:rStyle w:val="Hyperlink"/>
          <w:rFonts w:asciiTheme="minorHAnsi" w:eastAsia="SimSun" w:hAnsiTheme="minorHAnsi" w:cstheme="minorBidi"/>
          <w:u w:val="single"/>
          <w:lang w:eastAsia="zh-CN"/>
        </w:rPr>
        <w:t>C25/105</w:t>
      </w:r>
      <w:r w:rsidR="005B5DA2">
        <w:fldChar w:fldCharType="end"/>
      </w:r>
      <w:r>
        <w:rPr>
          <w:lang w:val="zh-CN" w:eastAsia="zh-CN"/>
        </w:rPr>
        <w:t>号文件附件</w:t>
      </w:r>
      <w:r>
        <w:rPr>
          <w:lang w:val="zh-CN" w:eastAsia="zh-CN"/>
        </w:rPr>
        <w:t>A</w:t>
      </w:r>
      <w:r>
        <w:rPr>
          <w:lang w:val="zh-CN" w:eastAsia="zh-CN"/>
        </w:rPr>
        <w:t>和附件</w:t>
      </w:r>
      <w:r>
        <w:rPr>
          <w:lang w:val="zh-CN" w:eastAsia="zh-CN"/>
        </w:rPr>
        <w:t>1</w:t>
      </w:r>
      <w:r>
        <w:rPr>
          <w:lang w:val="zh-CN" w:eastAsia="zh-CN"/>
        </w:rPr>
        <w:t>所载成员商定的职责范围，如下表所示。</w:t>
      </w:r>
      <w:hyperlink r:id="rId24"/>
    </w:p>
    <w:tbl>
      <w:tblPr>
        <w:tblStyle w:val="TableGrid1"/>
        <w:tblW w:w="0" w:type="auto"/>
        <w:tblLayout w:type="fixed"/>
        <w:tblLook w:val="04A0" w:firstRow="1" w:lastRow="0" w:firstColumn="1" w:lastColumn="0" w:noHBand="0" w:noVBand="1"/>
      </w:tblPr>
      <w:tblGrid>
        <w:gridCol w:w="3114"/>
        <w:gridCol w:w="5902"/>
      </w:tblGrid>
      <w:tr w:rsidR="00D75AB1" w:rsidRPr="00EE1877" w14:paraId="5288279E" w14:textId="77777777" w:rsidTr="00A26DEC">
        <w:trPr>
          <w:trHeight w:val="300"/>
        </w:trPr>
        <w:tc>
          <w:tcPr>
            <w:tcW w:w="3114" w:type="dxa"/>
          </w:tcPr>
          <w:p w14:paraId="48D7150F" w14:textId="77777777" w:rsidR="00D75AB1" w:rsidRPr="00EE1877" w:rsidRDefault="00D75AB1" w:rsidP="00A26DEC">
            <w:pPr>
              <w:pStyle w:val="Tablehead"/>
              <w:rPr>
                <w:rFonts w:ascii="Times New Roman" w:eastAsiaTheme="minorEastAsia" w:hAnsi="Times New Roman" w:cs="Times New Roman"/>
                <w:b w:val="0"/>
                <w:bCs/>
              </w:rPr>
            </w:pPr>
            <w:proofErr w:type="spellStart"/>
            <w:r w:rsidRPr="00EE1877">
              <w:rPr>
                <w:rFonts w:ascii="Times New Roman" w:eastAsiaTheme="minorEastAsia" w:hAnsi="Times New Roman" w:cs="Times New Roman"/>
                <w:bCs/>
                <w:color w:val="000000"/>
                <w:lang w:val="zh-CN"/>
              </w:rPr>
              <w:t>活动</w:t>
            </w:r>
            <w:proofErr w:type="spellEnd"/>
          </w:p>
        </w:tc>
        <w:tc>
          <w:tcPr>
            <w:tcW w:w="5902" w:type="dxa"/>
          </w:tcPr>
          <w:p w14:paraId="7E4FB2B8" w14:textId="77777777" w:rsidR="00D75AB1" w:rsidRPr="00EE1877" w:rsidRDefault="00D75AB1" w:rsidP="00A26DEC">
            <w:pPr>
              <w:pStyle w:val="Tablehead"/>
              <w:rPr>
                <w:rFonts w:ascii="Times New Roman" w:eastAsiaTheme="minorEastAsia" w:hAnsi="Times New Roman" w:cs="Times New Roman"/>
                <w:b w:val="0"/>
                <w:bCs/>
              </w:rPr>
            </w:pPr>
            <w:proofErr w:type="spellStart"/>
            <w:r>
              <w:rPr>
                <w:rFonts w:ascii="Times New Roman" w:eastAsiaTheme="minorEastAsia" w:hAnsi="Times New Roman" w:cs="Times New Roman" w:hint="eastAsia"/>
                <w:bCs/>
                <w:color w:val="000000"/>
                <w:lang w:val="zh-CN"/>
              </w:rPr>
              <w:t>说明</w:t>
            </w:r>
            <w:proofErr w:type="spellEnd"/>
          </w:p>
        </w:tc>
      </w:tr>
      <w:tr w:rsidR="00D75AB1" w:rsidRPr="00EE1877" w14:paraId="02709CBD" w14:textId="77777777" w:rsidTr="00A26DEC">
        <w:trPr>
          <w:trHeight w:val="300"/>
        </w:trPr>
        <w:tc>
          <w:tcPr>
            <w:tcW w:w="3114" w:type="dxa"/>
          </w:tcPr>
          <w:p w14:paraId="4C64AC18" w14:textId="77777777" w:rsidR="00D75AB1" w:rsidRPr="005B5DA2" w:rsidRDefault="00D75AB1" w:rsidP="00A26DEC">
            <w:pPr>
              <w:pStyle w:val="Tabletext"/>
              <w:rPr>
                <w:rFonts w:eastAsia="SimSun" w:cs="Calibri"/>
              </w:rPr>
            </w:pPr>
            <w:proofErr w:type="spellStart"/>
            <w:r w:rsidRPr="005B5DA2">
              <w:rPr>
                <w:rFonts w:eastAsia="SimSun" w:cs="Calibri" w:hint="eastAsia"/>
                <w:color w:val="000000"/>
                <w:lang w:val="zh-CN"/>
              </w:rPr>
              <w:t>文件</w:t>
            </w:r>
            <w:r w:rsidRPr="005B5DA2">
              <w:rPr>
                <w:rFonts w:eastAsia="SimSun" w:cs="Calibri"/>
                <w:color w:val="000000"/>
                <w:lang w:val="zh-CN"/>
              </w:rPr>
              <w:t>分析</w:t>
            </w:r>
            <w:proofErr w:type="spellEnd"/>
          </w:p>
        </w:tc>
        <w:tc>
          <w:tcPr>
            <w:tcW w:w="5902" w:type="dxa"/>
          </w:tcPr>
          <w:p w14:paraId="4D2AEA70" w14:textId="77777777" w:rsidR="00D75AB1" w:rsidRPr="005B5DA2" w:rsidRDefault="00D75AB1" w:rsidP="00A26DEC">
            <w:pPr>
              <w:pStyle w:val="Tabletext"/>
              <w:rPr>
                <w:rFonts w:eastAsia="SimSun" w:cs="Calibri"/>
                <w:lang w:eastAsia="zh-CN"/>
              </w:rPr>
            </w:pPr>
            <w:r w:rsidRPr="005B5DA2">
              <w:rPr>
                <w:rFonts w:eastAsia="SimSun" w:cs="Calibri"/>
                <w:color w:val="000000"/>
                <w:lang w:val="zh-CN" w:eastAsia="zh-CN"/>
              </w:rPr>
              <w:t>对基础文件进行案头审查，包括第</w:t>
            </w:r>
            <w:r w:rsidRPr="005B5DA2">
              <w:rPr>
                <w:rFonts w:eastAsia="SimSun" w:cs="Calibri"/>
                <w:color w:val="000000"/>
                <w:lang w:val="zh-CN" w:eastAsia="zh-CN"/>
              </w:rPr>
              <w:t>25</w:t>
            </w:r>
            <w:r w:rsidRPr="005B5DA2">
              <w:rPr>
                <w:rFonts w:eastAsia="SimSun" w:cs="Calibri"/>
                <w:color w:val="000000"/>
                <w:lang w:val="zh-CN" w:eastAsia="zh-CN"/>
              </w:rPr>
              <w:t>号决议、国际电联的战略规划以及运作、绩效和审计报告。</w:t>
            </w:r>
          </w:p>
        </w:tc>
      </w:tr>
      <w:tr w:rsidR="00D75AB1" w:rsidRPr="00EE1877" w14:paraId="7B2E6C26" w14:textId="77777777" w:rsidTr="00A26DEC">
        <w:trPr>
          <w:trHeight w:val="300"/>
        </w:trPr>
        <w:tc>
          <w:tcPr>
            <w:tcW w:w="3114" w:type="dxa"/>
          </w:tcPr>
          <w:p w14:paraId="3539AE2A" w14:textId="77777777" w:rsidR="00D75AB1" w:rsidRPr="005B5DA2" w:rsidRDefault="00D75AB1" w:rsidP="00A26DEC">
            <w:pPr>
              <w:pStyle w:val="Tabletext"/>
              <w:rPr>
                <w:rFonts w:eastAsia="SimSun" w:cs="Calibri"/>
              </w:rPr>
            </w:pPr>
            <w:proofErr w:type="spellStart"/>
            <w:r w:rsidRPr="005B5DA2">
              <w:rPr>
                <w:rFonts w:eastAsia="SimSun" w:cs="Calibri"/>
                <w:color w:val="000000"/>
                <w:lang w:val="zh-CN"/>
              </w:rPr>
              <w:t>数据分析</w:t>
            </w:r>
            <w:proofErr w:type="spellEnd"/>
          </w:p>
        </w:tc>
        <w:tc>
          <w:tcPr>
            <w:tcW w:w="5902" w:type="dxa"/>
          </w:tcPr>
          <w:p w14:paraId="00DB613F" w14:textId="77777777" w:rsidR="00D75AB1" w:rsidRPr="005B5DA2" w:rsidRDefault="00D75AB1" w:rsidP="00A26DEC">
            <w:pPr>
              <w:pStyle w:val="Tabletext"/>
              <w:rPr>
                <w:rFonts w:eastAsia="SimSun" w:cs="Calibri"/>
                <w:lang w:eastAsia="zh-CN"/>
              </w:rPr>
            </w:pPr>
            <w:r w:rsidRPr="005B5DA2">
              <w:rPr>
                <w:rFonts w:eastAsia="SimSun" w:cs="Calibri"/>
                <w:color w:val="000000"/>
                <w:lang w:val="zh-CN" w:eastAsia="zh-CN"/>
              </w:rPr>
              <w:t>分析关键数据点，包括人员结构、预算分配和项目成果，以发现趋势、差距和改进机会。</w:t>
            </w:r>
          </w:p>
        </w:tc>
      </w:tr>
      <w:tr w:rsidR="00D75AB1" w:rsidRPr="00EE1877" w14:paraId="727493B2" w14:textId="77777777" w:rsidTr="00A26DEC">
        <w:trPr>
          <w:trHeight w:val="300"/>
        </w:trPr>
        <w:tc>
          <w:tcPr>
            <w:tcW w:w="3114" w:type="dxa"/>
          </w:tcPr>
          <w:p w14:paraId="3EF7EBD6" w14:textId="77777777" w:rsidR="00D75AB1" w:rsidRPr="005B5DA2" w:rsidRDefault="00D75AB1" w:rsidP="00A26DEC">
            <w:pPr>
              <w:pStyle w:val="Tabletext"/>
              <w:rPr>
                <w:rFonts w:eastAsia="SimSun" w:cs="Calibri"/>
              </w:rPr>
            </w:pPr>
            <w:proofErr w:type="spellStart"/>
            <w:r w:rsidRPr="005B5DA2">
              <w:rPr>
                <w:rFonts w:eastAsia="SimSun" w:cs="Calibri"/>
                <w:color w:val="000000"/>
                <w:lang w:val="zh-CN"/>
              </w:rPr>
              <w:t>利益攸关方磋商</w:t>
            </w:r>
            <w:proofErr w:type="spellEnd"/>
          </w:p>
        </w:tc>
        <w:tc>
          <w:tcPr>
            <w:tcW w:w="5902" w:type="dxa"/>
          </w:tcPr>
          <w:p w14:paraId="481F43B0" w14:textId="77777777" w:rsidR="00D75AB1" w:rsidRPr="005B5DA2" w:rsidRDefault="00D75AB1" w:rsidP="00A26DEC">
            <w:pPr>
              <w:pStyle w:val="Tabletext"/>
              <w:rPr>
                <w:rFonts w:eastAsia="SimSun" w:cs="Calibri"/>
                <w:lang w:eastAsia="zh-CN"/>
              </w:rPr>
            </w:pPr>
            <w:r w:rsidRPr="005B5DA2">
              <w:rPr>
                <w:rFonts w:eastAsia="SimSun" w:cs="Calibri"/>
                <w:color w:val="000000"/>
                <w:lang w:val="zh-CN" w:eastAsia="zh-CN"/>
              </w:rPr>
              <w:t>与主要利益攸关方进行内部接触，并与国际电联</w:t>
            </w:r>
            <w:r w:rsidRPr="005B5DA2">
              <w:rPr>
                <w:rFonts w:eastAsia="SimSun" w:cs="Calibri" w:hint="eastAsia"/>
                <w:color w:val="000000"/>
                <w:lang w:val="zh-CN" w:eastAsia="zh-CN"/>
              </w:rPr>
              <w:t>各</w:t>
            </w:r>
            <w:r w:rsidRPr="005B5DA2">
              <w:rPr>
                <w:rFonts w:eastAsia="SimSun" w:cs="Calibri"/>
                <w:color w:val="000000"/>
                <w:lang w:val="zh-CN" w:eastAsia="zh-CN"/>
              </w:rPr>
              <w:t>顾问组磋商，以获得关于塑造国际电联区域代表处未来方向的见解和战略指导。</w:t>
            </w:r>
          </w:p>
        </w:tc>
      </w:tr>
      <w:tr w:rsidR="00D75AB1" w:rsidRPr="00EE1877" w14:paraId="4C379F57" w14:textId="77777777" w:rsidTr="00A26DEC">
        <w:trPr>
          <w:trHeight w:val="300"/>
        </w:trPr>
        <w:tc>
          <w:tcPr>
            <w:tcW w:w="3114" w:type="dxa"/>
          </w:tcPr>
          <w:p w14:paraId="7D530EEB" w14:textId="77777777" w:rsidR="00D75AB1" w:rsidRPr="005B5DA2" w:rsidRDefault="00D75AB1" w:rsidP="00A26DEC">
            <w:pPr>
              <w:pStyle w:val="Tabletext"/>
              <w:rPr>
                <w:rFonts w:eastAsia="SimSun" w:cs="Calibri"/>
              </w:rPr>
            </w:pPr>
            <w:proofErr w:type="spellStart"/>
            <w:r w:rsidRPr="005B5DA2">
              <w:rPr>
                <w:rFonts w:eastAsia="SimSun" w:cs="Calibri"/>
                <w:color w:val="000000"/>
                <w:lang w:val="zh-CN"/>
              </w:rPr>
              <w:t>利益攸关方调查</w:t>
            </w:r>
            <w:proofErr w:type="spellEnd"/>
          </w:p>
        </w:tc>
        <w:tc>
          <w:tcPr>
            <w:tcW w:w="5902" w:type="dxa"/>
          </w:tcPr>
          <w:p w14:paraId="767045ED" w14:textId="77777777" w:rsidR="00D75AB1" w:rsidRPr="005B5DA2" w:rsidRDefault="00D75AB1" w:rsidP="00A26DEC">
            <w:pPr>
              <w:pStyle w:val="Tabletext"/>
              <w:rPr>
                <w:rFonts w:eastAsia="SimSun" w:cs="Calibri"/>
                <w:lang w:eastAsia="zh-CN"/>
              </w:rPr>
            </w:pPr>
            <w:r w:rsidRPr="005B5DA2">
              <w:rPr>
                <w:rFonts w:eastAsia="SimSun" w:cs="Calibri"/>
                <w:color w:val="000000"/>
                <w:lang w:val="zh-CN" w:eastAsia="zh-CN"/>
              </w:rPr>
              <w:t>管理和收集成员和区域性电信组织（</w:t>
            </w:r>
            <w:r w:rsidRPr="005B5DA2">
              <w:rPr>
                <w:rFonts w:eastAsia="SimSun" w:cs="Calibri"/>
                <w:color w:val="000000"/>
                <w:lang w:val="zh-CN" w:eastAsia="zh-CN"/>
              </w:rPr>
              <w:t>RTO</w:t>
            </w:r>
            <w:r w:rsidRPr="005B5DA2">
              <w:rPr>
                <w:rFonts w:eastAsia="SimSun" w:cs="Calibri"/>
                <w:color w:val="000000"/>
                <w:lang w:val="zh-CN" w:eastAsia="zh-CN"/>
              </w:rPr>
              <w:t>）关于满意度的反馈，以衡量区域代表性的影响，并优先评估总体满意度。</w:t>
            </w:r>
          </w:p>
        </w:tc>
      </w:tr>
    </w:tbl>
    <w:p w14:paraId="0CE8AB65" w14:textId="77777777" w:rsidR="00D75AB1" w:rsidRPr="00DB101C" w:rsidRDefault="00D75AB1" w:rsidP="00D75AB1">
      <w:pPr>
        <w:pStyle w:val="Tablefin"/>
      </w:pPr>
    </w:p>
    <w:p w14:paraId="5503EC8D" w14:textId="00EFCC88" w:rsidR="00D75AB1" w:rsidRPr="00DB101C" w:rsidRDefault="00D75AB1" w:rsidP="00D75AB1">
      <w:pPr>
        <w:rPr>
          <w:rFonts w:asciiTheme="minorHAnsi" w:hAnsiTheme="minorHAnsi" w:cstheme="minorBidi"/>
          <w:lang w:eastAsia="zh-CN"/>
        </w:rPr>
      </w:pPr>
      <w:r>
        <w:rPr>
          <w:lang w:val="zh-CN" w:eastAsia="zh-CN"/>
        </w:rPr>
        <w:t>4.2</w:t>
      </w:r>
      <w:r>
        <w:rPr>
          <w:lang w:val="zh-CN" w:eastAsia="zh-CN"/>
        </w:rPr>
        <w:tab/>
      </w:r>
      <w:r>
        <w:rPr>
          <w:lang w:val="zh-CN" w:eastAsia="zh-CN"/>
        </w:rPr>
        <w:t>因此，电信发展局在</w:t>
      </w:r>
      <w:r>
        <w:rPr>
          <w:lang w:val="zh-CN" w:eastAsia="zh-CN"/>
        </w:rPr>
        <w:t>2025</w:t>
      </w:r>
      <w:r>
        <w:rPr>
          <w:lang w:val="zh-CN" w:eastAsia="zh-CN"/>
        </w:rPr>
        <w:t>年</w:t>
      </w:r>
      <w:r>
        <w:rPr>
          <w:lang w:val="zh-CN" w:eastAsia="zh-CN"/>
        </w:rPr>
        <w:t>7</w:t>
      </w:r>
      <w:r>
        <w:rPr>
          <w:lang w:val="zh-CN" w:eastAsia="zh-CN"/>
        </w:rPr>
        <w:t>月</w:t>
      </w:r>
      <w:r>
        <w:rPr>
          <w:lang w:val="zh-CN" w:eastAsia="zh-CN"/>
        </w:rPr>
        <w:t>17</w:t>
      </w:r>
      <w:r>
        <w:rPr>
          <w:lang w:val="zh-CN" w:eastAsia="zh-CN"/>
        </w:rPr>
        <w:t>日区域代表处跨部门任务组第一次会议后开始工作，分析了</w:t>
      </w:r>
      <w:hyperlink r:id="rId25" w:history="1">
        <w:r w:rsidR="005B5DA2" w:rsidRPr="005B5DA2">
          <w:rPr>
            <w:rStyle w:val="Hyperlink"/>
            <w:rFonts w:asciiTheme="minorHAnsi" w:eastAsia="SimSun" w:hAnsiTheme="minorHAnsi" w:cstheme="minorBidi"/>
            <w:u w:val="single"/>
            <w:lang w:eastAsia="zh-CN"/>
          </w:rPr>
          <w:t>C25/105</w:t>
        </w:r>
      </w:hyperlink>
      <w:r>
        <w:rPr>
          <w:lang w:val="zh-CN" w:eastAsia="zh-CN"/>
        </w:rPr>
        <w:t>号文件附件</w:t>
      </w:r>
      <w:r>
        <w:rPr>
          <w:lang w:val="zh-CN" w:eastAsia="zh-CN"/>
        </w:rPr>
        <w:t>A</w:t>
      </w:r>
      <w:r>
        <w:rPr>
          <w:lang w:val="zh-CN" w:eastAsia="zh-CN"/>
        </w:rPr>
        <w:t>中列出的</w:t>
      </w:r>
      <w:r>
        <w:rPr>
          <w:lang w:val="zh-CN" w:eastAsia="zh-CN"/>
        </w:rPr>
        <w:t>12</w:t>
      </w:r>
      <w:r>
        <w:rPr>
          <w:lang w:val="zh-CN" w:eastAsia="zh-CN"/>
        </w:rPr>
        <w:t>个工作说明</w:t>
      </w:r>
      <w:r>
        <w:rPr>
          <w:rFonts w:hint="eastAsia"/>
          <w:lang w:val="zh-CN" w:eastAsia="zh-CN"/>
        </w:rPr>
        <w:t>（</w:t>
      </w:r>
      <w:r w:rsidRPr="00DB101C">
        <w:rPr>
          <w:rFonts w:asciiTheme="minorHAnsi" w:hAnsiTheme="minorHAnsi" w:cstheme="minorBidi"/>
          <w:lang w:eastAsia="zh-CN"/>
        </w:rPr>
        <w:t>SoW</w:t>
      </w:r>
      <w:r>
        <w:rPr>
          <w:rFonts w:hint="eastAsia"/>
          <w:lang w:val="zh-CN" w:eastAsia="zh-CN"/>
        </w:rPr>
        <w:t>）</w:t>
      </w:r>
      <w:r>
        <w:rPr>
          <w:lang w:val="zh-CN" w:eastAsia="zh-CN"/>
        </w:rPr>
        <w:t>项目和附件</w:t>
      </w:r>
      <w:r>
        <w:rPr>
          <w:lang w:val="zh-CN" w:eastAsia="zh-CN"/>
        </w:rPr>
        <w:t>1</w:t>
      </w:r>
      <w:r>
        <w:rPr>
          <w:lang w:val="zh-CN" w:eastAsia="zh-CN"/>
        </w:rPr>
        <w:t>列出的</w:t>
      </w:r>
      <w:r>
        <w:rPr>
          <w:lang w:val="zh-CN" w:eastAsia="zh-CN"/>
        </w:rPr>
        <w:t>27</w:t>
      </w:r>
      <w:r>
        <w:rPr>
          <w:rFonts w:hint="eastAsia"/>
          <w:lang w:val="zh-CN" w:eastAsia="zh-CN"/>
        </w:rPr>
        <w:t>项</w:t>
      </w:r>
      <w:r>
        <w:rPr>
          <w:lang w:val="zh-CN" w:eastAsia="zh-CN"/>
        </w:rPr>
        <w:t>关键绩效指标（</w:t>
      </w:r>
      <w:r>
        <w:rPr>
          <w:lang w:val="zh-CN" w:eastAsia="zh-CN"/>
        </w:rPr>
        <w:t>KPI</w:t>
      </w:r>
      <w:r>
        <w:rPr>
          <w:lang w:val="zh-CN" w:eastAsia="zh-CN"/>
        </w:rPr>
        <w:t>）。第一步</w:t>
      </w:r>
      <w:r>
        <w:rPr>
          <w:rFonts w:hint="eastAsia"/>
          <w:lang w:val="zh-CN" w:eastAsia="zh-CN"/>
        </w:rPr>
        <w:t>工作是将</w:t>
      </w:r>
      <w:r>
        <w:rPr>
          <w:lang w:val="zh-CN" w:eastAsia="zh-CN"/>
        </w:rPr>
        <w:t>KPI</w:t>
      </w:r>
      <w:r>
        <w:rPr>
          <w:rFonts w:hint="eastAsia"/>
          <w:lang w:val="zh-CN" w:eastAsia="zh-CN"/>
        </w:rPr>
        <w:t>与</w:t>
      </w:r>
      <w:r>
        <w:rPr>
          <w:lang w:val="zh-CN" w:eastAsia="zh-CN"/>
        </w:rPr>
        <w:t>12</w:t>
      </w:r>
      <w:r>
        <w:rPr>
          <w:lang w:val="zh-CN" w:eastAsia="zh-CN"/>
        </w:rPr>
        <w:t>个</w:t>
      </w:r>
      <w:r w:rsidRPr="00DB101C">
        <w:rPr>
          <w:rFonts w:asciiTheme="minorHAnsi" w:hAnsiTheme="minorHAnsi" w:cstheme="minorBidi"/>
          <w:lang w:eastAsia="zh-CN"/>
        </w:rPr>
        <w:t>SoW</w:t>
      </w:r>
      <w:r>
        <w:rPr>
          <w:lang w:val="zh-CN" w:eastAsia="zh-CN"/>
        </w:rPr>
        <w:t>项目</w:t>
      </w:r>
      <w:r>
        <w:rPr>
          <w:rFonts w:hint="eastAsia"/>
          <w:lang w:val="zh-CN" w:eastAsia="zh-CN"/>
        </w:rPr>
        <w:t>进行对照</w:t>
      </w:r>
      <w:r>
        <w:rPr>
          <w:lang w:val="zh-CN" w:eastAsia="zh-CN"/>
        </w:rPr>
        <w:t>。研究了</w:t>
      </w:r>
      <w:r>
        <w:rPr>
          <w:lang w:val="zh-CN" w:eastAsia="zh-CN"/>
        </w:rPr>
        <w:t>27</w:t>
      </w:r>
      <w:r>
        <w:rPr>
          <w:lang w:val="zh-CN" w:eastAsia="zh-CN"/>
        </w:rPr>
        <w:t>项</w:t>
      </w:r>
      <w:r>
        <w:rPr>
          <w:lang w:val="zh-CN" w:eastAsia="zh-CN"/>
        </w:rPr>
        <w:t>KPI</w:t>
      </w:r>
      <w:r>
        <w:rPr>
          <w:lang w:val="zh-CN" w:eastAsia="zh-CN"/>
        </w:rPr>
        <w:t>和</w:t>
      </w:r>
      <w:r>
        <w:rPr>
          <w:lang w:val="zh-CN" w:eastAsia="zh-CN"/>
        </w:rPr>
        <w:t>12</w:t>
      </w:r>
      <w:r>
        <w:rPr>
          <w:lang w:val="zh-CN" w:eastAsia="zh-CN"/>
        </w:rPr>
        <w:t>项</w:t>
      </w:r>
      <w:r>
        <w:rPr>
          <w:lang w:val="zh-CN" w:eastAsia="zh-CN"/>
        </w:rPr>
        <w:t>SoW</w:t>
      </w:r>
      <w:r>
        <w:rPr>
          <w:lang w:val="zh-CN" w:eastAsia="zh-CN"/>
        </w:rPr>
        <w:t>，以评估主要和次要数据来源，即，</w:t>
      </w:r>
      <w:r>
        <w:rPr>
          <w:rFonts w:hint="eastAsia"/>
          <w:lang w:val="zh-CN" w:eastAsia="zh-CN"/>
        </w:rPr>
        <w:t>数据</w:t>
      </w:r>
      <w:r>
        <w:rPr>
          <w:lang w:val="zh-CN" w:eastAsia="zh-CN"/>
        </w:rPr>
        <w:t>是否可来自成员调查，或利益攸关方磋商（包括内部评估调查），或案头研究</w:t>
      </w:r>
      <w:r>
        <w:rPr>
          <w:lang w:val="zh-CN" w:eastAsia="zh-CN"/>
        </w:rPr>
        <w:t>/</w:t>
      </w:r>
      <w:r>
        <w:rPr>
          <w:lang w:val="zh-CN" w:eastAsia="zh-CN"/>
        </w:rPr>
        <w:t>文件分析。</w:t>
      </w:r>
      <w:r w:rsidRPr="0090639F">
        <w:rPr>
          <w:rFonts w:hint="eastAsia"/>
          <w:lang w:val="zh-CN" w:eastAsia="zh-CN"/>
        </w:rPr>
        <w:t>某些</w:t>
      </w:r>
      <w:r w:rsidRPr="0090639F">
        <w:rPr>
          <w:rFonts w:hint="eastAsia"/>
          <w:lang w:val="zh-CN" w:eastAsia="zh-CN"/>
        </w:rPr>
        <w:t>KPI</w:t>
      </w:r>
      <w:r w:rsidRPr="0090639F">
        <w:rPr>
          <w:rFonts w:hint="eastAsia"/>
          <w:lang w:val="zh-CN" w:eastAsia="zh-CN"/>
        </w:rPr>
        <w:t>被映射到了两个或多个数据源。</w:t>
      </w:r>
      <w:hyperlink r:id="rId26"/>
    </w:p>
    <w:p w14:paraId="1296B32B" w14:textId="7DA24035" w:rsidR="00D75AB1" w:rsidRPr="00DB101C" w:rsidRDefault="00D75AB1" w:rsidP="00D75AB1">
      <w:pPr>
        <w:rPr>
          <w:rFonts w:asciiTheme="minorHAnsi" w:hAnsiTheme="minorHAnsi" w:cstheme="minorBidi"/>
          <w:lang w:eastAsia="zh-CN"/>
        </w:rPr>
      </w:pPr>
      <w:r>
        <w:rPr>
          <w:lang w:val="zh-CN" w:eastAsia="zh-CN"/>
        </w:rPr>
        <w:t>4.3</w:t>
      </w:r>
      <w:r>
        <w:rPr>
          <w:lang w:val="zh-CN" w:eastAsia="zh-CN"/>
        </w:rPr>
        <w:tab/>
      </w:r>
      <w:r>
        <w:rPr>
          <w:lang w:val="zh-CN" w:eastAsia="zh-CN"/>
        </w:rPr>
        <w:t>电信发展局设计并实施了成员调查，并通过确定文献来源和从相关可靠来源收集数据开展案头研究。文件分析还包括与处境类似的联合国组织进行基准比较。成员调查和案头研究的结果得到了利益攸关方磋商数据的补充，其中包括对区域性电信组织的采访，以补充成员调查的反馈、内部评估调查的结果以及其他利益攸关方的反馈。一旦收集和整理了数据，就根据</w:t>
      </w:r>
      <w:r>
        <w:rPr>
          <w:lang w:val="zh-CN" w:eastAsia="zh-CN"/>
        </w:rPr>
        <w:t>KPI</w:t>
      </w:r>
      <w:r>
        <w:rPr>
          <w:lang w:val="zh-CN" w:eastAsia="zh-CN"/>
        </w:rPr>
        <w:t>对其进行分析，以得出所有</w:t>
      </w:r>
      <w:r>
        <w:rPr>
          <w:lang w:val="zh-CN" w:eastAsia="zh-CN"/>
        </w:rPr>
        <w:t>12</w:t>
      </w:r>
      <w:r>
        <w:rPr>
          <w:lang w:val="zh-CN" w:eastAsia="zh-CN"/>
        </w:rPr>
        <w:t>个</w:t>
      </w:r>
      <w:r>
        <w:rPr>
          <w:lang w:val="zh-CN" w:eastAsia="zh-CN"/>
        </w:rPr>
        <w:t>SoW</w:t>
      </w:r>
      <w:r>
        <w:rPr>
          <w:lang w:val="zh-CN" w:eastAsia="zh-CN"/>
        </w:rPr>
        <w:t>项目的综合</w:t>
      </w:r>
      <w:r>
        <w:rPr>
          <w:rFonts w:hint="eastAsia"/>
          <w:lang w:val="zh-CN" w:eastAsia="zh-CN"/>
        </w:rPr>
        <w:t>研究</w:t>
      </w:r>
      <w:r>
        <w:rPr>
          <w:lang w:val="zh-CN" w:eastAsia="zh-CN"/>
        </w:rPr>
        <w:t>结果。详情见</w:t>
      </w:r>
      <w:hyperlink r:id="rId27" w:history="1">
        <w:r w:rsidR="005B5DA2" w:rsidRPr="005B5DA2">
          <w:rPr>
            <w:rStyle w:val="Hyperlink"/>
            <w:rFonts w:asciiTheme="minorHAnsi" w:eastAsia="SimSun" w:hAnsiTheme="minorHAnsi" w:cstheme="minorBidi"/>
            <w:u w:val="single"/>
            <w:lang w:eastAsia="zh-CN"/>
          </w:rPr>
          <w:t>C26/INF/10</w:t>
        </w:r>
      </w:hyperlink>
      <w:r>
        <w:rPr>
          <w:lang w:val="zh-CN" w:eastAsia="zh-CN"/>
        </w:rPr>
        <w:t>号文件。</w:t>
      </w:r>
      <w:hyperlink r:id="rId28" w:history="1"/>
    </w:p>
    <w:p w14:paraId="3A643936" w14:textId="77777777" w:rsidR="00D75AB1" w:rsidRPr="00554552" w:rsidRDefault="00D75AB1" w:rsidP="00975CF0">
      <w:pPr>
        <w:pStyle w:val="Heading1"/>
      </w:pPr>
      <w:r>
        <w:t>5</w:t>
      </w:r>
      <w:r>
        <w:tab/>
      </w:r>
      <w:r>
        <w:t>主要研究</w:t>
      </w:r>
      <w:r>
        <w:rPr>
          <w:rFonts w:hint="eastAsia"/>
        </w:rPr>
        <w:t>结果</w:t>
      </w:r>
    </w:p>
    <w:p w14:paraId="31F3961F" w14:textId="77777777" w:rsidR="00D75AB1" w:rsidRPr="00554552" w:rsidRDefault="00D75AB1" w:rsidP="00975CF0">
      <w:pPr>
        <w:pStyle w:val="Heading2"/>
      </w:pPr>
      <w:r>
        <w:t>5.1</w:t>
      </w:r>
      <w:r>
        <w:tab/>
      </w:r>
      <w:r>
        <w:t>优势领域</w:t>
      </w:r>
    </w:p>
    <w:p w14:paraId="68D3045E" w14:textId="77777777" w:rsidR="00D75AB1" w:rsidRPr="00CE772B" w:rsidRDefault="00D75AB1" w:rsidP="00975CF0">
      <w:pPr>
        <w:pStyle w:val="Heading3"/>
      </w:pPr>
      <w:r w:rsidRPr="00CE772B">
        <w:t>5.1.1</w:t>
      </w:r>
      <w:r w:rsidRPr="00CE772B">
        <w:tab/>
      </w:r>
      <w:r w:rsidRPr="00CE772B">
        <w:t>对区域性活动总体高度满意</w:t>
      </w:r>
    </w:p>
    <w:p w14:paraId="025B7394" w14:textId="77777777" w:rsidR="00D75AB1" w:rsidRPr="00DB101C" w:rsidRDefault="00D75AB1" w:rsidP="005B5DA2">
      <w:pPr>
        <w:ind w:firstLineChars="200" w:firstLine="480"/>
        <w:rPr>
          <w:rFonts w:asciiTheme="minorHAnsi" w:hAnsiTheme="minorHAnsi" w:cstheme="minorHAnsi"/>
          <w:lang w:eastAsia="zh-CN"/>
        </w:rPr>
      </w:pPr>
      <w:r>
        <w:rPr>
          <w:lang w:val="zh-CN" w:eastAsia="zh-CN"/>
        </w:rPr>
        <w:t>成员的反馈表明，对国际电联区域代表处和地区办事处所开展的活动总体</w:t>
      </w:r>
      <w:r>
        <w:rPr>
          <w:lang w:eastAsia="zh-CN"/>
        </w:rPr>
        <w:t>上</w:t>
      </w:r>
      <w:r>
        <w:rPr>
          <w:lang w:val="zh-CN" w:eastAsia="zh-CN"/>
        </w:rPr>
        <w:t>高度满意。绝大多数调查回复者</w:t>
      </w:r>
      <w:r>
        <w:rPr>
          <w:lang w:eastAsia="zh-CN"/>
        </w:rPr>
        <w:t>认为</w:t>
      </w:r>
      <w:r>
        <w:rPr>
          <w:lang w:val="zh-CN" w:eastAsia="zh-CN"/>
        </w:rPr>
        <w:t>，区域代表处有助于完成国际电联的职责</w:t>
      </w:r>
      <w:r>
        <w:rPr>
          <w:rFonts w:hint="eastAsia"/>
          <w:lang w:eastAsia="zh-CN"/>
        </w:rPr>
        <w:t>并产生</w:t>
      </w:r>
      <w:r>
        <w:rPr>
          <w:lang w:val="zh-CN" w:eastAsia="zh-CN"/>
        </w:rPr>
        <w:t>实地影响，</w:t>
      </w:r>
      <w:r>
        <w:rPr>
          <w:lang w:eastAsia="zh-CN"/>
        </w:rPr>
        <w:t>这</w:t>
      </w:r>
      <w:r>
        <w:rPr>
          <w:lang w:val="zh-CN" w:eastAsia="zh-CN"/>
        </w:rPr>
        <w:t>反映出</w:t>
      </w:r>
      <w:r>
        <w:rPr>
          <w:lang w:eastAsia="zh-CN"/>
        </w:rPr>
        <w:t>大家</w:t>
      </w:r>
      <w:r>
        <w:rPr>
          <w:lang w:val="zh-CN" w:eastAsia="zh-CN"/>
        </w:rPr>
        <w:t>对区域代表处在将全球举措</w:t>
      </w:r>
      <w:r>
        <w:rPr>
          <w:rFonts w:hint="eastAsia"/>
          <w:lang w:val="zh-CN" w:eastAsia="zh-CN"/>
        </w:rPr>
        <w:t>落实在</w:t>
      </w:r>
      <w:r>
        <w:rPr>
          <w:lang w:val="zh-CN" w:eastAsia="zh-CN"/>
        </w:rPr>
        <w:t>区域和国家</w:t>
      </w:r>
      <w:r>
        <w:rPr>
          <w:rFonts w:hint="eastAsia"/>
          <w:lang w:val="zh-CN" w:eastAsia="zh-CN"/>
        </w:rPr>
        <w:t>层</w:t>
      </w:r>
      <w:r>
        <w:rPr>
          <w:lang w:val="zh-CN" w:eastAsia="zh-CN"/>
        </w:rPr>
        <w:t>面所发挥</w:t>
      </w:r>
      <w:r>
        <w:rPr>
          <w:lang w:eastAsia="zh-CN"/>
        </w:rPr>
        <w:t>的</w:t>
      </w:r>
      <w:r>
        <w:rPr>
          <w:lang w:val="zh-CN" w:eastAsia="zh-CN"/>
        </w:rPr>
        <w:t>作用</w:t>
      </w:r>
      <w:r>
        <w:rPr>
          <w:rFonts w:hint="eastAsia"/>
          <w:lang w:val="zh-CN" w:eastAsia="zh-CN"/>
        </w:rPr>
        <w:t>充满</w:t>
      </w:r>
      <w:r>
        <w:rPr>
          <w:lang w:val="zh-CN" w:eastAsia="zh-CN"/>
        </w:rPr>
        <w:t>信心。</w:t>
      </w:r>
      <w:r>
        <w:rPr>
          <w:lang w:eastAsia="zh-CN"/>
        </w:rPr>
        <w:t>对此观点表示赞同</w:t>
      </w:r>
      <w:r>
        <w:rPr>
          <w:lang w:val="zh-CN" w:eastAsia="zh-CN"/>
        </w:rPr>
        <w:t>的比例达到</w:t>
      </w:r>
      <w:r>
        <w:rPr>
          <w:lang w:val="zh-CN" w:eastAsia="zh-CN"/>
        </w:rPr>
        <w:t>71%</w:t>
      </w:r>
      <w:r>
        <w:rPr>
          <w:lang w:val="zh-CN" w:eastAsia="zh-CN"/>
        </w:rPr>
        <w:t>，表明区域代表处被广泛</w:t>
      </w:r>
      <w:r>
        <w:rPr>
          <w:lang w:eastAsia="zh-CN"/>
        </w:rPr>
        <w:t>视为国际电联工作的有效延伸</w:t>
      </w:r>
      <w:r>
        <w:rPr>
          <w:lang w:val="zh-CN" w:eastAsia="zh-CN"/>
        </w:rPr>
        <w:t>。对现有活动水平的满意度</w:t>
      </w:r>
      <w:r>
        <w:rPr>
          <w:lang w:eastAsia="zh-CN"/>
        </w:rPr>
        <w:t>同样</w:t>
      </w:r>
      <w:r>
        <w:rPr>
          <w:lang w:val="zh-CN" w:eastAsia="zh-CN"/>
        </w:rPr>
        <w:t>积极，</w:t>
      </w:r>
      <w:r>
        <w:rPr>
          <w:lang w:val="zh-CN" w:eastAsia="zh-CN"/>
        </w:rPr>
        <w:t>60%</w:t>
      </w:r>
      <w:r>
        <w:rPr>
          <w:lang w:val="zh-CN" w:eastAsia="zh-CN"/>
        </w:rPr>
        <w:t>的</w:t>
      </w:r>
      <w:r>
        <w:rPr>
          <w:lang w:eastAsia="zh-CN"/>
        </w:rPr>
        <w:t>受访者</w:t>
      </w:r>
      <w:r>
        <w:rPr>
          <w:lang w:val="zh-CN" w:eastAsia="zh-CN"/>
        </w:rPr>
        <w:t>表示区域性活动的规模符合预期，同时也表示，</w:t>
      </w:r>
      <w:r>
        <w:rPr>
          <w:lang w:eastAsia="zh-CN"/>
        </w:rPr>
        <w:t>部分成员期待</w:t>
      </w:r>
      <w:r>
        <w:rPr>
          <w:lang w:val="zh-CN" w:eastAsia="zh-CN"/>
        </w:rPr>
        <w:t>参与程度继续扩大或</w:t>
      </w:r>
      <w:r>
        <w:rPr>
          <w:lang w:eastAsia="zh-CN"/>
        </w:rPr>
        <w:t>进一步深化</w:t>
      </w:r>
      <w:r>
        <w:rPr>
          <w:rFonts w:ascii="SimSun" w:hAnsi="SimSun" w:cs="SimSun" w:hint="eastAsia"/>
          <w:lang w:eastAsia="zh-CN"/>
        </w:rPr>
        <w:t>。</w:t>
      </w:r>
    </w:p>
    <w:p w14:paraId="096D97B0" w14:textId="77777777" w:rsidR="00D75AB1" w:rsidRPr="00DB101C" w:rsidRDefault="00D75AB1" w:rsidP="005B5DA2">
      <w:pPr>
        <w:ind w:firstLineChars="200" w:firstLine="480"/>
        <w:rPr>
          <w:rFonts w:asciiTheme="minorHAnsi" w:hAnsiTheme="minorHAnsi" w:cstheme="minorHAnsi"/>
          <w:lang w:eastAsia="zh-CN"/>
        </w:rPr>
      </w:pPr>
      <w:r>
        <w:rPr>
          <w:lang w:val="zh-CN" w:eastAsia="zh-CN"/>
        </w:rPr>
        <w:t>成员调查中得出的总体积极</w:t>
      </w:r>
      <w:r>
        <w:rPr>
          <w:lang w:eastAsia="zh-CN"/>
        </w:rPr>
        <w:t>评价，在</w:t>
      </w:r>
      <w:r>
        <w:rPr>
          <w:lang w:val="zh-CN" w:eastAsia="zh-CN"/>
        </w:rPr>
        <w:t>利益攸关方访谈</w:t>
      </w:r>
      <w:r>
        <w:rPr>
          <w:lang w:eastAsia="zh-CN"/>
        </w:rPr>
        <w:t>中得到了进一步印证</w:t>
      </w:r>
      <w:r>
        <w:rPr>
          <w:lang w:val="zh-CN" w:eastAsia="zh-CN"/>
        </w:rPr>
        <w:t>。与区域性电信组织（</w:t>
      </w:r>
      <w:r>
        <w:rPr>
          <w:lang w:val="zh-CN" w:eastAsia="zh-CN"/>
        </w:rPr>
        <w:t>RTO</w:t>
      </w:r>
      <w:r>
        <w:rPr>
          <w:lang w:val="zh-CN" w:eastAsia="zh-CN"/>
        </w:rPr>
        <w:t>）的讨论凸显了</w:t>
      </w:r>
      <w:r>
        <w:rPr>
          <w:lang w:eastAsia="zh-CN"/>
        </w:rPr>
        <w:t>各方</w:t>
      </w:r>
      <w:r>
        <w:rPr>
          <w:lang w:val="zh-CN" w:eastAsia="zh-CN"/>
        </w:rPr>
        <w:t>对区域代表处在促进对话、支持区域性举措和参与区域协调机制方面</w:t>
      </w:r>
      <w:r>
        <w:rPr>
          <w:lang w:eastAsia="zh-CN"/>
        </w:rPr>
        <w:t>所发挥</w:t>
      </w:r>
      <w:r>
        <w:rPr>
          <w:lang w:val="zh-CN" w:eastAsia="zh-CN"/>
        </w:rPr>
        <w:t>作用的满意度。受访者将与区域代表处的合作描述为</w:t>
      </w:r>
      <w:r>
        <w:rPr>
          <w:lang w:eastAsia="zh-CN"/>
        </w:rPr>
        <w:t>富有建设性且反应迅速</w:t>
      </w:r>
      <w:r>
        <w:rPr>
          <w:lang w:val="zh-CN" w:eastAsia="zh-CN"/>
        </w:rPr>
        <w:t>，</w:t>
      </w:r>
      <w:r>
        <w:rPr>
          <w:lang w:eastAsia="zh-CN"/>
        </w:rPr>
        <w:t>印</w:t>
      </w:r>
      <w:r>
        <w:rPr>
          <w:lang w:val="zh-CN" w:eastAsia="zh-CN"/>
        </w:rPr>
        <w:t>证了调查证据中反映的积极看法。</w:t>
      </w:r>
    </w:p>
    <w:p w14:paraId="4C60E0C7" w14:textId="77777777" w:rsidR="00D75AB1" w:rsidRPr="00DB101C" w:rsidRDefault="00D75AB1" w:rsidP="005B5DA2">
      <w:pPr>
        <w:ind w:firstLineChars="200" w:firstLine="480"/>
        <w:rPr>
          <w:rFonts w:asciiTheme="minorHAnsi" w:hAnsiTheme="minorHAnsi" w:cstheme="minorHAnsi"/>
          <w:lang w:eastAsia="zh-CN"/>
        </w:rPr>
      </w:pPr>
      <w:r>
        <w:rPr>
          <w:lang w:val="zh-CN" w:eastAsia="zh-CN"/>
        </w:rPr>
        <w:t>总之，这些</w:t>
      </w:r>
      <w:r>
        <w:rPr>
          <w:rFonts w:hint="eastAsia"/>
          <w:lang w:val="zh-CN" w:eastAsia="zh-CN"/>
        </w:rPr>
        <w:t>研究</w:t>
      </w:r>
      <w:r>
        <w:rPr>
          <w:lang w:val="zh-CN" w:eastAsia="zh-CN"/>
        </w:rPr>
        <w:t>结果表明，区域代表处被广泛视为国际电联运作结构中的一个重要组成部分，有助于提高该组织在区域层面的知名度和可及性。</w:t>
      </w:r>
    </w:p>
    <w:p w14:paraId="3B9C18B6" w14:textId="77777777" w:rsidR="00D75AB1" w:rsidRPr="00CE772B" w:rsidRDefault="00D75AB1" w:rsidP="00975CF0">
      <w:pPr>
        <w:pStyle w:val="Heading3"/>
      </w:pPr>
      <w:r w:rsidRPr="00CE772B">
        <w:t>5.1.2</w:t>
      </w:r>
      <w:r w:rsidRPr="00CE772B">
        <w:tab/>
      </w:r>
      <w:r w:rsidRPr="00CE772B">
        <w:t>与成员国和利益攸关方的紧密合作</w:t>
      </w:r>
    </w:p>
    <w:p w14:paraId="6E6CD448" w14:textId="77777777" w:rsidR="00D75AB1" w:rsidRPr="00DB101C" w:rsidRDefault="00D75AB1" w:rsidP="005B5DA2">
      <w:pPr>
        <w:ind w:firstLineChars="200" w:firstLine="480"/>
        <w:rPr>
          <w:rFonts w:asciiTheme="minorHAnsi" w:hAnsiTheme="minorHAnsi" w:cstheme="minorHAnsi"/>
          <w:lang w:eastAsia="zh-CN"/>
        </w:rPr>
      </w:pPr>
      <w:r>
        <w:rPr>
          <w:lang w:val="zh-CN" w:eastAsia="zh-CN"/>
        </w:rPr>
        <w:t>证据显示，区域代表处与国际电联成员之间保持着持续的接触。磋商水平很高，</w:t>
      </w:r>
      <w:r>
        <w:rPr>
          <w:lang w:val="zh-CN" w:eastAsia="zh-CN"/>
        </w:rPr>
        <w:t>74%</w:t>
      </w:r>
      <w:r>
        <w:rPr>
          <w:lang w:val="zh-CN" w:eastAsia="zh-CN"/>
        </w:rPr>
        <w:t>的调查回复者报告说在报告期内与区域代表处或地区办事处有过互动。这些互动表明，区域代表处</w:t>
      </w:r>
      <w:r>
        <w:rPr>
          <w:lang w:eastAsia="zh-CN"/>
        </w:rPr>
        <w:t>是</w:t>
      </w:r>
      <w:r>
        <w:rPr>
          <w:lang w:val="zh-CN" w:eastAsia="zh-CN"/>
        </w:rPr>
        <w:t>本组织与其成员之间的</w:t>
      </w:r>
      <w:r>
        <w:rPr>
          <w:lang w:eastAsia="zh-CN"/>
        </w:rPr>
        <w:t>重要联络点</w:t>
      </w:r>
      <w:r>
        <w:rPr>
          <w:lang w:val="zh-CN" w:eastAsia="zh-CN"/>
        </w:rPr>
        <w:t>，</w:t>
      </w:r>
      <w:r>
        <w:rPr>
          <w:lang w:eastAsia="zh-CN"/>
        </w:rPr>
        <w:t>促进了</w:t>
      </w:r>
      <w:r>
        <w:rPr>
          <w:lang w:val="zh-CN" w:eastAsia="zh-CN"/>
        </w:rPr>
        <w:t>持续对话，</w:t>
      </w:r>
      <w:r>
        <w:rPr>
          <w:lang w:eastAsia="zh-CN"/>
        </w:rPr>
        <w:t>也</w:t>
      </w:r>
      <w:r>
        <w:rPr>
          <w:lang w:val="zh-CN" w:eastAsia="zh-CN"/>
        </w:rPr>
        <w:t>使成员国能够参与国际电联的活动和举措。</w:t>
      </w:r>
    </w:p>
    <w:p w14:paraId="6018CA03" w14:textId="77777777" w:rsidR="00D75AB1" w:rsidRPr="00DB101C" w:rsidRDefault="00D75AB1" w:rsidP="005B5DA2">
      <w:pPr>
        <w:ind w:firstLineChars="200" w:firstLine="480"/>
        <w:rPr>
          <w:rFonts w:asciiTheme="minorHAnsi" w:hAnsiTheme="minorHAnsi" w:cstheme="minorHAnsi"/>
          <w:lang w:eastAsia="zh-CN"/>
        </w:rPr>
      </w:pPr>
      <w:r>
        <w:rPr>
          <w:lang w:val="zh-CN" w:eastAsia="zh-CN"/>
        </w:rPr>
        <w:t>区域代表处在促进与区域性组织和其他机构合作伙伴的接触方面也发挥着核心作用。利益攸关方访谈的证据突出表明，区域代表处和区域电信组织之间</w:t>
      </w:r>
      <w:r>
        <w:rPr>
          <w:rFonts w:hint="eastAsia"/>
          <w:lang w:val="zh-CN" w:eastAsia="zh-CN"/>
        </w:rPr>
        <w:t>存在</w:t>
      </w:r>
      <w:r>
        <w:rPr>
          <w:lang w:val="zh-CN" w:eastAsia="zh-CN"/>
        </w:rPr>
        <w:t>定期业务互动，包括参与区域会议和技术讨论。</w:t>
      </w:r>
      <w:r>
        <w:rPr>
          <w:lang w:eastAsia="zh-CN"/>
        </w:rPr>
        <w:t>这些互动有助于国际电联的活动与区域政策进程和制度框架保持一致</w:t>
      </w:r>
      <w:r>
        <w:rPr>
          <w:rFonts w:ascii="SimSun" w:hAnsi="SimSun" w:cs="SimSun" w:hint="eastAsia"/>
          <w:lang w:eastAsia="zh-CN"/>
        </w:rPr>
        <w:t>。</w:t>
      </w:r>
    </w:p>
    <w:p w14:paraId="320AB8AC" w14:textId="77777777" w:rsidR="00D75AB1" w:rsidRPr="00DB101C" w:rsidRDefault="00D75AB1" w:rsidP="005B5DA2">
      <w:pPr>
        <w:ind w:firstLineChars="200" w:firstLine="480"/>
        <w:rPr>
          <w:lang w:eastAsia="zh-CN"/>
        </w:rPr>
      </w:pPr>
      <w:r>
        <w:rPr>
          <w:lang w:val="zh-CN" w:eastAsia="zh-CN"/>
        </w:rPr>
        <w:lastRenderedPageBreak/>
        <w:t>参与数据进一步说明了这种参与的广度。</w:t>
      </w:r>
      <w:r>
        <w:rPr>
          <w:lang w:val="zh-CN" w:eastAsia="zh-CN"/>
        </w:rPr>
        <w:t>2022</w:t>
      </w:r>
      <w:r>
        <w:rPr>
          <w:lang w:val="zh-CN" w:eastAsia="zh-CN"/>
        </w:rPr>
        <w:t>年至</w:t>
      </w:r>
      <w:r>
        <w:rPr>
          <w:lang w:val="zh-CN" w:eastAsia="zh-CN"/>
        </w:rPr>
        <w:t>2025</w:t>
      </w:r>
      <w:r>
        <w:rPr>
          <w:lang w:val="zh-CN" w:eastAsia="zh-CN"/>
        </w:rPr>
        <w:t>年期间，国际电联在</w:t>
      </w:r>
      <w:r>
        <w:rPr>
          <w:lang w:val="zh-CN" w:eastAsia="zh-CN"/>
        </w:rPr>
        <w:t>100</w:t>
      </w:r>
      <w:r>
        <w:rPr>
          <w:lang w:val="zh-CN" w:eastAsia="zh-CN"/>
        </w:rPr>
        <w:t>多个东道国组织了</w:t>
      </w:r>
      <w:r>
        <w:rPr>
          <w:lang w:val="zh-CN" w:eastAsia="zh-CN"/>
        </w:rPr>
        <w:t>1 000</w:t>
      </w:r>
      <w:r>
        <w:rPr>
          <w:lang w:val="zh-CN" w:eastAsia="zh-CN"/>
        </w:rPr>
        <w:t>多场活动和</w:t>
      </w:r>
      <w:r>
        <w:rPr>
          <w:lang w:val="zh-CN" w:eastAsia="zh-CN"/>
        </w:rPr>
        <w:t>1 500</w:t>
      </w:r>
      <w:r>
        <w:rPr>
          <w:lang w:val="zh-CN" w:eastAsia="zh-CN"/>
        </w:rPr>
        <w:t>多场会议。与会者包括成员国、部门成员、学术机构和国际组织，反映出由区域代表处支持的广泛且地域多样化的参与格局。</w:t>
      </w:r>
    </w:p>
    <w:p w14:paraId="605B6152" w14:textId="77777777" w:rsidR="00D75AB1" w:rsidRPr="00DB101C" w:rsidRDefault="00D75AB1" w:rsidP="005B5DA2">
      <w:pPr>
        <w:ind w:firstLineChars="200" w:firstLine="480"/>
        <w:rPr>
          <w:rFonts w:asciiTheme="minorHAnsi" w:hAnsiTheme="minorHAnsi" w:cstheme="minorBidi"/>
          <w:lang w:eastAsia="zh-CN"/>
        </w:rPr>
      </w:pPr>
      <w:r>
        <w:rPr>
          <w:lang w:val="zh-CN" w:eastAsia="zh-CN"/>
        </w:rPr>
        <w:t>参与国际电联重大</w:t>
      </w:r>
      <w:r>
        <w:rPr>
          <w:rFonts w:hint="eastAsia"/>
          <w:lang w:val="zh-CN" w:eastAsia="zh-CN"/>
        </w:rPr>
        <w:t>会议和</w:t>
      </w:r>
      <w:r>
        <w:rPr>
          <w:lang w:val="zh-CN" w:eastAsia="zh-CN"/>
        </w:rPr>
        <w:t>活动的</w:t>
      </w:r>
      <w:r>
        <w:rPr>
          <w:lang w:eastAsia="zh-CN"/>
        </w:rPr>
        <w:t>人员</w:t>
      </w:r>
      <w:r>
        <w:rPr>
          <w:lang w:val="zh-CN" w:eastAsia="zh-CN"/>
        </w:rPr>
        <w:t>在地域上</w:t>
      </w:r>
      <w:r>
        <w:rPr>
          <w:lang w:eastAsia="zh-CN"/>
        </w:rPr>
        <w:t>分布</w:t>
      </w:r>
      <w:r>
        <w:rPr>
          <w:lang w:val="zh-CN" w:eastAsia="zh-CN"/>
        </w:rPr>
        <w:t>广泛且机构</w:t>
      </w:r>
      <w:r>
        <w:rPr>
          <w:lang w:eastAsia="zh-CN"/>
        </w:rPr>
        <w:t>背景</w:t>
      </w:r>
      <w:r>
        <w:rPr>
          <w:lang w:val="zh-CN" w:eastAsia="zh-CN"/>
        </w:rPr>
        <w:t>多</w:t>
      </w:r>
      <w:r>
        <w:rPr>
          <w:lang w:eastAsia="zh-CN"/>
        </w:rPr>
        <w:t>元</w:t>
      </w:r>
      <w:r>
        <w:rPr>
          <w:lang w:val="zh-CN" w:eastAsia="zh-CN"/>
        </w:rPr>
        <w:t>化，</w:t>
      </w:r>
      <w:r>
        <w:rPr>
          <w:lang w:val="zh-CN" w:eastAsia="zh-CN"/>
        </w:rPr>
        <w:t>2022</w:t>
      </w:r>
      <w:r>
        <w:rPr>
          <w:lang w:val="zh-CN" w:eastAsia="zh-CN"/>
        </w:rPr>
        <w:t>年至</w:t>
      </w:r>
      <w:r>
        <w:rPr>
          <w:lang w:val="zh-CN" w:eastAsia="zh-CN"/>
        </w:rPr>
        <w:t>2025</w:t>
      </w:r>
      <w:r>
        <w:rPr>
          <w:lang w:val="zh-CN" w:eastAsia="zh-CN"/>
        </w:rPr>
        <w:t>年期间有</w:t>
      </w:r>
      <w:r>
        <w:rPr>
          <w:lang w:val="zh-CN" w:eastAsia="zh-CN"/>
        </w:rPr>
        <w:t>173</w:t>
      </w:r>
      <w:r>
        <w:rPr>
          <w:lang w:val="zh-CN" w:eastAsia="zh-CN"/>
        </w:rPr>
        <w:t>个成员国和</w:t>
      </w:r>
      <w:r>
        <w:rPr>
          <w:lang w:val="zh-CN" w:eastAsia="zh-CN"/>
        </w:rPr>
        <w:t>124 120</w:t>
      </w:r>
      <w:r>
        <w:rPr>
          <w:lang w:val="zh-CN" w:eastAsia="zh-CN"/>
        </w:rPr>
        <w:t>名</w:t>
      </w:r>
      <w:r>
        <w:rPr>
          <w:lang w:eastAsia="zh-CN"/>
        </w:rPr>
        <w:t>独立</w:t>
      </w:r>
      <w:r>
        <w:rPr>
          <w:lang w:val="zh-CN" w:eastAsia="zh-CN"/>
        </w:rPr>
        <w:t>参与者参与其中。</w:t>
      </w:r>
    </w:p>
    <w:p w14:paraId="2CB16187" w14:textId="77777777" w:rsidR="00D75AB1" w:rsidRPr="00DB101C" w:rsidRDefault="00D75AB1" w:rsidP="005B5DA2">
      <w:pPr>
        <w:ind w:firstLineChars="200" w:firstLine="480"/>
        <w:rPr>
          <w:rFonts w:asciiTheme="minorHAnsi" w:hAnsiTheme="minorHAnsi" w:cstheme="minorBidi"/>
          <w:lang w:eastAsia="zh-CN"/>
        </w:rPr>
      </w:pPr>
      <w:r>
        <w:rPr>
          <w:lang w:val="zh-CN" w:eastAsia="zh-CN"/>
        </w:rPr>
        <w:t>与会补贴</w:t>
      </w:r>
      <w:r>
        <w:rPr>
          <w:rFonts w:hint="eastAsia"/>
          <w:lang w:val="zh-CN" w:eastAsia="zh-CN"/>
        </w:rPr>
        <w:t>的发放</w:t>
      </w:r>
      <w:r>
        <w:rPr>
          <w:lang w:val="zh-CN" w:eastAsia="zh-CN"/>
        </w:rPr>
        <w:t>体现了透明、公平和性别平衡的分配</w:t>
      </w:r>
      <w:r>
        <w:rPr>
          <w:rFonts w:hint="eastAsia"/>
          <w:lang w:val="zh-CN" w:eastAsia="zh-CN"/>
        </w:rPr>
        <w:t>原则</w:t>
      </w:r>
      <w:r>
        <w:rPr>
          <w:lang w:val="zh-CN" w:eastAsia="zh-CN"/>
        </w:rPr>
        <w:t>，进一步促进了包容性参与。</w:t>
      </w:r>
    </w:p>
    <w:p w14:paraId="2BF7509C" w14:textId="77777777" w:rsidR="00D75AB1" w:rsidRPr="00CE772B" w:rsidRDefault="00D75AB1" w:rsidP="00975CF0">
      <w:pPr>
        <w:pStyle w:val="Heading3"/>
      </w:pPr>
      <w:r w:rsidRPr="00CE772B">
        <w:t>5.1.3</w:t>
      </w:r>
      <w:r w:rsidRPr="00CE772B">
        <w:tab/>
      </w:r>
      <w:r w:rsidRPr="00CE772B">
        <w:rPr>
          <w:rFonts w:hint="eastAsia"/>
        </w:rPr>
        <w:t>信息</w:t>
      </w:r>
      <w:r w:rsidRPr="00CE772B">
        <w:t>和知识的</w:t>
      </w:r>
      <w:r w:rsidRPr="00CE772B">
        <w:rPr>
          <w:rFonts w:hint="eastAsia"/>
        </w:rPr>
        <w:t>有效</w:t>
      </w:r>
      <w:r w:rsidRPr="00CE772B">
        <w:t>传播</w:t>
      </w:r>
    </w:p>
    <w:p w14:paraId="49DC3EF9" w14:textId="77777777" w:rsidR="00D75AB1" w:rsidRPr="00DB101C" w:rsidRDefault="00D75AB1" w:rsidP="005B5DA2">
      <w:pPr>
        <w:ind w:firstLineChars="200" w:firstLine="480"/>
        <w:rPr>
          <w:lang w:eastAsia="zh-CN"/>
        </w:rPr>
      </w:pPr>
      <w:r>
        <w:rPr>
          <w:lang w:val="zh-CN" w:eastAsia="zh-CN"/>
        </w:rPr>
        <w:t>绩效最强的领域之一是信息和知识的传播。调查结果显示，</w:t>
      </w:r>
      <w:r>
        <w:rPr>
          <w:lang w:val="zh-CN" w:eastAsia="zh-CN"/>
        </w:rPr>
        <w:t>73%</w:t>
      </w:r>
      <w:r>
        <w:rPr>
          <w:lang w:val="zh-CN" w:eastAsia="zh-CN"/>
        </w:rPr>
        <w:t>的受访者同意区域代表处有效地传播</w:t>
      </w:r>
      <w:r>
        <w:rPr>
          <w:rFonts w:hint="eastAsia"/>
          <w:lang w:val="zh-CN" w:eastAsia="zh-CN"/>
        </w:rPr>
        <w:t>了</w:t>
      </w:r>
      <w:r>
        <w:rPr>
          <w:lang w:val="zh-CN" w:eastAsia="zh-CN"/>
        </w:rPr>
        <w:t>信息和数据，而</w:t>
      </w:r>
      <w:r>
        <w:rPr>
          <w:lang w:val="zh-CN" w:eastAsia="zh-CN"/>
        </w:rPr>
        <w:t>70%</w:t>
      </w:r>
      <w:r>
        <w:rPr>
          <w:lang w:val="zh-CN" w:eastAsia="zh-CN"/>
        </w:rPr>
        <w:t>的受访者认为可以有效地利用技术平台与利益攸关方分享相关信息。</w:t>
      </w:r>
    </w:p>
    <w:p w14:paraId="2168A92E" w14:textId="77777777" w:rsidR="00D75AB1" w:rsidRPr="00DB101C" w:rsidRDefault="00D75AB1" w:rsidP="005B5DA2">
      <w:pPr>
        <w:ind w:firstLineChars="200" w:firstLine="480"/>
        <w:rPr>
          <w:lang w:eastAsia="zh-CN"/>
        </w:rPr>
      </w:pPr>
      <w:r>
        <w:rPr>
          <w:lang w:val="zh-CN" w:eastAsia="zh-CN"/>
        </w:rPr>
        <w:t>这些结果表明，区域代表处在确保本组织产生的信息到达国家利益攸关方和区域合作伙伴方面发挥着重要作用。数字平台和混合参与形式的使用进一步扩大了区域代表处与不同地理背景的成员和利益攸关方保持定期互动的能力。</w:t>
      </w:r>
    </w:p>
    <w:p w14:paraId="472F1191" w14:textId="77777777" w:rsidR="00D75AB1" w:rsidRPr="00DB101C" w:rsidRDefault="00D75AB1" w:rsidP="005B5DA2">
      <w:pPr>
        <w:ind w:firstLineChars="200" w:firstLine="480"/>
        <w:rPr>
          <w:lang w:eastAsia="zh-CN"/>
        </w:rPr>
      </w:pPr>
      <w:r>
        <w:rPr>
          <w:lang w:val="zh-CN" w:eastAsia="zh-CN"/>
        </w:rPr>
        <w:t>传播功能还有助于政策对话和知识交流。区域代表处促进关于监管和政策问题的讨论，支持各国</w:t>
      </w:r>
      <w:r>
        <w:rPr>
          <w:rFonts w:hint="eastAsia"/>
          <w:lang w:val="zh-CN" w:eastAsia="zh-CN"/>
        </w:rPr>
        <w:t>之</w:t>
      </w:r>
      <w:r>
        <w:rPr>
          <w:lang w:val="zh-CN" w:eastAsia="zh-CN"/>
        </w:rPr>
        <w:t>间交流经验，并帮助在区域范围内宣传国际电联的全球举措。</w:t>
      </w:r>
    </w:p>
    <w:p w14:paraId="73C1C8EE" w14:textId="77777777" w:rsidR="00D75AB1" w:rsidRPr="00CE772B" w:rsidRDefault="00D75AB1" w:rsidP="00975CF0">
      <w:pPr>
        <w:pStyle w:val="Heading3"/>
      </w:pPr>
      <w:r w:rsidRPr="00CE772B">
        <w:t>5.1.4</w:t>
      </w:r>
      <w:r w:rsidRPr="00CE772B">
        <w:tab/>
      </w:r>
      <w:r w:rsidRPr="00CE772B">
        <w:t>为提高认识和能力建设做出巨大贡献</w:t>
      </w:r>
    </w:p>
    <w:p w14:paraId="6C4649D2" w14:textId="77777777" w:rsidR="00D75AB1" w:rsidRPr="00662EA7" w:rsidRDefault="00D75AB1" w:rsidP="005B5DA2">
      <w:pPr>
        <w:ind w:firstLineChars="200" w:firstLine="480"/>
        <w:rPr>
          <w:rFonts w:asciiTheme="minorHAnsi" w:hAnsiTheme="minorHAnsi" w:cstheme="minorBidi"/>
          <w:spacing w:val="-2"/>
          <w:lang w:eastAsia="zh-CN"/>
        </w:rPr>
      </w:pPr>
      <w:r>
        <w:rPr>
          <w:lang w:val="zh-CN" w:eastAsia="zh-CN"/>
        </w:rPr>
        <w:t>区域代表处还支持成员国提高认识、发展技能和</w:t>
      </w:r>
      <w:r>
        <w:rPr>
          <w:rFonts w:hint="eastAsia"/>
          <w:lang w:val="zh-CN" w:eastAsia="zh-CN"/>
        </w:rPr>
        <w:t>进行</w:t>
      </w:r>
      <w:r>
        <w:rPr>
          <w:lang w:val="zh-CN" w:eastAsia="zh-CN"/>
        </w:rPr>
        <w:t>能力建设。调查结果显示，</w:t>
      </w:r>
      <w:r>
        <w:rPr>
          <w:lang w:val="zh-CN" w:eastAsia="zh-CN"/>
        </w:rPr>
        <w:t>67%</w:t>
      </w:r>
      <w:r>
        <w:rPr>
          <w:lang w:val="zh-CN" w:eastAsia="zh-CN"/>
        </w:rPr>
        <w:t>的受访者同意区域代表处</w:t>
      </w:r>
      <w:r>
        <w:rPr>
          <w:rFonts w:hint="eastAsia"/>
          <w:lang w:val="zh-CN" w:eastAsia="zh-CN"/>
        </w:rPr>
        <w:t>对</w:t>
      </w:r>
      <w:r>
        <w:rPr>
          <w:lang w:val="zh-CN" w:eastAsia="zh-CN"/>
        </w:rPr>
        <w:t>相关领域的意识、技能和能力建设做出了有效贡献。</w:t>
      </w:r>
    </w:p>
    <w:p w14:paraId="5F8AE4C3" w14:textId="77777777" w:rsidR="00D75AB1" w:rsidRPr="00DB101C" w:rsidRDefault="00D75AB1" w:rsidP="005B5DA2">
      <w:pPr>
        <w:ind w:firstLineChars="200" w:firstLine="480"/>
        <w:rPr>
          <w:rFonts w:asciiTheme="minorHAnsi" w:hAnsiTheme="minorHAnsi" w:cstheme="minorBidi"/>
          <w:lang w:eastAsia="zh-CN"/>
        </w:rPr>
      </w:pPr>
      <w:r>
        <w:rPr>
          <w:lang w:val="zh-CN" w:eastAsia="zh-CN"/>
        </w:rPr>
        <w:t>这些活动通过讲习班、培训活动和跨区域政策对话</w:t>
      </w:r>
      <w:r>
        <w:rPr>
          <w:lang w:eastAsia="zh-CN"/>
        </w:rPr>
        <w:t>来开展</w:t>
      </w:r>
      <w:r>
        <w:rPr>
          <w:lang w:val="zh-CN" w:eastAsia="zh-CN"/>
        </w:rPr>
        <w:t>。能力建设举措有助于</w:t>
      </w:r>
      <w:r>
        <w:rPr>
          <w:lang w:eastAsia="zh-CN"/>
        </w:rPr>
        <w:t>增强各</w:t>
      </w:r>
      <w:r>
        <w:rPr>
          <w:lang w:val="zh-CN" w:eastAsia="zh-CN"/>
        </w:rPr>
        <w:t>国</w:t>
      </w:r>
      <w:r>
        <w:rPr>
          <w:rFonts w:hint="eastAsia"/>
          <w:lang w:val="zh-CN" w:eastAsia="zh-CN"/>
        </w:rPr>
        <w:t>的</w:t>
      </w:r>
      <w:r>
        <w:rPr>
          <w:lang w:val="zh-CN" w:eastAsia="zh-CN"/>
        </w:rPr>
        <w:t>专业技能，支持</w:t>
      </w:r>
      <w:r>
        <w:rPr>
          <w:lang w:val="zh-CN" w:eastAsia="zh-CN"/>
        </w:rPr>
        <w:t>ICT</w:t>
      </w:r>
      <w:r>
        <w:rPr>
          <w:lang w:val="zh-CN" w:eastAsia="zh-CN"/>
        </w:rPr>
        <w:t>政策的实施，并使利益攸关方能够更有效地参与国际电联的进程。</w:t>
      </w:r>
    </w:p>
    <w:p w14:paraId="6E770732" w14:textId="77777777" w:rsidR="00D75AB1" w:rsidRPr="00DB101C" w:rsidRDefault="00D75AB1" w:rsidP="005B5DA2">
      <w:pPr>
        <w:ind w:firstLineChars="200" w:firstLine="480"/>
        <w:rPr>
          <w:rFonts w:asciiTheme="minorHAnsi" w:hAnsiTheme="minorHAnsi" w:cstheme="minorBidi"/>
          <w:lang w:eastAsia="zh-CN"/>
        </w:rPr>
      </w:pPr>
      <w:r>
        <w:rPr>
          <w:lang w:val="zh-CN" w:eastAsia="zh-CN"/>
        </w:rPr>
        <w:t>区域代表处在促进知识交流和培训方面的作用得到了国际电联其他平台工作的补充，包括数字培训计划和与合作伙伴的</w:t>
      </w:r>
      <w:r>
        <w:rPr>
          <w:rFonts w:hint="eastAsia"/>
          <w:lang w:val="zh-CN" w:eastAsia="zh-CN"/>
        </w:rPr>
        <w:t>协作</w:t>
      </w:r>
      <w:r>
        <w:rPr>
          <w:lang w:val="zh-CN" w:eastAsia="zh-CN"/>
        </w:rPr>
        <w:t>举措。</w:t>
      </w:r>
    </w:p>
    <w:p w14:paraId="675BFAC1" w14:textId="77777777" w:rsidR="00D75AB1" w:rsidRPr="00DB101C" w:rsidRDefault="00D75AB1" w:rsidP="005B5DA2">
      <w:pPr>
        <w:ind w:firstLineChars="200" w:firstLine="480"/>
        <w:rPr>
          <w:rFonts w:asciiTheme="minorHAnsi" w:hAnsiTheme="minorHAnsi" w:cstheme="minorBidi"/>
          <w:lang w:eastAsia="zh-CN"/>
        </w:rPr>
      </w:pPr>
      <w:r>
        <w:rPr>
          <w:lang w:val="zh-CN" w:eastAsia="zh-CN"/>
        </w:rPr>
        <w:t>区域代表处为国际电联学院培训提供便利：</w:t>
      </w:r>
    </w:p>
    <w:p w14:paraId="4EAFA60A" w14:textId="77777777" w:rsidR="00D75AB1" w:rsidRPr="00554552" w:rsidRDefault="00D75AB1" w:rsidP="00D75AB1">
      <w:pPr>
        <w:pStyle w:val="enumlev1"/>
        <w:rPr>
          <w:lang w:eastAsia="zh-CN"/>
        </w:rPr>
      </w:pPr>
      <w:r>
        <w:rPr>
          <w:lang w:val="zh-CN" w:eastAsia="zh-CN"/>
        </w:rPr>
        <w:t>–</w:t>
      </w:r>
      <w:r>
        <w:rPr>
          <w:lang w:val="zh-CN" w:eastAsia="zh-CN"/>
        </w:rPr>
        <w:tab/>
        <w:t>2023</w:t>
      </w:r>
      <w:r>
        <w:rPr>
          <w:lang w:val="zh-CN" w:eastAsia="zh-CN"/>
        </w:rPr>
        <w:t>年至</w:t>
      </w:r>
      <w:r>
        <w:rPr>
          <w:lang w:val="zh-CN" w:eastAsia="zh-CN"/>
        </w:rPr>
        <w:t>2025</w:t>
      </w:r>
      <w:r>
        <w:rPr>
          <w:lang w:val="zh-CN" w:eastAsia="zh-CN"/>
        </w:rPr>
        <w:t>年期间，</w:t>
      </w:r>
      <w:r>
        <w:rPr>
          <w:lang w:val="zh-CN" w:eastAsia="zh-CN"/>
        </w:rPr>
        <w:t>12 333</w:t>
      </w:r>
      <w:r>
        <w:rPr>
          <w:lang w:val="zh-CN" w:eastAsia="zh-CN"/>
        </w:rPr>
        <w:t>名参与者参加了讲师指导的培训。</w:t>
      </w:r>
    </w:p>
    <w:p w14:paraId="4381A500" w14:textId="0407F44C" w:rsidR="00D75AB1" w:rsidRPr="00554552" w:rsidRDefault="00D75AB1" w:rsidP="00D75AB1">
      <w:pPr>
        <w:pStyle w:val="enumlev1"/>
        <w:rPr>
          <w:lang w:eastAsia="zh-CN"/>
        </w:rPr>
      </w:pPr>
      <w:r>
        <w:rPr>
          <w:lang w:val="zh-CN" w:eastAsia="zh-CN"/>
        </w:rPr>
        <w:t>–</w:t>
      </w:r>
      <w:r>
        <w:rPr>
          <w:lang w:val="zh-CN" w:eastAsia="zh-CN"/>
        </w:rPr>
        <w:tab/>
      </w:r>
      <w:r>
        <w:rPr>
          <w:lang w:eastAsia="zh-CN"/>
        </w:rPr>
        <w:t>79</w:t>
      </w:r>
      <w:r>
        <w:rPr>
          <w:lang w:eastAsia="zh-CN"/>
        </w:rPr>
        <w:t>门针对特定</w:t>
      </w:r>
      <w:r>
        <w:rPr>
          <w:rFonts w:hint="eastAsia"/>
          <w:lang w:val="zh-CN" w:eastAsia="zh-CN"/>
        </w:rPr>
        <w:t>区域</w:t>
      </w:r>
      <w:r>
        <w:rPr>
          <w:lang w:eastAsia="zh-CN"/>
        </w:rPr>
        <w:t>的课程确保了课程设置能够满足各</w:t>
      </w:r>
      <w:r>
        <w:rPr>
          <w:rFonts w:hint="eastAsia"/>
          <w:lang w:val="zh-CN" w:eastAsia="zh-CN"/>
        </w:rPr>
        <w:t>区域</w:t>
      </w:r>
      <w:r>
        <w:rPr>
          <w:lang w:eastAsia="zh-CN"/>
        </w:rPr>
        <w:t>的具体需求和实际情</w:t>
      </w:r>
      <w:r>
        <w:rPr>
          <w:rFonts w:ascii="SimSun" w:hAnsi="SimSun" w:cs="SimSun" w:hint="eastAsia"/>
          <w:lang w:eastAsia="zh-CN"/>
        </w:rPr>
        <w:t>况</w:t>
      </w:r>
      <w:r w:rsidR="00E51A8D">
        <w:rPr>
          <w:rFonts w:ascii="SimSun" w:hAnsi="SimSun" w:cs="SimSun" w:hint="eastAsia"/>
          <w:lang w:eastAsia="zh-CN"/>
        </w:rPr>
        <w:t>。</w:t>
      </w:r>
    </w:p>
    <w:p w14:paraId="5FA3C2E5" w14:textId="77777777" w:rsidR="00D75AB1" w:rsidRPr="00CE772B" w:rsidRDefault="00D75AB1" w:rsidP="00975CF0">
      <w:pPr>
        <w:pStyle w:val="Heading3"/>
      </w:pPr>
      <w:r w:rsidRPr="00CE772B">
        <w:t>5.1.5</w:t>
      </w:r>
      <w:r w:rsidRPr="00CE772B">
        <w:tab/>
      </w:r>
      <w:r w:rsidRPr="00CE772B">
        <w:t>可信的区域对话召集平台</w:t>
      </w:r>
    </w:p>
    <w:p w14:paraId="2878B97D" w14:textId="77777777" w:rsidR="00D75AB1" w:rsidRPr="00DB101C" w:rsidRDefault="00D75AB1" w:rsidP="00E51A8D">
      <w:pPr>
        <w:ind w:firstLineChars="200" w:firstLine="480"/>
        <w:rPr>
          <w:lang w:eastAsia="zh-CN"/>
        </w:rPr>
      </w:pPr>
      <w:r>
        <w:rPr>
          <w:lang w:val="zh-CN" w:eastAsia="zh-CN"/>
        </w:rPr>
        <w:t>区域代表处也是连接国家当局、区域</w:t>
      </w:r>
      <w:r>
        <w:rPr>
          <w:rFonts w:hint="eastAsia"/>
          <w:lang w:val="zh-CN" w:eastAsia="zh-CN"/>
        </w:rPr>
        <w:t>性</w:t>
      </w:r>
      <w:r>
        <w:rPr>
          <w:lang w:val="zh-CN" w:eastAsia="zh-CN"/>
        </w:rPr>
        <w:t>组织和国际伙伴的可靠召集平台。利益攸关方访谈的证据突出了区域代表处在促进利益攸关方之间的对话和支持区域性举措与全球国际电联进程之间的协调方面的重要性。</w:t>
      </w:r>
    </w:p>
    <w:p w14:paraId="3A70B246" w14:textId="77777777" w:rsidR="00D75AB1" w:rsidRPr="00DB101C" w:rsidRDefault="00D75AB1" w:rsidP="00E51A8D">
      <w:pPr>
        <w:ind w:firstLineChars="200" w:firstLine="480"/>
        <w:rPr>
          <w:rFonts w:asciiTheme="minorHAnsi" w:hAnsiTheme="minorHAnsi" w:cstheme="minorBidi"/>
          <w:lang w:eastAsia="zh-CN"/>
        </w:rPr>
      </w:pPr>
      <w:r>
        <w:rPr>
          <w:lang w:val="zh-CN" w:eastAsia="zh-CN"/>
        </w:rPr>
        <w:t>通过参加区域性会议和技术讨论，区域代表处帮助与成员国和区域性组织保持持续对话。这种召集作用支持区域优先事项与全球</w:t>
      </w:r>
      <w:r>
        <w:rPr>
          <w:lang w:val="zh-CN" w:eastAsia="zh-CN"/>
        </w:rPr>
        <w:t>ICT</w:t>
      </w:r>
      <w:r>
        <w:rPr>
          <w:lang w:val="zh-CN" w:eastAsia="zh-CN"/>
        </w:rPr>
        <w:t>政策制定</w:t>
      </w:r>
      <w:r>
        <w:rPr>
          <w:rFonts w:hint="eastAsia"/>
          <w:lang w:val="zh-CN" w:eastAsia="zh-CN"/>
        </w:rPr>
        <w:t>保持</w:t>
      </w:r>
      <w:r>
        <w:rPr>
          <w:lang w:val="zh-CN" w:eastAsia="zh-CN"/>
        </w:rPr>
        <w:t>协调一致，并有助于提高国际电联在区域机构框架内的知名度。</w:t>
      </w:r>
    </w:p>
    <w:p w14:paraId="1073F44F" w14:textId="77777777" w:rsidR="00D75AB1" w:rsidRPr="00DB101C" w:rsidRDefault="00D75AB1" w:rsidP="00E51A8D">
      <w:pPr>
        <w:ind w:firstLineChars="200" w:firstLine="480"/>
        <w:rPr>
          <w:rFonts w:asciiTheme="minorHAnsi" w:hAnsiTheme="minorHAnsi" w:cstheme="minorBidi"/>
          <w:lang w:eastAsia="zh-CN"/>
        </w:rPr>
      </w:pPr>
      <w:r>
        <w:rPr>
          <w:lang w:val="zh-CN" w:eastAsia="zh-CN"/>
        </w:rPr>
        <w:t>区域代表处</w:t>
      </w:r>
      <w:r>
        <w:rPr>
          <w:rFonts w:hint="eastAsia"/>
          <w:lang w:val="zh-CN" w:eastAsia="zh-CN"/>
        </w:rPr>
        <w:t>能够</w:t>
      </w:r>
      <w:r>
        <w:rPr>
          <w:lang w:val="zh-CN" w:eastAsia="zh-CN"/>
        </w:rPr>
        <w:t>将来自不同部门和机构背景的利益攸关方聚集在一起</w:t>
      </w:r>
      <w:r>
        <w:rPr>
          <w:rFonts w:hint="eastAsia"/>
          <w:lang w:val="zh-CN" w:eastAsia="zh-CN"/>
        </w:rPr>
        <w:t>，</w:t>
      </w:r>
      <w:r>
        <w:rPr>
          <w:lang w:val="zh-CN" w:eastAsia="zh-CN"/>
        </w:rPr>
        <w:t>也有助于建立支持区域性举措和政策对话的协作网络。</w:t>
      </w:r>
    </w:p>
    <w:p w14:paraId="4B703C1C" w14:textId="77777777" w:rsidR="00D75AB1" w:rsidRPr="00CE772B" w:rsidRDefault="00D75AB1" w:rsidP="00975CF0">
      <w:pPr>
        <w:pStyle w:val="Heading3"/>
      </w:pPr>
      <w:r w:rsidRPr="00CE772B">
        <w:lastRenderedPageBreak/>
        <w:t>5.1.6</w:t>
      </w:r>
      <w:r w:rsidRPr="00CE772B">
        <w:tab/>
      </w:r>
      <w:r w:rsidRPr="00CE772B">
        <w:t>为基于伙伴关系的交付工作奠定坚实基础</w:t>
      </w:r>
    </w:p>
    <w:p w14:paraId="2BBEEDF7" w14:textId="77777777" w:rsidR="00D75AB1" w:rsidRPr="00DB101C" w:rsidRDefault="00D75AB1" w:rsidP="00E51A8D">
      <w:pPr>
        <w:ind w:firstLineChars="200" w:firstLine="480"/>
        <w:rPr>
          <w:rFonts w:asciiTheme="minorHAnsi" w:hAnsiTheme="minorHAnsi" w:cstheme="minorBidi"/>
          <w:lang w:eastAsia="zh-CN"/>
        </w:rPr>
      </w:pPr>
      <w:r>
        <w:rPr>
          <w:lang w:eastAsia="zh-CN"/>
        </w:rPr>
        <w:t>证据还凸显了通过合作与伙伴关系</w:t>
      </w:r>
      <w:r>
        <w:rPr>
          <w:rFonts w:hint="eastAsia"/>
          <w:lang w:eastAsia="zh-CN"/>
        </w:rPr>
        <w:t>交付</w:t>
      </w:r>
      <w:r>
        <w:rPr>
          <w:lang w:eastAsia="zh-CN"/>
        </w:rPr>
        <w:t>国际电联各项</w:t>
      </w:r>
      <w:r>
        <w:rPr>
          <w:rFonts w:hint="eastAsia"/>
          <w:lang w:eastAsia="zh-CN"/>
        </w:rPr>
        <w:t>举措</w:t>
      </w:r>
      <w:r>
        <w:rPr>
          <w:lang w:eastAsia="zh-CN"/>
        </w:rPr>
        <w:t>的坚实基础。</w:t>
      </w:r>
      <w:r>
        <w:rPr>
          <w:lang w:val="zh-CN" w:eastAsia="zh-CN"/>
        </w:rPr>
        <w:t>调查结果显示，成员实体与区域代表处和地区办事处</w:t>
      </w:r>
      <w:r>
        <w:rPr>
          <w:lang w:eastAsia="zh-CN"/>
        </w:rPr>
        <w:t>开展</w:t>
      </w:r>
      <w:r>
        <w:rPr>
          <w:lang w:val="zh-CN" w:eastAsia="zh-CN"/>
        </w:rPr>
        <w:t>协作的意愿很高，达到</w:t>
      </w:r>
      <w:r>
        <w:rPr>
          <w:lang w:val="zh-CN" w:eastAsia="zh-CN"/>
        </w:rPr>
        <w:t>82%</w:t>
      </w:r>
      <w:r>
        <w:rPr>
          <w:lang w:val="zh-CN" w:eastAsia="zh-CN"/>
        </w:rPr>
        <w:t>，而与</w:t>
      </w:r>
      <w:r>
        <w:rPr>
          <w:lang w:eastAsia="zh-CN"/>
        </w:rPr>
        <w:t>合作</w:t>
      </w:r>
      <w:r>
        <w:rPr>
          <w:lang w:val="zh-CN" w:eastAsia="zh-CN"/>
        </w:rPr>
        <w:t>伙伴</w:t>
      </w:r>
      <w:r>
        <w:rPr>
          <w:lang w:eastAsia="zh-CN"/>
        </w:rPr>
        <w:t>开展</w:t>
      </w:r>
      <w:r>
        <w:rPr>
          <w:lang w:val="zh-CN" w:eastAsia="zh-CN"/>
        </w:rPr>
        <w:t>合作的记录为</w:t>
      </w:r>
      <w:r>
        <w:rPr>
          <w:lang w:val="zh-CN" w:eastAsia="zh-CN"/>
        </w:rPr>
        <w:t>60%</w:t>
      </w:r>
      <w:r>
        <w:rPr>
          <w:lang w:val="zh-CN" w:eastAsia="zh-CN"/>
        </w:rPr>
        <w:t>。</w:t>
      </w:r>
    </w:p>
    <w:p w14:paraId="56BBF6DE" w14:textId="77777777" w:rsidR="00D75AB1" w:rsidRPr="00DB101C" w:rsidRDefault="00D75AB1" w:rsidP="00E51A8D">
      <w:pPr>
        <w:ind w:firstLineChars="200" w:firstLine="480"/>
        <w:rPr>
          <w:rFonts w:asciiTheme="minorHAnsi" w:hAnsiTheme="minorHAnsi" w:cstheme="minorBidi"/>
          <w:lang w:eastAsia="zh-CN"/>
        </w:rPr>
      </w:pPr>
      <w:r>
        <w:rPr>
          <w:lang w:val="zh-CN" w:eastAsia="zh-CN"/>
        </w:rPr>
        <w:t>这些结果表明，区域代表处在支持联合举措和协调活动的协作环境中运作。与区域性组织、发展伙伴和其他利益攸关方的接触，为落实有助于实现区域</w:t>
      </w:r>
      <w:r>
        <w:rPr>
          <w:lang w:val="zh-CN" w:eastAsia="zh-CN"/>
        </w:rPr>
        <w:t>ICT</w:t>
      </w:r>
      <w:r>
        <w:rPr>
          <w:lang w:val="zh-CN" w:eastAsia="zh-CN"/>
        </w:rPr>
        <w:t>发展目标的项目和计划提供了机会。</w:t>
      </w:r>
    </w:p>
    <w:p w14:paraId="03FA9033" w14:textId="77777777" w:rsidR="00D75AB1" w:rsidRPr="00DB101C" w:rsidRDefault="00D75AB1" w:rsidP="00E51A8D">
      <w:pPr>
        <w:ind w:firstLineChars="200" w:firstLine="480"/>
        <w:rPr>
          <w:rFonts w:asciiTheme="minorHAnsi" w:hAnsiTheme="minorHAnsi" w:cstheme="minorBidi"/>
          <w:lang w:eastAsia="zh-CN"/>
        </w:rPr>
      </w:pPr>
      <w:r>
        <w:rPr>
          <w:lang w:val="zh-CN" w:eastAsia="zh-CN"/>
        </w:rPr>
        <w:t>伙伴关系与项目实施和资源筹措密切相关。来自</w:t>
      </w:r>
      <w:r>
        <w:rPr>
          <w:lang w:val="zh-CN" w:eastAsia="zh-CN"/>
        </w:rPr>
        <w:t>SoW</w:t>
      </w:r>
      <w:r>
        <w:rPr>
          <w:lang w:val="zh-CN" w:eastAsia="zh-CN"/>
        </w:rPr>
        <w:t>和</w:t>
      </w:r>
      <w:r>
        <w:rPr>
          <w:lang w:val="zh-CN" w:eastAsia="zh-CN"/>
        </w:rPr>
        <w:t>KPI</w:t>
      </w:r>
      <w:r>
        <w:rPr>
          <w:lang w:val="zh-CN" w:eastAsia="zh-CN"/>
        </w:rPr>
        <w:t>分析的证据表明，区域代表处在实施区域性举措和发展项目中发挥着积极作用</w:t>
      </w:r>
      <w:r>
        <w:rPr>
          <w:rFonts w:hint="eastAsia"/>
          <w:lang w:val="zh-CN" w:eastAsia="zh-CN"/>
        </w:rPr>
        <w:t>，这些举措和项目</w:t>
      </w:r>
      <w:r>
        <w:rPr>
          <w:lang w:val="zh-CN" w:eastAsia="zh-CN"/>
        </w:rPr>
        <w:t>得到</w:t>
      </w:r>
      <w:r>
        <w:rPr>
          <w:rFonts w:hint="eastAsia"/>
          <w:lang w:val="zh-CN" w:eastAsia="zh-CN"/>
        </w:rPr>
        <w:t>了</w:t>
      </w:r>
      <w:r>
        <w:rPr>
          <w:lang w:val="zh-CN" w:eastAsia="zh-CN"/>
        </w:rPr>
        <w:t>不同筹资机制的支持。</w:t>
      </w:r>
    </w:p>
    <w:p w14:paraId="3E7A9712" w14:textId="77777777" w:rsidR="00D75AB1" w:rsidRPr="00DB101C" w:rsidRDefault="00D75AB1" w:rsidP="00E51A8D">
      <w:pPr>
        <w:ind w:firstLineChars="200" w:firstLine="480"/>
        <w:rPr>
          <w:rFonts w:asciiTheme="minorHAnsi" w:hAnsiTheme="minorHAnsi" w:cstheme="minorBidi"/>
          <w:lang w:eastAsia="zh-CN"/>
        </w:rPr>
      </w:pPr>
      <w:r>
        <w:rPr>
          <w:lang w:val="zh-CN" w:eastAsia="zh-CN"/>
        </w:rPr>
        <w:t>总体而言，成员的大力参与、知识的有效传播和与区域利益攸关方的积极合作表明，区域代表处为在区域层面</w:t>
      </w:r>
      <w:r>
        <w:rPr>
          <w:rFonts w:hint="eastAsia"/>
          <w:lang w:val="zh-CN" w:eastAsia="zh-CN"/>
        </w:rPr>
        <w:t>开展</w:t>
      </w:r>
      <w:r>
        <w:rPr>
          <w:lang w:val="zh-CN" w:eastAsia="zh-CN"/>
        </w:rPr>
        <w:t>国际电联的活动提供了一个坚实的操作平台。</w:t>
      </w:r>
    </w:p>
    <w:p w14:paraId="00025D44" w14:textId="77777777" w:rsidR="00D75AB1" w:rsidRPr="00CE772B" w:rsidRDefault="00D75AB1" w:rsidP="00975CF0">
      <w:pPr>
        <w:pStyle w:val="Heading3"/>
      </w:pPr>
      <w:r w:rsidRPr="00CE772B">
        <w:t>5.1.7</w:t>
      </w:r>
      <w:r w:rsidRPr="00CE772B">
        <w:tab/>
      </w:r>
      <w:r w:rsidRPr="00CE772B">
        <w:t>区域代表处和国际电联</w:t>
      </w:r>
      <w:r w:rsidRPr="00CE772B">
        <w:rPr>
          <w:rFonts w:hint="eastAsia"/>
        </w:rPr>
        <w:t>规划</w:t>
      </w:r>
      <w:r w:rsidRPr="00CE772B">
        <w:t>（</w:t>
      </w:r>
      <w:r w:rsidRPr="00CE772B">
        <w:rPr>
          <w:rFonts w:hint="eastAsia"/>
        </w:rPr>
        <w:t>《</w:t>
      </w:r>
      <w:r w:rsidRPr="00CE772B">
        <w:t>战略</w:t>
      </w:r>
      <w:r w:rsidRPr="00CE772B">
        <w:rPr>
          <w:rFonts w:hint="eastAsia"/>
        </w:rPr>
        <w:t>规划》</w:t>
      </w:r>
      <w:r w:rsidRPr="00CE772B">
        <w:t>和</w:t>
      </w:r>
      <w:r w:rsidRPr="00CE772B">
        <w:rPr>
          <w:rFonts w:hint="eastAsia"/>
        </w:rPr>
        <w:t>《</w:t>
      </w:r>
      <w:r w:rsidRPr="00CE772B">
        <w:t>基加利行动计划</w:t>
      </w:r>
      <w:r w:rsidRPr="00CE772B">
        <w:rPr>
          <w:rFonts w:hint="eastAsia"/>
        </w:rPr>
        <w:t>》</w:t>
      </w:r>
      <w:r w:rsidRPr="00CE772B">
        <w:t>）的实施</w:t>
      </w:r>
    </w:p>
    <w:p w14:paraId="75C0B75E" w14:textId="77777777" w:rsidR="00D75AB1" w:rsidRPr="00DB101C" w:rsidRDefault="00D75AB1" w:rsidP="00E51A8D">
      <w:pPr>
        <w:ind w:firstLineChars="200" w:firstLine="480"/>
        <w:rPr>
          <w:lang w:eastAsia="zh-CN"/>
        </w:rPr>
      </w:pPr>
      <w:r>
        <w:rPr>
          <w:lang w:val="zh-CN" w:eastAsia="zh-CN"/>
        </w:rPr>
        <w:t>区域代表处对于实施</w:t>
      </w:r>
      <w:r>
        <w:rPr>
          <w:rFonts w:hint="eastAsia"/>
          <w:lang w:val="zh-CN" w:eastAsia="zh-CN"/>
        </w:rPr>
        <w:t>《</w:t>
      </w:r>
      <w:r>
        <w:rPr>
          <w:lang w:val="zh-CN" w:eastAsia="zh-CN"/>
        </w:rPr>
        <w:t>战略</w:t>
      </w:r>
      <w:r>
        <w:rPr>
          <w:rFonts w:hint="eastAsia"/>
          <w:lang w:val="zh-CN" w:eastAsia="zh-CN"/>
        </w:rPr>
        <w:t>规划》</w:t>
      </w:r>
      <w:r>
        <w:rPr>
          <w:lang w:val="zh-CN" w:eastAsia="zh-CN"/>
        </w:rPr>
        <w:t>和《基加利行动计划》至关重要。区域代表处和地区办事处是</w:t>
      </w:r>
      <w:r w:rsidRPr="00B37B7A">
        <w:rPr>
          <w:rFonts w:hint="eastAsia"/>
          <w:lang w:val="zh-CN" w:eastAsia="zh-CN"/>
        </w:rPr>
        <w:t>实施各项计划、</w:t>
      </w:r>
      <w:r>
        <w:rPr>
          <w:lang w:val="zh-CN" w:eastAsia="zh-CN"/>
        </w:rPr>
        <w:t>区域性举措</w:t>
      </w:r>
      <w:r w:rsidRPr="00B37B7A">
        <w:rPr>
          <w:rFonts w:hint="eastAsia"/>
          <w:lang w:val="zh-CN" w:eastAsia="zh-CN"/>
        </w:rPr>
        <w:t>和能力建设工作的运营支柱。</w:t>
      </w:r>
    </w:p>
    <w:p w14:paraId="7D477DCB" w14:textId="77777777" w:rsidR="00D75AB1" w:rsidRPr="00DB101C" w:rsidRDefault="00D75AB1" w:rsidP="00E51A8D">
      <w:pPr>
        <w:ind w:firstLineChars="200" w:firstLine="480"/>
        <w:rPr>
          <w:lang w:eastAsia="zh-CN"/>
        </w:rPr>
      </w:pPr>
      <w:r>
        <w:rPr>
          <w:lang w:val="zh-CN" w:eastAsia="zh-CN"/>
        </w:rPr>
        <w:t>区域代表处和地区办事处支持</w:t>
      </w:r>
      <w:r>
        <w:rPr>
          <w:rFonts w:hint="eastAsia"/>
          <w:lang w:val="zh-CN" w:eastAsia="zh-CN"/>
        </w:rPr>
        <w:t>各</w:t>
      </w:r>
      <w:r>
        <w:rPr>
          <w:lang w:val="zh-CN" w:eastAsia="zh-CN"/>
        </w:rPr>
        <w:t>项目、</w:t>
      </w:r>
      <w:r>
        <w:rPr>
          <w:rFonts w:hint="eastAsia"/>
          <w:lang w:val="zh-CN" w:eastAsia="zh-CN"/>
        </w:rPr>
        <w:t>提供</w:t>
      </w:r>
      <w:r>
        <w:rPr>
          <w:lang w:val="zh-CN" w:eastAsia="zh-CN"/>
        </w:rPr>
        <w:t>技术援助、</w:t>
      </w:r>
      <w:r>
        <w:rPr>
          <w:rFonts w:hint="eastAsia"/>
          <w:lang w:val="zh-CN" w:eastAsia="zh-CN"/>
        </w:rPr>
        <w:t>开展</w:t>
      </w:r>
      <w:r>
        <w:rPr>
          <w:lang w:val="zh-CN" w:eastAsia="zh-CN"/>
        </w:rPr>
        <w:t>政策对话和区域性活动，所有这些都与国际电联的战略和财务框架相一致。</w:t>
      </w:r>
    </w:p>
    <w:p w14:paraId="3AB1CB0F" w14:textId="77777777" w:rsidR="00D75AB1" w:rsidRPr="00DB101C" w:rsidRDefault="00D75AB1" w:rsidP="00E51A8D">
      <w:pPr>
        <w:ind w:firstLineChars="200" w:firstLine="480"/>
        <w:rPr>
          <w:lang w:eastAsia="zh-CN"/>
        </w:rPr>
      </w:pPr>
      <w:r>
        <w:rPr>
          <w:lang w:val="zh-CN" w:eastAsia="zh-CN"/>
        </w:rPr>
        <w:t>区域性活动占国际电联全球所有活动的</w:t>
      </w:r>
      <w:r>
        <w:rPr>
          <w:lang w:val="zh-CN" w:eastAsia="zh-CN"/>
        </w:rPr>
        <w:t>36%</w:t>
      </w:r>
      <w:r>
        <w:rPr>
          <w:lang w:val="zh-CN" w:eastAsia="zh-CN"/>
        </w:rPr>
        <w:t>（</w:t>
      </w:r>
      <w:r>
        <w:rPr>
          <w:lang w:val="zh-CN" w:eastAsia="zh-CN"/>
        </w:rPr>
        <w:t>2022-2025</w:t>
      </w:r>
      <w:r>
        <w:rPr>
          <w:lang w:val="zh-CN" w:eastAsia="zh-CN"/>
        </w:rPr>
        <w:t>年），表明它们对全球</w:t>
      </w:r>
      <w:r>
        <w:rPr>
          <w:rFonts w:hint="eastAsia"/>
          <w:lang w:val="zh-CN" w:eastAsia="zh-CN"/>
        </w:rPr>
        <w:t>实施工作</w:t>
      </w:r>
      <w:r>
        <w:rPr>
          <w:lang w:val="zh-CN" w:eastAsia="zh-CN"/>
        </w:rPr>
        <w:t>做出了重大贡献。</w:t>
      </w:r>
    </w:p>
    <w:p w14:paraId="51C7D118" w14:textId="30DD3F7D" w:rsidR="00D75AB1" w:rsidRPr="00CE772B" w:rsidRDefault="00D75AB1" w:rsidP="00975CF0">
      <w:pPr>
        <w:pStyle w:val="Heading3"/>
      </w:pPr>
      <w:r w:rsidRPr="00CE772B">
        <w:t>5.1.8</w:t>
      </w:r>
      <w:r w:rsidR="00CE772B" w:rsidRPr="00CE772B">
        <w:tab/>
      </w:r>
      <w:r w:rsidRPr="00CE772B">
        <w:t>内部对区域价值的积极认可</w:t>
      </w:r>
    </w:p>
    <w:p w14:paraId="79AD6CF7" w14:textId="77777777" w:rsidR="00D75AB1" w:rsidRPr="00DB101C" w:rsidRDefault="00D75AB1" w:rsidP="00E51A8D">
      <w:pPr>
        <w:ind w:firstLineChars="200" w:firstLine="480"/>
        <w:rPr>
          <w:rFonts w:asciiTheme="minorHAnsi" w:hAnsiTheme="minorHAnsi" w:cstheme="minorBidi"/>
          <w:lang w:eastAsia="zh-CN"/>
        </w:rPr>
      </w:pPr>
      <w:r>
        <w:rPr>
          <w:lang w:val="zh-CN" w:eastAsia="zh-CN"/>
        </w:rPr>
        <w:t>对调查做出答复并发表意见的职员认识到区域代表处的贡献：</w:t>
      </w:r>
    </w:p>
    <w:p w14:paraId="0D3A4B7A" w14:textId="77777777" w:rsidR="00D75AB1" w:rsidRPr="00542C9C" w:rsidRDefault="00D75AB1" w:rsidP="00D75AB1">
      <w:pPr>
        <w:pStyle w:val="enumlev1"/>
        <w:rPr>
          <w:lang w:eastAsia="zh-CN"/>
        </w:rPr>
      </w:pPr>
      <w:r>
        <w:rPr>
          <w:lang w:val="zh-CN" w:eastAsia="zh-CN"/>
        </w:rPr>
        <w:t>–</w:t>
      </w:r>
      <w:r>
        <w:rPr>
          <w:lang w:val="zh-CN" w:eastAsia="zh-CN"/>
        </w:rPr>
        <w:tab/>
        <w:t>81%-82%</w:t>
      </w:r>
      <w:r>
        <w:rPr>
          <w:lang w:val="zh-CN" w:eastAsia="zh-CN"/>
        </w:rPr>
        <w:t>的人认为，区域职员参与国际电联的活动可以改善协调和沟通。</w:t>
      </w:r>
    </w:p>
    <w:p w14:paraId="106E31A8" w14:textId="77777777" w:rsidR="00D75AB1" w:rsidRPr="00542C9C" w:rsidRDefault="00D75AB1" w:rsidP="00D75AB1">
      <w:pPr>
        <w:pStyle w:val="enumlev1"/>
        <w:rPr>
          <w:lang w:eastAsia="zh-CN"/>
        </w:rPr>
      </w:pPr>
      <w:r>
        <w:rPr>
          <w:lang w:val="zh-CN" w:eastAsia="zh-CN"/>
        </w:rPr>
        <w:t>–</w:t>
      </w:r>
      <w:r>
        <w:rPr>
          <w:lang w:val="zh-CN" w:eastAsia="zh-CN"/>
        </w:rPr>
        <w:tab/>
      </w:r>
      <w:r>
        <w:rPr>
          <w:rFonts w:hint="eastAsia"/>
          <w:lang w:val="zh-CN" w:eastAsia="zh-CN"/>
        </w:rPr>
        <w:t>职员</w:t>
      </w:r>
      <w:r>
        <w:rPr>
          <w:lang w:val="zh-CN" w:eastAsia="zh-CN"/>
        </w:rPr>
        <w:t>表示强烈支持加强培训、流动性和能力，以进一步</w:t>
      </w:r>
      <w:r>
        <w:rPr>
          <w:rFonts w:hint="eastAsia"/>
          <w:lang w:val="zh-CN" w:eastAsia="zh-CN"/>
        </w:rPr>
        <w:t>增强</w:t>
      </w:r>
      <w:r>
        <w:rPr>
          <w:lang w:val="zh-CN" w:eastAsia="zh-CN"/>
        </w:rPr>
        <w:t>区域交付</w:t>
      </w:r>
      <w:r>
        <w:rPr>
          <w:rFonts w:hint="eastAsia"/>
          <w:lang w:val="zh-CN" w:eastAsia="zh-CN"/>
        </w:rPr>
        <w:t>能力</w:t>
      </w:r>
      <w:r>
        <w:rPr>
          <w:lang w:val="zh-CN" w:eastAsia="zh-CN"/>
        </w:rPr>
        <w:t>。</w:t>
      </w:r>
    </w:p>
    <w:p w14:paraId="6E73C58E" w14:textId="77777777" w:rsidR="00D75AB1" w:rsidRPr="00554552" w:rsidRDefault="00D75AB1" w:rsidP="00975CF0">
      <w:pPr>
        <w:pStyle w:val="Heading2"/>
      </w:pPr>
      <w:r>
        <w:t>5.2</w:t>
      </w:r>
      <w:r>
        <w:tab/>
      </w:r>
      <w:r w:rsidRPr="00B37B7A">
        <w:rPr>
          <w:rFonts w:hint="eastAsia"/>
        </w:rPr>
        <w:t>需要改进的地方</w:t>
      </w:r>
    </w:p>
    <w:p w14:paraId="6A6EDC62" w14:textId="77777777" w:rsidR="00D75AB1" w:rsidRPr="00CE772B" w:rsidRDefault="00D75AB1" w:rsidP="00975CF0">
      <w:pPr>
        <w:pStyle w:val="Heading3"/>
      </w:pPr>
      <w:r w:rsidRPr="00CE772B">
        <w:t>5.2.1</w:t>
      </w:r>
      <w:r w:rsidRPr="00CE772B">
        <w:tab/>
      </w:r>
      <w:r w:rsidRPr="00CE772B">
        <w:t>使资源与运营预期保持一致</w:t>
      </w:r>
    </w:p>
    <w:p w14:paraId="3A0988EC" w14:textId="77777777" w:rsidR="00D75AB1" w:rsidRPr="00DB101C" w:rsidRDefault="00D75AB1" w:rsidP="00E51A8D">
      <w:pPr>
        <w:ind w:firstLineChars="200" w:firstLine="480"/>
        <w:rPr>
          <w:rFonts w:asciiTheme="minorHAnsi" w:hAnsiTheme="minorHAnsi" w:cstheme="minorBidi"/>
          <w:lang w:eastAsia="zh-CN"/>
        </w:rPr>
      </w:pPr>
      <w:r>
        <w:rPr>
          <w:lang w:val="zh-CN" w:eastAsia="zh-CN"/>
        </w:rPr>
        <w:t>虽然区域代表处受到广泛重视，但有证据表明，在某些情况下，对区域代表处</w:t>
      </w:r>
      <w:r>
        <w:rPr>
          <w:lang w:eastAsia="zh-CN"/>
        </w:rPr>
        <w:t>提出的业务期望可能超出了现有资源的承受能力</w:t>
      </w:r>
      <w:r>
        <w:rPr>
          <w:lang w:val="zh-CN" w:eastAsia="zh-CN"/>
        </w:rPr>
        <w:t>。调查回复和利益攸关方</w:t>
      </w:r>
      <w:r>
        <w:rPr>
          <w:lang w:eastAsia="zh-CN"/>
        </w:rPr>
        <w:t>的</w:t>
      </w:r>
      <w:r>
        <w:rPr>
          <w:lang w:val="zh-CN" w:eastAsia="zh-CN"/>
        </w:rPr>
        <w:t>反馈</w:t>
      </w:r>
      <w:r>
        <w:rPr>
          <w:lang w:eastAsia="zh-CN"/>
        </w:rPr>
        <w:t>显示</w:t>
      </w:r>
      <w:r>
        <w:rPr>
          <w:lang w:val="zh-CN" w:eastAsia="zh-CN"/>
        </w:rPr>
        <w:t>，</w:t>
      </w:r>
      <w:r>
        <w:rPr>
          <w:lang w:eastAsia="zh-CN"/>
        </w:rPr>
        <w:t>各方强烈</w:t>
      </w:r>
      <w:r>
        <w:rPr>
          <w:lang w:val="zh-CN" w:eastAsia="zh-CN"/>
        </w:rPr>
        <w:t>支持加强区域代表处的作用，包括增加人力和</w:t>
      </w:r>
      <w:r>
        <w:rPr>
          <w:rFonts w:hint="eastAsia"/>
          <w:lang w:val="zh-CN" w:eastAsia="zh-CN"/>
        </w:rPr>
        <w:t>财务</w:t>
      </w:r>
      <w:r>
        <w:rPr>
          <w:lang w:val="zh-CN" w:eastAsia="zh-CN"/>
        </w:rPr>
        <w:t>资源以及扩大项目活动。</w:t>
      </w:r>
    </w:p>
    <w:p w14:paraId="1AD6A01A" w14:textId="77777777" w:rsidR="00D75AB1" w:rsidRPr="00DB101C" w:rsidRDefault="00D75AB1" w:rsidP="00E51A8D">
      <w:pPr>
        <w:ind w:firstLineChars="200" w:firstLine="480"/>
        <w:rPr>
          <w:rFonts w:asciiTheme="minorHAnsi" w:hAnsiTheme="minorHAnsi" w:cstheme="minorBidi"/>
          <w:lang w:eastAsia="zh-CN"/>
        </w:rPr>
      </w:pPr>
      <w:r>
        <w:rPr>
          <w:lang w:val="zh-CN" w:eastAsia="zh-CN"/>
        </w:rPr>
        <w:t>资源可用性影响到区域性举措和项目的实施速度和规模。利益攸关方指出，可预测的筹资机制和充足的人员配备能力是有效开展区域活动的重要促成因素。</w:t>
      </w:r>
    </w:p>
    <w:p w14:paraId="36C8BB2B" w14:textId="77777777" w:rsidR="00D75AB1" w:rsidRPr="00DB101C" w:rsidRDefault="00D75AB1" w:rsidP="00E51A8D">
      <w:pPr>
        <w:ind w:firstLineChars="200" w:firstLine="480"/>
        <w:rPr>
          <w:rFonts w:asciiTheme="minorHAnsi" w:hAnsiTheme="minorHAnsi" w:cstheme="minorBidi"/>
          <w:lang w:eastAsia="zh-CN"/>
        </w:rPr>
      </w:pPr>
      <w:r>
        <w:rPr>
          <w:lang w:eastAsia="zh-CN"/>
        </w:rPr>
        <w:t>调查还表明，各方强烈支持</w:t>
      </w:r>
      <w:r>
        <w:rPr>
          <w:rFonts w:hint="eastAsia"/>
          <w:lang w:eastAsia="zh-CN"/>
        </w:rPr>
        <w:t>各</w:t>
      </w:r>
      <w:r>
        <w:rPr>
          <w:lang w:eastAsia="zh-CN"/>
        </w:rPr>
        <w:t>局在各区域加强实体存在</w:t>
      </w:r>
      <w:r>
        <w:rPr>
          <w:rFonts w:ascii="SimSun" w:hAnsi="SimSun" w:cs="SimSun" w:hint="eastAsia"/>
          <w:lang w:eastAsia="zh-CN"/>
        </w:rPr>
        <w:t>。</w:t>
      </w:r>
    </w:p>
    <w:p w14:paraId="4DC14387" w14:textId="77777777" w:rsidR="00D75AB1" w:rsidRPr="00CE772B" w:rsidRDefault="00D75AB1" w:rsidP="00975CF0">
      <w:pPr>
        <w:pStyle w:val="Heading3"/>
      </w:pPr>
      <w:r w:rsidRPr="00CE772B">
        <w:t>5.2.2</w:t>
      </w:r>
      <w:r w:rsidRPr="00CE772B">
        <w:tab/>
      </w:r>
      <w:r w:rsidRPr="00CE772B">
        <w:t>加强招聘流程和人员配备连续性</w:t>
      </w:r>
    </w:p>
    <w:p w14:paraId="0A4862E5" w14:textId="77777777" w:rsidR="00D75AB1" w:rsidRPr="00DB101C" w:rsidRDefault="00D75AB1" w:rsidP="00E51A8D">
      <w:pPr>
        <w:ind w:firstLineChars="200" w:firstLine="480"/>
        <w:rPr>
          <w:rFonts w:asciiTheme="minorHAnsi" w:hAnsiTheme="minorHAnsi" w:cstheme="minorBidi"/>
          <w:lang w:eastAsia="zh-CN"/>
        </w:rPr>
      </w:pPr>
      <w:r>
        <w:rPr>
          <w:lang w:eastAsia="zh-CN"/>
        </w:rPr>
        <w:t>区域职位的招聘流程也成为一个可以通过改进来提升运营能力的领域。</w:t>
      </w:r>
      <w:proofErr w:type="spellStart"/>
      <w:r>
        <w:rPr>
          <w:lang w:eastAsia="zh-CN"/>
        </w:rPr>
        <w:t>KPI</w:t>
      </w:r>
      <w:proofErr w:type="spellEnd"/>
      <w:r>
        <w:rPr>
          <w:lang w:eastAsia="zh-CN"/>
        </w:rPr>
        <w:t>分析显示，某些反复出现的职位空缺和招聘周期可能影响区域</w:t>
      </w:r>
      <w:r>
        <w:rPr>
          <w:lang w:val="zh-CN" w:eastAsia="zh-CN"/>
        </w:rPr>
        <w:t>代表处</w:t>
      </w:r>
      <w:r>
        <w:rPr>
          <w:lang w:eastAsia="zh-CN"/>
        </w:rPr>
        <w:t>及时调配专业人才的能力</w:t>
      </w:r>
      <w:r>
        <w:rPr>
          <w:rFonts w:ascii="SimSun" w:hAnsi="SimSun" w:cs="SimSun" w:hint="eastAsia"/>
          <w:lang w:eastAsia="zh-CN"/>
        </w:rPr>
        <w:t>。</w:t>
      </w:r>
    </w:p>
    <w:p w14:paraId="16069E4C" w14:textId="77777777" w:rsidR="00D75AB1" w:rsidRPr="00DB101C" w:rsidRDefault="00D75AB1" w:rsidP="00E51A8D">
      <w:pPr>
        <w:ind w:firstLineChars="200" w:firstLine="480"/>
        <w:rPr>
          <w:rFonts w:asciiTheme="minorHAnsi" w:hAnsiTheme="minorHAnsi" w:cstheme="minorBidi"/>
          <w:lang w:eastAsia="zh-CN"/>
        </w:rPr>
      </w:pPr>
      <w:r>
        <w:rPr>
          <w:lang w:val="zh-CN" w:eastAsia="zh-CN"/>
        </w:rPr>
        <w:lastRenderedPageBreak/>
        <w:t>调查结果同样表明，</w:t>
      </w:r>
      <w:r>
        <w:rPr>
          <w:lang w:eastAsia="zh-CN"/>
        </w:rPr>
        <w:t>对项目经理和技术专家的招聘流程满意度处于中等水平，这表明在加强招聘工具和人员流动机制方面仍有改进空间。提高招聘流程的效率，有助于确保各区域</w:t>
      </w:r>
      <w:r>
        <w:rPr>
          <w:lang w:val="zh-CN" w:eastAsia="zh-CN"/>
        </w:rPr>
        <w:t>代表处</w:t>
      </w:r>
      <w:r>
        <w:rPr>
          <w:lang w:eastAsia="zh-CN"/>
        </w:rPr>
        <w:t>保持足够的专业能力，以应对业务需求</w:t>
      </w:r>
      <w:r>
        <w:rPr>
          <w:rFonts w:ascii="SimSun" w:hAnsi="SimSun" w:cs="SimSun" w:hint="eastAsia"/>
          <w:lang w:eastAsia="zh-CN"/>
        </w:rPr>
        <w:t>。</w:t>
      </w:r>
    </w:p>
    <w:p w14:paraId="16F37871" w14:textId="77777777" w:rsidR="00D75AB1" w:rsidRPr="00CE772B" w:rsidRDefault="00D75AB1" w:rsidP="00975CF0">
      <w:pPr>
        <w:pStyle w:val="Heading3"/>
      </w:pPr>
      <w:r w:rsidRPr="00CE772B">
        <w:t>5.2.3</w:t>
      </w:r>
      <w:r w:rsidRPr="00CE772B">
        <w:tab/>
      </w:r>
      <w:r w:rsidRPr="00CE772B">
        <w:t>加强伙伴关系落实和资源筹措</w:t>
      </w:r>
    </w:p>
    <w:p w14:paraId="15604EAF" w14:textId="77777777" w:rsidR="00D75AB1" w:rsidRPr="00DB101C" w:rsidRDefault="00D75AB1" w:rsidP="00E51A8D">
      <w:pPr>
        <w:ind w:firstLineChars="200" w:firstLine="480"/>
        <w:rPr>
          <w:lang w:eastAsia="zh-CN"/>
        </w:rPr>
      </w:pPr>
      <w:r>
        <w:rPr>
          <w:lang w:val="zh-CN" w:eastAsia="zh-CN"/>
        </w:rPr>
        <w:t>尽管伙伴关系和协作被广泛认为是区域代表处的重要组成部分，但调查回复表明，对伙伴关系和资源</w:t>
      </w:r>
      <w:r>
        <w:rPr>
          <w:rFonts w:hint="eastAsia"/>
          <w:lang w:val="zh-CN" w:eastAsia="zh-CN"/>
        </w:rPr>
        <w:t>筹措</w:t>
      </w:r>
      <w:r>
        <w:rPr>
          <w:lang w:val="zh-CN" w:eastAsia="zh-CN"/>
        </w:rPr>
        <w:t>支持有效性</w:t>
      </w:r>
      <w:r>
        <w:rPr>
          <w:rFonts w:hint="eastAsia"/>
          <w:lang w:val="zh-CN" w:eastAsia="zh-CN"/>
        </w:rPr>
        <w:t>，</w:t>
      </w:r>
      <w:r>
        <w:rPr>
          <w:lang w:eastAsia="zh-CN"/>
        </w:rPr>
        <w:t>各方评价较为中性</w:t>
      </w:r>
      <w:r>
        <w:rPr>
          <w:lang w:val="zh-CN" w:eastAsia="zh-CN"/>
        </w:rPr>
        <w:t>。这一领域的</w:t>
      </w:r>
      <w:r>
        <w:rPr>
          <w:lang w:eastAsia="zh-CN"/>
        </w:rPr>
        <w:t>认同度虽仍保持在积极水平，但低于其他支持</w:t>
      </w:r>
      <w:r>
        <w:rPr>
          <w:lang w:val="zh-CN" w:eastAsia="zh-CN"/>
        </w:rPr>
        <w:t>性</w:t>
      </w:r>
      <w:r>
        <w:rPr>
          <w:lang w:eastAsia="zh-CN"/>
        </w:rPr>
        <w:t>职能，这表明在进一步加强伙伴关系机制和项目开发流程方面存在改进空间</w:t>
      </w:r>
      <w:r>
        <w:rPr>
          <w:rFonts w:ascii="SimSun" w:hAnsi="SimSun" w:cs="SimSun" w:hint="eastAsia"/>
          <w:lang w:eastAsia="zh-CN"/>
        </w:rPr>
        <w:t>。</w:t>
      </w:r>
    </w:p>
    <w:p w14:paraId="2AB75BEE" w14:textId="77777777" w:rsidR="00D75AB1" w:rsidRPr="00DB101C" w:rsidRDefault="00D75AB1" w:rsidP="00E51A8D">
      <w:pPr>
        <w:ind w:firstLineChars="200" w:firstLine="480"/>
        <w:rPr>
          <w:lang w:eastAsia="zh-CN"/>
        </w:rPr>
      </w:pPr>
      <w:r>
        <w:rPr>
          <w:lang w:val="zh-CN" w:eastAsia="zh-CN"/>
        </w:rPr>
        <w:t>利益攸关方访谈强调</w:t>
      </w:r>
      <w:r>
        <w:rPr>
          <w:rFonts w:hint="eastAsia"/>
          <w:lang w:val="zh-CN" w:eastAsia="zh-CN"/>
        </w:rPr>
        <w:t>，</w:t>
      </w:r>
      <w:r>
        <w:rPr>
          <w:lang w:eastAsia="zh-CN"/>
        </w:rPr>
        <w:t>要将</w:t>
      </w:r>
      <w:r>
        <w:rPr>
          <w:lang w:val="zh-CN" w:eastAsia="zh-CN"/>
        </w:rPr>
        <w:t>伙伴关系</w:t>
      </w:r>
      <w:r>
        <w:rPr>
          <w:lang w:eastAsia="zh-CN"/>
        </w:rPr>
        <w:t>机遇转化为具体项目和获得资金支持的举措，可预见的融资安排以及与区域组织加强协调至关重要。因此，加强</w:t>
      </w:r>
      <w:r>
        <w:rPr>
          <w:lang w:val="zh-CN" w:eastAsia="zh-CN"/>
        </w:rPr>
        <w:t>伙伴关系</w:t>
      </w:r>
      <w:r>
        <w:rPr>
          <w:lang w:eastAsia="zh-CN"/>
        </w:rPr>
        <w:t>框架并完善协调机制，有助于更一致地落实</w:t>
      </w:r>
      <w:r>
        <w:rPr>
          <w:lang w:val="zh-CN" w:eastAsia="zh-CN"/>
        </w:rPr>
        <w:t>区域性举措。</w:t>
      </w:r>
    </w:p>
    <w:p w14:paraId="574E7075" w14:textId="77777777" w:rsidR="00D75AB1" w:rsidRPr="00DB101C" w:rsidRDefault="00D75AB1" w:rsidP="00E51A8D">
      <w:pPr>
        <w:ind w:firstLineChars="200" w:firstLine="480"/>
        <w:rPr>
          <w:lang w:eastAsia="zh-CN"/>
        </w:rPr>
      </w:pPr>
      <w:r>
        <w:rPr>
          <w:rFonts w:hint="eastAsia"/>
          <w:lang w:val="zh-CN" w:eastAsia="zh-CN"/>
        </w:rPr>
        <w:t>受访</w:t>
      </w:r>
      <w:r>
        <w:rPr>
          <w:lang w:val="zh-CN" w:eastAsia="zh-CN"/>
        </w:rPr>
        <w:t>者还强调了国际电联与联合国国家工作队进行强有力协调的重要性，</w:t>
      </w:r>
      <w:r>
        <w:rPr>
          <w:lang w:eastAsia="zh-CN"/>
        </w:rPr>
        <w:t>无论是在国际电联设有实体机构的地区，还是在未设机构的地区</w:t>
      </w:r>
      <w:r>
        <w:rPr>
          <w:rFonts w:ascii="SimSun" w:hAnsi="SimSun" w:cs="SimSun" w:hint="eastAsia"/>
          <w:lang w:eastAsia="zh-CN"/>
        </w:rPr>
        <w:t>。</w:t>
      </w:r>
    </w:p>
    <w:p w14:paraId="773D1EC7" w14:textId="77777777" w:rsidR="00D75AB1" w:rsidRPr="00CE772B" w:rsidRDefault="00D75AB1" w:rsidP="00975CF0">
      <w:pPr>
        <w:pStyle w:val="Heading3"/>
      </w:pPr>
      <w:r w:rsidRPr="00CE772B">
        <w:t>5.2.4</w:t>
      </w:r>
      <w:r w:rsidRPr="00CE772B">
        <w:tab/>
      </w:r>
      <w:r w:rsidRPr="00CE772B">
        <w:rPr>
          <w:rFonts w:hint="eastAsia"/>
        </w:rPr>
        <w:t>提高区域运作的透明度并加强报告</w:t>
      </w:r>
    </w:p>
    <w:p w14:paraId="7ED2B62B" w14:textId="77777777" w:rsidR="00D75AB1" w:rsidRPr="00DB101C" w:rsidRDefault="00D75AB1" w:rsidP="00E51A8D">
      <w:pPr>
        <w:ind w:firstLineChars="200" w:firstLine="480"/>
        <w:rPr>
          <w:lang w:eastAsia="zh-CN"/>
        </w:rPr>
      </w:pPr>
      <w:r>
        <w:rPr>
          <w:lang w:val="zh-CN" w:eastAsia="zh-CN"/>
        </w:rPr>
        <w:t>调查和利益攸关方反馈的证据也突出了改进人员配备水平、财务资源和实施活动</w:t>
      </w:r>
      <w:r>
        <w:rPr>
          <w:lang w:eastAsia="zh-CN"/>
        </w:rPr>
        <w:t>相关</w:t>
      </w:r>
      <w:r>
        <w:rPr>
          <w:lang w:val="zh-CN" w:eastAsia="zh-CN"/>
        </w:rPr>
        <w:t>数据和报告</w:t>
      </w:r>
      <w:r>
        <w:rPr>
          <w:lang w:eastAsia="zh-CN"/>
        </w:rPr>
        <w:t>工作</w:t>
      </w:r>
      <w:r>
        <w:rPr>
          <w:lang w:val="zh-CN" w:eastAsia="zh-CN"/>
        </w:rPr>
        <w:t>的重要性。受访者强调，更好地了解区域代表处如何部署资源和实施项目</w:t>
      </w:r>
      <w:r>
        <w:rPr>
          <w:lang w:eastAsia="zh-CN"/>
        </w:rPr>
        <w:t>具有重要价值</w:t>
      </w:r>
      <w:r>
        <w:rPr>
          <w:rFonts w:ascii="SimSun" w:hAnsi="SimSun" w:cs="SimSun" w:hint="eastAsia"/>
          <w:lang w:eastAsia="zh-CN"/>
        </w:rPr>
        <w:t>。</w:t>
      </w:r>
    </w:p>
    <w:p w14:paraId="74A395D1" w14:textId="77777777" w:rsidR="00D75AB1" w:rsidRPr="00DB101C" w:rsidRDefault="00D75AB1" w:rsidP="00E51A8D">
      <w:pPr>
        <w:ind w:firstLineChars="200" w:firstLine="480"/>
        <w:rPr>
          <w:lang w:eastAsia="zh-CN"/>
        </w:rPr>
      </w:pPr>
      <w:r>
        <w:rPr>
          <w:lang w:val="zh-CN" w:eastAsia="zh-CN"/>
        </w:rPr>
        <w:t>加强报告和</w:t>
      </w:r>
      <w:r>
        <w:rPr>
          <w:rFonts w:hint="eastAsia"/>
          <w:lang w:val="zh-CN" w:eastAsia="zh-CN"/>
        </w:rPr>
        <w:t>提高</w:t>
      </w:r>
      <w:r>
        <w:rPr>
          <w:lang w:val="zh-CN" w:eastAsia="zh-CN"/>
        </w:rPr>
        <w:t>透明度机制可以加强监督，支持战略规划，并加深对各区域运作需求的了解。</w:t>
      </w:r>
    </w:p>
    <w:p w14:paraId="42B7590E" w14:textId="77777777" w:rsidR="00D75AB1" w:rsidRPr="00CE772B" w:rsidRDefault="00D75AB1" w:rsidP="00975CF0">
      <w:pPr>
        <w:pStyle w:val="Heading3"/>
      </w:pPr>
      <w:r w:rsidRPr="00CE772B">
        <w:t>5.2.5</w:t>
      </w:r>
      <w:r w:rsidRPr="00CE772B">
        <w:tab/>
      </w:r>
      <w:r w:rsidRPr="00CE772B">
        <w:rPr>
          <w:rFonts w:hint="eastAsia"/>
        </w:rPr>
        <w:t>区域代表性的差距</w:t>
      </w:r>
    </w:p>
    <w:p w14:paraId="0EE037BE" w14:textId="200CB106" w:rsidR="00D75AB1" w:rsidRPr="00DB101C" w:rsidRDefault="00D75AB1" w:rsidP="00E51A8D">
      <w:pPr>
        <w:ind w:firstLineChars="200" w:firstLine="480"/>
        <w:rPr>
          <w:lang w:eastAsia="zh-CN"/>
        </w:rPr>
      </w:pPr>
      <w:r>
        <w:rPr>
          <w:lang w:eastAsia="zh-CN"/>
        </w:rPr>
        <w:t>调查指出，在</w:t>
      </w:r>
      <w:r>
        <w:rPr>
          <w:lang w:val="zh-CN" w:eastAsia="zh-CN"/>
        </w:rPr>
        <w:t>区域代表</w:t>
      </w:r>
      <w:r>
        <w:rPr>
          <w:rFonts w:hint="eastAsia"/>
          <w:lang w:val="zh-CN" w:eastAsia="zh-CN"/>
        </w:rPr>
        <w:t>性</w:t>
      </w:r>
      <w:r>
        <w:rPr>
          <w:lang w:eastAsia="zh-CN"/>
        </w:rPr>
        <w:t>方面存在某些</w:t>
      </w:r>
      <w:r>
        <w:rPr>
          <w:rFonts w:hint="eastAsia"/>
          <w:lang w:eastAsia="zh-CN"/>
        </w:rPr>
        <w:t>差距</w:t>
      </w:r>
      <w:r>
        <w:rPr>
          <w:lang w:eastAsia="zh-CN"/>
        </w:rPr>
        <w:t>，特别是在太平洋地区，当前的覆盖范围受到</w:t>
      </w:r>
      <w:r w:rsidR="00E51A8D">
        <w:rPr>
          <w:rFonts w:hint="eastAsia"/>
          <w:lang w:eastAsia="zh-CN"/>
        </w:rPr>
        <w:t>“</w:t>
      </w:r>
      <w:r>
        <w:rPr>
          <w:lang w:eastAsia="zh-CN"/>
        </w:rPr>
        <w:t>距离和时区差异</w:t>
      </w:r>
      <w:r w:rsidR="00E51A8D">
        <w:rPr>
          <w:rFonts w:hint="eastAsia"/>
          <w:lang w:eastAsia="zh-CN"/>
        </w:rPr>
        <w:t>”</w:t>
      </w:r>
      <w:r>
        <w:rPr>
          <w:lang w:eastAsia="zh-CN"/>
        </w:rPr>
        <w:t>的制约。受访者还建议，在未设国际电联</w:t>
      </w:r>
      <w:r>
        <w:rPr>
          <w:lang w:val="zh-CN" w:eastAsia="zh-CN"/>
        </w:rPr>
        <w:t>办事机构</w:t>
      </w:r>
      <w:r>
        <w:rPr>
          <w:lang w:eastAsia="zh-CN"/>
        </w:rPr>
        <w:t>的国家加强项目和活动，但无需长期向这些国家派驻工作人员</w:t>
      </w:r>
      <w:r>
        <w:rPr>
          <w:rFonts w:ascii="SimSun" w:hAnsi="SimSun" w:cs="SimSun" w:hint="eastAsia"/>
          <w:lang w:eastAsia="zh-CN"/>
        </w:rPr>
        <w:t>。</w:t>
      </w:r>
    </w:p>
    <w:p w14:paraId="4AC73CB4" w14:textId="77777777" w:rsidR="00D75AB1" w:rsidRPr="00554552" w:rsidRDefault="00D75AB1" w:rsidP="00975CF0">
      <w:pPr>
        <w:pStyle w:val="Heading1"/>
      </w:pPr>
      <w:r>
        <w:t>6</w:t>
      </w:r>
      <w:r>
        <w:tab/>
      </w:r>
      <w:r>
        <w:t>结论</w:t>
      </w:r>
    </w:p>
    <w:p w14:paraId="5870A692" w14:textId="77777777" w:rsidR="00D75AB1" w:rsidRPr="00DB101C" w:rsidRDefault="00D75AB1" w:rsidP="00D75AB1">
      <w:pPr>
        <w:rPr>
          <w:rFonts w:asciiTheme="minorHAnsi" w:hAnsiTheme="minorHAnsi" w:cstheme="minorBidi"/>
          <w:lang w:eastAsia="zh-CN"/>
        </w:rPr>
      </w:pPr>
      <w:r>
        <w:rPr>
          <w:lang w:val="zh-CN" w:eastAsia="zh-CN"/>
        </w:rPr>
        <w:t>6.1</w:t>
      </w:r>
      <w:r>
        <w:rPr>
          <w:lang w:val="zh-CN" w:eastAsia="zh-CN"/>
        </w:rPr>
        <w:tab/>
      </w:r>
      <w:r>
        <w:rPr>
          <w:lang w:eastAsia="zh-CN"/>
        </w:rPr>
        <w:t>本报告及其</w:t>
      </w:r>
      <w:r>
        <w:rPr>
          <w:rFonts w:hint="eastAsia"/>
          <w:lang w:eastAsia="zh-CN"/>
        </w:rPr>
        <w:t>研究结果</w:t>
      </w:r>
      <w:r>
        <w:rPr>
          <w:lang w:eastAsia="zh-CN"/>
        </w:rPr>
        <w:t>证实，</w:t>
      </w:r>
      <w:r>
        <w:rPr>
          <w:lang w:val="zh-CN" w:eastAsia="zh-CN"/>
        </w:rPr>
        <w:t>区域代表处和地区办事处在落实国际电联</w:t>
      </w:r>
      <w:r>
        <w:rPr>
          <w:rFonts w:hint="eastAsia"/>
          <w:lang w:val="zh-CN" w:eastAsia="zh-CN"/>
        </w:rPr>
        <w:t>《</w:t>
      </w:r>
      <w:r>
        <w:rPr>
          <w:lang w:val="zh-CN" w:eastAsia="zh-CN"/>
        </w:rPr>
        <w:t>战略规划</w:t>
      </w:r>
      <w:r>
        <w:rPr>
          <w:rFonts w:hint="eastAsia"/>
          <w:lang w:val="zh-CN" w:eastAsia="zh-CN"/>
        </w:rPr>
        <w:t>》</w:t>
      </w:r>
      <w:r>
        <w:rPr>
          <w:lang w:val="zh-CN" w:eastAsia="zh-CN"/>
        </w:rPr>
        <w:t>和</w:t>
      </w:r>
      <w:r>
        <w:rPr>
          <w:lang w:val="zh-CN" w:eastAsia="zh-CN"/>
        </w:rPr>
        <w:t>ITU-D</w:t>
      </w:r>
      <w:r>
        <w:rPr>
          <w:rFonts w:hint="eastAsia"/>
          <w:lang w:val="zh-CN" w:eastAsia="zh-CN"/>
        </w:rPr>
        <w:t>《</w:t>
      </w:r>
      <w:r>
        <w:rPr>
          <w:lang w:val="zh-CN" w:eastAsia="zh-CN"/>
        </w:rPr>
        <w:t>行动计划</w:t>
      </w:r>
      <w:r>
        <w:rPr>
          <w:rFonts w:hint="eastAsia"/>
          <w:lang w:val="zh-CN" w:eastAsia="zh-CN"/>
        </w:rPr>
        <w:t>》</w:t>
      </w:r>
      <w:r>
        <w:rPr>
          <w:lang w:val="zh-CN" w:eastAsia="zh-CN"/>
        </w:rPr>
        <w:t>方面发挥着关键作用。</w:t>
      </w:r>
      <w:r>
        <w:rPr>
          <w:lang w:eastAsia="zh-CN"/>
        </w:rPr>
        <w:t>它们作为与成员国之间值得信赖的桥梁，</w:t>
      </w:r>
      <w:r>
        <w:rPr>
          <w:lang w:val="zh-CN" w:eastAsia="zh-CN"/>
        </w:rPr>
        <w:t>促进对国际电联活动的广泛和包容性参与，并</w:t>
      </w:r>
      <w:r>
        <w:rPr>
          <w:lang w:eastAsia="zh-CN"/>
        </w:rPr>
        <w:t>为大量</w:t>
      </w:r>
      <w:r>
        <w:rPr>
          <w:lang w:val="zh-CN" w:eastAsia="zh-CN"/>
        </w:rPr>
        <w:t>区域性项目、能力建设和政策对话</w:t>
      </w:r>
      <w:r>
        <w:rPr>
          <w:lang w:eastAsia="zh-CN"/>
        </w:rPr>
        <w:t>提供</w:t>
      </w:r>
      <w:r>
        <w:rPr>
          <w:lang w:val="zh-CN" w:eastAsia="zh-CN"/>
        </w:rPr>
        <w:t>支持。区域代表处反应迅速、易于接</w:t>
      </w:r>
      <w:r>
        <w:rPr>
          <w:lang w:eastAsia="zh-CN"/>
        </w:rPr>
        <w:t>触</w:t>
      </w:r>
      <w:r>
        <w:rPr>
          <w:lang w:val="zh-CN" w:eastAsia="zh-CN"/>
        </w:rPr>
        <w:t>且</w:t>
      </w:r>
      <w:r>
        <w:rPr>
          <w:lang w:eastAsia="zh-CN"/>
        </w:rPr>
        <w:t>高</w:t>
      </w:r>
      <w:r>
        <w:rPr>
          <w:lang w:val="zh-CN" w:eastAsia="zh-CN"/>
        </w:rPr>
        <w:t>效，各区域成员国和合作伙伴均对此高度满意。</w:t>
      </w:r>
      <w:r>
        <w:rPr>
          <w:lang w:eastAsia="zh-CN"/>
        </w:rPr>
        <w:t>相关证据一再凸显</w:t>
      </w:r>
      <w:r>
        <w:rPr>
          <w:lang w:val="zh-CN" w:eastAsia="zh-CN"/>
        </w:rPr>
        <w:t>区域团队的专业</w:t>
      </w:r>
      <w:r>
        <w:rPr>
          <w:lang w:eastAsia="zh-CN"/>
        </w:rPr>
        <w:t>素养</w:t>
      </w:r>
      <w:r>
        <w:rPr>
          <w:lang w:val="zh-CN" w:eastAsia="zh-CN"/>
        </w:rPr>
        <w:t>和奉献精神，并强调他们作为利益攸关方关键召集人和数字化转型催化剂的作用。</w:t>
      </w:r>
    </w:p>
    <w:p w14:paraId="74B31F6E" w14:textId="2EFD5C26" w:rsidR="00D75AB1" w:rsidRPr="00DB101C" w:rsidRDefault="00D75AB1" w:rsidP="00D75AB1">
      <w:pPr>
        <w:rPr>
          <w:rFonts w:asciiTheme="minorHAnsi" w:hAnsiTheme="minorHAnsi" w:cstheme="minorBidi"/>
          <w:lang w:eastAsia="zh-CN"/>
        </w:rPr>
      </w:pPr>
      <w:r>
        <w:rPr>
          <w:lang w:val="zh-CN" w:eastAsia="zh-CN"/>
        </w:rPr>
        <w:t>6.2</w:t>
      </w:r>
      <w:r>
        <w:rPr>
          <w:lang w:val="zh-CN" w:eastAsia="zh-CN"/>
        </w:rPr>
        <w:tab/>
      </w:r>
      <w:r>
        <w:rPr>
          <w:lang w:eastAsia="zh-CN"/>
        </w:rPr>
        <w:t>虽然此次审查也指出了在流程、资源和专业知识方面尚有进一步提升的空间，但最好将这些视为在坚实且运转良好的基础上进一步发展的机遇</w:t>
      </w:r>
      <w:r>
        <w:rPr>
          <w:rFonts w:hint="eastAsia"/>
          <w:lang w:eastAsia="zh-CN"/>
        </w:rPr>
        <w:t>，</w:t>
      </w:r>
      <w:r>
        <w:rPr>
          <w:lang w:val="zh-CN" w:eastAsia="zh-CN"/>
        </w:rPr>
        <w:t>使区域代表处能够更有效地应对不断变化的成员期望和日益复杂的数字发展格局。这包括精简人力和财务资源以及内部流程，深化跨部门协调，加强获得技术专长的</w:t>
      </w:r>
      <w:r>
        <w:rPr>
          <w:lang w:eastAsia="zh-CN"/>
        </w:rPr>
        <w:t>渠道</w:t>
      </w:r>
      <w:r>
        <w:rPr>
          <w:lang w:val="zh-CN" w:eastAsia="zh-CN"/>
        </w:rPr>
        <w:t>，改善报告</w:t>
      </w:r>
      <w:r>
        <w:rPr>
          <w:lang w:eastAsia="zh-CN"/>
        </w:rPr>
        <w:t>机制</w:t>
      </w:r>
      <w:r>
        <w:rPr>
          <w:lang w:val="zh-CN" w:eastAsia="zh-CN"/>
        </w:rPr>
        <w:t>和财务</w:t>
      </w:r>
      <w:r>
        <w:rPr>
          <w:lang w:eastAsia="zh-CN"/>
        </w:rPr>
        <w:t>透明度</w:t>
      </w:r>
      <w:r>
        <w:rPr>
          <w:lang w:val="zh-CN" w:eastAsia="zh-CN"/>
        </w:rPr>
        <w:t>，</w:t>
      </w:r>
      <w:r>
        <w:rPr>
          <w:lang w:eastAsia="zh-CN"/>
        </w:rPr>
        <w:t>并在可行范围内</w:t>
      </w:r>
      <w:r>
        <w:rPr>
          <w:lang w:val="zh-CN" w:eastAsia="zh-CN"/>
        </w:rPr>
        <w:t>加强伙伴关系和资源筹措机制。整个系统的利益攸关方</w:t>
      </w:r>
      <w:r w:rsidR="004A2DF9">
        <w:rPr>
          <w:lang w:val="zh-CN" w:eastAsia="zh-CN"/>
        </w:rPr>
        <w:br/>
      </w:r>
      <w:r w:rsidR="004A2DF9">
        <w:rPr>
          <w:rFonts w:hint="eastAsia"/>
          <w:lang w:val="zh-CN" w:eastAsia="zh-CN"/>
        </w:rPr>
        <w:t xml:space="preserve"> </w:t>
      </w:r>
      <w:r w:rsidR="004A2DF9" w:rsidRPr="004A2DF9">
        <w:rPr>
          <w:lang w:val="zh-CN" w:eastAsia="zh-CN"/>
        </w:rPr>
        <w:t>–</w:t>
      </w:r>
      <w:r w:rsidR="004A2DF9">
        <w:rPr>
          <w:lang w:val="zh-CN" w:eastAsia="zh-CN"/>
        </w:rPr>
        <w:t xml:space="preserve"> </w:t>
      </w:r>
      <w:r>
        <w:rPr>
          <w:lang w:val="zh-CN" w:eastAsia="zh-CN"/>
        </w:rPr>
        <w:t>成员国、区域</w:t>
      </w:r>
      <w:r>
        <w:rPr>
          <w:rFonts w:hint="eastAsia"/>
          <w:lang w:val="zh-CN" w:eastAsia="zh-CN"/>
        </w:rPr>
        <w:t>性</w:t>
      </w:r>
      <w:r>
        <w:rPr>
          <w:lang w:val="zh-CN" w:eastAsia="zh-CN"/>
        </w:rPr>
        <w:t>组织和国际电联</w:t>
      </w:r>
      <w:r>
        <w:rPr>
          <w:rFonts w:hint="eastAsia"/>
          <w:lang w:val="zh-CN" w:eastAsia="zh-CN"/>
        </w:rPr>
        <w:t>职员</w:t>
      </w:r>
      <w:r w:rsidR="004A2DF9">
        <w:rPr>
          <w:rFonts w:hint="eastAsia"/>
          <w:lang w:val="zh-CN" w:eastAsia="zh-CN"/>
        </w:rPr>
        <w:t xml:space="preserve"> </w:t>
      </w:r>
      <w:r w:rsidR="004A2DF9" w:rsidRPr="004A2DF9">
        <w:rPr>
          <w:lang w:val="zh-CN" w:eastAsia="zh-CN"/>
        </w:rPr>
        <w:t>–</w:t>
      </w:r>
      <w:r w:rsidR="004A2DF9">
        <w:rPr>
          <w:lang w:val="zh-CN" w:eastAsia="zh-CN"/>
        </w:rPr>
        <w:t xml:space="preserve"> </w:t>
      </w:r>
      <w:r>
        <w:rPr>
          <w:rFonts w:hint="eastAsia"/>
          <w:lang w:val="zh-CN" w:eastAsia="zh-CN"/>
        </w:rPr>
        <w:t>均</w:t>
      </w:r>
      <w:r>
        <w:rPr>
          <w:lang w:val="zh-CN" w:eastAsia="zh-CN"/>
        </w:rPr>
        <w:t>表示强烈支持进一步增强区域代表处的能力，以满足</w:t>
      </w:r>
      <w:r>
        <w:rPr>
          <w:lang w:eastAsia="zh-CN"/>
        </w:rPr>
        <w:t>日益</w:t>
      </w:r>
      <w:r>
        <w:rPr>
          <w:lang w:val="zh-CN" w:eastAsia="zh-CN"/>
        </w:rPr>
        <w:t>不断增长的需求并驾驭日益复杂的数字环境。</w:t>
      </w:r>
    </w:p>
    <w:p w14:paraId="16C9AA7C" w14:textId="77777777" w:rsidR="00D75AB1" w:rsidRPr="00DB101C" w:rsidRDefault="00D75AB1" w:rsidP="00D75AB1">
      <w:pPr>
        <w:rPr>
          <w:rFonts w:asciiTheme="minorHAnsi" w:hAnsiTheme="minorHAnsi" w:cstheme="minorBidi"/>
          <w:lang w:eastAsia="zh-CN"/>
        </w:rPr>
      </w:pPr>
      <w:r>
        <w:rPr>
          <w:lang w:val="zh-CN" w:eastAsia="zh-CN"/>
        </w:rPr>
        <w:lastRenderedPageBreak/>
        <w:t>6.3</w:t>
      </w:r>
      <w:r>
        <w:rPr>
          <w:lang w:val="zh-CN" w:eastAsia="zh-CN"/>
        </w:rPr>
        <w:tab/>
      </w:r>
      <w:r>
        <w:rPr>
          <w:lang w:eastAsia="zh-CN"/>
        </w:rPr>
        <w:t>综合来看</w:t>
      </w:r>
      <w:r>
        <w:rPr>
          <w:lang w:val="zh-CN" w:eastAsia="zh-CN"/>
        </w:rPr>
        <w:t>，本次审查的结果</w:t>
      </w:r>
      <w:r>
        <w:rPr>
          <w:lang w:eastAsia="zh-CN"/>
        </w:rPr>
        <w:t>传递</w:t>
      </w:r>
      <w:r>
        <w:rPr>
          <w:lang w:val="zh-CN" w:eastAsia="zh-CN"/>
        </w:rPr>
        <w:t>了一个明确和</w:t>
      </w:r>
      <w:r>
        <w:rPr>
          <w:lang w:eastAsia="zh-CN"/>
        </w:rPr>
        <w:t>富有</w:t>
      </w:r>
      <w:r>
        <w:rPr>
          <w:lang w:val="zh-CN" w:eastAsia="zh-CN"/>
        </w:rPr>
        <w:t>建设性的信息：国际电联的区域代表处和地区办事处是一项重要的战略资产，</w:t>
      </w:r>
      <w:r>
        <w:rPr>
          <w:lang w:eastAsia="zh-CN"/>
        </w:rPr>
        <w:t>表现优异</w:t>
      </w:r>
      <w:r>
        <w:rPr>
          <w:lang w:val="zh-CN" w:eastAsia="zh-CN"/>
        </w:rPr>
        <w:t>，</w:t>
      </w:r>
      <w:r>
        <w:rPr>
          <w:lang w:eastAsia="zh-CN"/>
        </w:rPr>
        <w:t>并</w:t>
      </w:r>
      <w:r>
        <w:rPr>
          <w:lang w:val="zh-CN" w:eastAsia="zh-CN"/>
        </w:rPr>
        <w:t>提供</w:t>
      </w:r>
      <w:r>
        <w:rPr>
          <w:rFonts w:hint="eastAsia"/>
          <w:lang w:val="zh-CN" w:eastAsia="zh-CN"/>
        </w:rPr>
        <w:t>了</w:t>
      </w:r>
      <w:r>
        <w:rPr>
          <w:lang w:val="zh-CN" w:eastAsia="zh-CN"/>
        </w:rPr>
        <w:t>有形价值。</w:t>
      </w:r>
      <w:r>
        <w:rPr>
          <w:lang w:eastAsia="zh-CN"/>
        </w:rPr>
        <w:t>通过采取有针对性的行动并获得机构支持，</w:t>
      </w:r>
      <w:r>
        <w:rPr>
          <w:lang w:val="zh-CN" w:eastAsia="zh-CN"/>
        </w:rPr>
        <w:t>区域代表处可以变得更加灵活、</w:t>
      </w:r>
      <w:r>
        <w:rPr>
          <w:lang w:eastAsia="zh-CN"/>
        </w:rPr>
        <w:t>更具</w:t>
      </w:r>
      <w:r>
        <w:rPr>
          <w:lang w:val="zh-CN" w:eastAsia="zh-CN"/>
        </w:rPr>
        <w:t>影响力，</w:t>
      </w:r>
      <w:r>
        <w:rPr>
          <w:lang w:eastAsia="zh-CN"/>
        </w:rPr>
        <w:t>并更能满足成员国的期望</w:t>
      </w:r>
      <w:r>
        <w:rPr>
          <w:rFonts w:ascii="SimSun" w:hAnsi="SimSun" w:cs="SimSun" w:hint="eastAsia"/>
          <w:lang w:eastAsia="zh-CN"/>
        </w:rPr>
        <w:t>。</w:t>
      </w:r>
    </w:p>
    <w:p w14:paraId="1D2E68D2" w14:textId="77777777" w:rsidR="00E323D0" w:rsidRDefault="00E323D0" w:rsidP="0020499A">
      <w:pPr>
        <w:rPr>
          <w:lang w:eastAsia="zh-CN"/>
        </w:rPr>
      </w:pPr>
    </w:p>
    <w:p w14:paraId="1877FD95" w14:textId="77777777" w:rsidR="00E323D0" w:rsidRPr="00E323D0" w:rsidRDefault="00E323D0" w:rsidP="00E323D0">
      <w:pPr>
        <w:jc w:val="center"/>
      </w:pPr>
      <w:r>
        <w:t>______________</w:t>
      </w:r>
    </w:p>
    <w:sectPr w:rsidR="00E323D0" w:rsidRPr="00E323D0" w:rsidSect="00E24D59">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CE34" w14:textId="77777777" w:rsidR="00D75AB1" w:rsidRDefault="00D75AB1">
      <w:r>
        <w:separator/>
      </w:r>
    </w:p>
  </w:endnote>
  <w:endnote w:type="continuationSeparator" w:id="0">
    <w:p w14:paraId="0F090549" w14:textId="77777777" w:rsidR="00D75AB1" w:rsidRDefault="00D7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62478F" w14:textId="77777777" w:rsidTr="00E31DCE">
      <w:trPr>
        <w:jc w:val="center"/>
      </w:trPr>
      <w:tc>
        <w:tcPr>
          <w:tcW w:w="1803" w:type="dxa"/>
          <w:vAlign w:val="center"/>
        </w:tcPr>
        <w:p w14:paraId="7E245C3E" w14:textId="15C835FA"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D75AB1">
            <w:rPr>
              <w:noProof/>
              <w:color w:val="808080" w:themeColor="background1" w:themeShade="80"/>
            </w:rPr>
            <w:t xml:space="preserve"> 2600727</w:t>
          </w:r>
        </w:p>
      </w:tc>
      <w:tc>
        <w:tcPr>
          <w:tcW w:w="8261" w:type="dxa"/>
        </w:tcPr>
        <w:p w14:paraId="53F3BB38" w14:textId="375FFA1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D75AB1">
            <w:rPr>
              <w:bCs/>
              <w:color w:val="808080" w:themeColor="background1" w:themeShade="80"/>
            </w:rPr>
            <w:t>24</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D60083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0A0DF6E" w14:textId="77777777" w:rsidTr="00E31DCE">
      <w:trPr>
        <w:jc w:val="center"/>
      </w:trPr>
      <w:tc>
        <w:tcPr>
          <w:tcW w:w="1803" w:type="dxa"/>
          <w:vAlign w:val="center"/>
        </w:tcPr>
        <w:p w14:paraId="1942B67A"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F5F287C" w14:textId="5EC8085C"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D75AB1">
            <w:rPr>
              <w:bCs/>
              <w:color w:val="808080" w:themeColor="background1" w:themeShade="80"/>
            </w:rPr>
            <w:t>24</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6A87C9D"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06EF" w14:textId="77777777" w:rsidR="00D75AB1" w:rsidRDefault="00D75AB1">
      <w:r>
        <w:t>____________________</w:t>
      </w:r>
    </w:p>
  </w:footnote>
  <w:footnote w:type="continuationSeparator" w:id="0">
    <w:p w14:paraId="518F28FD" w14:textId="77777777" w:rsidR="00D75AB1" w:rsidRDefault="00D7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1CF7" w14:textId="77777777" w:rsidR="00E24D59" w:rsidRPr="00602842" w:rsidRDefault="00602842" w:rsidP="00602842">
    <w:pPr>
      <w:pStyle w:val="Header"/>
    </w:pPr>
    <w:r>
      <w:rPr>
        <w:noProof/>
      </w:rPr>
      <w:drawing>
        <wp:inline distT="0" distB="0" distL="0" distR="0" wp14:anchorId="40924A6B" wp14:editId="473DBBA5">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B1"/>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0499A"/>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2DF9"/>
    <w:rsid w:val="004A36EC"/>
    <w:rsid w:val="004D163F"/>
    <w:rsid w:val="004E4BFF"/>
    <w:rsid w:val="004F2598"/>
    <w:rsid w:val="00534AF9"/>
    <w:rsid w:val="005403F7"/>
    <w:rsid w:val="00540632"/>
    <w:rsid w:val="00541CF4"/>
    <w:rsid w:val="005451E8"/>
    <w:rsid w:val="005507F2"/>
    <w:rsid w:val="00555C29"/>
    <w:rsid w:val="005759CC"/>
    <w:rsid w:val="00576C08"/>
    <w:rsid w:val="005A72E1"/>
    <w:rsid w:val="005B5DA2"/>
    <w:rsid w:val="005C6632"/>
    <w:rsid w:val="005D1C9E"/>
    <w:rsid w:val="00602842"/>
    <w:rsid w:val="00630DD5"/>
    <w:rsid w:val="00637584"/>
    <w:rsid w:val="00654257"/>
    <w:rsid w:val="0065435A"/>
    <w:rsid w:val="00670D8A"/>
    <w:rsid w:val="006A2DD3"/>
    <w:rsid w:val="006A5113"/>
    <w:rsid w:val="006A5AF8"/>
    <w:rsid w:val="006C36CD"/>
    <w:rsid w:val="006C6D3F"/>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75CF0"/>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E772B"/>
    <w:rsid w:val="00CF41F6"/>
    <w:rsid w:val="00CF7D3E"/>
    <w:rsid w:val="00D02B4E"/>
    <w:rsid w:val="00D21F11"/>
    <w:rsid w:val="00D36817"/>
    <w:rsid w:val="00D453EE"/>
    <w:rsid w:val="00D5666C"/>
    <w:rsid w:val="00D666BC"/>
    <w:rsid w:val="00D75AB1"/>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51A8D"/>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D6BA6"/>
    <w:rsid w:val="00FE5A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05101"/>
  <w15:docId w15:val="{045BE778-8A2B-47BB-BDB5-C371177C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975CF0"/>
    <w:pPr>
      <w:keepNext/>
      <w:keepLines/>
      <w:spacing w:before="360"/>
      <w:ind w:left="794" w:hanging="794"/>
      <w:outlineLvl w:val="0"/>
    </w:pPr>
    <w:rPr>
      <w:b/>
      <w:bCs/>
      <w:sz w:val="28"/>
      <w:lang w:val="zh-CN" w:eastAsia="zh-CN"/>
    </w:rPr>
  </w:style>
  <w:style w:type="paragraph" w:styleId="Heading2">
    <w:name w:val="heading 2"/>
    <w:basedOn w:val="Heading1"/>
    <w:next w:val="Normal"/>
    <w:link w:val="Heading2Char"/>
    <w:uiPriority w:val="9"/>
    <w:qFormat/>
    <w:rsid w:val="006C36CD"/>
    <w:pPr>
      <w:spacing w:before="320"/>
      <w:outlineLvl w:val="1"/>
    </w:pPr>
    <w:rPr>
      <w:sz w:val="24"/>
    </w:rPr>
  </w:style>
  <w:style w:type="paragraph" w:styleId="Heading3">
    <w:name w:val="heading 3"/>
    <w:basedOn w:val="Heading1"/>
    <w:next w:val="Normal"/>
    <w:link w:val="Heading3Char"/>
    <w:uiPriority w:val="9"/>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uiPriority w:val="9"/>
    <w:rsid w:val="00975CF0"/>
    <w:rPr>
      <w:rFonts w:ascii="Calibri" w:hAnsi="Calibri"/>
      <w:b/>
      <w:bCs/>
      <w:sz w:val="28"/>
      <w:lang w:val="zh-CN"/>
    </w:rPr>
  </w:style>
  <w:style w:type="character" w:customStyle="1" w:styleId="Heading2Char">
    <w:name w:val="Heading 2 Char"/>
    <w:basedOn w:val="DefaultParagraphFont"/>
    <w:link w:val="Heading2"/>
    <w:uiPriority w:val="9"/>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D75AB1"/>
    <w:p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rFonts w:cstheme="minorBidi"/>
      <w:szCs w:val="22"/>
      <w:lang w:val="en-US" w:eastAsia="zh-CN"/>
    </w:rPr>
  </w:style>
  <w:style w:type="character" w:customStyle="1" w:styleId="Heading3Char">
    <w:name w:val="Heading 3 Char"/>
    <w:basedOn w:val="DefaultParagraphFont"/>
    <w:link w:val="Heading3"/>
    <w:uiPriority w:val="9"/>
    <w:rsid w:val="00D75AB1"/>
    <w:rPr>
      <w:rFonts w:ascii="Calibri" w:hAnsi="Calibri"/>
      <w:b/>
      <w:i/>
      <w:sz w:val="24"/>
      <w:lang w:val="en-GB" w:eastAsia="en-US"/>
    </w:rPr>
  </w:style>
  <w:style w:type="table" w:customStyle="1" w:styleId="TableGrid1">
    <w:name w:val="Table Grid1"/>
    <w:basedOn w:val="TableNormal"/>
    <w:next w:val="TableGrid"/>
    <w:uiPriority w:val="59"/>
    <w:rsid w:val="00D75AB1"/>
    <w:rPr>
      <w:rFonts w:asciiTheme="minorHAnsi" w:eastAsiaTheme="minorHAnsi" w:hAnsiTheme="minorHAnsi" w:cstheme="minorBidi"/>
      <w:kern w:val="2"/>
      <w:sz w:val="24"/>
      <w:szCs w:val="24"/>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L-C-0025/en" TargetMode="External"/><Relationship Id="rId18" Type="http://schemas.openxmlformats.org/officeDocument/2006/relationships/hyperlink" Target="https://www.itu.int/md/S24-CWGFHR19-C-0015/en" TargetMode="External"/><Relationship Id="rId26" Type="http://schemas.openxmlformats.org/officeDocument/2006/relationships/hyperlink" Target="https://www.itu.int/md/S25-CL-C-0105/en" TargetMode="External"/><Relationship Id="rId3" Type="http://schemas.openxmlformats.org/officeDocument/2006/relationships/styles" Target="styles.xml"/><Relationship Id="rId21" Type="http://schemas.openxmlformats.org/officeDocument/2006/relationships/hyperlink" Target="https://www.itu.int/md/S25-CL-C-0069/en" TargetMode="External"/><Relationship Id="rId7" Type="http://schemas.openxmlformats.org/officeDocument/2006/relationships/endnotes" Target="endnotes.xml"/><Relationship Id="rId12" Type="http://schemas.openxmlformats.org/officeDocument/2006/relationships/hyperlink" Target="https://bdmsweb.itu.int/dms_pub/itu-d/opb/tdc/D-TDC-WTDC-2022-PDF-C.pdf" TargetMode="External"/><Relationship Id="rId17" Type="http://schemas.openxmlformats.org/officeDocument/2006/relationships/hyperlink" Target="https://www.itu.int/md/S25-CWGFHR20-C-0032/en" TargetMode="External"/><Relationship Id="rId25" Type="http://schemas.openxmlformats.org/officeDocument/2006/relationships/hyperlink" Target="https://www.itu.int/md/S25-CL-C-0105/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4-CWGFHR19-C-0015/en" TargetMode="External"/><Relationship Id="rId20" Type="http://schemas.openxmlformats.org/officeDocument/2006/relationships/hyperlink" Target="https://www.itu.int/md/S25-CL-C-0069/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dmsweb.itu.int/dms_pub/itu-d/opb/tdc/D-TDC-WTDC-2025-PDF-C.pdf" TargetMode="External"/><Relationship Id="rId24" Type="http://schemas.openxmlformats.org/officeDocument/2006/relationships/hyperlink" Target="https://www.itu.int/md/S25-CL-C-0105/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6-CL-INF-0010/en" TargetMode="External"/><Relationship Id="rId23" Type="http://schemas.openxmlformats.org/officeDocument/2006/relationships/hyperlink" Target="https://www.itu.int/md/S26-CL-INF-0010/en" TargetMode="External"/><Relationship Id="rId28" Type="http://schemas.openxmlformats.org/officeDocument/2006/relationships/hyperlink" Target="https://www.itu.int/md/S26-CL-INF-0010/en" TargetMode="External"/><Relationship Id="rId10" Type="http://schemas.openxmlformats.org/officeDocument/2006/relationships/hyperlink" Target="https://bdmsweb.itu.int/dms_pub/itu-d/opb/tdc/D-TDC-WTDC-2025-PDF-C.pdf" TargetMode="External"/><Relationship Id="rId19" Type="http://schemas.openxmlformats.org/officeDocument/2006/relationships/hyperlink" Target="https://www.itu.int/md/S25-CWGFHR20-C-0032/e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en/council/Documents/basic-texts-2023/RES-025-C.pdf" TargetMode="External"/><Relationship Id="rId14" Type="http://schemas.openxmlformats.org/officeDocument/2006/relationships/hyperlink" Target="https://www.itu.int/md/S25-CL-C-0105/en" TargetMode="External"/><Relationship Id="rId22" Type="http://schemas.openxmlformats.org/officeDocument/2006/relationships/hyperlink" Target="https://www.itu.int/en/council/Documents/basic-texts-2023/RES-025-E.pdf" TargetMode="External"/><Relationship Id="rId27" Type="http://schemas.openxmlformats.org/officeDocument/2006/relationships/hyperlink" Target="https://www.itu.int/md/S26-CL-INF-0010/en" TargetMode="External"/><Relationship Id="rId30" Type="http://schemas.openxmlformats.org/officeDocument/2006/relationships/header" Target="header1.xml"/><Relationship Id="rId8" Type="http://schemas.openxmlformats.org/officeDocument/2006/relationships/hyperlink" Target="https://www.itu.int/md/S26-CL-INF-0010/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ting\Desktop\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8</Pages>
  <Words>6111</Words>
  <Characters>3003</Characters>
  <Application>Microsoft Office Word</Application>
  <DocSecurity>0</DocSecurity>
  <Lines>73</Lines>
  <Paragraphs>79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9035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ITU Regional Presence</dc:title>
  <dc:subject>ITU Council 2026</dc:subject>
  <cp:keywords>C26; C2026; Council 2026; PP26</cp:keywords>
  <dc:description/>
  <cp:lastPrinted>2015-02-24T13:23:00Z</cp:lastPrinted>
  <dcterms:created xsi:type="dcterms:W3CDTF">2026-04-15T15:57:00Z</dcterms:created>
  <dcterms:modified xsi:type="dcterms:W3CDTF">2026-04-15T15:58:00Z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