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100267" w14:paraId="78D88BC1" w14:textId="77777777" w:rsidTr="00796BDB">
        <w:trPr>
          <w:cantSplit/>
          <w:trHeight w:val="23"/>
        </w:trPr>
        <w:tc>
          <w:tcPr>
            <w:tcW w:w="3969" w:type="dxa"/>
            <w:vMerge w:val="restart"/>
            <w:tcMar>
              <w:left w:w="0" w:type="dxa"/>
            </w:tcMar>
          </w:tcPr>
          <w:p w14:paraId="592CD268" w14:textId="5C3CDEFB" w:rsidR="00D72F49" w:rsidRPr="00100267" w:rsidRDefault="00D72F49" w:rsidP="00796BDB">
            <w:pPr>
              <w:tabs>
                <w:tab w:val="left" w:pos="851"/>
              </w:tabs>
              <w:spacing w:before="0" w:line="240" w:lineRule="atLeast"/>
              <w:rPr>
                <w:b/>
              </w:rPr>
            </w:pPr>
            <w:r w:rsidRPr="00100267">
              <w:rPr>
                <w:b/>
              </w:rPr>
              <w:t xml:space="preserve">Point de l'ordre du </w:t>
            </w:r>
            <w:proofErr w:type="gramStart"/>
            <w:r w:rsidRPr="00100267">
              <w:rPr>
                <w:b/>
              </w:rPr>
              <w:t>jour:</w:t>
            </w:r>
            <w:proofErr w:type="gramEnd"/>
            <w:r w:rsidR="001A686C" w:rsidRPr="00100267">
              <w:rPr>
                <w:b/>
              </w:rPr>
              <w:t xml:space="preserve"> </w:t>
            </w:r>
            <w:r w:rsidR="009B04DB">
              <w:rPr>
                <w:b/>
                <w:bCs/>
                <w:color w:val="000000"/>
              </w:rPr>
              <w:t>ADM</w:t>
            </w:r>
            <w:r w:rsidR="001A686C" w:rsidRPr="00100267">
              <w:rPr>
                <w:b/>
                <w:bCs/>
                <w:color w:val="000000"/>
              </w:rPr>
              <w:t xml:space="preserve"> </w:t>
            </w:r>
            <w:r w:rsidR="009B04DB">
              <w:rPr>
                <w:b/>
                <w:bCs/>
                <w:color w:val="000000"/>
              </w:rPr>
              <w:t>3</w:t>
            </w:r>
          </w:p>
        </w:tc>
        <w:tc>
          <w:tcPr>
            <w:tcW w:w="5245" w:type="dxa"/>
          </w:tcPr>
          <w:p w14:paraId="2790CB6B" w14:textId="60243E8B" w:rsidR="00D72F49" w:rsidRPr="00100267" w:rsidRDefault="00D72F49" w:rsidP="00796BDB">
            <w:pPr>
              <w:tabs>
                <w:tab w:val="left" w:pos="851"/>
              </w:tabs>
              <w:spacing w:before="0" w:line="240" w:lineRule="atLeast"/>
              <w:jc w:val="right"/>
              <w:rPr>
                <w:b/>
              </w:rPr>
            </w:pPr>
            <w:r w:rsidRPr="00100267">
              <w:rPr>
                <w:b/>
              </w:rPr>
              <w:t>Document C2</w:t>
            </w:r>
            <w:r w:rsidR="00E4448E" w:rsidRPr="00100267">
              <w:rPr>
                <w:b/>
              </w:rPr>
              <w:t>6</w:t>
            </w:r>
            <w:r w:rsidRPr="00100267">
              <w:rPr>
                <w:b/>
              </w:rPr>
              <w:t>/</w:t>
            </w:r>
            <w:r w:rsidR="009B04DB">
              <w:rPr>
                <w:b/>
              </w:rPr>
              <w:t>23</w:t>
            </w:r>
            <w:r w:rsidRPr="00100267">
              <w:rPr>
                <w:b/>
              </w:rPr>
              <w:t>-F</w:t>
            </w:r>
          </w:p>
        </w:tc>
      </w:tr>
      <w:tr w:rsidR="00D72F49" w:rsidRPr="00100267" w14:paraId="7B6BA89D" w14:textId="77777777" w:rsidTr="00796BDB">
        <w:trPr>
          <w:cantSplit/>
        </w:trPr>
        <w:tc>
          <w:tcPr>
            <w:tcW w:w="3969" w:type="dxa"/>
            <w:vMerge/>
          </w:tcPr>
          <w:p w14:paraId="26765AAF" w14:textId="77777777" w:rsidR="00D72F49" w:rsidRPr="00100267" w:rsidRDefault="00D72F49" w:rsidP="00796BDB">
            <w:pPr>
              <w:tabs>
                <w:tab w:val="left" w:pos="851"/>
              </w:tabs>
              <w:spacing w:line="240" w:lineRule="atLeast"/>
              <w:rPr>
                <w:b/>
              </w:rPr>
            </w:pPr>
          </w:p>
        </w:tc>
        <w:tc>
          <w:tcPr>
            <w:tcW w:w="5245" w:type="dxa"/>
          </w:tcPr>
          <w:p w14:paraId="2581B0E3" w14:textId="0FA895CD" w:rsidR="00D72F49" w:rsidRPr="00100267" w:rsidRDefault="009B04DB" w:rsidP="00796BDB">
            <w:pPr>
              <w:tabs>
                <w:tab w:val="left" w:pos="851"/>
              </w:tabs>
              <w:spacing w:before="0"/>
              <w:jc w:val="right"/>
              <w:rPr>
                <w:b/>
              </w:rPr>
            </w:pPr>
            <w:r>
              <w:rPr>
                <w:b/>
                <w:bCs/>
                <w:color w:val="000000"/>
              </w:rPr>
              <w:t>27</w:t>
            </w:r>
            <w:r w:rsidR="00CE01A7" w:rsidRPr="00100267">
              <w:rPr>
                <w:b/>
                <w:bCs/>
                <w:color w:val="000000"/>
              </w:rPr>
              <w:t xml:space="preserve"> mars</w:t>
            </w:r>
            <w:r w:rsidR="001A686C" w:rsidRPr="00100267">
              <w:rPr>
                <w:b/>
                <w:bCs/>
                <w:color w:val="000000"/>
              </w:rPr>
              <w:t xml:space="preserve"> 2026</w:t>
            </w:r>
          </w:p>
        </w:tc>
      </w:tr>
      <w:tr w:rsidR="00D72F49" w:rsidRPr="00100267" w14:paraId="2FD07D14" w14:textId="77777777" w:rsidTr="00796BDB">
        <w:trPr>
          <w:cantSplit/>
          <w:trHeight w:val="23"/>
        </w:trPr>
        <w:tc>
          <w:tcPr>
            <w:tcW w:w="3969" w:type="dxa"/>
            <w:vMerge/>
          </w:tcPr>
          <w:p w14:paraId="6C30790E" w14:textId="77777777" w:rsidR="00D72F49" w:rsidRPr="00100267" w:rsidRDefault="00D72F49" w:rsidP="00796BDB">
            <w:pPr>
              <w:tabs>
                <w:tab w:val="left" w:pos="851"/>
              </w:tabs>
              <w:spacing w:line="240" w:lineRule="atLeast"/>
              <w:rPr>
                <w:b/>
              </w:rPr>
            </w:pPr>
          </w:p>
        </w:tc>
        <w:tc>
          <w:tcPr>
            <w:tcW w:w="5245" w:type="dxa"/>
          </w:tcPr>
          <w:p w14:paraId="1AA10F31" w14:textId="77777777" w:rsidR="00D72F49" w:rsidRPr="00100267" w:rsidRDefault="00D72F49" w:rsidP="00796BDB">
            <w:pPr>
              <w:tabs>
                <w:tab w:val="left" w:pos="851"/>
              </w:tabs>
              <w:spacing w:before="0" w:line="240" w:lineRule="atLeast"/>
              <w:jc w:val="right"/>
              <w:rPr>
                <w:b/>
              </w:rPr>
            </w:pPr>
            <w:proofErr w:type="gramStart"/>
            <w:r w:rsidRPr="00100267">
              <w:rPr>
                <w:b/>
              </w:rPr>
              <w:t>Original:</w:t>
            </w:r>
            <w:proofErr w:type="gramEnd"/>
            <w:r w:rsidRPr="00100267">
              <w:rPr>
                <w:b/>
              </w:rPr>
              <w:t xml:space="preserve"> anglais</w:t>
            </w:r>
          </w:p>
        </w:tc>
      </w:tr>
      <w:tr w:rsidR="00D72F49" w:rsidRPr="00100267" w14:paraId="5BA727D1" w14:textId="77777777" w:rsidTr="00796BDB">
        <w:trPr>
          <w:cantSplit/>
          <w:trHeight w:val="23"/>
        </w:trPr>
        <w:tc>
          <w:tcPr>
            <w:tcW w:w="3969" w:type="dxa"/>
          </w:tcPr>
          <w:p w14:paraId="6C5B3D88" w14:textId="77777777" w:rsidR="00D72F49" w:rsidRPr="00100267" w:rsidRDefault="00D72F49" w:rsidP="00796BDB">
            <w:pPr>
              <w:tabs>
                <w:tab w:val="left" w:pos="851"/>
              </w:tabs>
              <w:spacing w:line="240" w:lineRule="atLeast"/>
              <w:rPr>
                <w:b/>
              </w:rPr>
            </w:pPr>
          </w:p>
        </w:tc>
        <w:tc>
          <w:tcPr>
            <w:tcW w:w="5245" w:type="dxa"/>
          </w:tcPr>
          <w:p w14:paraId="03547F60" w14:textId="77777777" w:rsidR="00D72F49" w:rsidRPr="00100267" w:rsidRDefault="00D72F49" w:rsidP="00796BDB">
            <w:pPr>
              <w:tabs>
                <w:tab w:val="left" w:pos="851"/>
              </w:tabs>
              <w:spacing w:before="0" w:line="240" w:lineRule="atLeast"/>
              <w:jc w:val="right"/>
              <w:rPr>
                <w:b/>
              </w:rPr>
            </w:pPr>
          </w:p>
        </w:tc>
      </w:tr>
      <w:tr w:rsidR="00D72F49" w:rsidRPr="00100267" w14:paraId="01415321" w14:textId="77777777" w:rsidTr="00796BDB">
        <w:trPr>
          <w:cantSplit/>
        </w:trPr>
        <w:tc>
          <w:tcPr>
            <w:tcW w:w="9214" w:type="dxa"/>
            <w:gridSpan w:val="2"/>
            <w:tcMar>
              <w:left w:w="0" w:type="dxa"/>
            </w:tcMar>
          </w:tcPr>
          <w:p w14:paraId="36AF61A2" w14:textId="3C8BF907" w:rsidR="00D72F49" w:rsidRPr="00100267" w:rsidRDefault="001A686C" w:rsidP="00926769">
            <w:pPr>
              <w:pStyle w:val="Source"/>
              <w:framePr w:hSpace="0" w:wrap="auto" w:vAnchor="margin" w:hAnchor="text" w:xAlign="left" w:yAlign="inline"/>
            </w:pPr>
            <w:r w:rsidRPr="00926769">
              <w:t>Rapport</w:t>
            </w:r>
            <w:r w:rsidRPr="00100267">
              <w:t xml:space="preserve"> de la</w:t>
            </w:r>
            <w:r w:rsidR="005F13B2">
              <w:t xml:space="preserve"> Secrétaire générale</w:t>
            </w:r>
          </w:p>
        </w:tc>
      </w:tr>
      <w:tr w:rsidR="00D72F49" w:rsidRPr="00100267" w14:paraId="33997744" w14:textId="77777777" w:rsidTr="00926769">
        <w:trPr>
          <w:cantSplit/>
        </w:trPr>
        <w:tc>
          <w:tcPr>
            <w:tcW w:w="9214" w:type="dxa"/>
            <w:gridSpan w:val="2"/>
            <w:tcBorders>
              <w:bottom w:val="single" w:sz="4" w:space="0" w:color="auto"/>
            </w:tcBorders>
            <w:tcMar>
              <w:left w:w="0" w:type="dxa"/>
            </w:tcMar>
          </w:tcPr>
          <w:p w14:paraId="421ED335" w14:textId="3559F68A" w:rsidR="00D72F49" w:rsidRPr="00100267" w:rsidRDefault="00D64DA9" w:rsidP="00796BDB">
            <w:pPr>
              <w:pStyle w:val="Subtitle"/>
              <w:framePr w:hSpace="0" w:wrap="auto" w:hAnchor="text" w:xAlign="left" w:yAlign="inline"/>
              <w:rPr>
                <w:sz w:val="32"/>
                <w:szCs w:val="32"/>
                <w:lang w:val="fr-FR"/>
              </w:rPr>
            </w:pPr>
            <w:r>
              <w:rPr>
                <w:color w:val="000000"/>
                <w:lang w:val="fr-FR"/>
              </w:rPr>
              <w:t>MODIFICATIONS DES CONDITIONS D'EMPLOI DANS LE CADRE DU RÉGIME COMMUN DES NATIONS UNIES</w:t>
            </w:r>
          </w:p>
        </w:tc>
      </w:tr>
      <w:tr w:rsidR="00D72F49" w:rsidRPr="00100267" w14:paraId="53FADF13" w14:textId="77777777" w:rsidTr="00926769">
        <w:trPr>
          <w:cantSplit/>
        </w:trPr>
        <w:tc>
          <w:tcPr>
            <w:tcW w:w="9214" w:type="dxa"/>
            <w:gridSpan w:val="2"/>
            <w:tcBorders>
              <w:top w:val="single" w:sz="4" w:space="0" w:color="auto"/>
              <w:bottom w:val="single" w:sz="4" w:space="0" w:color="auto"/>
            </w:tcBorders>
            <w:tcMar>
              <w:left w:w="0" w:type="dxa"/>
            </w:tcMar>
          </w:tcPr>
          <w:p w14:paraId="218136EF" w14:textId="77777777" w:rsidR="00D72F49" w:rsidRPr="00100267" w:rsidRDefault="00F37FE5" w:rsidP="00796BDB">
            <w:pPr>
              <w:spacing w:before="160"/>
              <w:rPr>
                <w:b/>
                <w:bCs/>
                <w:sz w:val="26"/>
                <w:szCs w:val="26"/>
              </w:rPr>
            </w:pPr>
            <w:r w:rsidRPr="00100267">
              <w:rPr>
                <w:b/>
                <w:bCs/>
                <w:sz w:val="26"/>
                <w:szCs w:val="26"/>
              </w:rPr>
              <w:t>Objet</w:t>
            </w:r>
          </w:p>
          <w:p w14:paraId="441FB8EF" w14:textId="4A1DFC1D" w:rsidR="005F13B2" w:rsidRDefault="005F13B2" w:rsidP="00D64DA9">
            <w:pPr>
              <w:jc w:val="both"/>
            </w:pPr>
            <w:r>
              <w:rPr>
                <w:color w:val="000000"/>
              </w:rPr>
              <w:t>Le présent rapport rend compte des décisions prises par l'Assemblée générale des Nations</w:t>
            </w:r>
            <w:r w:rsidR="0048039F">
              <w:rPr>
                <w:color w:val="000000"/>
              </w:rPr>
              <w:t> </w:t>
            </w:r>
            <w:r>
              <w:rPr>
                <w:color w:val="000000"/>
              </w:rPr>
              <w:t>Unies à sa 80</w:t>
            </w:r>
            <w:r w:rsidRPr="00946EBA">
              <w:rPr>
                <w:color w:val="000000"/>
              </w:rPr>
              <w:t>ème</w:t>
            </w:r>
            <w:r w:rsidR="00946EBA">
              <w:rPr>
                <w:color w:val="000000"/>
              </w:rPr>
              <w:t xml:space="preserve"> </w:t>
            </w:r>
            <w:r>
              <w:rPr>
                <w:color w:val="000000"/>
              </w:rPr>
              <w:t>session (2025) concernant les modifications apportées aux conditions d'emploi conformément aux obligations de l'UIT dans le cadre du régime commun des Nations Unies</w:t>
            </w:r>
            <w:r w:rsidR="001A686C" w:rsidRPr="00100267">
              <w:t>.</w:t>
            </w:r>
          </w:p>
          <w:p w14:paraId="7BCBFC44" w14:textId="70F830E0" w:rsidR="001A686C" w:rsidRPr="0000652B" w:rsidRDefault="005F13B2" w:rsidP="0000652B">
            <w:pPr>
              <w:spacing w:before="160"/>
              <w:rPr>
                <w:b/>
                <w:bCs/>
                <w:sz w:val="26"/>
                <w:szCs w:val="26"/>
              </w:rPr>
            </w:pPr>
            <w:proofErr w:type="gramStart"/>
            <w:r w:rsidRPr="0000652B">
              <w:rPr>
                <w:b/>
                <w:bCs/>
                <w:sz w:val="26"/>
                <w:szCs w:val="26"/>
              </w:rPr>
              <w:t>Suite à</w:t>
            </w:r>
            <w:proofErr w:type="gramEnd"/>
            <w:r w:rsidRPr="0000652B">
              <w:rPr>
                <w:b/>
                <w:bCs/>
                <w:sz w:val="26"/>
                <w:szCs w:val="26"/>
              </w:rPr>
              <w:t xml:space="preserve"> donner par le Conseil</w:t>
            </w:r>
            <w:hyperlink r:id="rId8" w:history="1"/>
            <w:hyperlink r:id="rId9" w:history="1"/>
          </w:p>
          <w:p w14:paraId="5B99B137" w14:textId="66EB34E9" w:rsidR="001A686C" w:rsidRPr="00100267" w:rsidRDefault="005F13B2" w:rsidP="00D64DA9">
            <w:pPr>
              <w:jc w:val="both"/>
            </w:pPr>
            <w:r w:rsidRPr="005F13B2">
              <w:t xml:space="preserve">Le Conseil est invité à </w:t>
            </w:r>
            <w:r w:rsidRPr="00785329">
              <w:rPr>
                <w:b/>
                <w:bCs/>
              </w:rPr>
              <w:t>prendre note</w:t>
            </w:r>
            <w:r w:rsidRPr="005F13B2">
              <w:t xml:space="preserve"> de la mise en œuvre par la Secrétaire générale des décisions prises par l'Assemblée générale des Nations Unies concernant les modifications apportées aux conditions d'emploi des fonctionnaires nommés conformément aux Statut et Règlement du personnel de l'UIT. Ces modifications obéissent aux procédures établies par la Commission de la fonction publique internationale (</w:t>
            </w:r>
            <w:proofErr w:type="spellStart"/>
            <w:r w:rsidRPr="005F13B2">
              <w:t>CFPI</w:t>
            </w:r>
            <w:proofErr w:type="spellEnd"/>
            <w:r w:rsidRPr="005F13B2">
              <w:t>) telles qu'approuvées par l'Assemblée générale des Nations Unies, conformément à la Résolution 647 du Conseil (C</w:t>
            </w:r>
            <w:r w:rsidR="0048039F">
              <w:noBreakHyphen/>
            </w:r>
            <w:r w:rsidRPr="005F13B2">
              <w:t xml:space="preserve">1969, dernière mod. </w:t>
            </w:r>
            <w:proofErr w:type="spellStart"/>
            <w:r w:rsidRPr="005F13B2">
              <w:t>C03</w:t>
            </w:r>
            <w:proofErr w:type="spellEnd"/>
            <w:r w:rsidRPr="005F13B2">
              <w:t>)</w:t>
            </w:r>
            <w:r w:rsidR="001A686C" w:rsidRPr="00100267">
              <w:t>.</w:t>
            </w:r>
          </w:p>
          <w:p w14:paraId="75253062" w14:textId="36730975" w:rsidR="00D72F49" w:rsidRPr="00100267" w:rsidRDefault="005F13B2" w:rsidP="00D64DA9">
            <w:pPr>
              <w:jc w:val="both"/>
            </w:pPr>
            <w:r w:rsidRPr="005F13B2">
              <w:t xml:space="preserve">Conformément à la Résolution 46 (Kyoto, 1994) de la Conférence de plénipotentiaires, le Conseil est invité à </w:t>
            </w:r>
            <w:r w:rsidRPr="00785329">
              <w:rPr>
                <w:b/>
                <w:bCs/>
              </w:rPr>
              <w:t xml:space="preserve">approuver </w:t>
            </w:r>
            <w:r w:rsidRPr="005F13B2">
              <w:t xml:space="preserve">le barème des traitements et la rémunération considérée aux fins de la pension applicable aux fonctionnaires élus tels qu'ils figurent dans le projet de Résolution reproduit en </w:t>
            </w:r>
            <w:hyperlink w:anchor="Annex" w:history="1">
              <w:r w:rsidR="009E6023">
                <w:rPr>
                  <w:rStyle w:val="Hyperlink"/>
                </w:rPr>
                <w:t>annexe</w:t>
              </w:r>
            </w:hyperlink>
            <w:r w:rsidR="001A686C" w:rsidRPr="00100267">
              <w:t>.</w:t>
            </w:r>
          </w:p>
          <w:p w14:paraId="2EBE1D55" w14:textId="132436AD" w:rsidR="00D72F49" w:rsidRPr="00100267" w:rsidRDefault="005F13B2" w:rsidP="005F13B2">
            <w:pPr>
              <w:spacing w:before="160"/>
              <w:rPr>
                <w:b/>
                <w:bCs/>
                <w:sz w:val="26"/>
                <w:szCs w:val="26"/>
              </w:rPr>
            </w:pPr>
            <w:r w:rsidRPr="005F13B2">
              <w:rPr>
                <w:b/>
                <w:bCs/>
                <w:sz w:val="26"/>
                <w:szCs w:val="26"/>
              </w:rPr>
              <w:t>Lien pertinent avec le plan stratégique</w:t>
            </w:r>
          </w:p>
          <w:p w14:paraId="4E7817ED" w14:textId="7FF45906" w:rsidR="00D72F49" w:rsidRPr="00100267" w:rsidRDefault="005F13B2" w:rsidP="00796BDB">
            <w:r w:rsidRPr="005F13B2">
              <w:t>Excellence en matière de ressources humaines et d'innovation institutionnelle</w:t>
            </w:r>
            <w:r w:rsidR="001A686C" w:rsidRPr="00100267">
              <w:t>.</w:t>
            </w:r>
          </w:p>
          <w:p w14:paraId="703AB4F6" w14:textId="260C22E2" w:rsidR="00D72F49" w:rsidRDefault="005F13B2" w:rsidP="005F13B2">
            <w:pPr>
              <w:spacing w:before="160"/>
              <w:rPr>
                <w:b/>
                <w:bCs/>
                <w:sz w:val="26"/>
                <w:szCs w:val="26"/>
              </w:rPr>
            </w:pPr>
            <w:r w:rsidRPr="005F13B2">
              <w:rPr>
                <w:b/>
                <w:bCs/>
                <w:sz w:val="26"/>
                <w:szCs w:val="26"/>
              </w:rPr>
              <w:t>Incidences financières</w:t>
            </w:r>
          </w:p>
          <w:p w14:paraId="3AA304AE" w14:textId="15894517" w:rsidR="00785329" w:rsidRPr="005F13B2" w:rsidRDefault="00785329" w:rsidP="00D64DA9">
            <w:pPr>
              <w:spacing w:before="160"/>
              <w:jc w:val="both"/>
              <w:rPr>
                <w:b/>
                <w:bCs/>
                <w:sz w:val="26"/>
                <w:szCs w:val="26"/>
              </w:rPr>
            </w:pPr>
            <w:r>
              <w:rPr>
                <w:color w:val="000000"/>
              </w:rPr>
              <w:t>Le coût total de la mise en œuvre des décisions de l'Assemblée générale des Nations Unies s'élève à 459 000</w:t>
            </w:r>
            <w:r w:rsidR="00794A45">
              <w:rPr>
                <w:color w:val="000000"/>
              </w:rPr>
              <w:t xml:space="preserve"> </w:t>
            </w:r>
            <w:r>
              <w:rPr>
                <w:color w:val="000000"/>
              </w:rPr>
              <w:t>CHF pour l'année</w:t>
            </w:r>
            <w:r w:rsidR="005E6964">
              <w:rPr>
                <w:color w:val="000000"/>
              </w:rPr>
              <w:t xml:space="preserve"> </w:t>
            </w:r>
            <w:r>
              <w:rPr>
                <w:color w:val="000000"/>
              </w:rPr>
              <w:t>2026.</w:t>
            </w:r>
          </w:p>
          <w:p w14:paraId="45989A7A" w14:textId="0FF611A5" w:rsidR="005F13B2" w:rsidRPr="00785329" w:rsidRDefault="005F13B2" w:rsidP="00785329">
            <w:r w:rsidRPr="00DD7ED7">
              <w:rPr>
                <w:color w:val="000000"/>
              </w:rPr>
              <w:t>_______________</w:t>
            </w:r>
          </w:p>
          <w:p w14:paraId="11C9C419" w14:textId="77777777" w:rsidR="00794A45" w:rsidRPr="00100267" w:rsidRDefault="00794A45" w:rsidP="00794A45">
            <w:pPr>
              <w:keepNext/>
              <w:keepLines/>
              <w:spacing w:before="160"/>
              <w:rPr>
                <w:b/>
                <w:bCs/>
                <w:sz w:val="26"/>
                <w:szCs w:val="26"/>
              </w:rPr>
            </w:pPr>
            <w:r w:rsidRPr="00100267">
              <w:rPr>
                <w:b/>
                <w:bCs/>
                <w:sz w:val="26"/>
                <w:szCs w:val="26"/>
              </w:rPr>
              <w:t>Références</w:t>
            </w:r>
          </w:p>
          <w:p w14:paraId="37D726DE" w14:textId="3BA2940E" w:rsidR="00D72F49" w:rsidRPr="00926769" w:rsidRDefault="00794A45" w:rsidP="00794A45">
            <w:pPr>
              <w:spacing w:after="120"/>
              <w:rPr>
                <w:sz w:val="22"/>
                <w:szCs w:val="22"/>
              </w:rPr>
            </w:pPr>
            <w:r w:rsidRPr="00926769">
              <w:rPr>
                <w:i/>
                <w:iCs/>
                <w:color w:val="000000"/>
                <w:sz w:val="22"/>
                <w:szCs w:val="22"/>
              </w:rPr>
              <w:t>Résolution </w:t>
            </w:r>
            <w:hyperlink r:id="rId10" w:history="1">
              <w:r w:rsidRPr="00926769">
                <w:rPr>
                  <w:rStyle w:val="Hyperlink"/>
                  <w:i/>
                  <w:iCs/>
                  <w:sz w:val="22"/>
                </w:rPr>
                <w:t>46</w:t>
              </w:r>
            </w:hyperlink>
            <w:r w:rsidRPr="00926769">
              <w:rPr>
                <w:i/>
                <w:iCs/>
                <w:color w:val="000000"/>
                <w:sz w:val="22"/>
                <w:szCs w:val="22"/>
              </w:rPr>
              <w:t xml:space="preserve"> (Kyoto, 1994) de la Conférence de </w:t>
            </w:r>
            <w:proofErr w:type="gramStart"/>
            <w:r w:rsidRPr="00926769">
              <w:rPr>
                <w:i/>
                <w:iCs/>
                <w:color w:val="000000"/>
                <w:sz w:val="22"/>
                <w:szCs w:val="22"/>
              </w:rPr>
              <w:t>plénipotentiaires;</w:t>
            </w:r>
            <w:proofErr w:type="gramEnd"/>
            <w:r w:rsidRPr="00926769">
              <w:rPr>
                <w:color w:val="000000"/>
                <w:sz w:val="22"/>
                <w:szCs w:val="22"/>
              </w:rPr>
              <w:t xml:space="preserve"> </w:t>
            </w:r>
            <w:r w:rsidRPr="00926769">
              <w:rPr>
                <w:i/>
                <w:iCs/>
                <w:color w:val="000000"/>
                <w:sz w:val="22"/>
                <w:szCs w:val="22"/>
              </w:rPr>
              <w:t>Résolution </w:t>
            </w:r>
            <w:hyperlink r:id="rId11" w:history="1">
              <w:r w:rsidRPr="00926769">
                <w:rPr>
                  <w:rStyle w:val="Hyperlink"/>
                  <w:i/>
                  <w:iCs/>
                  <w:sz w:val="22"/>
                </w:rPr>
                <w:t>647</w:t>
              </w:r>
            </w:hyperlink>
            <w:r w:rsidRPr="00926769">
              <w:rPr>
                <w:i/>
                <w:iCs/>
                <w:color w:val="000000"/>
                <w:sz w:val="22"/>
                <w:szCs w:val="22"/>
              </w:rPr>
              <w:t xml:space="preserve"> du Conseil (C</w:t>
            </w:r>
            <w:r w:rsidRPr="00926769">
              <w:rPr>
                <w:i/>
                <w:iCs/>
                <w:color w:val="000000"/>
                <w:sz w:val="22"/>
                <w:szCs w:val="22"/>
              </w:rPr>
              <w:noBreakHyphen/>
              <w:t xml:space="preserve">1969, dernière mod. </w:t>
            </w:r>
            <w:proofErr w:type="spellStart"/>
            <w:r w:rsidRPr="00926769">
              <w:rPr>
                <w:i/>
                <w:iCs/>
                <w:color w:val="000000"/>
                <w:sz w:val="22"/>
                <w:szCs w:val="22"/>
              </w:rPr>
              <w:t>C03</w:t>
            </w:r>
            <w:proofErr w:type="spellEnd"/>
            <w:r w:rsidRPr="00926769">
              <w:rPr>
                <w:i/>
                <w:iCs/>
                <w:color w:val="000000"/>
                <w:sz w:val="22"/>
                <w:szCs w:val="22"/>
              </w:rPr>
              <w:t>)</w:t>
            </w:r>
          </w:p>
        </w:tc>
      </w:tr>
    </w:tbl>
    <w:p w14:paraId="18894E45" w14:textId="23C1D0D9" w:rsidR="001A686C" w:rsidRPr="00100267" w:rsidRDefault="00BC2B80" w:rsidP="004C65B9">
      <w:pPr>
        <w:pStyle w:val="Heading1"/>
        <w:rPr>
          <w:rFonts w:cs="Calibri"/>
        </w:rPr>
      </w:pPr>
      <w:r w:rsidRPr="00100267">
        <w:lastRenderedPageBreak/>
        <w:t>I</w:t>
      </w:r>
      <w:r w:rsidR="00503084" w:rsidRPr="00100267">
        <w:tab/>
      </w:r>
      <w:r w:rsidR="00785329" w:rsidRPr="00785329">
        <w:t xml:space="preserve">Conditions </w:t>
      </w:r>
      <w:r w:rsidR="00785329" w:rsidRPr="004C65B9">
        <w:t>d'emploi</w:t>
      </w:r>
      <w:r w:rsidR="00785329" w:rsidRPr="00785329">
        <w:t xml:space="preserve"> des fonctionnaires nommés</w:t>
      </w:r>
    </w:p>
    <w:p w14:paraId="6A74D446" w14:textId="77777777" w:rsidR="00785329" w:rsidRPr="005E6964" w:rsidRDefault="00785329" w:rsidP="000F2A03">
      <w:pPr>
        <w:pStyle w:val="Headingb"/>
      </w:pPr>
      <w:r w:rsidRPr="005E6964">
        <w:t>A</w:t>
      </w:r>
      <w:r w:rsidRPr="005E6964">
        <w:tab/>
        <w:t>Fonctionnaires des catégories professionnelle et supérieure</w:t>
      </w:r>
    </w:p>
    <w:p w14:paraId="1F007499" w14:textId="77777777" w:rsidR="00785329" w:rsidRDefault="00785329" w:rsidP="00D64DA9">
      <w:pPr>
        <w:jc w:val="both"/>
      </w:pPr>
      <w:r>
        <w:t>1</w:t>
      </w:r>
      <w:r>
        <w:tab/>
        <w:t>Sur la base des recommandations formulées par la Commission de la fonction publique internationale (</w:t>
      </w:r>
      <w:proofErr w:type="spellStart"/>
      <w:r>
        <w:t>CFPI</w:t>
      </w:r>
      <w:proofErr w:type="spellEnd"/>
      <w:r>
        <w:t>) pour l'année 2025, l'Assemblée générale des Nations Unies a adopté, dans sa Résolution A/RES/80/236 du 30 décembre 2025, des décisions relatives aux conditions d'emploi des fonctionnaires des catégories professionnelle et supérieure.</w:t>
      </w:r>
    </w:p>
    <w:p w14:paraId="6F85CC06" w14:textId="77777777" w:rsidR="00785329" w:rsidRPr="000F2A03" w:rsidRDefault="00785329" w:rsidP="000F2A03">
      <w:pPr>
        <w:pStyle w:val="Headingb"/>
      </w:pPr>
      <w:r w:rsidRPr="000F2A03">
        <w:t>Barème des traitements de base minima</w:t>
      </w:r>
    </w:p>
    <w:p w14:paraId="7AF0F617" w14:textId="425F38D2" w:rsidR="00785329" w:rsidRDefault="00785329" w:rsidP="00D64DA9">
      <w:pPr>
        <w:jc w:val="both"/>
      </w:pPr>
      <w:r>
        <w:t>2</w:t>
      </w:r>
      <w:r>
        <w:tab/>
      </w:r>
      <w:r w:rsidR="004C65B9">
        <w:t>Le barème des traitements de base minima</w:t>
      </w:r>
      <w:r w:rsidR="004C65B9" w:rsidRPr="00B064A8">
        <w:rPr>
          <w:rStyle w:val="FootnoteReference"/>
          <w:szCs w:val="24"/>
        </w:rPr>
        <w:footnoteReference w:id="1"/>
      </w:r>
      <w:r w:rsidR="004C65B9">
        <w:t xml:space="preserve"> a été ajusté de 1,6%, avec effet au</w:t>
      </w:r>
      <w:r w:rsidR="00794A45">
        <w:t> </w:t>
      </w:r>
      <w:r w:rsidR="004C65B9">
        <w:t>1</w:t>
      </w:r>
      <w:r w:rsidR="004C65B9" w:rsidRPr="00794A45">
        <w:t>er</w:t>
      </w:r>
      <w:r w:rsidR="004C65B9">
        <w:t> janvier 2026</w:t>
      </w:r>
      <w:r>
        <w:t>.</w:t>
      </w:r>
    </w:p>
    <w:p w14:paraId="091DD090" w14:textId="6B77AAA8" w:rsidR="00785329" w:rsidRDefault="00785329" w:rsidP="00D64DA9">
      <w:pPr>
        <w:jc w:val="both"/>
      </w:pPr>
      <w:r>
        <w:t>3</w:t>
      </w:r>
      <w:r>
        <w:tab/>
      </w:r>
      <w:r w:rsidR="004C65B9">
        <w:t>Le barème révisé des traitements de base minima, tel qu'approuvé par l'Assemblée générale des Nations Unies</w:t>
      </w:r>
      <w:r w:rsidR="004C65B9" w:rsidRPr="00B064A8">
        <w:rPr>
          <w:rStyle w:val="FootnoteReference"/>
          <w:szCs w:val="24"/>
        </w:rPr>
        <w:footnoteReference w:id="2"/>
      </w:r>
      <w:r w:rsidR="004C65B9">
        <w:t xml:space="preserve">, sur la base du rapport de la </w:t>
      </w:r>
      <w:proofErr w:type="spellStart"/>
      <w:r w:rsidR="004C65B9">
        <w:t>CFPI</w:t>
      </w:r>
      <w:proofErr w:type="spellEnd"/>
      <w:r w:rsidR="004C65B9">
        <w:t xml:space="preserve"> pour 2025</w:t>
      </w:r>
      <w:r w:rsidR="004C65B9" w:rsidRPr="00B064A8">
        <w:rPr>
          <w:rStyle w:val="FootnoteReference"/>
          <w:szCs w:val="24"/>
        </w:rPr>
        <w:footnoteReference w:id="3"/>
      </w:r>
      <w:r w:rsidR="004C65B9">
        <w:t>, a été mis en œuvre sur la base du principe "pas de perte, pas de gain". En conséquence, les multiplicateurs utilisés aux fins de l'ajustement de poste de l'ensemble des lieux d'affectation ont été diminués de 1,6%. Alors que le traitement de base a augmenté de</w:t>
      </w:r>
      <w:r w:rsidR="00946EBA">
        <w:t> </w:t>
      </w:r>
      <w:r w:rsidR="004C65B9">
        <w:t>1,6%, la part constituée par l'ajustement de poste a été diminuée du même pourcentage, et la rémunération globale (traitement de base plus ajustement de poste) en monnaie locale reste inchangée, à l'exception de quelques modifications mineures dues aux arrondis. Il n'en résulte aucune modification des traitements nets des fonctionnaires ni aucun coût supplémentaire pour l'organisation</w:t>
      </w:r>
      <w:r>
        <w:t>.</w:t>
      </w:r>
    </w:p>
    <w:p w14:paraId="63C3FFE4" w14:textId="3272BB0E" w:rsidR="001A686C" w:rsidRPr="000F2A03" w:rsidRDefault="00785329" w:rsidP="00794A45">
      <w:pPr>
        <w:pStyle w:val="Headingb"/>
        <w:spacing w:before="120"/>
      </w:pPr>
      <w:r w:rsidRPr="000F2A03">
        <w:t>Rémunération considérée aux fins de la pension</w:t>
      </w:r>
    </w:p>
    <w:p w14:paraId="6DC145B7" w14:textId="25C6E44A" w:rsidR="00785329" w:rsidRPr="00412F27" w:rsidRDefault="00785329" w:rsidP="00D64DA9">
      <w:pPr>
        <w:jc w:val="both"/>
      </w:pPr>
      <w:r w:rsidRPr="00412F27">
        <w:t>4</w:t>
      </w:r>
      <w:r w:rsidRPr="00412F27">
        <w:tab/>
      </w:r>
      <w:r w:rsidR="004C65B9">
        <w:t>À compter du 1</w:t>
      </w:r>
      <w:r w:rsidR="004C65B9" w:rsidRPr="00794A45">
        <w:t>er</w:t>
      </w:r>
      <w:r w:rsidR="004C65B9">
        <w:t> février 2026, le classement de l'indice d'indemnité de poste à New</w:t>
      </w:r>
      <w:r w:rsidR="00DD358A">
        <w:t> </w:t>
      </w:r>
      <w:r w:rsidR="004C65B9">
        <w:t>York est passé du multiplicateur</w:t>
      </w:r>
      <w:r w:rsidR="00794A45">
        <w:t xml:space="preserve"> </w:t>
      </w:r>
      <w:r w:rsidR="004C65B9">
        <w:t>72,7 au multiplicateur</w:t>
      </w:r>
      <w:r w:rsidR="00794A45">
        <w:t xml:space="preserve"> </w:t>
      </w:r>
      <w:r w:rsidR="004C65B9">
        <w:t>75,6, entraînant une augmentation de la rémunération nette des fonctionnaires des catégories professionnelle et supérieure à New York, selon un ratio de 175,6/172,7. Conformément à l'Article 51(b) des Statuts de la Caisse commune des pensions du personnel des Nations Unies</w:t>
      </w:r>
      <w:r w:rsidR="004C65B9" w:rsidRPr="002969AC">
        <w:rPr>
          <w:rStyle w:val="FootnoteReference"/>
          <w:szCs w:val="24"/>
        </w:rPr>
        <w:footnoteReference w:id="4"/>
      </w:r>
      <w:r w:rsidR="004C65B9">
        <w:t>, le barème de la rémunération considérée aux fins de la pension applicable à l'ensemble des fonctionnaires des catégories professionnelle et supérieure a été ajusté à la même date, selon le même pourcentage</w:t>
      </w:r>
      <w:r w:rsidRPr="00412F27">
        <w:t>.</w:t>
      </w:r>
    </w:p>
    <w:p w14:paraId="2A9C6602" w14:textId="77C9A219" w:rsidR="00785329" w:rsidRPr="00412F27" w:rsidRDefault="00785329" w:rsidP="00D64DA9">
      <w:pPr>
        <w:jc w:val="both"/>
      </w:pPr>
      <w:r w:rsidRPr="00412F27">
        <w:lastRenderedPageBreak/>
        <w:t>5</w:t>
      </w:r>
      <w:r w:rsidRPr="00412F27">
        <w:tab/>
        <w:t>En conséquence, le barème de la rémunération considérée aux fins de la pension applicable aux catégories professionnelle et supérieure, en vigueur depuis le</w:t>
      </w:r>
      <w:r w:rsidR="005E26DA">
        <w:t> </w:t>
      </w:r>
      <w:r w:rsidRPr="00412F27">
        <w:t>1</w:t>
      </w:r>
      <w:r w:rsidRPr="005E26DA">
        <w:t>er</w:t>
      </w:r>
      <w:r w:rsidR="00DD358A">
        <w:t> </w:t>
      </w:r>
      <w:r w:rsidRPr="00412F27">
        <w:t>février</w:t>
      </w:r>
      <w:r w:rsidR="00DD358A">
        <w:t> </w:t>
      </w:r>
      <w:r w:rsidRPr="00412F27">
        <w:t>2025, a été ajusté à la hausse de 1,0167% conformément aux dispositions</w:t>
      </w:r>
      <w:r w:rsidR="005E26DA">
        <w:t> </w:t>
      </w:r>
      <w:r w:rsidRPr="00412F27">
        <w:t>susmentionnées, avec effet au 1er février 2026.</w:t>
      </w:r>
    </w:p>
    <w:p w14:paraId="4D021D30" w14:textId="77777777" w:rsidR="00785329" w:rsidRPr="000F2A03" w:rsidRDefault="00785329" w:rsidP="000F2A03">
      <w:pPr>
        <w:pStyle w:val="Headingb"/>
      </w:pPr>
      <w:r w:rsidRPr="000F2A03">
        <w:t>B</w:t>
      </w:r>
      <w:r w:rsidRPr="000F2A03">
        <w:tab/>
        <w:t>Fonctionnaires de la catégorie des services généraux</w:t>
      </w:r>
    </w:p>
    <w:p w14:paraId="652698B2" w14:textId="71ACA21B" w:rsidR="00785329" w:rsidRPr="00412F27" w:rsidRDefault="00785329" w:rsidP="00D64DA9">
      <w:pPr>
        <w:jc w:val="both"/>
      </w:pPr>
      <w:r w:rsidRPr="00412F27">
        <w:t>7</w:t>
      </w:r>
      <w:r w:rsidRPr="00412F27">
        <w:tab/>
      </w:r>
      <w:r w:rsidR="004C65B9">
        <w:t xml:space="preserve">La méthode appliquée par la </w:t>
      </w:r>
      <w:proofErr w:type="spellStart"/>
      <w:r w:rsidR="004C65B9">
        <w:t>CFPI</w:t>
      </w:r>
      <w:proofErr w:type="spellEnd"/>
      <w:r w:rsidR="004C65B9">
        <w:t xml:space="preserve"> pour déterminer les ajustements intérimaires du barème des traitements des fonctionnaires de la catégorie des services généraux en poste à</w:t>
      </w:r>
      <w:r w:rsidR="005E26DA">
        <w:t> </w:t>
      </w:r>
      <w:r w:rsidR="004C65B9">
        <w:t>Genève exige une modification des traitements nets des fonctionnaires de cette catégorie, chaque fois que l'indice des prix à la consommation (</w:t>
      </w:r>
      <w:proofErr w:type="spellStart"/>
      <w:r w:rsidR="004C65B9">
        <w:t>IPC</w:t>
      </w:r>
      <w:proofErr w:type="spellEnd"/>
      <w:r w:rsidR="004C65B9">
        <w:t>) à Genève subit une modification de plus de 5% par rapport à l'indice utilisé à l'occasion de l'ajustement précédent, ou tous les</w:t>
      </w:r>
      <w:r w:rsidR="005E26DA">
        <w:t> </w:t>
      </w:r>
      <w:r w:rsidR="004C65B9">
        <w:t>12 mois, quelle que soit la raison qui intervient en premier</w:t>
      </w:r>
      <w:r w:rsidR="004C65B9" w:rsidRPr="0077550A">
        <w:rPr>
          <w:rStyle w:val="FootnoteReference"/>
          <w:spacing w:val="-2"/>
          <w:szCs w:val="24"/>
          <w:lang w:eastAsia="zh-CN"/>
        </w:rPr>
        <w:footnoteReference w:id="5"/>
      </w:r>
      <w:r w:rsidR="004C65B9">
        <w:t>.</w:t>
      </w:r>
    </w:p>
    <w:p w14:paraId="14BCD1D6" w14:textId="3BE6F1D7" w:rsidR="00785329" w:rsidRPr="00412F27" w:rsidRDefault="00785329" w:rsidP="00D64DA9">
      <w:pPr>
        <w:jc w:val="both"/>
      </w:pPr>
      <w:r w:rsidRPr="00412F27">
        <w:t>8</w:t>
      </w:r>
      <w:r w:rsidRPr="00412F27">
        <w:tab/>
        <w:t>L'évolution de l'</w:t>
      </w:r>
      <w:proofErr w:type="spellStart"/>
      <w:r w:rsidRPr="00412F27">
        <w:t>IPC</w:t>
      </w:r>
      <w:proofErr w:type="spellEnd"/>
      <w:r w:rsidRPr="00412F27">
        <w:t xml:space="preserve"> à Genève pendant la période allant de septembre 2024 à septembre 2025 correspond à une augmentation nette des barèmes des traitements qui s'élève à 0,3%. Par conséquent, en application de la procédure susmentionnée, les traitements nets des fonctionnaires de la catégorie des services généraux à Genève ont été ajustés à la hausse de 0,3%, avec effet au 1er septembre 2025.</w:t>
      </w:r>
    </w:p>
    <w:p w14:paraId="2ACACB2C" w14:textId="77777777" w:rsidR="00785329" w:rsidRPr="000F2A03" w:rsidRDefault="00785329" w:rsidP="005E26DA">
      <w:pPr>
        <w:pStyle w:val="Heading1"/>
      </w:pPr>
      <w:r w:rsidRPr="000F2A03">
        <w:t>II</w:t>
      </w:r>
      <w:r w:rsidRPr="000F2A03">
        <w:tab/>
        <w:t>Conditions d'emploi des fonctionnaires élus</w:t>
      </w:r>
    </w:p>
    <w:p w14:paraId="40E114F3" w14:textId="25D889BE" w:rsidR="00785329" w:rsidRPr="00412F27" w:rsidRDefault="00785329" w:rsidP="00D64DA9">
      <w:pPr>
        <w:jc w:val="both"/>
      </w:pPr>
      <w:r w:rsidRPr="00412F27">
        <w:t>9</w:t>
      </w:r>
      <w:r w:rsidRPr="00412F27">
        <w:tab/>
        <w:t>En application de la Résolution 46 (Kyoto, 1994) de la Conférence de plénipotentiaires, on calcule la rémunération des fonctionnaires élus en appliquant au traitement maximum d'un fonctionnaire nommé les pourcentages énoncés dans ladite Résolution. Il faut donc réviser la rémunération des fonctionnaires élus, compte tenu de l'augmentation du niveau de rémunération des fonctionnaires nommés qui a été approuvée par l'Assemblée générale des Nations Unies à sa dernière session. Conformément à la pratique établie, le barème révisé des traitements de base minima est mis en œuvre sur la base du principe "pas de perte, pas de gain", comme indiqué ci-dessus (voir les paragraphes 2 et 3).</w:t>
      </w:r>
    </w:p>
    <w:p w14:paraId="767EDFD3" w14:textId="58BCAFAB" w:rsidR="00785329" w:rsidRDefault="00785329" w:rsidP="00D64DA9">
      <w:pPr>
        <w:jc w:val="both"/>
      </w:pPr>
      <w:r w:rsidRPr="0048039F">
        <w:t>10</w:t>
      </w:r>
      <w:r w:rsidRPr="0048039F">
        <w:tab/>
        <w:t xml:space="preserve">Le barème de la rémunération considérée aux fins de la pension applicable aux fonctionnaires élus a également été ajusté à la hausse, </w:t>
      </w:r>
      <w:proofErr w:type="gramStart"/>
      <w:r w:rsidRPr="0048039F">
        <w:t>suite à</w:t>
      </w:r>
      <w:proofErr w:type="gramEnd"/>
      <w:r w:rsidRPr="0048039F">
        <w:t xml:space="preserve"> l'augmentation dudit barème applicable aux fonctionnaires nommés approuvée par l'Assemblée générale des Nations</w:t>
      </w:r>
      <w:r w:rsidR="00DD358A">
        <w:t> </w:t>
      </w:r>
      <w:r w:rsidRPr="0048039F">
        <w:t>Unies. Cet ajustement se traduit par une augmentation de la rémunération considérée aux fins de la pension selon le même pourcentage (1,0167%) que pour les fonctionnaires nommés, comme indiqué ci-dessus (voir les paragraphes 4 et 5).</w:t>
      </w:r>
    </w:p>
    <w:p w14:paraId="59AC1CD8" w14:textId="4ADC7C05" w:rsidR="005E26DA" w:rsidRDefault="00DD358A" w:rsidP="00D64DA9">
      <w:pPr>
        <w:spacing w:before="2400"/>
      </w:pPr>
      <w:proofErr w:type="gramStart"/>
      <w:r w:rsidRPr="005E26DA">
        <w:rPr>
          <w:b/>
          <w:bCs/>
        </w:rPr>
        <w:t>Annexe</w:t>
      </w:r>
      <w:r>
        <w:t>:</w:t>
      </w:r>
      <w:proofErr w:type="gramEnd"/>
      <w:r>
        <w:t xml:space="preserve"> 1</w:t>
      </w:r>
      <w:r w:rsidR="005E26DA">
        <w:br w:type="page"/>
      </w:r>
    </w:p>
    <w:p w14:paraId="47F700ED" w14:textId="77777777" w:rsidR="00785329" w:rsidRPr="0033148D" w:rsidRDefault="00785329" w:rsidP="00785329">
      <w:pPr>
        <w:pStyle w:val="AnnexNo"/>
      </w:pPr>
      <w:bookmarkStart w:id="0" w:name="Annex"/>
      <w:r>
        <w:lastRenderedPageBreak/>
        <w:t>ANNEXE</w:t>
      </w:r>
      <w:bookmarkEnd w:id="0"/>
    </w:p>
    <w:p w14:paraId="07E2CAC9" w14:textId="77777777" w:rsidR="00785329" w:rsidRPr="0033148D" w:rsidRDefault="00785329" w:rsidP="00785329">
      <w:pPr>
        <w:pStyle w:val="ResNo"/>
      </w:pPr>
      <w:r>
        <w:t>PROJET DE RÉSOLUTION […]</w:t>
      </w:r>
    </w:p>
    <w:p w14:paraId="086FF7A2" w14:textId="77777777" w:rsidR="00785329" w:rsidRPr="0033148D" w:rsidRDefault="00785329" w:rsidP="00785329">
      <w:pPr>
        <w:pStyle w:val="Restitle"/>
      </w:pPr>
      <w:r>
        <w:rPr>
          <w:bCs/>
        </w:rPr>
        <w:t>Conditions d'emploi des fonctionnaires élus de l'UIT</w:t>
      </w:r>
    </w:p>
    <w:p w14:paraId="377179A7" w14:textId="77777777" w:rsidR="00785329" w:rsidRPr="0033148D" w:rsidRDefault="00785329" w:rsidP="00785329">
      <w:pPr>
        <w:pStyle w:val="Normalaftertitle"/>
      </w:pPr>
      <w:r>
        <w:t>Le Conseil de l'UIT,</w:t>
      </w:r>
    </w:p>
    <w:p w14:paraId="1754D091" w14:textId="77777777" w:rsidR="00785329" w:rsidRPr="0033148D" w:rsidRDefault="00785329" w:rsidP="004C65B9">
      <w:pPr>
        <w:pStyle w:val="Call"/>
      </w:pPr>
      <w:proofErr w:type="gramStart"/>
      <w:r w:rsidRPr="004C65B9">
        <w:t>rappelant</w:t>
      </w:r>
      <w:proofErr w:type="gramEnd"/>
    </w:p>
    <w:p w14:paraId="2BD1F66F" w14:textId="5C439C85" w:rsidR="00785329" w:rsidRPr="0033148D" w:rsidRDefault="00785329" w:rsidP="00785329">
      <w:pPr>
        <w:jc w:val="both"/>
      </w:pPr>
      <w:proofErr w:type="gramStart"/>
      <w:r>
        <w:t>la</w:t>
      </w:r>
      <w:proofErr w:type="gramEnd"/>
      <w:r>
        <w:t xml:space="preserve"> Résolution</w:t>
      </w:r>
      <w:r w:rsidR="005E26DA">
        <w:t xml:space="preserve"> </w:t>
      </w:r>
      <w:r>
        <w:t>46 (Kyoto, 1994) de la Conférence de plénipotentiaires,</w:t>
      </w:r>
    </w:p>
    <w:p w14:paraId="30E7DD29" w14:textId="77777777" w:rsidR="00785329" w:rsidRPr="00363806" w:rsidRDefault="00785329" w:rsidP="004C65B9">
      <w:pPr>
        <w:pStyle w:val="Call"/>
      </w:pPr>
      <w:proofErr w:type="gramStart"/>
      <w:r w:rsidRPr="004C65B9">
        <w:t>ayant</w:t>
      </w:r>
      <w:proofErr w:type="gramEnd"/>
      <w:r>
        <w:rPr>
          <w:iCs/>
        </w:rPr>
        <w:t xml:space="preserve"> examiné</w:t>
      </w:r>
    </w:p>
    <w:p w14:paraId="4A1C49C2" w14:textId="321B8257" w:rsidR="00785329" w:rsidRPr="0033148D" w:rsidRDefault="00785329" w:rsidP="00785329">
      <w:pPr>
        <w:jc w:val="both"/>
      </w:pPr>
      <w:proofErr w:type="gramStart"/>
      <w:r>
        <w:t>le</w:t>
      </w:r>
      <w:proofErr w:type="gramEnd"/>
      <w:r>
        <w:t xml:space="preserve"> rapport du Secrétaire général sur les mesures prises dans le cadre du régime commun des Nations</w:t>
      </w:r>
      <w:r w:rsidR="00946EBA">
        <w:t> </w:t>
      </w:r>
      <w:r>
        <w:t>Unies à la suite de la Résolution 80/236 de l'Assemblée générale des Nations Unies relative aux conditions d'emploi,</w:t>
      </w:r>
    </w:p>
    <w:p w14:paraId="3A46657A" w14:textId="77777777" w:rsidR="00785329" w:rsidRPr="0033148D" w:rsidRDefault="00785329" w:rsidP="004C65B9">
      <w:pPr>
        <w:pStyle w:val="Call"/>
      </w:pPr>
      <w:proofErr w:type="gramStart"/>
      <w:r w:rsidRPr="004C65B9">
        <w:t>décide</w:t>
      </w:r>
      <w:proofErr w:type="gramEnd"/>
    </w:p>
    <w:p w14:paraId="39AFD688" w14:textId="69DB82A5" w:rsidR="00785329" w:rsidRDefault="00785329" w:rsidP="005E26DA">
      <w:pPr>
        <w:spacing w:after="120"/>
      </w:pPr>
      <w:proofErr w:type="gramStart"/>
      <w:r>
        <w:t>d'approuver</w:t>
      </w:r>
      <w:proofErr w:type="gramEnd"/>
      <w:r>
        <w:t xml:space="preserve"> les traitements et la rémunération considérée aux fins de la pension ci-après, avec effet respectivement au 1</w:t>
      </w:r>
      <w:r w:rsidRPr="005E26DA">
        <w:t>er</w:t>
      </w:r>
      <w:r>
        <w:t> janvier 2026 et au 1</w:t>
      </w:r>
      <w:r w:rsidRPr="005E26DA">
        <w:t>er</w:t>
      </w:r>
      <w:r>
        <w:t xml:space="preserve"> février 2026, pour les fonctionnaires élus de </w:t>
      </w:r>
      <w:proofErr w:type="gramStart"/>
      <w:r>
        <w:t>l'UIT:</w:t>
      </w:r>
      <w:proofErr w:type="gramEnd"/>
    </w:p>
    <w:tbl>
      <w:tblPr>
        <w:tblStyle w:val="TableGrid"/>
        <w:tblW w:w="0" w:type="auto"/>
        <w:tblLayout w:type="fixed"/>
        <w:tblCellMar>
          <w:left w:w="57" w:type="dxa"/>
          <w:right w:w="57" w:type="dxa"/>
        </w:tblCellMar>
        <w:tblLook w:val="04A0" w:firstRow="1" w:lastRow="0" w:firstColumn="1" w:lastColumn="0" w:noHBand="0" w:noVBand="1"/>
      </w:tblPr>
      <w:tblGrid>
        <w:gridCol w:w="2674"/>
        <w:gridCol w:w="2142"/>
        <w:gridCol w:w="2106"/>
        <w:gridCol w:w="2139"/>
      </w:tblGrid>
      <w:tr w:rsidR="00785329" w:rsidRPr="00B064A8" w14:paraId="272C3F89" w14:textId="77777777" w:rsidTr="00295913">
        <w:tc>
          <w:tcPr>
            <w:tcW w:w="2674" w:type="dxa"/>
            <w:tcBorders>
              <w:top w:val="nil"/>
              <w:left w:val="nil"/>
              <w:bottom w:val="nil"/>
              <w:right w:val="single" w:sz="4" w:space="0" w:color="auto"/>
            </w:tcBorders>
          </w:tcPr>
          <w:p w14:paraId="5C97F227" w14:textId="77777777" w:rsidR="00785329" w:rsidRPr="0033148D" w:rsidRDefault="00785329" w:rsidP="00295913">
            <w:pPr>
              <w:pStyle w:val="Tablehead"/>
              <w:rPr>
                <w:lang w:eastAsia="zh-CN"/>
              </w:rPr>
            </w:pPr>
            <w:bookmarkStart w:id="1" w:name="_Hlk226010439"/>
          </w:p>
        </w:tc>
        <w:tc>
          <w:tcPr>
            <w:tcW w:w="6387" w:type="dxa"/>
            <w:gridSpan w:val="3"/>
            <w:tcBorders>
              <w:left w:val="single" w:sz="4" w:space="0" w:color="auto"/>
            </w:tcBorders>
            <w:hideMark/>
          </w:tcPr>
          <w:p w14:paraId="4C31A24D" w14:textId="77777777" w:rsidR="00785329" w:rsidRPr="00B064A8" w:rsidRDefault="00785329" w:rsidP="00295913">
            <w:pPr>
              <w:pStyle w:val="Tablehead"/>
              <w:rPr>
                <w:rFonts w:asciiTheme="minorHAnsi" w:hAnsiTheme="minorHAnsi"/>
              </w:rPr>
            </w:pPr>
            <w:r>
              <w:rPr>
                <w:bCs/>
                <w:color w:val="000000"/>
              </w:rPr>
              <w:t>USD par an</w:t>
            </w:r>
          </w:p>
        </w:tc>
      </w:tr>
      <w:tr w:rsidR="00785329" w:rsidRPr="00785329" w14:paraId="7345F16A" w14:textId="77777777" w:rsidTr="00295913">
        <w:tc>
          <w:tcPr>
            <w:tcW w:w="2674" w:type="dxa"/>
            <w:tcBorders>
              <w:top w:val="nil"/>
              <w:left w:val="nil"/>
              <w:bottom w:val="single" w:sz="4" w:space="0" w:color="auto"/>
              <w:right w:val="single" w:sz="4" w:space="0" w:color="auto"/>
            </w:tcBorders>
          </w:tcPr>
          <w:p w14:paraId="678E4342" w14:textId="77777777" w:rsidR="00785329" w:rsidRPr="00B064A8" w:rsidRDefault="00785329" w:rsidP="00295913">
            <w:pPr>
              <w:pStyle w:val="Tablehead"/>
              <w:rPr>
                <w:rFonts w:asciiTheme="minorHAnsi" w:hAnsiTheme="minorHAnsi"/>
                <w:lang w:eastAsia="zh-CN"/>
              </w:rPr>
            </w:pPr>
          </w:p>
        </w:tc>
        <w:tc>
          <w:tcPr>
            <w:tcW w:w="2142" w:type="dxa"/>
            <w:tcBorders>
              <w:left w:val="single" w:sz="4" w:space="0" w:color="auto"/>
            </w:tcBorders>
            <w:hideMark/>
          </w:tcPr>
          <w:p w14:paraId="57B728AC" w14:textId="77777777" w:rsidR="00785329" w:rsidRPr="00785BAB" w:rsidRDefault="00785329" w:rsidP="0000652B">
            <w:pPr>
              <w:pStyle w:val="Tablehead"/>
              <w:rPr>
                <w:rFonts w:asciiTheme="minorHAnsi" w:hAnsiTheme="minorHAnsi"/>
                <w:color w:val="000000" w:themeColor="text1"/>
                <w:sz w:val="18"/>
                <w:szCs w:val="18"/>
              </w:rPr>
            </w:pPr>
            <w:r>
              <w:t xml:space="preserve">Traitement brut </w:t>
            </w:r>
            <w:r w:rsidRPr="00DD358A">
              <w:rPr>
                <w:sz w:val="20"/>
                <w:szCs w:val="20"/>
              </w:rPr>
              <w:t>(1</w:t>
            </w:r>
            <w:r w:rsidRPr="005E26DA">
              <w:rPr>
                <w:sz w:val="20"/>
                <w:szCs w:val="20"/>
              </w:rPr>
              <w:t>er</w:t>
            </w:r>
            <w:r w:rsidRPr="00DD358A">
              <w:rPr>
                <w:sz w:val="20"/>
                <w:szCs w:val="20"/>
              </w:rPr>
              <w:t> janvier 2026)</w:t>
            </w:r>
          </w:p>
        </w:tc>
        <w:tc>
          <w:tcPr>
            <w:tcW w:w="2106" w:type="dxa"/>
            <w:hideMark/>
          </w:tcPr>
          <w:p w14:paraId="28A02554" w14:textId="77777777" w:rsidR="00785329" w:rsidRPr="00785BAB" w:rsidRDefault="00785329" w:rsidP="00295913">
            <w:pPr>
              <w:pStyle w:val="Tablehead"/>
              <w:rPr>
                <w:rFonts w:asciiTheme="minorHAnsi" w:hAnsiTheme="minorHAnsi"/>
                <w:color w:val="000000" w:themeColor="text1"/>
              </w:rPr>
            </w:pPr>
            <w:r w:rsidRPr="0000652B">
              <w:t>Traitement</w:t>
            </w:r>
            <w:r>
              <w:rPr>
                <w:bCs/>
                <w:color w:val="000000"/>
              </w:rPr>
              <w:t xml:space="preserve"> net </w:t>
            </w:r>
            <w:r w:rsidRPr="00DD358A">
              <w:rPr>
                <w:bCs/>
                <w:color w:val="000000"/>
                <w:sz w:val="20"/>
                <w:szCs w:val="20"/>
              </w:rPr>
              <w:t>(1</w:t>
            </w:r>
            <w:r w:rsidRPr="005E26DA">
              <w:rPr>
                <w:bCs/>
                <w:color w:val="000000"/>
                <w:sz w:val="20"/>
                <w:szCs w:val="20"/>
              </w:rPr>
              <w:t>er</w:t>
            </w:r>
            <w:r w:rsidRPr="00DD358A">
              <w:rPr>
                <w:bCs/>
                <w:color w:val="000000"/>
                <w:sz w:val="20"/>
                <w:szCs w:val="20"/>
              </w:rPr>
              <w:t> janvier 2026)</w:t>
            </w:r>
          </w:p>
        </w:tc>
        <w:tc>
          <w:tcPr>
            <w:tcW w:w="2139" w:type="dxa"/>
            <w:hideMark/>
          </w:tcPr>
          <w:p w14:paraId="22C4CF00" w14:textId="77777777" w:rsidR="00785329" w:rsidRPr="0033148D" w:rsidRDefault="00785329" w:rsidP="00295913">
            <w:pPr>
              <w:pStyle w:val="Tablehead"/>
              <w:rPr>
                <w:rFonts w:asciiTheme="minorHAnsi" w:hAnsiTheme="minorHAnsi"/>
                <w:color w:val="000000" w:themeColor="text1"/>
              </w:rPr>
            </w:pPr>
            <w:r w:rsidRPr="0000652B">
              <w:t>Rémunération</w:t>
            </w:r>
            <w:r>
              <w:rPr>
                <w:bCs/>
                <w:color w:val="000000"/>
              </w:rPr>
              <w:t xml:space="preserve"> considérée aux fins de la pension </w:t>
            </w:r>
            <w:r w:rsidRPr="00DD358A">
              <w:rPr>
                <w:bCs/>
                <w:color w:val="000000"/>
                <w:sz w:val="20"/>
                <w:szCs w:val="20"/>
              </w:rPr>
              <w:t>(1</w:t>
            </w:r>
            <w:r w:rsidRPr="005E26DA">
              <w:rPr>
                <w:bCs/>
                <w:color w:val="000000"/>
                <w:sz w:val="20"/>
                <w:szCs w:val="20"/>
              </w:rPr>
              <w:t>er</w:t>
            </w:r>
            <w:r w:rsidRPr="00DD358A">
              <w:rPr>
                <w:bCs/>
                <w:color w:val="000000"/>
                <w:sz w:val="20"/>
                <w:szCs w:val="20"/>
              </w:rPr>
              <w:t> février 2026)</w:t>
            </w:r>
          </w:p>
        </w:tc>
      </w:tr>
      <w:tr w:rsidR="00785329" w:rsidRPr="00B064A8" w14:paraId="5592144A" w14:textId="77777777" w:rsidTr="00295913">
        <w:tc>
          <w:tcPr>
            <w:tcW w:w="2674" w:type="dxa"/>
            <w:tcBorders>
              <w:top w:val="single" w:sz="4" w:space="0" w:color="auto"/>
            </w:tcBorders>
            <w:hideMark/>
          </w:tcPr>
          <w:p w14:paraId="5D4B551C" w14:textId="77777777" w:rsidR="00785329" w:rsidRPr="00B064A8" w:rsidRDefault="00785329" w:rsidP="0000652B">
            <w:pPr>
              <w:pStyle w:val="Tabletext"/>
              <w:rPr>
                <w:rFonts w:cs="Calibri"/>
              </w:rPr>
            </w:pPr>
            <w:r w:rsidRPr="0000652B">
              <w:t>Secrétaire</w:t>
            </w:r>
            <w:r>
              <w:t xml:space="preserve"> générale</w:t>
            </w:r>
          </w:p>
        </w:tc>
        <w:tc>
          <w:tcPr>
            <w:tcW w:w="2142" w:type="dxa"/>
            <w:hideMark/>
          </w:tcPr>
          <w:p w14:paraId="2E0CF8B3" w14:textId="77777777" w:rsidR="00785329" w:rsidRPr="00451374" w:rsidRDefault="00785329" w:rsidP="00295913">
            <w:pPr>
              <w:pStyle w:val="Tabletext"/>
              <w:jc w:val="center"/>
              <w:rPr>
                <w:rFonts w:cs="Calibri"/>
                <w:strike/>
              </w:rPr>
            </w:pPr>
            <w:r>
              <w:rPr>
                <w:color w:val="000000"/>
              </w:rPr>
              <w:t>288 867</w:t>
            </w:r>
          </w:p>
        </w:tc>
        <w:tc>
          <w:tcPr>
            <w:tcW w:w="2106" w:type="dxa"/>
            <w:hideMark/>
          </w:tcPr>
          <w:p w14:paraId="42ADC996" w14:textId="77777777" w:rsidR="00785329" w:rsidRPr="00451374" w:rsidRDefault="00785329" w:rsidP="00295913">
            <w:pPr>
              <w:pStyle w:val="Tabletext"/>
              <w:jc w:val="center"/>
              <w:rPr>
                <w:rFonts w:cs="Calibri"/>
              </w:rPr>
            </w:pPr>
            <w:r>
              <w:rPr>
                <w:color w:val="000000"/>
              </w:rPr>
              <w:t>206 152</w:t>
            </w:r>
          </w:p>
        </w:tc>
        <w:tc>
          <w:tcPr>
            <w:tcW w:w="2139" w:type="dxa"/>
          </w:tcPr>
          <w:p w14:paraId="201B622D" w14:textId="77777777" w:rsidR="00785329" w:rsidRPr="00451374" w:rsidRDefault="00785329" w:rsidP="00295913">
            <w:pPr>
              <w:pStyle w:val="Tabletext"/>
              <w:jc w:val="center"/>
              <w:rPr>
                <w:rFonts w:cs="Calibri"/>
              </w:rPr>
            </w:pPr>
            <w:r>
              <w:rPr>
                <w:color w:val="000000"/>
              </w:rPr>
              <w:t>473 439</w:t>
            </w:r>
          </w:p>
        </w:tc>
      </w:tr>
      <w:tr w:rsidR="00785329" w:rsidRPr="00B064A8" w14:paraId="67D043A4" w14:textId="77777777" w:rsidTr="00295913">
        <w:tc>
          <w:tcPr>
            <w:tcW w:w="2674" w:type="dxa"/>
            <w:hideMark/>
          </w:tcPr>
          <w:p w14:paraId="602140B5" w14:textId="77777777" w:rsidR="00785329" w:rsidRPr="0033148D" w:rsidRDefault="00785329" w:rsidP="0000652B">
            <w:pPr>
              <w:pStyle w:val="Tabletext"/>
              <w:rPr>
                <w:rFonts w:cs="Calibri"/>
              </w:rPr>
            </w:pPr>
            <w:r>
              <w:t>Vice-Secrétaire général et Directeurs des Bureaux</w:t>
            </w:r>
          </w:p>
        </w:tc>
        <w:tc>
          <w:tcPr>
            <w:tcW w:w="2142" w:type="dxa"/>
            <w:hideMark/>
          </w:tcPr>
          <w:p w14:paraId="76BC5A2F" w14:textId="77777777" w:rsidR="00785329" w:rsidRPr="00451374" w:rsidRDefault="00785329" w:rsidP="00295913">
            <w:pPr>
              <w:pStyle w:val="Tabletext"/>
              <w:jc w:val="center"/>
              <w:rPr>
                <w:rFonts w:cs="Calibri"/>
                <w:strike/>
              </w:rPr>
            </w:pPr>
            <w:r>
              <w:rPr>
                <w:color w:val="000000"/>
              </w:rPr>
              <w:t>263 226</w:t>
            </w:r>
          </w:p>
        </w:tc>
        <w:tc>
          <w:tcPr>
            <w:tcW w:w="2106" w:type="dxa"/>
            <w:hideMark/>
          </w:tcPr>
          <w:p w14:paraId="32DCB5A3" w14:textId="77777777" w:rsidR="00785329" w:rsidRPr="00451374" w:rsidRDefault="00785329" w:rsidP="00295913">
            <w:pPr>
              <w:pStyle w:val="Tabletext"/>
              <w:jc w:val="center"/>
              <w:rPr>
                <w:rFonts w:cs="Calibri"/>
              </w:rPr>
            </w:pPr>
            <w:r>
              <w:rPr>
                <w:color w:val="000000"/>
              </w:rPr>
              <w:t>189 229</w:t>
            </w:r>
          </w:p>
        </w:tc>
        <w:tc>
          <w:tcPr>
            <w:tcW w:w="2139" w:type="dxa"/>
          </w:tcPr>
          <w:p w14:paraId="5830EBBB" w14:textId="77777777" w:rsidR="00785329" w:rsidRPr="00451374" w:rsidRDefault="00785329" w:rsidP="00295913">
            <w:pPr>
              <w:pStyle w:val="Tabletext"/>
              <w:jc w:val="center"/>
              <w:rPr>
                <w:rFonts w:cs="Calibri"/>
              </w:rPr>
            </w:pPr>
            <w:r>
              <w:rPr>
                <w:color w:val="000000"/>
              </w:rPr>
              <w:t>439 098</w:t>
            </w:r>
          </w:p>
        </w:tc>
      </w:tr>
      <w:bookmarkEnd w:id="1"/>
    </w:tbl>
    <w:p w14:paraId="1738F590" w14:textId="77777777" w:rsidR="00D64DA9" w:rsidRDefault="00D64DA9" w:rsidP="00D64DA9">
      <w:pPr>
        <w:pStyle w:val="Tablefin"/>
      </w:pPr>
    </w:p>
    <w:p w14:paraId="3CC9E87A" w14:textId="6D3B4E55" w:rsidR="00897553" w:rsidRPr="00100267" w:rsidRDefault="006A11AE" w:rsidP="002D2336">
      <w:pPr>
        <w:jc w:val="center"/>
      </w:pPr>
      <w:r w:rsidRPr="00100267">
        <w:t>______________</w:t>
      </w:r>
    </w:p>
    <w:sectPr w:rsidR="00897553" w:rsidRPr="00100267"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CF4F" w14:textId="77777777" w:rsidR="0052480D" w:rsidRDefault="0052480D">
      <w:r>
        <w:separator/>
      </w:r>
    </w:p>
  </w:endnote>
  <w:endnote w:type="continuationSeparator" w:id="0">
    <w:p w14:paraId="65D8ED61" w14:textId="77777777" w:rsidR="0052480D" w:rsidRDefault="0052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D76D" w14:textId="29C603AF" w:rsidR="00732045" w:rsidRPr="00D64DA9" w:rsidRDefault="00271321">
    <w:pPr>
      <w:pStyle w:val="Footer"/>
      <w:rPr>
        <w:lang w:val="it-IT"/>
      </w:rPr>
    </w:pPr>
    <w:r>
      <w:fldChar w:fldCharType="begin"/>
    </w:r>
    <w:r w:rsidRPr="00D64DA9">
      <w:rPr>
        <w:lang w:val="it-IT"/>
      </w:rPr>
      <w:instrText xml:space="preserve"> FILENAME \p \* MERGEFORMAT </w:instrText>
    </w:r>
    <w:r>
      <w:fldChar w:fldCharType="separate"/>
    </w:r>
    <w:r w:rsidR="00052D97" w:rsidRPr="00D64DA9">
      <w:rPr>
        <w:lang w:val="it-IT"/>
      </w:rPr>
      <w:t>P:\FRA\gDoc\SG\C26\2600454F.docx</w:t>
    </w:r>
    <w:r>
      <w:fldChar w:fldCharType="end"/>
    </w:r>
    <w:r w:rsidR="00732045" w:rsidRPr="00D64DA9">
      <w:rPr>
        <w:lang w:val="it-IT"/>
      </w:rPr>
      <w:tab/>
    </w:r>
    <w:r w:rsidR="002F1B76">
      <w:fldChar w:fldCharType="begin"/>
    </w:r>
    <w:r w:rsidR="00732045">
      <w:instrText xml:space="preserve"> savedate \@ dd.MM.yy </w:instrText>
    </w:r>
    <w:r w:rsidR="002F1B76">
      <w:fldChar w:fldCharType="separate"/>
    </w:r>
    <w:r w:rsidR="00926769">
      <w:t>02.04.26</w:t>
    </w:r>
    <w:r w:rsidR="002F1B76">
      <w:fldChar w:fldCharType="end"/>
    </w:r>
    <w:r w:rsidR="00732045" w:rsidRPr="00D64DA9">
      <w:rPr>
        <w:lang w:val="it-IT"/>
      </w:rPr>
      <w:tab/>
    </w:r>
    <w:r w:rsidR="002F1B76">
      <w:fldChar w:fldCharType="begin"/>
    </w:r>
    <w:r w:rsidR="00732045">
      <w:instrText xml:space="preserve"> printdate \@ dd.MM.yy </w:instrText>
    </w:r>
    <w:r w:rsidR="002F1B76">
      <w:fldChar w:fldCharType="separate"/>
    </w:r>
    <w:r w:rsidR="00052D97">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861253B" w14:textId="77777777" w:rsidTr="00E31DCE">
      <w:trPr>
        <w:jc w:val="center"/>
      </w:trPr>
      <w:tc>
        <w:tcPr>
          <w:tcW w:w="1803" w:type="dxa"/>
          <w:vAlign w:val="center"/>
        </w:tcPr>
        <w:p w14:paraId="0843ED4E" w14:textId="705F4202" w:rsidR="00A51849" w:rsidRDefault="001A686C" w:rsidP="00A51849">
          <w:pPr>
            <w:pStyle w:val="Header"/>
            <w:jc w:val="left"/>
            <w:rPr>
              <w:noProof/>
            </w:rPr>
          </w:pPr>
          <w:r>
            <w:rPr>
              <w:noProof/>
            </w:rPr>
            <w:t>2600</w:t>
          </w:r>
          <w:r w:rsidR="0000652B">
            <w:rPr>
              <w:noProof/>
            </w:rPr>
            <w:t>691</w:t>
          </w:r>
        </w:p>
      </w:tc>
      <w:tc>
        <w:tcPr>
          <w:tcW w:w="8261" w:type="dxa"/>
        </w:tcPr>
        <w:p w14:paraId="30F37F23" w14:textId="65796E5E"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00652B">
            <w:rPr>
              <w:bCs/>
            </w:rPr>
            <w:t>23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11DDEEC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00B96F9" w14:textId="77777777" w:rsidTr="00E31DCE">
      <w:trPr>
        <w:jc w:val="center"/>
      </w:trPr>
      <w:tc>
        <w:tcPr>
          <w:tcW w:w="1803" w:type="dxa"/>
          <w:vAlign w:val="center"/>
        </w:tcPr>
        <w:p w14:paraId="48967D59"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50538B15" w14:textId="138E4B9A"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5E6964">
            <w:rPr>
              <w:bCs/>
            </w:rPr>
            <w:t>23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47AB88FA"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D5DA" w14:textId="77777777" w:rsidR="0052480D" w:rsidRDefault="0052480D">
      <w:r>
        <w:t>____________________</w:t>
      </w:r>
    </w:p>
  </w:footnote>
  <w:footnote w:type="continuationSeparator" w:id="0">
    <w:p w14:paraId="39D23026" w14:textId="77777777" w:rsidR="0052480D" w:rsidRDefault="0052480D">
      <w:r>
        <w:continuationSeparator/>
      </w:r>
    </w:p>
  </w:footnote>
  <w:footnote w:id="1">
    <w:p w14:paraId="30E5A4E6" w14:textId="77777777" w:rsidR="004C65B9" w:rsidRPr="0033148D" w:rsidRDefault="004C65B9" w:rsidP="00D64DA9">
      <w:pPr>
        <w:pStyle w:val="FootnoteText"/>
        <w:jc w:val="both"/>
      </w:pPr>
      <w:r>
        <w:rPr>
          <w:rStyle w:val="FootnoteReference"/>
        </w:rPr>
        <w:footnoteRef/>
      </w:r>
      <w:r>
        <w:t xml:space="preserve"> </w:t>
      </w:r>
      <w:r>
        <w:tab/>
        <w:t xml:space="preserve">Le barème des traitements de base minima est exprimé en chiffres bruts et en chiffres nets, après déduction des contributions du personnel (fiscalité interne). </w:t>
      </w:r>
      <w:proofErr w:type="spellStart"/>
      <w:r>
        <w:t>Veuillez vous</w:t>
      </w:r>
      <w:proofErr w:type="spellEnd"/>
      <w:r>
        <w:t xml:space="preserve"> reporter à l'adresse </w:t>
      </w:r>
      <w:proofErr w:type="gramStart"/>
      <w:r>
        <w:t>suivante:</w:t>
      </w:r>
      <w:proofErr w:type="gramEnd"/>
      <w:r>
        <w:t xml:space="preserve"> </w:t>
      </w:r>
      <w:hyperlink r:id="rId1" w:history="1">
        <w:r w:rsidRPr="006544F2">
          <w:rPr>
            <w:rStyle w:val="Hyperlink"/>
          </w:rPr>
          <w:t>https://</w:t>
        </w:r>
        <w:proofErr w:type="spellStart"/>
        <w:r w:rsidRPr="006544F2">
          <w:rPr>
            <w:rStyle w:val="Hyperlink"/>
          </w:rPr>
          <w:t>icsc.un.org</w:t>
        </w:r>
        <w:proofErr w:type="spellEnd"/>
        <w:r w:rsidRPr="006544F2">
          <w:rPr>
            <w:rStyle w:val="Hyperlink"/>
          </w:rPr>
          <w:t>/Home/</w:t>
        </w:r>
        <w:proofErr w:type="spellStart"/>
        <w:r w:rsidRPr="006544F2">
          <w:rPr>
            <w:rStyle w:val="Hyperlink"/>
          </w:rPr>
          <w:t>SalaryScales</w:t>
        </w:r>
        <w:proofErr w:type="spellEnd"/>
      </w:hyperlink>
      <w:r>
        <w:t>.</w:t>
      </w:r>
      <w:hyperlink r:id="rId2" w:history="1"/>
    </w:p>
  </w:footnote>
  <w:footnote w:id="2">
    <w:p w14:paraId="18143986" w14:textId="40AAB1B8" w:rsidR="004C65B9" w:rsidRPr="0033148D" w:rsidRDefault="004C65B9" w:rsidP="00D64DA9">
      <w:pPr>
        <w:pStyle w:val="FootnoteText"/>
        <w:jc w:val="both"/>
        <w:rPr>
          <w:spacing w:val="2"/>
          <w:szCs w:val="22"/>
        </w:rPr>
      </w:pPr>
      <w:r w:rsidRPr="0077550A">
        <w:rPr>
          <w:rStyle w:val="FootnoteReference"/>
          <w:spacing w:val="2"/>
        </w:rPr>
        <w:footnoteRef/>
      </w:r>
      <w:r>
        <w:tab/>
        <w:t>Résolution </w:t>
      </w:r>
      <w:hyperlink r:id="rId3" w:history="1">
        <w:r w:rsidRPr="00DD358A">
          <w:rPr>
            <w:rStyle w:val="Hyperlink"/>
            <w:rFonts w:eastAsia="Times New Roman" w:cs="Times New Roman"/>
            <w:szCs w:val="20"/>
          </w:rPr>
          <w:t>A/RES/80/236</w:t>
        </w:r>
      </w:hyperlink>
      <w:r>
        <w:t xml:space="preserve"> de l'Assemblée générale des Nations Unies relative au régime commun des Nations Unies, adoptée le 30 décembre 2025.</w:t>
      </w:r>
      <w:hyperlink r:id="rId4" w:history="1"/>
    </w:p>
  </w:footnote>
  <w:footnote w:id="3">
    <w:p w14:paraId="5AEF815A" w14:textId="009A151E" w:rsidR="004C65B9" w:rsidRPr="0033148D" w:rsidRDefault="004C65B9" w:rsidP="00D64DA9">
      <w:pPr>
        <w:pStyle w:val="FootnoteText"/>
        <w:jc w:val="both"/>
        <w:rPr>
          <w:szCs w:val="22"/>
        </w:rPr>
      </w:pPr>
      <w:r>
        <w:rPr>
          <w:rStyle w:val="FootnoteReference"/>
        </w:rPr>
        <w:footnoteRef/>
      </w:r>
      <w:r>
        <w:tab/>
        <w:t>Assemblée générale des Nations Unies, documents officiels, 80</w:t>
      </w:r>
      <w:r w:rsidRPr="00794A45">
        <w:t>ème</w:t>
      </w:r>
      <w:r>
        <w:t xml:space="preserve"> session, Supplément N° 30, </w:t>
      </w:r>
      <w:hyperlink r:id="rId5" w:history="1">
        <w:r w:rsidRPr="00DD358A">
          <w:rPr>
            <w:rStyle w:val="Hyperlink"/>
            <w:rFonts w:eastAsia="Times New Roman" w:cs="Times New Roman"/>
            <w:szCs w:val="20"/>
          </w:rPr>
          <w:t>A/80/30</w:t>
        </w:r>
      </w:hyperlink>
      <w:r>
        <w:t xml:space="preserve"> (2025).</w:t>
      </w:r>
      <w:hyperlink r:id="rId6" w:history="1"/>
    </w:p>
  </w:footnote>
  <w:footnote w:id="4">
    <w:p w14:paraId="7DA25A26" w14:textId="71237928" w:rsidR="004C65B9" w:rsidRPr="0033148D" w:rsidRDefault="004C65B9" w:rsidP="00D64DA9">
      <w:pPr>
        <w:pStyle w:val="FootnoteText"/>
        <w:jc w:val="both"/>
      </w:pPr>
      <w:r>
        <w:rPr>
          <w:rStyle w:val="FootnoteReference"/>
        </w:rPr>
        <w:footnoteRef/>
      </w:r>
      <w:r>
        <w:tab/>
      </w:r>
      <w:hyperlink r:id="rId7" w:history="1">
        <w:r w:rsidRPr="00DD358A">
          <w:rPr>
            <w:rStyle w:val="Hyperlink"/>
            <w:rFonts w:eastAsia="Times New Roman" w:cs="Times New Roman"/>
            <w:szCs w:val="20"/>
          </w:rPr>
          <w:t>Statuts de la Caisse commune des pensions du personnel des Nations Unies</w:t>
        </w:r>
      </w:hyperlink>
      <w:r>
        <w:t>, Article 51(b</w:t>
      </w:r>
      <w:proofErr w:type="gramStart"/>
      <w:r>
        <w:t>):</w:t>
      </w:r>
      <w:proofErr w:type="gramEnd"/>
      <w:r>
        <w:t xml:space="preserve"> "Dans le cas des participants qui sont administrateurs ou fonctionnaires de rang supérieur, le barème de la rémunération considérée aux fins de la pension est affiché sur le site web de la Commission de la fonction publique internationale […]. Il est ajusté à la même date que les montants de la rémunération nette des administrateurs et fonctionnaires de rang supérieur en poste à New York. Cet ajustement représentera un pourcentage uniforme égal au pourcentage de variation moyenne pondérée des montants de la rémunération nette déterminée par la Commission de la fonction publique internationale."</w:t>
      </w:r>
      <w:hyperlink r:id="rId8" w:history="1"/>
    </w:p>
  </w:footnote>
  <w:footnote w:id="5">
    <w:p w14:paraId="3737574B" w14:textId="74A0D29C" w:rsidR="004C65B9" w:rsidRPr="0033148D" w:rsidRDefault="004C65B9" w:rsidP="004C65B9">
      <w:pPr>
        <w:pStyle w:val="FootnoteText"/>
      </w:pPr>
      <w:r>
        <w:rPr>
          <w:rStyle w:val="FootnoteReference"/>
        </w:rPr>
        <w:footnoteRef/>
      </w:r>
      <w:r>
        <w:tab/>
        <w:t xml:space="preserve">"Méthode d'enquête sur les conditions d'emploi les plus favorables pratiquées dans les villes sièges (Méthode d'enquête I)", </w:t>
      </w:r>
      <w:hyperlink r:id="rId9" w:history="1">
        <w:proofErr w:type="spellStart"/>
        <w:r w:rsidRPr="00DD358A">
          <w:rPr>
            <w:rStyle w:val="Hyperlink"/>
            <w:rFonts w:eastAsia="Times New Roman" w:cs="Times New Roman"/>
            <w:szCs w:val="20"/>
          </w:rPr>
          <w:t>ICSC</w:t>
        </w:r>
        <w:proofErr w:type="spellEnd"/>
        <w:r w:rsidRPr="00DD358A">
          <w:rPr>
            <w:rStyle w:val="Hyperlink"/>
            <w:rFonts w:eastAsia="Times New Roman" w:cs="Times New Roman"/>
            <w:szCs w:val="20"/>
          </w:rPr>
          <w:t>/94/</w:t>
        </w:r>
        <w:proofErr w:type="spellStart"/>
        <w:r w:rsidRPr="00DD358A">
          <w:rPr>
            <w:rStyle w:val="Hyperlink"/>
            <w:rFonts w:eastAsia="Times New Roman" w:cs="Times New Roman"/>
            <w:szCs w:val="20"/>
          </w:rPr>
          <w:t>R.16</w:t>
        </w:r>
        <w:proofErr w:type="spellEnd"/>
      </w:hyperlink>
      <w:r>
        <w:t>, 10 août 2022.</w:t>
      </w:r>
      <w:hyperlink r:id="rId10"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2FB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C515F2A"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F8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572036667">
    <w:abstractNumId w:val="9"/>
  </w:num>
  <w:num w:numId="2" w16cid:durableId="250086158">
    <w:abstractNumId w:val="7"/>
  </w:num>
  <w:num w:numId="3" w16cid:durableId="804081986">
    <w:abstractNumId w:val="6"/>
  </w:num>
  <w:num w:numId="4" w16cid:durableId="1843933692">
    <w:abstractNumId w:val="5"/>
  </w:num>
  <w:num w:numId="5" w16cid:durableId="2009751567">
    <w:abstractNumId w:val="4"/>
  </w:num>
  <w:num w:numId="6" w16cid:durableId="2065057766">
    <w:abstractNumId w:val="8"/>
  </w:num>
  <w:num w:numId="7" w16cid:durableId="1728265088">
    <w:abstractNumId w:val="3"/>
  </w:num>
  <w:num w:numId="8" w16cid:durableId="725834890">
    <w:abstractNumId w:val="2"/>
  </w:num>
  <w:num w:numId="9" w16cid:durableId="599877362">
    <w:abstractNumId w:val="1"/>
  </w:num>
  <w:num w:numId="10" w16cid:durableId="932014398">
    <w:abstractNumId w:val="0"/>
  </w:num>
  <w:num w:numId="11" w16cid:durableId="1100368473">
    <w:abstractNumId w:val="8"/>
  </w:num>
  <w:num w:numId="12" w16cid:durableId="690381290">
    <w:abstractNumId w:val="3"/>
  </w:num>
  <w:num w:numId="13" w16cid:durableId="2063944054">
    <w:abstractNumId w:val="2"/>
  </w:num>
  <w:num w:numId="14" w16cid:durableId="823932993">
    <w:abstractNumId w:val="1"/>
  </w:num>
  <w:num w:numId="15" w16cid:durableId="65067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C"/>
    <w:rsid w:val="0000652B"/>
    <w:rsid w:val="0003473F"/>
    <w:rsid w:val="00052D97"/>
    <w:rsid w:val="00076A2C"/>
    <w:rsid w:val="000B42DB"/>
    <w:rsid w:val="000D0D0A"/>
    <w:rsid w:val="000F2A03"/>
    <w:rsid w:val="000F6D66"/>
    <w:rsid w:val="00100267"/>
    <w:rsid w:val="00103163"/>
    <w:rsid w:val="00106B19"/>
    <w:rsid w:val="001133EF"/>
    <w:rsid w:val="00115D93"/>
    <w:rsid w:val="001247A8"/>
    <w:rsid w:val="001342E0"/>
    <w:rsid w:val="001370B2"/>
    <w:rsid w:val="001378C0"/>
    <w:rsid w:val="001658F9"/>
    <w:rsid w:val="0018694A"/>
    <w:rsid w:val="0019129B"/>
    <w:rsid w:val="001A3287"/>
    <w:rsid w:val="001A6508"/>
    <w:rsid w:val="001A686C"/>
    <w:rsid w:val="001D4C31"/>
    <w:rsid w:val="001E4D21"/>
    <w:rsid w:val="00207CD1"/>
    <w:rsid w:val="00226657"/>
    <w:rsid w:val="002477A2"/>
    <w:rsid w:val="00263A51"/>
    <w:rsid w:val="00267E02"/>
    <w:rsid w:val="0027108C"/>
    <w:rsid w:val="00271321"/>
    <w:rsid w:val="00277DEA"/>
    <w:rsid w:val="002A5D44"/>
    <w:rsid w:val="002C3F32"/>
    <w:rsid w:val="002C4E3D"/>
    <w:rsid w:val="002D2336"/>
    <w:rsid w:val="002E0BC4"/>
    <w:rsid w:val="002F1B76"/>
    <w:rsid w:val="0033568E"/>
    <w:rsid w:val="00355FF5"/>
    <w:rsid w:val="00361350"/>
    <w:rsid w:val="003C3FAE"/>
    <w:rsid w:val="004038CB"/>
    <w:rsid w:val="0040546F"/>
    <w:rsid w:val="00412F27"/>
    <w:rsid w:val="004177BD"/>
    <w:rsid w:val="0042404A"/>
    <w:rsid w:val="0044618F"/>
    <w:rsid w:val="00465C35"/>
    <w:rsid w:val="0046769A"/>
    <w:rsid w:val="00475FB3"/>
    <w:rsid w:val="0048039F"/>
    <w:rsid w:val="004C37A9"/>
    <w:rsid w:val="004C65B9"/>
    <w:rsid w:val="004D1D50"/>
    <w:rsid w:val="004F259E"/>
    <w:rsid w:val="004F633A"/>
    <w:rsid w:val="00503084"/>
    <w:rsid w:val="00504C7F"/>
    <w:rsid w:val="00511F1D"/>
    <w:rsid w:val="00520F36"/>
    <w:rsid w:val="0052480D"/>
    <w:rsid w:val="00524E8D"/>
    <w:rsid w:val="00534E13"/>
    <w:rsid w:val="00540615"/>
    <w:rsid w:val="00540A6D"/>
    <w:rsid w:val="00553536"/>
    <w:rsid w:val="00566679"/>
    <w:rsid w:val="00571EEA"/>
    <w:rsid w:val="00575417"/>
    <w:rsid w:val="005768E1"/>
    <w:rsid w:val="005B1938"/>
    <w:rsid w:val="005C3890"/>
    <w:rsid w:val="005E26DA"/>
    <w:rsid w:val="005E627B"/>
    <w:rsid w:val="005E6964"/>
    <w:rsid w:val="005F13B2"/>
    <w:rsid w:val="005F6926"/>
    <w:rsid w:val="005F7BFE"/>
    <w:rsid w:val="00600017"/>
    <w:rsid w:val="00602682"/>
    <w:rsid w:val="006235CA"/>
    <w:rsid w:val="0062366E"/>
    <w:rsid w:val="00627ADE"/>
    <w:rsid w:val="006643AB"/>
    <w:rsid w:val="006A11AE"/>
    <w:rsid w:val="006B224B"/>
    <w:rsid w:val="006F0A53"/>
    <w:rsid w:val="0071402E"/>
    <w:rsid w:val="007210CD"/>
    <w:rsid w:val="00732045"/>
    <w:rsid w:val="0073275D"/>
    <w:rsid w:val="007369DB"/>
    <w:rsid w:val="0077110E"/>
    <w:rsid w:val="00785329"/>
    <w:rsid w:val="00794A45"/>
    <w:rsid w:val="007956C2"/>
    <w:rsid w:val="00796BDB"/>
    <w:rsid w:val="007A187E"/>
    <w:rsid w:val="007C72C2"/>
    <w:rsid w:val="007D4436"/>
    <w:rsid w:val="007F257A"/>
    <w:rsid w:val="007F3665"/>
    <w:rsid w:val="00800037"/>
    <w:rsid w:val="0082299A"/>
    <w:rsid w:val="0083391C"/>
    <w:rsid w:val="0084546D"/>
    <w:rsid w:val="00861D73"/>
    <w:rsid w:val="00882919"/>
    <w:rsid w:val="00897553"/>
    <w:rsid w:val="008A4E87"/>
    <w:rsid w:val="008D76E6"/>
    <w:rsid w:val="00917E24"/>
    <w:rsid w:val="0092392D"/>
    <w:rsid w:val="00926769"/>
    <w:rsid w:val="0093234A"/>
    <w:rsid w:val="00946EBA"/>
    <w:rsid w:val="00956A78"/>
    <w:rsid w:val="0097363B"/>
    <w:rsid w:val="00973F53"/>
    <w:rsid w:val="0098348E"/>
    <w:rsid w:val="009A6BAA"/>
    <w:rsid w:val="009A76A8"/>
    <w:rsid w:val="009B04DB"/>
    <w:rsid w:val="009C307F"/>
    <w:rsid w:val="009C353C"/>
    <w:rsid w:val="009D5955"/>
    <w:rsid w:val="009E6023"/>
    <w:rsid w:val="009E73B0"/>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2306"/>
    <w:rsid w:val="00AB64A8"/>
    <w:rsid w:val="00AC0266"/>
    <w:rsid w:val="00AC0F1D"/>
    <w:rsid w:val="00AD24EC"/>
    <w:rsid w:val="00B27B00"/>
    <w:rsid w:val="00B309F9"/>
    <w:rsid w:val="00B32B60"/>
    <w:rsid w:val="00B51005"/>
    <w:rsid w:val="00B61619"/>
    <w:rsid w:val="00B95160"/>
    <w:rsid w:val="00BB38C1"/>
    <w:rsid w:val="00BB4545"/>
    <w:rsid w:val="00BC2B80"/>
    <w:rsid w:val="00BD5873"/>
    <w:rsid w:val="00BF4B60"/>
    <w:rsid w:val="00C049D7"/>
    <w:rsid w:val="00C04BE3"/>
    <w:rsid w:val="00C25D29"/>
    <w:rsid w:val="00C2625E"/>
    <w:rsid w:val="00C27A7C"/>
    <w:rsid w:val="00C42437"/>
    <w:rsid w:val="00CA08ED"/>
    <w:rsid w:val="00CC6EAA"/>
    <w:rsid w:val="00CE01A7"/>
    <w:rsid w:val="00CE5172"/>
    <w:rsid w:val="00CF0534"/>
    <w:rsid w:val="00CF183B"/>
    <w:rsid w:val="00D375CD"/>
    <w:rsid w:val="00D37B53"/>
    <w:rsid w:val="00D553A2"/>
    <w:rsid w:val="00D64DA9"/>
    <w:rsid w:val="00D72F49"/>
    <w:rsid w:val="00D774D3"/>
    <w:rsid w:val="00D904E8"/>
    <w:rsid w:val="00DA08C3"/>
    <w:rsid w:val="00DB5A3E"/>
    <w:rsid w:val="00DC22AA"/>
    <w:rsid w:val="00DD1A99"/>
    <w:rsid w:val="00DD358A"/>
    <w:rsid w:val="00DE62C6"/>
    <w:rsid w:val="00DF74DD"/>
    <w:rsid w:val="00E25AD0"/>
    <w:rsid w:val="00E4428F"/>
    <w:rsid w:val="00E4448E"/>
    <w:rsid w:val="00E47427"/>
    <w:rsid w:val="00E93668"/>
    <w:rsid w:val="00E95647"/>
    <w:rsid w:val="00EB6350"/>
    <w:rsid w:val="00ED799B"/>
    <w:rsid w:val="00F14E20"/>
    <w:rsid w:val="00F15B57"/>
    <w:rsid w:val="00F35EF4"/>
    <w:rsid w:val="00F37FE5"/>
    <w:rsid w:val="00F427DB"/>
    <w:rsid w:val="00FA5EB1"/>
    <w:rsid w:val="00FA7439"/>
    <w:rsid w:val="00FC4EC0"/>
    <w:rsid w:val="00FC6D7D"/>
    <w:rsid w:val="00FE1161"/>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771B"/>
  <w15:docId w15:val="{6F9D6E37-10E3-454B-8F5B-2FCC3FF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926769"/>
    <w:pPr>
      <w:framePr w:hSpace="181" w:wrap="around" w:vAnchor="page" w:hAnchor="page" w:x="1589" w:y="2314"/>
      <w:spacing w:before="480"/>
    </w:pPr>
    <w:rPr>
      <w:rFonts w:cstheme="minorHAnsi"/>
      <w:b/>
      <w:bCs/>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character" w:customStyle="1" w:styleId="FootnoteTextChar">
    <w:name w:val="Footnote Text Char"/>
    <w:basedOn w:val="DefaultParagraphFont"/>
    <w:link w:val="FootnoteText"/>
    <w:rsid w:val="004C65B9"/>
    <w:rPr>
      <w:rFonts w:ascii="Calibri" w:hAnsi="Calibri"/>
      <w:sz w:val="22"/>
      <w:lang w:val="fr-FR" w:eastAsia="en-US"/>
    </w:rPr>
  </w:style>
  <w:style w:type="paragraph" w:customStyle="1" w:styleId="Tablefin">
    <w:name w:val="Table_fin"/>
    <w:basedOn w:val="Tabletext"/>
    <w:rsid w:val="00D64DA9"/>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40/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itu.int/dms_pub/itu-s/opb/conf/S-CONF-CL-2022-PDF-F.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fr/council/Documents/basic-texts-2023/RES-046-F.pdf" TargetMode="External"/><Relationship Id="rId4" Type="http://schemas.openxmlformats.org/officeDocument/2006/relationships/settings" Target="settings.xml"/><Relationship Id="rId9" Type="http://schemas.openxmlformats.org/officeDocument/2006/relationships/hyperlink" Target="https://www.itu.int/en/council/Documents/basic-texts-2023/RES-179-E.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njspf.org/wp-content/uploads/2026/02/2026-UNJSPF-Regulations-1-January-2026-English-Rev-30.pdf" TargetMode="External"/><Relationship Id="rId3" Type="http://schemas.openxmlformats.org/officeDocument/2006/relationships/hyperlink" Target="https://docs.un.org/fr/A/RES/80/236a-b" TargetMode="External"/><Relationship Id="rId7" Type="http://schemas.openxmlformats.org/officeDocument/2006/relationships/hyperlink" Target="https://www.unjspf.org/wp-content/uploads/2026/02/2026-UNJSPF-Regulations-1-January-2026-French-Rev-30.pdf" TargetMode="External"/><Relationship Id="rId2" Type="http://schemas.openxmlformats.org/officeDocument/2006/relationships/hyperlink" Target="https://icsc.un.org/Home/SalaryScales" TargetMode="External"/><Relationship Id="rId1" Type="http://schemas.openxmlformats.org/officeDocument/2006/relationships/hyperlink" Target="https://icsc.un.org/Home/SalaryScales" TargetMode="External"/><Relationship Id="rId6" Type="http://schemas.openxmlformats.org/officeDocument/2006/relationships/hyperlink" Target="https://digitallibrary.un.org/record/4091239?ln=en&amp;v=pdf" TargetMode="External"/><Relationship Id="rId5" Type="http://schemas.openxmlformats.org/officeDocument/2006/relationships/hyperlink" Target="https://digitallibrary.un.org/record/4091239?ln=fr&amp;v=pdf" TargetMode="External"/><Relationship Id="rId10" Type="http://schemas.openxmlformats.org/officeDocument/2006/relationships/hyperlink" Target="https://onehr.un.org/media/salarySurvey/resources/resourcesDocs/files-1673514959573.pdf" TargetMode="External"/><Relationship Id="rId4" Type="http://schemas.openxmlformats.org/officeDocument/2006/relationships/hyperlink" Target="https://docs.un.org/en/A/RES/80/236a-b" TargetMode="External"/><Relationship Id="rId9" Type="http://schemas.openxmlformats.org/officeDocument/2006/relationships/hyperlink" Target="https://onehr.un.org/media/salarySurvey/resources/resourcesDocs/files-167351495957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A50A-6578-4567-B521-99ACACF8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5</TotalTime>
  <Pages>4</Pages>
  <Words>1110</Words>
  <Characters>6495</Characters>
  <Application>Microsoft Office Word</Application>
  <DocSecurity>0</DocSecurity>
  <Lines>141</Lines>
  <Paragraphs>71</Paragraphs>
  <ScaleCrop>false</ScaleCrop>
  <HeadingPairs>
    <vt:vector size="2" baseType="variant">
      <vt:variant>
        <vt:lpstr>Title</vt:lpstr>
      </vt:variant>
      <vt:variant>
        <vt:i4>1</vt:i4>
      </vt:variant>
    </vt:vector>
  </HeadingPairs>
  <TitlesOfParts>
    <vt:vector size="1" baseType="lpstr">
      <vt:lpstr>Modifications des conditions d'emploi dans le cadre du régime commun des Nations Unies</vt:lpstr>
    </vt:vector>
  </TitlesOfParts>
  <Manager>Secrétariat général - Pool</Manager>
  <Company>Union internationale des télécommunications (UIT)</Company>
  <LinksUpToDate>false</LinksUpToDate>
  <CharactersWithSpaces>7534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Modifications des conditions d'emploi dans le cadre du régime commun des Nations Unies</dc:title>
  <dc:subject>Conseil 2026 de l'UIT</dc:subject>
  <cp:keywords>C26; C2026; Council 2026; PP26</cp:keywords>
  <dc:description/>
  <cp:lastPrinted>2000-07-18T08:55:00Z</cp:lastPrinted>
  <dcterms:created xsi:type="dcterms:W3CDTF">2026-04-02T11:45:00Z</dcterms:created>
  <dcterms:modified xsi:type="dcterms:W3CDTF">2026-04-02T11:50:00Z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