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A8B7E6A" w14:textId="77777777" w:rsidTr="00F363FE">
        <w:tc>
          <w:tcPr>
            <w:tcW w:w="6512" w:type="dxa"/>
          </w:tcPr>
          <w:p w14:paraId="4E34D19E" w14:textId="1C67E878" w:rsidR="007B0AA0" w:rsidRPr="007B0AA0" w:rsidRDefault="007B0AA0" w:rsidP="00E00AF8">
            <w:pPr>
              <w:spacing w:before="60" w:after="60" w:line="260" w:lineRule="exact"/>
              <w:rPr>
                <w:b/>
                <w:bCs/>
                <w:rtl/>
                <w:lang w:bidi="ar-EG"/>
              </w:rPr>
            </w:pPr>
            <w:r w:rsidRPr="007B0AA0">
              <w:rPr>
                <w:rFonts w:hint="cs"/>
                <w:b/>
                <w:bCs/>
                <w:rtl/>
                <w:lang w:bidi="ar-EG"/>
              </w:rPr>
              <w:t>بند جدول الأعمال:</w:t>
            </w:r>
            <w:r w:rsidR="00E00AF8">
              <w:rPr>
                <w:rFonts w:hint="cs"/>
                <w:b/>
                <w:bCs/>
                <w:rtl/>
                <w:lang w:bidi="ar-EG"/>
              </w:rPr>
              <w:t xml:space="preserve"> </w:t>
            </w:r>
            <w:r w:rsidR="00E00AF8" w:rsidRPr="00E00AF8">
              <w:rPr>
                <w:b/>
                <w:bCs/>
                <w:rtl/>
              </w:rPr>
              <w:t>ADM 3</w:t>
            </w:r>
          </w:p>
        </w:tc>
        <w:tc>
          <w:tcPr>
            <w:tcW w:w="3117" w:type="dxa"/>
          </w:tcPr>
          <w:p w14:paraId="5B5A841F" w14:textId="2F0B8C8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E00AF8">
              <w:rPr>
                <w:b/>
                <w:bCs/>
                <w:lang w:bidi="ar-EG"/>
              </w:rPr>
              <w:t>23</w:t>
            </w:r>
            <w:r w:rsidRPr="007B0AA0">
              <w:rPr>
                <w:b/>
                <w:bCs/>
                <w:lang w:bidi="ar-EG"/>
              </w:rPr>
              <w:t>-A</w:t>
            </w:r>
          </w:p>
        </w:tc>
      </w:tr>
      <w:tr w:rsidR="007B0AA0" w14:paraId="754419B9" w14:textId="77777777" w:rsidTr="00F363FE">
        <w:tc>
          <w:tcPr>
            <w:tcW w:w="6512" w:type="dxa"/>
          </w:tcPr>
          <w:p w14:paraId="147D8A98" w14:textId="77777777" w:rsidR="007B0AA0" w:rsidRPr="007B0AA0" w:rsidRDefault="007B0AA0" w:rsidP="00F363FE">
            <w:pPr>
              <w:spacing w:before="60" w:after="60" w:line="260" w:lineRule="exact"/>
              <w:rPr>
                <w:b/>
                <w:bCs/>
                <w:rtl/>
                <w:lang w:bidi="ar-EG"/>
              </w:rPr>
            </w:pPr>
          </w:p>
        </w:tc>
        <w:tc>
          <w:tcPr>
            <w:tcW w:w="3117" w:type="dxa"/>
          </w:tcPr>
          <w:p w14:paraId="2F3A93C8" w14:textId="115F9F16" w:rsidR="007B0AA0" w:rsidRPr="007B0AA0" w:rsidRDefault="00E00AF8" w:rsidP="00F363FE">
            <w:pPr>
              <w:spacing w:before="60" w:after="60" w:line="260" w:lineRule="exact"/>
              <w:rPr>
                <w:b/>
                <w:bCs/>
                <w:rtl/>
                <w:lang w:bidi="ar-EG"/>
              </w:rPr>
            </w:pPr>
            <w:r>
              <w:rPr>
                <w:rFonts w:hint="cs"/>
                <w:b/>
                <w:bCs/>
                <w:rtl/>
              </w:rPr>
              <w:t>‏27‏ مارس‏ 2026</w:t>
            </w:r>
          </w:p>
        </w:tc>
      </w:tr>
      <w:tr w:rsidR="007B0AA0" w14:paraId="4EBB7CD9" w14:textId="77777777" w:rsidTr="00F363FE">
        <w:tc>
          <w:tcPr>
            <w:tcW w:w="6512" w:type="dxa"/>
          </w:tcPr>
          <w:p w14:paraId="509BC5A4" w14:textId="77777777" w:rsidR="007B0AA0" w:rsidRPr="007B0AA0" w:rsidRDefault="007B0AA0" w:rsidP="00F363FE">
            <w:pPr>
              <w:spacing w:before="60" w:after="60" w:line="260" w:lineRule="exact"/>
              <w:rPr>
                <w:b/>
                <w:bCs/>
                <w:rtl/>
                <w:lang w:bidi="ar-EG"/>
              </w:rPr>
            </w:pPr>
          </w:p>
        </w:tc>
        <w:tc>
          <w:tcPr>
            <w:tcW w:w="3117" w:type="dxa"/>
          </w:tcPr>
          <w:p w14:paraId="02FA131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784BB31" w14:textId="77777777" w:rsidTr="00F363FE">
        <w:tc>
          <w:tcPr>
            <w:tcW w:w="6512" w:type="dxa"/>
          </w:tcPr>
          <w:p w14:paraId="09B177B7" w14:textId="77777777" w:rsidR="007B0AA0" w:rsidRDefault="007B0AA0" w:rsidP="00F363FE">
            <w:pPr>
              <w:spacing w:before="60" w:after="60" w:line="260" w:lineRule="exact"/>
              <w:rPr>
                <w:lang w:bidi="ar-EG"/>
              </w:rPr>
            </w:pPr>
          </w:p>
        </w:tc>
        <w:tc>
          <w:tcPr>
            <w:tcW w:w="3117" w:type="dxa"/>
          </w:tcPr>
          <w:p w14:paraId="784A5AA7" w14:textId="77777777" w:rsidR="007B0AA0" w:rsidRDefault="007B0AA0" w:rsidP="00F363FE">
            <w:pPr>
              <w:spacing w:before="60" w:after="60" w:line="260" w:lineRule="exact"/>
              <w:rPr>
                <w:rtl/>
                <w:lang w:bidi="ar-EG"/>
              </w:rPr>
            </w:pPr>
          </w:p>
        </w:tc>
      </w:tr>
      <w:tr w:rsidR="007B0AA0" w14:paraId="2D73E951" w14:textId="77777777" w:rsidTr="00EE7446">
        <w:tc>
          <w:tcPr>
            <w:tcW w:w="9629" w:type="dxa"/>
            <w:gridSpan w:val="2"/>
          </w:tcPr>
          <w:p w14:paraId="1A0E30D4" w14:textId="77777777" w:rsidR="007B0AA0" w:rsidRDefault="001D64C7" w:rsidP="007B0AA0">
            <w:pPr>
              <w:pStyle w:val="Source"/>
              <w:jc w:val="left"/>
              <w:rPr>
                <w:lang w:bidi="ar-EG"/>
              </w:rPr>
            </w:pPr>
            <w:r>
              <w:rPr>
                <w:rFonts w:hint="cs"/>
                <w:rtl/>
                <w:lang w:bidi="ar-EG"/>
              </w:rPr>
              <w:t>تقرير من الأمينة العامة</w:t>
            </w:r>
          </w:p>
        </w:tc>
      </w:tr>
      <w:tr w:rsidR="007B0AA0" w14:paraId="4183AA9A" w14:textId="77777777" w:rsidTr="007B0AA0">
        <w:tc>
          <w:tcPr>
            <w:tcW w:w="9629" w:type="dxa"/>
            <w:gridSpan w:val="2"/>
            <w:tcBorders>
              <w:bottom w:val="single" w:sz="4" w:space="0" w:color="auto"/>
            </w:tcBorders>
          </w:tcPr>
          <w:p w14:paraId="52CA9A06" w14:textId="64E16B68" w:rsidR="007B0AA0" w:rsidRPr="005546CF" w:rsidRDefault="00E00AF8" w:rsidP="00E00AF8">
            <w:pPr>
              <w:pStyle w:val="Subtitle0"/>
              <w:rPr>
                <w:sz w:val="32"/>
                <w:szCs w:val="32"/>
              </w:rPr>
            </w:pPr>
            <w:r w:rsidRPr="00E00AF8">
              <w:rPr>
                <w:sz w:val="32"/>
                <w:szCs w:val="32"/>
                <w:rtl/>
                <w:lang w:bidi="ar-SA"/>
              </w:rPr>
              <w:t>تغييرات في شروط الخدمة في النظام الموحد للأمم المتحدة</w:t>
            </w:r>
          </w:p>
        </w:tc>
      </w:tr>
      <w:tr w:rsidR="007B0AA0" w14:paraId="1BB542FF" w14:textId="77777777" w:rsidTr="007B0AA0">
        <w:tc>
          <w:tcPr>
            <w:tcW w:w="9629" w:type="dxa"/>
            <w:gridSpan w:val="2"/>
            <w:tcBorders>
              <w:top w:val="single" w:sz="4" w:space="0" w:color="auto"/>
              <w:bottom w:val="single" w:sz="4" w:space="0" w:color="auto"/>
            </w:tcBorders>
          </w:tcPr>
          <w:p w14:paraId="7334A84A" w14:textId="77777777" w:rsidR="007B0AA0" w:rsidRPr="007B0AA0" w:rsidRDefault="007B0AA0" w:rsidP="007B0AA0">
            <w:pPr>
              <w:rPr>
                <w:b/>
                <w:bCs/>
                <w:rtl/>
              </w:rPr>
            </w:pPr>
            <w:r w:rsidRPr="00494119">
              <w:rPr>
                <w:rFonts w:hint="cs"/>
                <w:b/>
                <w:bCs/>
                <w:rtl/>
              </w:rPr>
              <w:t>الغرض</w:t>
            </w:r>
          </w:p>
          <w:p w14:paraId="462910A0" w14:textId="4EA72E0C" w:rsidR="007B0AA0" w:rsidRDefault="00E00AF8" w:rsidP="00E00AF8">
            <w:pPr>
              <w:rPr>
                <w:rtl/>
              </w:rPr>
            </w:pPr>
            <w:r w:rsidRPr="00E00AF8">
              <w:rPr>
                <w:rtl/>
              </w:rPr>
              <w:t>هذا تقرير عن القرارات التي اتخذتها الجمعية العامة للأمم المتحدة</w:t>
            </w:r>
            <w:r>
              <w:rPr>
                <w:rFonts w:hint="cs"/>
                <w:rtl/>
              </w:rPr>
              <w:t xml:space="preserve"> </w:t>
            </w:r>
            <w:r w:rsidRPr="00E00AF8">
              <w:rPr>
                <w:lang w:val="en-GB"/>
              </w:rPr>
              <w:t>(UNGA)</w:t>
            </w:r>
            <w:r w:rsidRPr="00E00AF8">
              <w:rPr>
                <w:rtl/>
              </w:rPr>
              <w:t xml:space="preserve"> ‏في دورتها الثمانين </w:t>
            </w:r>
            <w:r w:rsidRPr="00E00AF8">
              <w:rPr>
                <w:lang w:val="en-GB"/>
              </w:rPr>
              <w:t>(</w:t>
            </w:r>
            <w:r w:rsidR="00934928" w:rsidRPr="00E00AF8">
              <w:rPr>
                <w:lang w:val="en-GB"/>
              </w:rPr>
              <w:t>2025)</w:t>
            </w:r>
            <w:r w:rsidR="00934928">
              <w:rPr>
                <w:rFonts w:hint="cs"/>
                <w:rtl/>
                <w:lang w:val="en-GB" w:bidi="ar-EG"/>
              </w:rPr>
              <w:t xml:space="preserve"> </w:t>
            </w:r>
            <w:r w:rsidR="00934928" w:rsidRPr="00E00AF8">
              <w:rPr>
                <w:rFonts w:hint="cs"/>
                <w:rtl/>
              </w:rPr>
              <w:t>‏بشأ</w:t>
            </w:r>
            <w:r w:rsidR="00934928" w:rsidRPr="00E00AF8">
              <w:rPr>
                <w:rtl/>
              </w:rPr>
              <w:t>ن</w:t>
            </w:r>
            <w:r w:rsidRPr="00E00AF8">
              <w:rPr>
                <w:cs/>
              </w:rPr>
              <w:t xml:space="preserve"> التغييرات في شروط الخدمة وفقاً لالتزامات الاتحاد بموجب النظام الموحد للأمم المتحدة</w:t>
            </w:r>
            <w:r w:rsidRPr="00E00AF8">
              <w:rPr>
                <w:rtl/>
                <w:cs/>
              </w:rPr>
              <w:t>.‎</w:t>
            </w:r>
          </w:p>
          <w:p w14:paraId="306F99C6" w14:textId="77777777" w:rsidR="007B0AA0" w:rsidRPr="007B0AA0" w:rsidRDefault="007B0AA0" w:rsidP="007B0AA0">
            <w:pPr>
              <w:rPr>
                <w:b/>
                <w:bCs/>
                <w:rtl/>
              </w:rPr>
            </w:pPr>
            <w:r w:rsidRPr="007B0AA0">
              <w:rPr>
                <w:rFonts w:hint="cs"/>
                <w:b/>
                <w:bCs/>
                <w:rtl/>
              </w:rPr>
              <w:t>الإجراء المطلوب من المجلس</w:t>
            </w:r>
          </w:p>
          <w:p w14:paraId="3C144DEA" w14:textId="76C8BB42" w:rsidR="00E00AF8" w:rsidRPr="00E00AF8" w:rsidRDefault="00E00AF8" w:rsidP="00E00AF8">
            <w:pPr>
              <w:rPr>
                <w:rtl/>
              </w:rPr>
            </w:pPr>
            <w:r w:rsidRPr="00E00AF8">
              <w:rPr>
                <w:rtl/>
              </w:rPr>
              <w:t xml:space="preserve">يُدعى المجلس إلى </w:t>
            </w:r>
            <w:r w:rsidRPr="00E00AF8">
              <w:rPr>
                <w:b/>
                <w:bCs/>
                <w:rtl/>
              </w:rPr>
              <w:t xml:space="preserve">الإحاطة علماً </w:t>
            </w:r>
            <w:r w:rsidRPr="00E00AF8">
              <w:rPr>
                <w:rtl/>
              </w:rPr>
              <w:t>بتنفيذ الأمينة العامة لقرارات الجمعية العامة للأمم المتحدة المتعلقة بالتغييرات في شروط خدمة الموظفين المعينين</w:t>
            </w:r>
            <w:r w:rsidR="002F5986">
              <w:rPr>
                <w:rFonts w:hint="cs"/>
                <w:rtl/>
              </w:rPr>
              <w:t>،</w:t>
            </w:r>
            <w:r w:rsidRPr="00E00AF8">
              <w:rPr>
                <w:rtl/>
              </w:rPr>
              <w:t xml:space="preserve"> </w:t>
            </w:r>
            <w:r w:rsidR="002F5986">
              <w:rPr>
                <w:rFonts w:hint="cs"/>
                <w:rtl/>
              </w:rPr>
              <w:t>وفقاً ل</w:t>
            </w:r>
            <w:r w:rsidRPr="00E00AF8">
              <w:rPr>
                <w:rtl/>
              </w:rPr>
              <w:t>لنظام الأساسي والنظام الإداري للموظفين</w:t>
            </w:r>
            <w:r w:rsidR="002F5986">
              <w:rPr>
                <w:rFonts w:hint="cs"/>
                <w:rtl/>
              </w:rPr>
              <w:t xml:space="preserve"> في الاتحاد</w:t>
            </w:r>
            <w:r w:rsidRPr="00E00AF8">
              <w:rPr>
                <w:rtl/>
              </w:rPr>
              <w:t xml:space="preserve">. وتتبع هذه التغييرات الإجراءات التي وضعتها لجنة الخدمة المدنية الدولية </w:t>
            </w:r>
            <w:r w:rsidRPr="00E00AF8">
              <w:t>(ICSC)</w:t>
            </w:r>
            <w:r w:rsidRPr="00E00AF8">
              <w:rPr>
                <w:rtl/>
              </w:rPr>
              <w:t xml:space="preserve"> كما أقرتها الجمعية العامة للأمم المتحدة، ووفقاً للقرار 647 </w:t>
            </w:r>
            <w:r w:rsidR="00545AE3">
              <w:rPr>
                <w:rFonts w:hint="cs"/>
                <w:rtl/>
              </w:rPr>
              <w:t>(</w:t>
            </w:r>
            <w:r w:rsidRPr="002F5986">
              <w:rPr>
                <w:rtl/>
              </w:rPr>
              <w:t xml:space="preserve">الصادر </w:t>
            </w:r>
            <w:r w:rsidR="00545AE3" w:rsidRPr="002F5986">
              <w:rPr>
                <w:rtl/>
              </w:rPr>
              <w:t>عن</w:t>
            </w:r>
            <w:r w:rsidR="00545AE3">
              <w:rPr>
                <w:rFonts w:hint="cs"/>
                <w:rtl/>
              </w:rPr>
              <w:t xml:space="preserve"> دورة المجلس لعام 1969</w:t>
            </w:r>
            <w:r w:rsidR="00DE4FB8" w:rsidRPr="00E00AF8">
              <w:rPr>
                <w:rFonts w:hint="cs"/>
                <w:rtl/>
              </w:rPr>
              <w:t>،</w:t>
            </w:r>
            <w:r w:rsidR="00196A8F">
              <w:rPr>
                <w:rFonts w:hint="cs"/>
                <w:rtl/>
                <w:lang w:bidi="ar-EG"/>
              </w:rPr>
              <w:t xml:space="preserve"> </w:t>
            </w:r>
            <w:r w:rsidR="00896B66">
              <w:rPr>
                <w:rFonts w:hint="cs"/>
                <w:rtl/>
              </w:rPr>
              <w:t>و</w:t>
            </w:r>
            <w:r w:rsidR="00DE4FB8" w:rsidRPr="00E00AF8">
              <w:rPr>
                <w:rFonts w:hint="cs"/>
                <w:rtl/>
              </w:rPr>
              <w:t>المعدَّ</w:t>
            </w:r>
            <w:r w:rsidR="00DE4FB8" w:rsidRPr="00E00AF8">
              <w:rPr>
                <w:rtl/>
              </w:rPr>
              <w:t>ل</w:t>
            </w:r>
            <w:r w:rsidRPr="00E00AF8">
              <w:rPr>
                <w:cs/>
              </w:rPr>
              <w:t xml:space="preserve"> آخر مرة في </w:t>
            </w:r>
            <w:r w:rsidR="00896B66">
              <w:rPr>
                <w:rFonts w:hint="cs"/>
                <w:rtl/>
                <w:cs/>
              </w:rPr>
              <w:t>دورته</w:t>
            </w:r>
            <w:r w:rsidRPr="00E00AF8">
              <w:rPr>
                <w:cs/>
              </w:rPr>
              <w:t xml:space="preserve"> لعام </w:t>
            </w:r>
            <w:r w:rsidRPr="00E00AF8">
              <w:rPr>
                <w:rtl/>
                <w:cs/>
              </w:rPr>
              <w:t>2003</w:t>
            </w:r>
            <w:r>
              <w:rPr>
                <w:rFonts w:hint="cs"/>
                <w:rtl/>
                <w:cs/>
              </w:rPr>
              <w:t>)</w:t>
            </w:r>
            <w:r w:rsidRPr="00E00AF8">
              <w:rPr>
                <w:cs/>
              </w:rPr>
              <w:t>.</w:t>
            </w:r>
          </w:p>
          <w:p w14:paraId="446B1DFE" w14:textId="2781A337" w:rsidR="007B0AA0" w:rsidRDefault="00E00AF8" w:rsidP="00E00AF8">
            <w:pPr>
              <w:rPr>
                <w:rtl/>
              </w:rPr>
            </w:pPr>
            <w:r w:rsidRPr="00E00AF8">
              <w:rPr>
                <w:rtl/>
              </w:rPr>
              <w:t xml:space="preserve">ووفقاً للقرار 46 (كيوتو، 1994) لمؤتمر المندوبين المفوضين، يُدعى المجلس إلى </w:t>
            </w:r>
            <w:r w:rsidRPr="00E00AF8">
              <w:rPr>
                <w:b/>
                <w:bCs/>
                <w:rtl/>
              </w:rPr>
              <w:t xml:space="preserve">الموافقة </w:t>
            </w:r>
            <w:r w:rsidRPr="00E00AF8">
              <w:rPr>
                <w:rtl/>
              </w:rPr>
              <w:t xml:space="preserve">على جدول المرتبات والأجور الداخلة في حساب المعاش التقاعدي المطبق على الموظفين المنتخبين، على نحو ما يرد في مشروع القرار الوارد في </w:t>
            </w:r>
            <w:hyperlink w:anchor="Annex" w:history="1">
              <w:r w:rsidRPr="002F5986">
                <w:rPr>
                  <w:rStyle w:val="Hyperlink"/>
                  <w:noProof w:val="0"/>
                  <w:rtl/>
                  <w:lang w:val="en-US" w:eastAsia="zh-CN"/>
                </w:rPr>
                <w:t>ملحق</w:t>
              </w:r>
            </w:hyperlink>
            <w:r w:rsidRPr="00E00AF8">
              <w:rPr>
                <w:rtl/>
              </w:rPr>
              <w:t xml:space="preserve"> هذه الوثيقة.</w:t>
            </w:r>
          </w:p>
          <w:p w14:paraId="5C6A63AD"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787ECBD8" w14:textId="078FFFCD" w:rsidR="007B0AA0" w:rsidRDefault="00E00AF8" w:rsidP="00E00AF8">
            <w:pPr>
              <w:rPr>
                <w:rtl/>
              </w:rPr>
            </w:pPr>
            <w:r w:rsidRPr="00E00AF8">
              <w:rPr>
                <w:rtl/>
              </w:rPr>
              <w:t>التميُّز في مجال الموارد البشرية والابتكار التنظيمي.</w:t>
            </w:r>
          </w:p>
          <w:p w14:paraId="335F222B" w14:textId="77777777" w:rsidR="007B0AA0" w:rsidRDefault="007B0AA0" w:rsidP="00B97F32">
            <w:pPr>
              <w:rPr>
                <w:b/>
                <w:bCs/>
              </w:rPr>
            </w:pPr>
            <w:r w:rsidRPr="007B0AA0">
              <w:rPr>
                <w:rFonts w:hint="cs"/>
                <w:b/>
                <w:bCs/>
                <w:rtl/>
              </w:rPr>
              <w:t>الآثار المالية</w:t>
            </w:r>
          </w:p>
          <w:p w14:paraId="63AE9978" w14:textId="3272A6AE" w:rsidR="006F363C" w:rsidRPr="005546CF" w:rsidRDefault="00E00AF8" w:rsidP="00E00AF8">
            <w:pPr>
              <w:rPr>
                <w:rtl/>
              </w:rPr>
            </w:pPr>
            <w:r w:rsidRPr="00E00AF8">
              <w:rPr>
                <w:rtl/>
              </w:rPr>
              <w:t xml:space="preserve">تبلغ التكلفة الإجمالية لتنفيذ قرارات الجمعية العامة للأمم المتحدة </w:t>
            </w:r>
            <w:r w:rsidRPr="00E00AF8">
              <w:t>459</w:t>
            </w:r>
            <w:r w:rsidR="00DE4FB8">
              <w:t xml:space="preserve"> </w:t>
            </w:r>
            <w:r w:rsidRPr="00E00AF8">
              <w:t>000</w:t>
            </w:r>
            <w:r w:rsidR="00DE4FB8">
              <w:rPr>
                <w:rFonts w:hint="cs"/>
                <w:rtl/>
              </w:rPr>
              <w:t xml:space="preserve"> </w:t>
            </w:r>
            <w:r w:rsidRPr="00E00AF8">
              <w:rPr>
                <w:rtl/>
              </w:rPr>
              <w:t xml:space="preserve">فرنك سويسري لعام </w:t>
            </w:r>
            <w:r w:rsidRPr="00E00AF8">
              <w:rPr>
                <w:cs/>
              </w:rPr>
              <w:t>‎</w:t>
            </w:r>
            <w:r w:rsidRPr="00E00AF8">
              <w:rPr>
                <w:rtl/>
                <w:cs/>
              </w:rPr>
              <w:t>2026</w:t>
            </w:r>
            <w:r w:rsidRPr="00E00AF8">
              <w:rPr>
                <w:cs/>
              </w:rPr>
              <w:t>.</w:t>
            </w:r>
          </w:p>
          <w:p w14:paraId="3C42863B"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F246604" w14:textId="77777777" w:rsidR="007B0AA0" w:rsidRPr="007B0AA0" w:rsidRDefault="007B0AA0" w:rsidP="007B0AA0">
            <w:pPr>
              <w:rPr>
                <w:b/>
                <w:bCs/>
                <w:rtl/>
              </w:rPr>
            </w:pPr>
            <w:r w:rsidRPr="007B0AA0">
              <w:rPr>
                <w:rFonts w:hint="cs"/>
                <w:b/>
                <w:bCs/>
                <w:rtl/>
              </w:rPr>
              <w:t>المراجع</w:t>
            </w:r>
          </w:p>
          <w:p w14:paraId="126A8677" w14:textId="19977849" w:rsidR="007B0AA0" w:rsidRPr="005546CF" w:rsidRDefault="00E00AF8" w:rsidP="00E00AF8">
            <w:pPr>
              <w:rPr>
                <w:i/>
                <w:iCs/>
                <w:rtl/>
              </w:rPr>
            </w:pPr>
            <w:r w:rsidRPr="00E00AF8">
              <w:rPr>
                <w:i/>
                <w:iCs/>
                <w:rtl/>
              </w:rPr>
              <w:t xml:space="preserve">القرار </w:t>
            </w:r>
            <w:hyperlink r:id="rId8" w:history="1">
              <w:r w:rsidRPr="00DE4FB8">
                <w:rPr>
                  <w:rStyle w:val="Hyperlink"/>
                  <w:i/>
                  <w:iCs/>
                  <w:noProof w:val="0"/>
                  <w:rtl/>
                  <w:lang w:val="en-US" w:eastAsia="zh-CN"/>
                </w:rPr>
                <w:t>46 (كيوتو، 1994)</w:t>
              </w:r>
            </w:hyperlink>
            <w:r w:rsidRPr="00E00AF8">
              <w:rPr>
                <w:i/>
                <w:iCs/>
                <w:rtl/>
              </w:rPr>
              <w:t xml:space="preserve"> لمؤتمر المندوبين </w:t>
            </w:r>
            <w:r w:rsidRPr="00896B66">
              <w:rPr>
                <w:i/>
                <w:iCs/>
                <w:rtl/>
              </w:rPr>
              <w:t xml:space="preserve">المفوضين؛ القرار </w:t>
            </w:r>
            <w:hyperlink r:id="rId9" w:history="1">
              <w:r w:rsidRPr="00896B66">
                <w:rPr>
                  <w:rStyle w:val="Hyperlink"/>
                  <w:i/>
                  <w:iCs/>
                  <w:noProof w:val="0"/>
                  <w:rtl/>
                  <w:lang w:val="en-US" w:eastAsia="zh-CN"/>
                </w:rPr>
                <w:t xml:space="preserve">647 </w:t>
              </w:r>
              <w:r w:rsidR="00545AE3" w:rsidRPr="00896B66">
                <w:rPr>
                  <w:rStyle w:val="Hyperlink"/>
                  <w:rFonts w:hint="cs"/>
                  <w:i/>
                  <w:iCs/>
                  <w:noProof w:val="0"/>
                  <w:rtl/>
                  <w:lang w:val="en-US" w:eastAsia="zh-CN"/>
                </w:rPr>
                <w:t>(</w:t>
              </w:r>
              <w:r w:rsidRPr="00896B66">
                <w:rPr>
                  <w:rStyle w:val="Hyperlink"/>
                  <w:i/>
                  <w:iCs/>
                  <w:noProof w:val="0"/>
                  <w:rtl/>
                  <w:lang w:val="en-US" w:eastAsia="zh-CN"/>
                </w:rPr>
                <w:t xml:space="preserve">الصادر عن </w:t>
              </w:r>
              <w:r w:rsidR="00545AE3" w:rsidRPr="00896B66">
                <w:rPr>
                  <w:rStyle w:val="Hyperlink"/>
                  <w:rFonts w:hint="cs"/>
                  <w:i/>
                  <w:iCs/>
                  <w:noProof w:val="0"/>
                  <w:rtl/>
                  <w:lang w:val="en-US" w:eastAsia="zh-CN"/>
                </w:rPr>
                <w:t>دورة المجلس لعام 1969</w:t>
              </w:r>
              <w:r w:rsidRPr="00896B66">
                <w:rPr>
                  <w:rStyle w:val="Hyperlink"/>
                  <w:i/>
                  <w:iCs/>
                  <w:noProof w:val="0"/>
                  <w:cs/>
                  <w:lang w:val="en-US" w:eastAsia="zh-CN"/>
                </w:rPr>
                <w:t>‏</w:t>
              </w:r>
              <w:r w:rsidRPr="00896B66">
                <w:rPr>
                  <w:rStyle w:val="Hyperlink"/>
                  <w:i/>
                  <w:iCs/>
                  <w:noProof w:val="0"/>
                  <w:rtl/>
                  <w:cs/>
                  <w:lang w:val="en-US" w:eastAsia="zh-CN"/>
                </w:rPr>
                <w:t xml:space="preserve">، </w:t>
              </w:r>
              <w:r w:rsidR="00896B66">
                <w:rPr>
                  <w:rStyle w:val="Hyperlink"/>
                  <w:rFonts w:hint="cs"/>
                  <w:i/>
                  <w:iCs/>
                  <w:noProof w:val="0"/>
                  <w:rtl/>
                  <w:cs/>
                  <w:lang w:val="en-US" w:eastAsia="zh-CN"/>
                </w:rPr>
                <w:t>والمعدل آخر في مرة في دورته لعام 2003</w:t>
              </w:r>
              <w:r w:rsidRPr="00896B66">
                <w:rPr>
                  <w:rStyle w:val="Hyperlink"/>
                  <w:i/>
                  <w:iCs/>
                  <w:noProof w:val="0"/>
                  <w:rtl/>
                  <w:lang w:val="en-US" w:eastAsia="zh-CN"/>
                </w:rPr>
                <w:t>)</w:t>
              </w:r>
            </w:hyperlink>
          </w:p>
        </w:tc>
      </w:tr>
    </w:tbl>
    <w:p w14:paraId="13D7FA38" w14:textId="77777777" w:rsidR="00E61BE8" w:rsidRDefault="00E61BE8" w:rsidP="00E61BE8">
      <w:pPr>
        <w:rPr>
          <w:rtl/>
          <w:lang w:bidi="ar-EG"/>
        </w:rPr>
      </w:pPr>
    </w:p>
    <w:p w14:paraId="5FA6F80E" w14:textId="77777777" w:rsidR="00F50E3F" w:rsidRDefault="00F50E3F" w:rsidP="0043260A">
      <w:pPr>
        <w:rPr>
          <w:rtl/>
          <w:lang w:bidi="ar-EG"/>
        </w:rPr>
      </w:pPr>
      <w:r>
        <w:rPr>
          <w:rtl/>
          <w:lang w:bidi="ar-EG"/>
        </w:rPr>
        <w:br w:type="page"/>
      </w:r>
    </w:p>
    <w:p w14:paraId="2CE069DE" w14:textId="77777777" w:rsidR="00E00AF8" w:rsidRPr="00E00AF8" w:rsidRDefault="00E00AF8" w:rsidP="00196A8F">
      <w:pPr>
        <w:pStyle w:val="Heading1"/>
        <w:rPr>
          <w:rtl/>
        </w:rPr>
      </w:pPr>
      <w:r w:rsidRPr="00E00AF8">
        <w:rPr>
          <w:lang w:bidi="ar-EG"/>
        </w:rPr>
        <w:lastRenderedPageBreak/>
        <w:t>I</w:t>
      </w:r>
      <w:r w:rsidRPr="00E00AF8">
        <w:rPr>
          <w:rtl/>
        </w:rPr>
        <w:tab/>
        <w:t>شروط خدمة الموظفين المعينين</w:t>
      </w:r>
    </w:p>
    <w:p w14:paraId="384A4117" w14:textId="77777777" w:rsidR="00E00AF8" w:rsidRPr="00E00AF8" w:rsidRDefault="00E00AF8" w:rsidP="00196A8F">
      <w:pPr>
        <w:pStyle w:val="Headingb"/>
        <w:rPr>
          <w:rtl/>
        </w:rPr>
      </w:pPr>
      <w:r w:rsidRPr="00E00AF8">
        <w:rPr>
          <w:rtl/>
        </w:rPr>
        <w:t>ألف</w:t>
      </w:r>
      <w:r w:rsidRPr="00E00AF8">
        <w:rPr>
          <w:rtl/>
        </w:rPr>
        <w:tab/>
        <w:t>موظفو الفئتين الفنية والعليا</w:t>
      </w:r>
    </w:p>
    <w:p w14:paraId="13AFE839" w14:textId="1E4F23D4" w:rsidR="00E00AF8" w:rsidRPr="00E00AF8" w:rsidRDefault="00E00AF8" w:rsidP="00E00AF8">
      <w:pPr>
        <w:rPr>
          <w:rtl/>
        </w:rPr>
      </w:pPr>
      <w:r w:rsidRPr="00E00AF8">
        <w:rPr>
          <w:rtl/>
        </w:rPr>
        <w:t>1</w:t>
      </w:r>
      <w:r w:rsidRPr="00E00AF8">
        <w:rPr>
          <w:rtl/>
        </w:rPr>
        <w:tab/>
        <w:t xml:space="preserve">استناداً إلى التوصيات المقدمة من لجنة الخدمة المدنية الدولية </w:t>
      </w:r>
      <w:r w:rsidRPr="00E00AF8">
        <w:rPr>
          <w:lang w:bidi="ar-EG"/>
        </w:rPr>
        <w:t>(ICSC)</w:t>
      </w:r>
      <w:r w:rsidRPr="00E00AF8">
        <w:rPr>
          <w:rtl/>
        </w:rPr>
        <w:t xml:space="preserve"> لعام </w:t>
      </w:r>
      <w:r w:rsidRPr="00E00AF8">
        <w:rPr>
          <w:cs/>
        </w:rPr>
        <w:t>‎</w:t>
      </w:r>
      <w:r w:rsidRPr="00E00AF8">
        <w:rPr>
          <w:rtl/>
          <w:cs/>
        </w:rPr>
        <w:t>2025</w:t>
      </w:r>
      <w:r w:rsidRPr="00E00AF8">
        <w:rPr>
          <w:cs/>
        </w:rPr>
        <w:t xml:space="preserve">، </w:t>
      </w:r>
      <w:r w:rsidRPr="00E00AF8">
        <w:rPr>
          <w:rtl/>
          <w:cs/>
        </w:rPr>
        <w:t xml:space="preserve">اعتمدت الجمعية العامة للأمم المتحدة </w:t>
      </w:r>
      <w:r w:rsidRPr="00E00AF8">
        <w:rPr>
          <w:lang w:bidi="ar-EG"/>
        </w:rPr>
        <w:t>(UNGA)</w:t>
      </w:r>
      <w:r w:rsidRPr="00E00AF8">
        <w:rPr>
          <w:rtl/>
        </w:rPr>
        <w:t>، في القرار A/RES/80/236 ‏المؤرخ 30 ‏ديسمبر 2025، قرارات بشأن شروط خدمة موظفي الفئتين الفنية والعليا.</w:t>
      </w:r>
      <w:r w:rsidRPr="00E00AF8">
        <w:rPr>
          <w:cs/>
        </w:rPr>
        <w:t>‎</w:t>
      </w:r>
    </w:p>
    <w:p w14:paraId="5E6C9684" w14:textId="77777777" w:rsidR="00E00AF8" w:rsidRPr="00E00AF8" w:rsidRDefault="00E00AF8" w:rsidP="00196A8F">
      <w:pPr>
        <w:pStyle w:val="Headingb"/>
        <w:rPr>
          <w:rtl/>
        </w:rPr>
      </w:pPr>
      <w:bookmarkStart w:id="0" w:name="_Hlk130583823"/>
      <w:r w:rsidRPr="00E00AF8">
        <w:rPr>
          <w:rtl/>
        </w:rPr>
        <w:t>جدول المرتبات الأساسية/الدنيا</w:t>
      </w:r>
    </w:p>
    <w:p w14:paraId="06D72E8F" w14:textId="73AA899D" w:rsidR="00E00AF8" w:rsidRPr="00E00AF8" w:rsidRDefault="00E00AF8" w:rsidP="00E00AF8">
      <w:pPr>
        <w:rPr>
          <w:rtl/>
        </w:rPr>
      </w:pPr>
      <w:r w:rsidRPr="00E00AF8">
        <w:rPr>
          <w:rtl/>
        </w:rPr>
        <w:t>2</w:t>
      </w:r>
      <w:r w:rsidRPr="00E00AF8">
        <w:rPr>
          <w:rtl/>
        </w:rPr>
        <w:tab/>
        <w:t>‏عُدل جدول المرتبات الأساسية/الدنيا</w:t>
      </w:r>
      <w:r w:rsidR="001C25AA">
        <w:rPr>
          <w:rStyle w:val="FootnoteReference"/>
          <w:rtl/>
        </w:rPr>
        <w:footnoteReference w:id="1"/>
      </w:r>
      <w:r w:rsidRPr="00E00AF8">
        <w:rPr>
          <w:rtl/>
        </w:rPr>
        <w:t xml:space="preserve"> بنسبة </w:t>
      </w:r>
      <w:r w:rsidRPr="00E00AF8">
        <w:rPr>
          <w:cs/>
        </w:rPr>
        <w:t>‎</w:t>
      </w:r>
      <w:r w:rsidR="00196A8F">
        <w:t>1,6</w:t>
      </w:r>
      <w:r w:rsidRPr="00E00AF8">
        <w:rPr>
          <w:rtl/>
          <w:cs/>
        </w:rPr>
        <w:t xml:space="preserve"> </w:t>
      </w:r>
      <w:r w:rsidRPr="00E00AF8">
        <w:rPr>
          <w:cs/>
        </w:rPr>
        <w:t>‏</w:t>
      </w:r>
      <w:r w:rsidRPr="00E00AF8">
        <w:rPr>
          <w:rtl/>
          <w:cs/>
        </w:rPr>
        <w:t>في المائة</w:t>
      </w:r>
      <w:r w:rsidRPr="00E00AF8">
        <w:rPr>
          <w:cs/>
        </w:rPr>
        <w:t xml:space="preserve">، </w:t>
      </w:r>
      <w:r w:rsidRPr="00E00AF8">
        <w:rPr>
          <w:rtl/>
          <w:cs/>
        </w:rPr>
        <w:t>اعتباراً من ‎1 ‏يناير 2026.</w:t>
      </w:r>
    </w:p>
    <w:p w14:paraId="0821C6F2" w14:textId="426F7F13" w:rsidR="00E00AF8" w:rsidRPr="00E00AF8" w:rsidRDefault="00E00AF8" w:rsidP="00E00AF8">
      <w:pPr>
        <w:rPr>
          <w:rtl/>
        </w:rPr>
      </w:pPr>
      <w:r w:rsidRPr="00E00AF8">
        <w:rPr>
          <w:rtl/>
        </w:rPr>
        <w:t>3</w:t>
      </w:r>
      <w:r w:rsidRPr="00E00AF8">
        <w:rPr>
          <w:rtl/>
        </w:rPr>
        <w:tab/>
        <w:t>و‏على النحو الذي وافقت عليه الجمعية العامة للأمم المتحدة</w:t>
      </w:r>
      <w:r w:rsidR="002F5986">
        <w:rPr>
          <w:rStyle w:val="FootnoteReference"/>
          <w:rtl/>
        </w:rPr>
        <w:footnoteReference w:id="2"/>
      </w:r>
      <w:r w:rsidRPr="00E00AF8">
        <w:rPr>
          <w:rtl/>
        </w:rPr>
        <w:t xml:space="preserve">، استناداً إلى تقرير لجنة الخدمة المدنية الدولية لعام </w:t>
      </w:r>
      <w:r w:rsidRPr="00E00AF8">
        <w:rPr>
          <w:cs/>
        </w:rPr>
        <w:t>‎</w:t>
      </w:r>
      <w:r w:rsidRPr="00E00AF8">
        <w:rPr>
          <w:rtl/>
          <w:cs/>
        </w:rPr>
        <w:t>2025</w:t>
      </w:r>
      <w:r w:rsidRPr="00E00AF8">
        <w:rPr>
          <w:cs/>
        </w:rPr>
        <w:t>،</w:t>
      </w:r>
      <w:r w:rsidR="000309D5">
        <w:rPr>
          <w:rStyle w:val="FootnoteReference"/>
          <w:cs/>
        </w:rPr>
        <w:footnoteReference w:id="3"/>
      </w:r>
      <w:r w:rsidRPr="00E00AF8">
        <w:rPr>
          <w:rtl/>
        </w:rPr>
        <w:t> نُفِّذ جدول المرتبات الأساسية/الدنيا المراجَع على أساس "انتفاء الخسارة أو الكسب". ونتيجةً لذلك، خفضت مضاعفات تسوية مقر العمل المطبقة في جميع مراكز العمل بنسبة 1,6 ‏في المائة. وفي حين ارتفع المرتب الأساسي بنسبة</w:t>
      </w:r>
      <w:r w:rsidR="00196A8F">
        <w:rPr>
          <w:rFonts w:hint="cs"/>
          <w:rtl/>
        </w:rPr>
        <w:t xml:space="preserve"> </w:t>
      </w:r>
      <w:r w:rsidR="00196A8F">
        <w:rPr>
          <w:rFonts w:hint="cs"/>
          <w:cs/>
        </w:rPr>
        <w:t>1,6</w:t>
      </w:r>
      <w:r w:rsidR="00196A8F">
        <w:rPr>
          <w:rFonts w:hint="cs"/>
          <w:rtl/>
          <w:cs/>
        </w:rPr>
        <w:t xml:space="preserve"> </w:t>
      </w:r>
      <w:r w:rsidRPr="00E00AF8">
        <w:rPr>
          <w:rtl/>
          <w:cs/>
        </w:rPr>
        <w:t>‏</w:t>
      </w:r>
      <w:r w:rsidRPr="00E00AF8">
        <w:rPr>
          <w:cs/>
        </w:rPr>
        <w:t>في المائة</w:t>
      </w:r>
      <w:r w:rsidRPr="00E00AF8">
        <w:rPr>
          <w:rtl/>
          <w:cs/>
        </w:rPr>
        <w:t xml:space="preserve">، </w:t>
      </w:r>
      <w:r w:rsidRPr="00E00AF8">
        <w:rPr>
          <w:cs/>
        </w:rPr>
        <w:t>خفض عنصر تسوية مقر العمل بنفس النسبة المئوية</w:t>
      </w:r>
      <w:r w:rsidRPr="00E00AF8">
        <w:rPr>
          <w:rtl/>
          <w:cs/>
        </w:rPr>
        <w:t xml:space="preserve">، </w:t>
      </w:r>
      <w:r w:rsidRPr="00E00AF8">
        <w:rPr>
          <w:cs/>
        </w:rPr>
        <w:t>مع الإبقاء على الأ</w:t>
      </w:r>
      <w:r w:rsidR="001C25AA">
        <w:rPr>
          <w:rFonts w:hint="cs"/>
          <w:rtl/>
          <w:cs/>
        </w:rPr>
        <w:t>جر</w:t>
      </w:r>
      <w:r w:rsidRPr="00E00AF8">
        <w:rPr>
          <w:rtl/>
        </w:rPr>
        <w:t xml:space="preserve"> الإجمالي (المرتب الأساسي زائدا تسوية مقر العمل) بالعملة المحلية دون تغيير، رهناً بتغييرات طفيفة جداً بسبب تدوير الأرقام. ولا يُسفر ذلك عن أي تغيير في صافي مرتبات الموظفين ولا عن تكاليف إضافية تتحملها المنظمة.</w:t>
      </w:r>
      <w:r w:rsidRPr="00E00AF8">
        <w:rPr>
          <w:cs/>
        </w:rPr>
        <w:t>‎</w:t>
      </w:r>
    </w:p>
    <w:bookmarkEnd w:id="0"/>
    <w:p w14:paraId="12D9DEB9" w14:textId="77777777" w:rsidR="00E00AF8" w:rsidRPr="00E00AF8" w:rsidRDefault="00E00AF8" w:rsidP="001C25AA">
      <w:pPr>
        <w:pStyle w:val="Headingb"/>
        <w:rPr>
          <w:rtl/>
        </w:rPr>
      </w:pPr>
      <w:r w:rsidRPr="00E00AF8">
        <w:rPr>
          <w:rtl/>
        </w:rPr>
        <w:t>الأجر الداخل في حساب المعاش التقاعدي</w:t>
      </w:r>
    </w:p>
    <w:p w14:paraId="4B422A82" w14:textId="163E2C83" w:rsidR="00E00AF8" w:rsidRPr="00E00AF8" w:rsidRDefault="00E00AF8" w:rsidP="001C25AA">
      <w:pPr>
        <w:rPr>
          <w:rtl/>
        </w:rPr>
      </w:pPr>
      <w:r w:rsidRPr="00E00AF8">
        <w:rPr>
          <w:rtl/>
        </w:rPr>
        <w:t>4</w:t>
      </w:r>
      <w:r w:rsidRPr="00E00AF8">
        <w:rPr>
          <w:rtl/>
        </w:rPr>
        <w:tab/>
        <w:t>اعتباراً من ‏</w:t>
      </w:r>
      <w:r w:rsidRPr="00E00AF8">
        <w:rPr>
          <w:cs/>
        </w:rPr>
        <w:t>‎</w:t>
      </w:r>
      <w:r w:rsidRPr="00E00AF8">
        <w:rPr>
          <w:rtl/>
          <w:cs/>
        </w:rPr>
        <w:t>1‎‏ فبراير 2026، تغ</w:t>
      </w:r>
      <w:r w:rsidR="001C25AA">
        <w:rPr>
          <w:rFonts w:hint="cs"/>
          <w:rtl/>
          <w:cs/>
        </w:rPr>
        <w:t>ير</w:t>
      </w:r>
      <w:r w:rsidRPr="00E00AF8">
        <w:rPr>
          <w:rtl/>
        </w:rPr>
        <w:t xml:space="preserve"> تصنيف تسوية مقر العمل في نيويورك من المضاعِف ‏</w:t>
      </w:r>
      <w:r w:rsidRPr="00E00AF8">
        <w:rPr>
          <w:cs/>
        </w:rPr>
        <w:t>‎</w:t>
      </w:r>
      <w:r w:rsidR="001C25AA">
        <w:rPr>
          <w:rFonts w:hint="cs"/>
          <w:cs/>
        </w:rPr>
        <w:t>72,7</w:t>
      </w:r>
      <w:r w:rsidRPr="00E00AF8">
        <w:rPr>
          <w:rtl/>
          <w:cs/>
        </w:rPr>
        <w:t xml:space="preserve"> إلى المضاعِف</w:t>
      </w:r>
      <w:r w:rsidR="002F5986">
        <w:rPr>
          <w:rFonts w:hint="cs"/>
          <w:rtl/>
          <w:cs/>
        </w:rPr>
        <w:t> </w:t>
      </w:r>
      <w:r w:rsidR="001C25AA" w:rsidRPr="002F5986">
        <w:rPr>
          <w:rFonts w:hint="cs"/>
          <w:cs/>
        </w:rPr>
        <w:t>75,6</w:t>
      </w:r>
      <w:r w:rsidRPr="002F5986">
        <w:rPr>
          <w:rtl/>
          <w:cs/>
        </w:rPr>
        <w:t>‏</w:t>
      </w:r>
      <w:r w:rsidRPr="002F5986">
        <w:rPr>
          <w:cs/>
        </w:rPr>
        <w:t>‎</w:t>
      </w:r>
      <w:r w:rsidRPr="002F5986">
        <w:rPr>
          <w:rtl/>
          <w:cs/>
        </w:rPr>
        <w:t>، ‏مما أد</w:t>
      </w:r>
      <w:r w:rsidRPr="002F5986">
        <w:rPr>
          <w:rtl/>
        </w:rPr>
        <w:t>ى إلى زيادة في الأجر الصافي لموظفي الفئتين الفنية والعُليا في نيويورك بنسبة</w:t>
      </w:r>
      <w:r w:rsidR="002F5986" w:rsidRPr="002F5986">
        <w:rPr>
          <w:rFonts w:hint="cs"/>
          <w:rtl/>
        </w:rPr>
        <w:t xml:space="preserve"> </w:t>
      </w:r>
      <w:r w:rsidR="00896B66" w:rsidRPr="002F5986">
        <w:rPr>
          <w:lang w:val="en-GB"/>
        </w:rPr>
        <w:t>172,7/175,7</w:t>
      </w:r>
      <w:r w:rsidR="001C25AA" w:rsidRPr="002F5986">
        <w:rPr>
          <w:rFonts w:hint="cs"/>
          <w:rtl/>
          <w:lang w:val="en-GB" w:bidi="ar-EG"/>
        </w:rPr>
        <w:t>.</w:t>
      </w:r>
      <w:r w:rsidRPr="002F5986">
        <w:rPr>
          <w:rtl/>
        </w:rPr>
        <w:t xml:space="preserve"> ووفقاً لأحكام</w:t>
      </w:r>
      <w:r w:rsidRPr="00E00AF8">
        <w:rPr>
          <w:rtl/>
        </w:rPr>
        <w:t xml:space="preserve"> المادة ‏</w:t>
      </w:r>
      <w:r w:rsidRPr="00E00AF8">
        <w:rPr>
          <w:cs/>
        </w:rPr>
        <w:t>‎</w:t>
      </w:r>
      <w:r w:rsidRPr="00E00AF8">
        <w:rPr>
          <w:rtl/>
          <w:cs/>
        </w:rPr>
        <w:t>51‎‏(ب) ‏من النظام الأساسي للصندوق المشترك للمعاشات التقاعدية لموظفي الأمم المتحدة</w:t>
      </w:r>
      <w:r w:rsidR="002F5986">
        <w:rPr>
          <w:rStyle w:val="FootnoteReference"/>
          <w:rtl/>
          <w:cs/>
        </w:rPr>
        <w:footnoteReference w:id="4"/>
      </w:r>
      <w:r w:rsidRPr="00E00AF8">
        <w:rPr>
          <w:rtl/>
          <w:cs/>
        </w:rPr>
        <w:t>،</w:t>
      </w:r>
      <w:r w:rsidRPr="00E00AF8">
        <w:rPr>
          <w:rtl/>
        </w:rPr>
        <w:t> عُدّل جدول الأجور الداخلة ‏في حساب المعاش التقاعدي المطبَّق على جميع موظفي الفئتين الفنية والعليا في</w:t>
      </w:r>
      <w:r w:rsidR="00896B66">
        <w:t> </w:t>
      </w:r>
      <w:r w:rsidRPr="00E00AF8">
        <w:rPr>
          <w:rtl/>
        </w:rPr>
        <w:t>نفس التاريخ وبنفس النسبة المئوية.</w:t>
      </w:r>
    </w:p>
    <w:p w14:paraId="4465AC1F" w14:textId="6FC0018A" w:rsidR="00E00AF8" w:rsidRPr="00E00AF8" w:rsidRDefault="00E00AF8" w:rsidP="00E00AF8">
      <w:pPr>
        <w:rPr>
          <w:rtl/>
        </w:rPr>
      </w:pPr>
      <w:r w:rsidRPr="00E00AF8">
        <w:rPr>
          <w:rtl/>
        </w:rPr>
        <w:t>5</w:t>
      </w:r>
      <w:r w:rsidRPr="00E00AF8">
        <w:rPr>
          <w:rtl/>
        </w:rPr>
        <w:tab/>
        <w:t xml:space="preserve">وبناءً على ذلك، عُدّل جدول الأجور الداخلة في حساب المعاش التقاعدي لموظفي الفئتين الفنية والعُليا الساري منذ 1 فبراير 2025 بزيادة قدرها 1,0167 </w:t>
      </w:r>
      <w:r w:rsidR="00896B66">
        <w:rPr>
          <w:rFonts w:hint="cs"/>
          <w:rtl/>
        </w:rPr>
        <w:t>ف</w:t>
      </w:r>
      <w:r w:rsidRPr="00E00AF8">
        <w:rPr>
          <w:rtl/>
        </w:rPr>
        <w:t>ي المائة وفقاً للحكم أعلاه، ودخل حيز النفاذ في 1 فبراير 2026.</w:t>
      </w:r>
    </w:p>
    <w:p w14:paraId="0B88F483" w14:textId="77777777" w:rsidR="00E00AF8" w:rsidRPr="00E00AF8" w:rsidRDefault="00E00AF8" w:rsidP="001C25AA">
      <w:pPr>
        <w:pStyle w:val="Headingb"/>
        <w:rPr>
          <w:rtl/>
        </w:rPr>
      </w:pPr>
      <w:r w:rsidRPr="00E00AF8">
        <w:rPr>
          <w:rtl/>
        </w:rPr>
        <w:t>باء</w:t>
      </w:r>
      <w:r w:rsidRPr="00E00AF8">
        <w:rPr>
          <w:rtl/>
        </w:rPr>
        <w:tab/>
        <w:t>موظفو فئة الخدمات العامة</w:t>
      </w:r>
    </w:p>
    <w:p w14:paraId="2018F180" w14:textId="274735CD" w:rsidR="00E00AF8" w:rsidRPr="00E00AF8" w:rsidRDefault="00E00AF8" w:rsidP="00E00AF8">
      <w:pPr>
        <w:rPr>
          <w:rtl/>
        </w:rPr>
      </w:pPr>
      <w:r w:rsidRPr="00E00AF8">
        <w:rPr>
          <w:rtl/>
        </w:rPr>
        <w:t>7</w:t>
      </w:r>
      <w:r w:rsidRPr="00E00AF8">
        <w:rPr>
          <w:rtl/>
        </w:rPr>
        <w:tab/>
        <w:t xml:space="preserve">إن منهجية لجنة الخدمة المدنية الدولية فيما يتعلق بإدخال تعديلات مؤقتة على جدول المرتبات لموظفي فئة الخدمات العامة المقيمين في جنيف يتطلب التعديل في المرتبات الصافية لهؤلاء الموظفين كلما تطور مؤشر أسعار الاستهلاك </w:t>
      </w:r>
      <w:r w:rsidRPr="00E00AF8">
        <w:rPr>
          <w:lang w:bidi="ar-EG"/>
        </w:rPr>
        <w:t>(CPI)</w:t>
      </w:r>
      <w:r w:rsidRPr="00E00AF8">
        <w:rPr>
          <w:rtl/>
        </w:rPr>
        <w:t xml:space="preserve"> لجنيف بنسبة 5 في المائة مقابل المؤشر المستخدم في وقت التعديل السابق، أو كل 12 شهراً، أيهما</w:t>
      </w:r>
      <w:r w:rsidR="000309D5">
        <w:rPr>
          <w:rFonts w:hint="cs"/>
          <w:rtl/>
        </w:rPr>
        <w:t> </w:t>
      </w:r>
      <w:r w:rsidRPr="00E00AF8">
        <w:rPr>
          <w:rtl/>
        </w:rPr>
        <w:t>أسبق</w:t>
      </w:r>
      <w:r w:rsidR="000309D5">
        <w:rPr>
          <w:rStyle w:val="FootnoteReference"/>
          <w:rtl/>
        </w:rPr>
        <w:footnoteReference w:id="5"/>
      </w:r>
      <w:r w:rsidRPr="00E00AF8">
        <w:rPr>
          <w:rtl/>
        </w:rPr>
        <w:t>.</w:t>
      </w:r>
    </w:p>
    <w:p w14:paraId="77F57FE8" w14:textId="2070651D" w:rsidR="00E00AF8" w:rsidRPr="00E00AF8" w:rsidRDefault="00E00AF8" w:rsidP="00E00AF8">
      <w:pPr>
        <w:rPr>
          <w:rtl/>
        </w:rPr>
      </w:pPr>
      <w:r w:rsidRPr="00E00AF8">
        <w:rPr>
          <w:rtl/>
        </w:rPr>
        <w:lastRenderedPageBreak/>
        <w:t>8</w:t>
      </w:r>
      <w:r w:rsidRPr="00E00AF8">
        <w:rPr>
          <w:rtl/>
        </w:rPr>
        <w:tab/>
        <w:t xml:space="preserve">ويبين تطور مؤشر أسعار الاستهلاك في جنيف من سبتمبر 2024 إلى سبتمبر 2025 زيادة صافية في جداول المرتبات بنسبة </w:t>
      </w:r>
      <w:r w:rsidR="001C25AA">
        <w:t>0,3</w:t>
      </w:r>
      <w:r w:rsidR="001C25AA">
        <w:rPr>
          <w:rFonts w:hint="cs"/>
          <w:rtl/>
        </w:rPr>
        <w:t xml:space="preserve"> </w:t>
      </w:r>
      <w:r w:rsidRPr="00E00AF8">
        <w:rPr>
          <w:rtl/>
        </w:rPr>
        <w:t xml:space="preserve">في المائة. وبالتالي، تطبيقاً للإجراء المذكور أعلاه، قامت لجنة الخدمة المدنية الدولية بتعديل المرتبات الصافية لموظفي فئة الخدمات العامة في جنيف زيادةً بنسبة </w:t>
      </w:r>
      <w:r w:rsidR="001C25AA">
        <w:t>0,3</w:t>
      </w:r>
      <w:r w:rsidRPr="00E00AF8">
        <w:rPr>
          <w:rtl/>
        </w:rPr>
        <w:t xml:space="preserve"> في المائة اعتباراً من 1 سبتمبر 2025.</w:t>
      </w:r>
    </w:p>
    <w:p w14:paraId="2038E144" w14:textId="77777777" w:rsidR="00E00AF8" w:rsidRPr="00E00AF8" w:rsidRDefault="00E00AF8" w:rsidP="000309D5">
      <w:pPr>
        <w:pStyle w:val="Heading1"/>
        <w:rPr>
          <w:rtl/>
        </w:rPr>
      </w:pPr>
      <w:r w:rsidRPr="00E00AF8">
        <w:rPr>
          <w:rtl/>
        </w:rPr>
        <w:t>ثانياً</w:t>
      </w:r>
      <w:r w:rsidRPr="00E00AF8">
        <w:rPr>
          <w:rtl/>
        </w:rPr>
        <w:tab/>
        <w:t>شروط خدمة الموظفين المنتخبين</w:t>
      </w:r>
    </w:p>
    <w:p w14:paraId="4126BC74" w14:textId="2E9FE1EC" w:rsidR="00E00AF8" w:rsidRPr="00E00AF8" w:rsidRDefault="00E00AF8" w:rsidP="00E00AF8">
      <w:pPr>
        <w:rPr>
          <w:rtl/>
        </w:rPr>
      </w:pPr>
      <w:r w:rsidRPr="00E00AF8">
        <w:rPr>
          <w:rtl/>
        </w:rPr>
        <w:t>9</w:t>
      </w:r>
      <w:r w:rsidRPr="00E00AF8">
        <w:rPr>
          <w:rtl/>
        </w:rPr>
        <w:tab/>
        <w:t xml:space="preserve">‏عملاً بالقرار </w:t>
      </w:r>
      <w:r w:rsidRPr="00E00AF8">
        <w:rPr>
          <w:cs/>
        </w:rPr>
        <w:t>‎</w:t>
      </w:r>
      <w:r w:rsidRPr="00E00AF8">
        <w:rPr>
          <w:rtl/>
          <w:cs/>
        </w:rPr>
        <w:t xml:space="preserve">46 </w:t>
      </w:r>
      <w:r w:rsidR="000309D5">
        <w:rPr>
          <w:rFonts w:hint="cs"/>
          <w:rtl/>
          <w:cs/>
        </w:rPr>
        <w:t>(</w:t>
      </w:r>
      <w:r w:rsidRPr="00E00AF8">
        <w:rPr>
          <w:rtl/>
          <w:cs/>
        </w:rPr>
        <w:t>‏</w:t>
      </w:r>
      <w:r w:rsidRPr="00E00AF8">
        <w:rPr>
          <w:cs/>
        </w:rPr>
        <w:t>كيوتو</w:t>
      </w:r>
      <w:r w:rsidRPr="00E00AF8">
        <w:rPr>
          <w:rtl/>
          <w:cs/>
        </w:rPr>
        <w:t>، ‎1994</w:t>
      </w:r>
      <w:r w:rsidR="000309D5">
        <w:rPr>
          <w:rFonts w:hint="cs"/>
          <w:rtl/>
          <w:cs/>
        </w:rPr>
        <w:t>)</w:t>
      </w:r>
      <w:r w:rsidRPr="00E00AF8">
        <w:rPr>
          <w:rtl/>
          <w:cs/>
        </w:rPr>
        <w:t xml:space="preserve"> ‏لمؤتمر المندوبين </w:t>
      </w:r>
      <w:r w:rsidR="000F6A82">
        <w:rPr>
          <w:rFonts w:hint="cs"/>
          <w:rtl/>
          <w:cs/>
        </w:rPr>
        <w:t>المفوضين</w:t>
      </w:r>
      <w:r w:rsidRPr="00E00AF8">
        <w:rPr>
          <w:rtl/>
        </w:rPr>
        <w:t>، تحدَّد الأجور التي يتقاضاها المسؤولون المنتخبون بالنسبة إلى المرتب الأقصى المدفوع للموظفين المعينين على أساس النسب المئوية المبينة في</w:t>
      </w:r>
      <w:r w:rsidR="000F6A82">
        <w:rPr>
          <w:rFonts w:hint="cs"/>
          <w:rtl/>
        </w:rPr>
        <w:t> </w:t>
      </w:r>
      <w:r w:rsidRPr="00E00AF8">
        <w:rPr>
          <w:rtl/>
        </w:rPr>
        <w:t>ذلك القرار. ولذلك، تجب مراجعة أجور المسؤولين المنتخبين نتيجة للزيادة في مستوى أجور الموظفين المعينين التي وافقت عليها الجمعية العامة للأمم المتحدة في دورتها الأخيرة. ووفقاً للعرف المتَّبع، ينفَّذ جدول المرتبات الأساسية/الدنيا المراجَع على أساس "انتفاء الخسارة أو الكسب"، على النحو الموضح أعلاه (انظر الفقرتين 2 ‏و3).</w:t>
      </w:r>
    </w:p>
    <w:p w14:paraId="06188450" w14:textId="049D6C0F" w:rsidR="00E00AF8" w:rsidRPr="00E00AF8" w:rsidRDefault="00E00AF8" w:rsidP="000309D5">
      <w:pPr>
        <w:rPr>
          <w:rtl/>
        </w:rPr>
      </w:pPr>
      <w:r w:rsidRPr="00E00AF8">
        <w:rPr>
          <w:rtl/>
        </w:rPr>
        <w:t>10</w:t>
      </w:r>
      <w:r w:rsidRPr="00E00AF8">
        <w:rPr>
          <w:rtl/>
        </w:rPr>
        <w:tab/>
        <w:t>‏ويجب أيضاً تعديل الأجر الداخل في حساب المعاش التقاعدي المطبق على الموظفين المنتخبين زيادةً نتيجة للزيادة في الأجر الداخل في حساب المعاش التقاعدي المطبق على الموظفين المعينين، على النحو الذي وافقت عليه الجمعية العامة للأمم المتحدة. وينتج عن ذلك نفس النسبة المئوية للزيادة في الأجر الداخل في حساب المعاش التقاعدي (</w:t>
      </w:r>
      <w:r w:rsidR="000309D5" w:rsidRPr="000309D5">
        <w:rPr>
          <w:lang w:val="en-GB"/>
        </w:rPr>
        <w:t>1</w:t>
      </w:r>
      <w:r w:rsidR="000309D5">
        <w:rPr>
          <w:lang w:val="en-GB"/>
        </w:rPr>
        <w:t>,</w:t>
      </w:r>
      <w:r w:rsidR="000309D5" w:rsidRPr="000309D5">
        <w:rPr>
          <w:lang w:val="en-GB"/>
        </w:rPr>
        <w:t>0167</w:t>
      </w:r>
      <w:r w:rsidR="000309D5">
        <w:rPr>
          <w:rFonts w:hint="cs"/>
          <w:rtl/>
          <w:lang w:val="en-GB"/>
        </w:rPr>
        <w:t xml:space="preserve"> </w:t>
      </w:r>
      <w:r w:rsidRPr="00E00AF8">
        <w:rPr>
          <w:rtl/>
          <w:cs/>
        </w:rPr>
        <w:t>‏</w:t>
      </w:r>
      <w:r w:rsidRPr="00E00AF8">
        <w:rPr>
          <w:cs/>
        </w:rPr>
        <w:t>في المائة</w:t>
      </w:r>
      <w:r w:rsidRPr="00E00AF8">
        <w:rPr>
          <w:rtl/>
          <w:cs/>
        </w:rPr>
        <w:t xml:space="preserve">) </w:t>
      </w:r>
      <w:r w:rsidRPr="00E00AF8">
        <w:rPr>
          <w:cs/>
        </w:rPr>
        <w:t>مقارنة بالموظفين المعينين</w:t>
      </w:r>
      <w:r w:rsidRPr="00E00AF8">
        <w:rPr>
          <w:rtl/>
          <w:cs/>
        </w:rPr>
        <w:t xml:space="preserve">، </w:t>
      </w:r>
      <w:r w:rsidRPr="00E00AF8">
        <w:rPr>
          <w:cs/>
        </w:rPr>
        <w:t>على النحو المشار إليه أعلاه</w:t>
      </w:r>
      <w:r w:rsidR="00133C39">
        <w:rPr>
          <w:rFonts w:hint="cs"/>
          <w:rtl/>
          <w:cs/>
        </w:rPr>
        <w:t xml:space="preserve"> (</w:t>
      </w:r>
      <w:r w:rsidRPr="00E00AF8">
        <w:rPr>
          <w:cs/>
        </w:rPr>
        <w:t>انظر الفقرتين</w:t>
      </w:r>
      <w:r w:rsidRPr="00E00AF8">
        <w:rPr>
          <w:rtl/>
          <w:cs/>
        </w:rPr>
        <w:t>‎4 ‏و</w:t>
      </w:r>
      <w:r w:rsidRPr="00E00AF8">
        <w:rPr>
          <w:cs/>
        </w:rPr>
        <w:t>‎</w:t>
      </w:r>
      <w:r w:rsidRPr="00E00AF8">
        <w:rPr>
          <w:rtl/>
          <w:cs/>
        </w:rPr>
        <w:t>5</w:t>
      </w:r>
      <w:r w:rsidR="00133C39">
        <w:rPr>
          <w:rFonts w:hint="cs"/>
          <w:rtl/>
          <w:cs/>
        </w:rPr>
        <w:t>)</w:t>
      </w:r>
      <w:r w:rsidRPr="00E00AF8">
        <w:rPr>
          <w:cs/>
        </w:rPr>
        <w:t>.</w:t>
      </w:r>
    </w:p>
    <w:p w14:paraId="7598A031" w14:textId="065577B9" w:rsidR="00133C39" w:rsidRDefault="00E00AF8" w:rsidP="002F5986">
      <w:pPr>
        <w:tabs>
          <w:tab w:val="clear" w:pos="794"/>
          <w:tab w:val="left" w:pos="1133"/>
        </w:tabs>
        <w:spacing w:before="2280"/>
      </w:pPr>
      <w:r w:rsidRPr="00E00AF8">
        <w:rPr>
          <w:b/>
          <w:bCs/>
          <w:rtl/>
        </w:rPr>
        <w:t>الملحق</w:t>
      </w:r>
      <w:r w:rsidR="002F5986">
        <w:rPr>
          <w:rFonts w:hint="cs"/>
          <w:b/>
          <w:bCs/>
          <w:rtl/>
        </w:rPr>
        <w:t>ات</w:t>
      </w:r>
      <w:r w:rsidR="002F5986">
        <w:rPr>
          <w:rFonts w:hint="cs"/>
          <w:b/>
          <w:bCs/>
          <w:rtl/>
          <w:lang w:bidi="ar-EG"/>
        </w:rPr>
        <w:t>:</w:t>
      </w:r>
      <w:r w:rsidR="002F5986">
        <w:rPr>
          <w:b/>
          <w:bCs/>
          <w:rtl/>
        </w:rPr>
        <w:tab/>
      </w:r>
      <w:r w:rsidRPr="00E00AF8">
        <w:rPr>
          <w:rtl/>
        </w:rPr>
        <w:t xml:space="preserve">1 </w:t>
      </w:r>
      <w:r w:rsidR="00133C39">
        <w:rPr>
          <w:rtl/>
        </w:rPr>
        <w:br w:type="page"/>
      </w:r>
    </w:p>
    <w:p w14:paraId="7B465B4D" w14:textId="77777777" w:rsidR="00E00AF8" w:rsidRPr="00E00AF8" w:rsidRDefault="00E00AF8" w:rsidP="00133C39">
      <w:pPr>
        <w:pStyle w:val="AnnexNo"/>
        <w:rPr>
          <w:rtl/>
        </w:rPr>
      </w:pPr>
      <w:bookmarkStart w:id="1" w:name="Annex"/>
      <w:r w:rsidRPr="00E00AF8">
        <w:rPr>
          <w:rtl/>
        </w:rPr>
        <w:lastRenderedPageBreak/>
        <w:t>الملحق</w:t>
      </w:r>
      <w:bookmarkEnd w:id="1"/>
    </w:p>
    <w:p w14:paraId="5529A191" w14:textId="77777777" w:rsidR="00E00AF8" w:rsidRPr="00133C39" w:rsidRDefault="00E00AF8" w:rsidP="00133C39">
      <w:pPr>
        <w:pStyle w:val="ResNo"/>
        <w:rPr>
          <w:rtl/>
        </w:rPr>
      </w:pPr>
      <w:r w:rsidRPr="00133C39">
        <w:rPr>
          <w:rtl/>
        </w:rPr>
        <w:t xml:space="preserve">مشروع قرار </w:t>
      </w:r>
      <w:r w:rsidRPr="00133C39">
        <w:rPr>
          <w:lang w:bidi="ar-EG"/>
        </w:rPr>
        <w:t>[…]</w:t>
      </w:r>
    </w:p>
    <w:p w14:paraId="3928169C" w14:textId="77777777" w:rsidR="00E00AF8" w:rsidRPr="00E00AF8" w:rsidRDefault="00E00AF8" w:rsidP="00133C39">
      <w:pPr>
        <w:pStyle w:val="Restitle"/>
        <w:rPr>
          <w:rtl/>
        </w:rPr>
      </w:pPr>
      <w:r w:rsidRPr="00E00AF8">
        <w:rPr>
          <w:rtl/>
        </w:rPr>
        <w:t>شروط خدمة الموظفين المنتخبين في الاتحاد</w:t>
      </w:r>
    </w:p>
    <w:p w14:paraId="51F83DD4" w14:textId="77777777" w:rsidR="00E00AF8" w:rsidRPr="00E00AF8" w:rsidRDefault="00E00AF8" w:rsidP="002F5986">
      <w:pPr>
        <w:pStyle w:val="Normalaftertitle"/>
        <w:rPr>
          <w:rtl/>
        </w:rPr>
      </w:pPr>
      <w:r w:rsidRPr="00E00AF8">
        <w:rPr>
          <w:rtl/>
        </w:rPr>
        <w:t>إن مجلس الاتحاد الدولي للاتصالات،</w:t>
      </w:r>
    </w:p>
    <w:p w14:paraId="3B68E215" w14:textId="77777777" w:rsidR="00E00AF8" w:rsidRPr="00E00AF8" w:rsidRDefault="00E00AF8" w:rsidP="00133C39">
      <w:pPr>
        <w:pStyle w:val="Call"/>
        <w:rPr>
          <w:rtl/>
        </w:rPr>
      </w:pPr>
      <w:r w:rsidRPr="00E00AF8">
        <w:rPr>
          <w:rtl/>
        </w:rPr>
        <w:t>إذ يذكِّر</w:t>
      </w:r>
    </w:p>
    <w:p w14:paraId="41B600F7" w14:textId="77777777" w:rsidR="00E00AF8" w:rsidRPr="00E00AF8" w:rsidRDefault="00E00AF8" w:rsidP="00E00AF8">
      <w:pPr>
        <w:rPr>
          <w:rtl/>
        </w:rPr>
      </w:pPr>
      <w:r w:rsidRPr="00E00AF8">
        <w:rPr>
          <w:rtl/>
        </w:rPr>
        <w:t>بالقرار 46 (كيوتو، 1994) لمؤتمر المندوبين المفوضين؛</w:t>
      </w:r>
    </w:p>
    <w:p w14:paraId="7E4FEC8D" w14:textId="77777777" w:rsidR="00E00AF8" w:rsidRPr="00E00AF8" w:rsidRDefault="00E00AF8" w:rsidP="00133C39">
      <w:pPr>
        <w:pStyle w:val="Call"/>
        <w:rPr>
          <w:rtl/>
        </w:rPr>
      </w:pPr>
      <w:r w:rsidRPr="00E00AF8">
        <w:rPr>
          <w:rtl/>
        </w:rPr>
        <w:t>وقد نظر</w:t>
      </w:r>
    </w:p>
    <w:p w14:paraId="5B32E1D8" w14:textId="53D702ED" w:rsidR="00E00AF8" w:rsidRPr="00E00AF8" w:rsidRDefault="00E00AF8" w:rsidP="00E00AF8">
      <w:pPr>
        <w:rPr>
          <w:rtl/>
        </w:rPr>
      </w:pPr>
      <w:r w:rsidRPr="00E00AF8">
        <w:rPr>
          <w:rtl/>
        </w:rPr>
        <w:t xml:space="preserve">في تقرير الأمينة العامة بشأن التدابير المتخذة داخل النظام الموحد للأمم المتحدة نتيجة للقرار </w:t>
      </w:r>
      <w:r w:rsidR="000F6A82">
        <w:rPr>
          <w:lang w:val="en-GB"/>
        </w:rPr>
        <w:t>80/236</w:t>
      </w:r>
      <w:r w:rsidRPr="00E00AF8">
        <w:rPr>
          <w:rtl/>
        </w:rPr>
        <w:t xml:space="preserve"> للجمعية العامة للأمم المتحدة فيما يخص شروط الخدمة،</w:t>
      </w:r>
    </w:p>
    <w:p w14:paraId="4A0F08CA" w14:textId="77777777" w:rsidR="00E00AF8" w:rsidRPr="00E00AF8" w:rsidRDefault="00E00AF8" w:rsidP="00133C39">
      <w:pPr>
        <w:pStyle w:val="Call"/>
        <w:rPr>
          <w:rtl/>
        </w:rPr>
      </w:pPr>
      <w:r w:rsidRPr="00E00AF8">
        <w:rPr>
          <w:rtl/>
        </w:rPr>
        <w:t>يقرر</w:t>
      </w:r>
    </w:p>
    <w:p w14:paraId="3DD107BF" w14:textId="63123705" w:rsidR="00E00AF8" w:rsidRPr="00E00AF8" w:rsidRDefault="00E00AF8" w:rsidP="00E00AF8">
      <w:pPr>
        <w:rPr>
          <w:rtl/>
        </w:rPr>
      </w:pPr>
      <w:r w:rsidRPr="00E00AF8">
        <w:rPr>
          <w:rtl/>
        </w:rPr>
        <w:t>الموافقة على المرتبات التالية اعتباراً من 1 يناير 2026 والأجر الداخل في حساب المعاش التقاعدي اعتباراً من 1 فبراير</w:t>
      </w:r>
      <w:r w:rsidR="000F6A82">
        <w:t> </w:t>
      </w:r>
      <w:r w:rsidRPr="00E00AF8">
        <w:rPr>
          <w:rtl/>
        </w:rPr>
        <w:t>2026 للموظفين المنتخبين في الاتحاد:</w:t>
      </w:r>
    </w:p>
    <w:tbl>
      <w:tblPr>
        <w:tblStyle w:val="TableGrid"/>
        <w:bidiVisual/>
        <w:tblW w:w="0" w:type="auto"/>
        <w:tblInd w:w="-5" w:type="dxa"/>
        <w:tblLayout w:type="fixed"/>
        <w:tblCellMar>
          <w:left w:w="57" w:type="dxa"/>
          <w:right w:w="57" w:type="dxa"/>
        </w:tblCellMar>
        <w:tblLook w:val="04A0" w:firstRow="1" w:lastRow="0" w:firstColumn="1" w:lastColumn="0" w:noHBand="0" w:noVBand="1"/>
      </w:tblPr>
      <w:tblGrid>
        <w:gridCol w:w="2674"/>
        <w:gridCol w:w="2142"/>
        <w:gridCol w:w="2106"/>
        <w:gridCol w:w="2139"/>
      </w:tblGrid>
      <w:tr w:rsidR="00E00AF8" w:rsidRPr="002F5986" w14:paraId="3BE906D1" w14:textId="77777777" w:rsidTr="002F5986">
        <w:tc>
          <w:tcPr>
            <w:tcW w:w="2674" w:type="dxa"/>
            <w:tcBorders>
              <w:top w:val="nil"/>
              <w:left w:val="nil"/>
              <w:bottom w:val="nil"/>
            </w:tcBorders>
          </w:tcPr>
          <w:p w14:paraId="35BC32DD" w14:textId="77777777" w:rsidR="00E00AF8" w:rsidRPr="002F5986" w:rsidRDefault="00E00AF8" w:rsidP="00E00AF8">
            <w:pPr>
              <w:rPr>
                <w:b/>
                <w:position w:val="2"/>
                <w:lang w:bidi="ar-EG"/>
              </w:rPr>
            </w:pPr>
          </w:p>
        </w:tc>
        <w:tc>
          <w:tcPr>
            <w:tcW w:w="6387" w:type="dxa"/>
            <w:gridSpan w:val="3"/>
            <w:hideMark/>
          </w:tcPr>
          <w:p w14:paraId="0FF81923" w14:textId="77777777" w:rsidR="00E00AF8" w:rsidRPr="002F5986" w:rsidRDefault="00E00AF8" w:rsidP="00133C39">
            <w:pPr>
              <w:pStyle w:val="Tablehead"/>
              <w:rPr>
                <w:position w:val="2"/>
                <w:rtl/>
              </w:rPr>
            </w:pPr>
            <w:r w:rsidRPr="002F5986">
              <w:rPr>
                <w:position w:val="2"/>
                <w:rtl/>
              </w:rPr>
              <w:t>دولار أمريكي سنوياً</w:t>
            </w:r>
          </w:p>
        </w:tc>
      </w:tr>
      <w:tr w:rsidR="00E00AF8" w:rsidRPr="002F5986" w14:paraId="5FAE4AD6" w14:textId="77777777" w:rsidTr="002F5986">
        <w:tc>
          <w:tcPr>
            <w:tcW w:w="2674" w:type="dxa"/>
            <w:tcBorders>
              <w:top w:val="nil"/>
              <w:left w:val="nil"/>
            </w:tcBorders>
          </w:tcPr>
          <w:p w14:paraId="75B7551E" w14:textId="77777777" w:rsidR="00E00AF8" w:rsidRPr="002F5986" w:rsidRDefault="00E00AF8" w:rsidP="00E00AF8">
            <w:pPr>
              <w:rPr>
                <w:b/>
                <w:position w:val="2"/>
                <w:lang w:bidi="ar-EG"/>
              </w:rPr>
            </w:pPr>
          </w:p>
        </w:tc>
        <w:tc>
          <w:tcPr>
            <w:tcW w:w="2142" w:type="dxa"/>
            <w:hideMark/>
          </w:tcPr>
          <w:p w14:paraId="15494DE5" w14:textId="230DAA54" w:rsidR="00E00AF8" w:rsidRPr="002F5986" w:rsidRDefault="00E00AF8" w:rsidP="00133C39">
            <w:pPr>
              <w:pStyle w:val="Tablehead"/>
              <w:rPr>
                <w:position w:val="2"/>
                <w:rtl/>
              </w:rPr>
            </w:pPr>
            <w:r w:rsidRPr="002F5986">
              <w:rPr>
                <w:position w:val="2"/>
                <w:rtl/>
              </w:rPr>
              <w:t xml:space="preserve">الإجمالي </w:t>
            </w:r>
            <w:r w:rsidR="000F6A82" w:rsidRPr="002F5986">
              <w:rPr>
                <w:position w:val="2"/>
              </w:rPr>
              <w:br/>
            </w:r>
            <w:r w:rsidRPr="002F5986">
              <w:rPr>
                <w:position w:val="2"/>
                <w:sz w:val="16"/>
                <w:szCs w:val="16"/>
                <w:rtl/>
              </w:rPr>
              <w:t>(1 يناير 2026)</w:t>
            </w:r>
          </w:p>
        </w:tc>
        <w:tc>
          <w:tcPr>
            <w:tcW w:w="2106" w:type="dxa"/>
            <w:hideMark/>
          </w:tcPr>
          <w:p w14:paraId="383E168B" w14:textId="43AC29E3" w:rsidR="00E00AF8" w:rsidRPr="002F5986" w:rsidRDefault="00E00AF8" w:rsidP="00133C39">
            <w:pPr>
              <w:pStyle w:val="Tablehead"/>
              <w:rPr>
                <w:position w:val="2"/>
                <w:rtl/>
              </w:rPr>
            </w:pPr>
            <w:r w:rsidRPr="002F5986">
              <w:rPr>
                <w:position w:val="2"/>
                <w:rtl/>
              </w:rPr>
              <w:t xml:space="preserve">الصافي </w:t>
            </w:r>
            <w:r w:rsidR="000F6A82" w:rsidRPr="002F5986">
              <w:rPr>
                <w:position w:val="2"/>
              </w:rPr>
              <w:br/>
            </w:r>
            <w:r w:rsidRPr="002F5986">
              <w:rPr>
                <w:position w:val="2"/>
                <w:sz w:val="16"/>
                <w:szCs w:val="16"/>
                <w:rtl/>
              </w:rPr>
              <w:t>(1 يناير 2026)</w:t>
            </w:r>
          </w:p>
        </w:tc>
        <w:tc>
          <w:tcPr>
            <w:tcW w:w="2139" w:type="dxa"/>
            <w:hideMark/>
          </w:tcPr>
          <w:p w14:paraId="40F3AFDB" w14:textId="0BEF2DA8" w:rsidR="00E00AF8" w:rsidRPr="002F5986" w:rsidRDefault="00E00AF8" w:rsidP="00133C39">
            <w:pPr>
              <w:pStyle w:val="Tablehead"/>
              <w:rPr>
                <w:position w:val="2"/>
                <w:rtl/>
              </w:rPr>
            </w:pPr>
            <w:r w:rsidRPr="002F5986">
              <w:rPr>
                <w:position w:val="2"/>
                <w:rtl/>
              </w:rPr>
              <w:t xml:space="preserve">الأجر الداخل في حساب المعاش التقاعدي </w:t>
            </w:r>
            <w:r w:rsidR="00133C39" w:rsidRPr="002F5986">
              <w:rPr>
                <w:position w:val="2"/>
                <w:rtl/>
              </w:rPr>
              <w:br/>
            </w:r>
            <w:r w:rsidRPr="002F5986">
              <w:rPr>
                <w:position w:val="2"/>
                <w:sz w:val="16"/>
                <w:szCs w:val="16"/>
                <w:rtl/>
              </w:rPr>
              <w:t>(1 فبراير 2026)</w:t>
            </w:r>
          </w:p>
        </w:tc>
      </w:tr>
      <w:tr w:rsidR="00E00AF8" w:rsidRPr="002F5986" w14:paraId="292203E8" w14:textId="77777777" w:rsidTr="002F5986">
        <w:tc>
          <w:tcPr>
            <w:tcW w:w="2674" w:type="dxa"/>
            <w:hideMark/>
          </w:tcPr>
          <w:p w14:paraId="3C79CB42" w14:textId="77777777" w:rsidR="00E00AF8" w:rsidRPr="002F5986" w:rsidRDefault="00E00AF8" w:rsidP="00133C39">
            <w:pPr>
              <w:pStyle w:val="Tabletexte"/>
              <w:rPr>
                <w:position w:val="2"/>
                <w:rtl/>
              </w:rPr>
            </w:pPr>
            <w:r w:rsidRPr="002F5986">
              <w:rPr>
                <w:position w:val="2"/>
                <w:rtl/>
              </w:rPr>
              <w:t>الأمين العام</w:t>
            </w:r>
          </w:p>
        </w:tc>
        <w:tc>
          <w:tcPr>
            <w:tcW w:w="2142" w:type="dxa"/>
            <w:hideMark/>
          </w:tcPr>
          <w:p w14:paraId="277782D0" w14:textId="77777777" w:rsidR="00E00AF8" w:rsidRPr="002F5986" w:rsidRDefault="00E00AF8" w:rsidP="00133C39">
            <w:pPr>
              <w:pStyle w:val="Tabletexte"/>
              <w:jc w:val="center"/>
              <w:rPr>
                <w:position w:val="2"/>
                <w:rtl/>
              </w:rPr>
            </w:pPr>
            <w:r w:rsidRPr="002F5986">
              <w:rPr>
                <w:position w:val="2"/>
                <w:rtl/>
              </w:rPr>
              <w:t>867 288</w:t>
            </w:r>
          </w:p>
        </w:tc>
        <w:tc>
          <w:tcPr>
            <w:tcW w:w="2106" w:type="dxa"/>
            <w:hideMark/>
          </w:tcPr>
          <w:p w14:paraId="2EE22541" w14:textId="77777777" w:rsidR="00E00AF8" w:rsidRPr="002F5986" w:rsidRDefault="00E00AF8" w:rsidP="00133C39">
            <w:pPr>
              <w:pStyle w:val="Tabletexte"/>
              <w:jc w:val="center"/>
              <w:rPr>
                <w:position w:val="2"/>
                <w:rtl/>
              </w:rPr>
            </w:pPr>
            <w:r w:rsidRPr="002F5986">
              <w:rPr>
                <w:position w:val="2"/>
                <w:rtl/>
              </w:rPr>
              <w:t>152 206</w:t>
            </w:r>
          </w:p>
        </w:tc>
        <w:tc>
          <w:tcPr>
            <w:tcW w:w="2139" w:type="dxa"/>
          </w:tcPr>
          <w:p w14:paraId="34BBF13A" w14:textId="77777777" w:rsidR="00E00AF8" w:rsidRPr="002F5986" w:rsidRDefault="00E00AF8" w:rsidP="00133C39">
            <w:pPr>
              <w:pStyle w:val="Tabletexte"/>
              <w:jc w:val="center"/>
              <w:rPr>
                <w:position w:val="2"/>
                <w:rtl/>
              </w:rPr>
            </w:pPr>
            <w:r w:rsidRPr="002F5986">
              <w:rPr>
                <w:position w:val="2"/>
                <w:rtl/>
              </w:rPr>
              <w:t>439 473</w:t>
            </w:r>
          </w:p>
        </w:tc>
      </w:tr>
      <w:tr w:rsidR="00E00AF8" w:rsidRPr="002F5986" w14:paraId="62316BB1" w14:textId="77777777" w:rsidTr="002F5986">
        <w:tc>
          <w:tcPr>
            <w:tcW w:w="2674" w:type="dxa"/>
            <w:hideMark/>
          </w:tcPr>
          <w:p w14:paraId="18FC99D9" w14:textId="77777777" w:rsidR="00E00AF8" w:rsidRPr="002F5986" w:rsidRDefault="00E00AF8" w:rsidP="00133C39">
            <w:pPr>
              <w:pStyle w:val="Tabletexte"/>
              <w:rPr>
                <w:position w:val="2"/>
                <w:rtl/>
              </w:rPr>
            </w:pPr>
            <w:r w:rsidRPr="002F5986">
              <w:rPr>
                <w:position w:val="2"/>
                <w:rtl/>
              </w:rPr>
              <w:t>نائب الأمين العام ومديرو المكاتب</w:t>
            </w:r>
          </w:p>
        </w:tc>
        <w:tc>
          <w:tcPr>
            <w:tcW w:w="2142" w:type="dxa"/>
            <w:hideMark/>
          </w:tcPr>
          <w:p w14:paraId="2DA6E702" w14:textId="77777777" w:rsidR="00E00AF8" w:rsidRPr="002F5986" w:rsidRDefault="00E00AF8" w:rsidP="00133C39">
            <w:pPr>
              <w:pStyle w:val="Tabletexte"/>
              <w:jc w:val="center"/>
              <w:rPr>
                <w:position w:val="2"/>
                <w:rtl/>
              </w:rPr>
            </w:pPr>
            <w:r w:rsidRPr="002F5986">
              <w:rPr>
                <w:position w:val="2"/>
                <w:rtl/>
              </w:rPr>
              <w:t>226 263</w:t>
            </w:r>
          </w:p>
        </w:tc>
        <w:tc>
          <w:tcPr>
            <w:tcW w:w="2106" w:type="dxa"/>
            <w:hideMark/>
          </w:tcPr>
          <w:p w14:paraId="76F91502" w14:textId="77777777" w:rsidR="00E00AF8" w:rsidRPr="002F5986" w:rsidRDefault="00E00AF8" w:rsidP="00133C39">
            <w:pPr>
              <w:pStyle w:val="Tabletexte"/>
              <w:jc w:val="center"/>
              <w:rPr>
                <w:position w:val="2"/>
                <w:rtl/>
              </w:rPr>
            </w:pPr>
            <w:r w:rsidRPr="002F5986">
              <w:rPr>
                <w:position w:val="2"/>
                <w:rtl/>
              </w:rPr>
              <w:t>229 189</w:t>
            </w:r>
          </w:p>
        </w:tc>
        <w:tc>
          <w:tcPr>
            <w:tcW w:w="2139" w:type="dxa"/>
          </w:tcPr>
          <w:p w14:paraId="4CA7F366" w14:textId="77777777" w:rsidR="00E00AF8" w:rsidRPr="002F5986" w:rsidRDefault="00E00AF8" w:rsidP="00133C39">
            <w:pPr>
              <w:pStyle w:val="Tabletexte"/>
              <w:jc w:val="center"/>
              <w:rPr>
                <w:position w:val="2"/>
                <w:rtl/>
              </w:rPr>
            </w:pPr>
            <w:r w:rsidRPr="002F5986">
              <w:rPr>
                <w:position w:val="2"/>
                <w:rtl/>
              </w:rPr>
              <w:t>098 439</w:t>
            </w:r>
          </w:p>
        </w:tc>
      </w:tr>
    </w:tbl>
    <w:p w14:paraId="1E4C8941"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D963" w14:textId="77777777" w:rsidR="00A72FB8" w:rsidRDefault="00A72FB8" w:rsidP="006C3242">
      <w:pPr>
        <w:spacing w:before="0" w:line="240" w:lineRule="auto"/>
      </w:pPr>
      <w:r>
        <w:separator/>
      </w:r>
    </w:p>
  </w:endnote>
  <w:endnote w:type="continuationSeparator" w:id="0">
    <w:p w14:paraId="5C9A5395" w14:textId="77777777" w:rsidR="00A72FB8" w:rsidRDefault="00A72FB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403EC91" w14:textId="77777777" w:rsidTr="00A67F05">
      <w:trPr>
        <w:jc w:val="center"/>
      </w:trPr>
      <w:tc>
        <w:tcPr>
          <w:tcW w:w="868" w:type="pct"/>
          <w:vAlign w:val="center"/>
        </w:tcPr>
        <w:p w14:paraId="0DD9D0EE" w14:textId="20CFAEB8" w:rsidR="00F50E3F" w:rsidRPr="007B0AA0" w:rsidRDefault="00196A8F" w:rsidP="00423A15">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196A8F">
            <w:rPr>
              <w:rFonts w:ascii="Calibri" w:hAnsi="Calibri" w:cs="Arial"/>
              <w:sz w:val="18"/>
              <w:szCs w:val="14"/>
            </w:rPr>
            <w:t>2600691</w:t>
          </w:r>
        </w:p>
      </w:tc>
      <w:tc>
        <w:tcPr>
          <w:tcW w:w="3912" w:type="pct"/>
        </w:tcPr>
        <w:p w14:paraId="783103BD" w14:textId="789245C4" w:rsidR="00F50E3F" w:rsidRPr="007B0AA0" w:rsidRDefault="00F50E3F" w:rsidP="00423A1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196A8F">
            <w:rPr>
              <w:rFonts w:ascii="Calibri" w:hAnsi="Calibri" w:cs="Arial"/>
              <w:bCs/>
              <w:color w:val="7F7F7F"/>
              <w:sz w:val="18"/>
            </w:rPr>
            <w:t>23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B695C3B" w14:textId="77777777" w:rsidR="00F50E3F" w:rsidRPr="007B0AA0" w:rsidRDefault="00F50E3F" w:rsidP="00423A1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5976C2B"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8CAC4DD" w14:textId="77777777" w:rsidTr="00A67F05">
      <w:trPr>
        <w:jc w:val="center"/>
      </w:trPr>
      <w:tc>
        <w:tcPr>
          <w:tcW w:w="1013" w:type="pct"/>
          <w:vAlign w:val="center"/>
        </w:tcPr>
        <w:p w14:paraId="5298959F" w14:textId="77777777" w:rsidR="007B0AA0" w:rsidRPr="000116AF" w:rsidRDefault="000116AF" w:rsidP="00423A15">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42B0DFAF" w14:textId="4E2B156A" w:rsidR="007B0AA0" w:rsidRPr="007B0AA0" w:rsidRDefault="007B0AA0" w:rsidP="00423A1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196A8F">
            <w:rPr>
              <w:rFonts w:ascii="Calibri" w:hAnsi="Calibri" w:cs="Arial"/>
              <w:bCs/>
              <w:color w:val="7F7F7F"/>
              <w:sz w:val="18"/>
            </w:rPr>
            <w:t>23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6821E22" w14:textId="77777777" w:rsidR="007B0AA0" w:rsidRPr="007B0AA0" w:rsidRDefault="00F50E3F" w:rsidP="00423A15">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5EF02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1124" w14:textId="77777777" w:rsidR="00A72FB8" w:rsidRDefault="00A72FB8" w:rsidP="006C3242">
      <w:pPr>
        <w:spacing w:before="0" w:line="240" w:lineRule="auto"/>
      </w:pPr>
      <w:r>
        <w:separator/>
      </w:r>
    </w:p>
  </w:footnote>
  <w:footnote w:type="continuationSeparator" w:id="0">
    <w:p w14:paraId="7129E2EC" w14:textId="77777777" w:rsidR="00A72FB8" w:rsidRDefault="00A72FB8" w:rsidP="006C3242">
      <w:pPr>
        <w:spacing w:before="0" w:line="240" w:lineRule="auto"/>
      </w:pPr>
      <w:r>
        <w:continuationSeparator/>
      </w:r>
    </w:p>
  </w:footnote>
  <w:footnote w:id="1">
    <w:p w14:paraId="706E52C1" w14:textId="62ED277F" w:rsidR="001C25AA" w:rsidRDefault="001C25AA" w:rsidP="001C25AA">
      <w:pPr>
        <w:pStyle w:val="Footnotetexte"/>
      </w:pPr>
      <w:r>
        <w:rPr>
          <w:rStyle w:val="FootnoteReference"/>
        </w:rPr>
        <w:footnoteRef/>
      </w:r>
      <w:r>
        <w:tab/>
      </w:r>
      <w:r w:rsidRPr="001C25AA">
        <w:rPr>
          <w:rFonts w:hint="eastAsia"/>
          <w:rtl/>
        </w:rPr>
        <w:t>يعبَّر</w:t>
      </w:r>
      <w:r w:rsidRPr="001C25AA">
        <w:rPr>
          <w:rtl/>
        </w:rPr>
        <w:t xml:space="preserve"> </w:t>
      </w:r>
      <w:r w:rsidRPr="001C25AA">
        <w:rPr>
          <w:rFonts w:hint="eastAsia"/>
          <w:rtl/>
        </w:rPr>
        <w:t>عن</w:t>
      </w:r>
      <w:r w:rsidRPr="001C25AA">
        <w:rPr>
          <w:rtl/>
        </w:rPr>
        <w:t xml:space="preserve"> </w:t>
      </w:r>
      <w:r w:rsidRPr="001C25AA">
        <w:rPr>
          <w:rFonts w:hint="eastAsia"/>
          <w:rtl/>
        </w:rPr>
        <w:t>جدول</w:t>
      </w:r>
      <w:r w:rsidRPr="001C25AA">
        <w:rPr>
          <w:rtl/>
        </w:rPr>
        <w:t xml:space="preserve"> </w:t>
      </w:r>
      <w:r w:rsidRPr="001C25AA">
        <w:rPr>
          <w:rFonts w:hint="eastAsia"/>
          <w:rtl/>
        </w:rPr>
        <w:t>المرتبات</w:t>
      </w:r>
      <w:r w:rsidRPr="001C25AA">
        <w:rPr>
          <w:rtl/>
        </w:rPr>
        <w:t xml:space="preserve"> </w:t>
      </w:r>
      <w:r w:rsidRPr="001C25AA">
        <w:rPr>
          <w:rFonts w:hint="eastAsia"/>
          <w:rtl/>
        </w:rPr>
        <w:t>الأساسية</w:t>
      </w:r>
      <w:r w:rsidRPr="001C25AA">
        <w:rPr>
          <w:rtl/>
        </w:rPr>
        <w:t>/</w:t>
      </w:r>
      <w:r w:rsidRPr="001C25AA">
        <w:rPr>
          <w:rFonts w:hint="eastAsia"/>
          <w:rtl/>
        </w:rPr>
        <w:t>الدنيا</w:t>
      </w:r>
      <w:r w:rsidRPr="001C25AA">
        <w:rPr>
          <w:rtl/>
        </w:rPr>
        <w:t xml:space="preserve"> </w:t>
      </w:r>
      <w:r w:rsidRPr="001C25AA">
        <w:rPr>
          <w:rFonts w:hint="eastAsia"/>
          <w:rtl/>
        </w:rPr>
        <w:t>السنوية</w:t>
      </w:r>
      <w:r w:rsidRPr="001C25AA">
        <w:rPr>
          <w:rtl/>
        </w:rPr>
        <w:t xml:space="preserve"> </w:t>
      </w:r>
      <w:r w:rsidRPr="001C25AA">
        <w:rPr>
          <w:rFonts w:hint="eastAsia"/>
          <w:rtl/>
        </w:rPr>
        <w:t>بالقيم</w:t>
      </w:r>
      <w:r w:rsidRPr="001C25AA">
        <w:rPr>
          <w:rtl/>
        </w:rPr>
        <w:t xml:space="preserve"> </w:t>
      </w:r>
      <w:r w:rsidRPr="001C25AA">
        <w:rPr>
          <w:rFonts w:hint="eastAsia"/>
          <w:rtl/>
        </w:rPr>
        <w:t>الإجمالية</w:t>
      </w:r>
      <w:r w:rsidRPr="001C25AA">
        <w:rPr>
          <w:rtl/>
        </w:rPr>
        <w:t xml:space="preserve"> </w:t>
      </w:r>
      <w:r w:rsidRPr="001C25AA">
        <w:rPr>
          <w:rFonts w:hint="eastAsia"/>
          <w:rtl/>
        </w:rPr>
        <w:t>والقيم</w:t>
      </w:r>
      <w:r w:rsidRPr="001C25AA">
        <w:rPr>
          <w:rtl/>
        </w:rPr>
        <w:t xml:space="preserve"> </w:t>
      </w:r>
      <w:r w:rsidRPr="001C25AA">
        <w:rPr>
          <w:rFonts w:hint="eastAsia"/>
          <w:rtl/>
        </w:rPr>
        <w:t>الصافية</w:t>
      </w:r>
      <w:r w:rsidRPr="001C25AA">
        <w:rPr>
          <w:rtl/>
        </w:rPr>
        <w:t xml:space="preserve"> </w:t>
      </w:r>
      <w:r w:rsidRPr="001C25AA">
        <w:rPr>
          <w:rFonts w:hint="eastAsia"/>
          <w:rtl/>
        </w:rPr>
        <w:t>بعد</w:t>
      </w:r>
      <w:r w:rsidRPr="001C25AA">
        <w:rPr>
          <w:rtl/>
        </w:rPr>
        <w:t xml:space="preserve"> </w:t>
      </w:r>
      <w:r w:rsidRPr="001C25AA">
        <w:rPr>
          <w:rFonts w:hint="eastAsia"/>
          <w:rtl/>
        </w:rPr>
        <w:t>خصم</w:t>
      </w:r>
      <w:r w:rsidRPr="001C25AA">
        <w:rPr>
          <w:rtl/>
        </w:rPr>
        <w:t xml:space="preserve"> </w:t>
      </w:r>
      <w:r w:rsidRPr="001C25AA">
        <w:rPr>
          <w:rFonts w:hint="eastAsia"/>
          <w:rtl/>
        </w:rPr>
        <w:t>الاقتطاعات</w:t>
      </w:r>
      <w:r w:rsidRPr="001C25AA">
        <w:rPr>
          <w:rtl/>
        </w:rPr>
        <w:t xml:space="preserve"> </w:t>
      </w:r>
      <w:r w:rsidRPr="001C25AA">
        <w:rPr>
          <w:rFonts w:hint="eastAsia"/>
          <w:rtl/>
        </w:rPr>
        <w:t>الإلزامية</w:t>
      </w:r>
      <w:r w:rsidRPr="001C25AA">
        <w:rPr>
          <w:rtl/>
        </w:rPr>
        <w:t xml:space="preserve"> (</w:t>
      </w:r>
      <w:r w:rsidRPr="001C25AA">
        <w:rPr>
          <w:rFonts w:hint="eastAsia"/>
          <w:rtl/>
        </w:rPr>
        <w:t>أي،</w:t>
      </w:r>
      <w:r w:rsidRPr="001C25AA">
        <w:rPr>
          <w:rtl/>
        </w:rPr>
        <w:t xml:space="preserve"> </w:t>
      </w:r>
      <w:r w:rsidRPr="001C25AA">
        <w:rPr>
          <w:rFonts w:hint="eastAsia"/>
          <w:rtl/>
        </w:rPr>
        <w:t>الضرائب</w:t>
      </w:r>
      <w:r w:rsidRPr="001C25AA">
        <w:rPr>
          <w:rtl/>
        </w:rPr>
        <w:t xml:space="preserve"> </w:t>
      </w:r>
      <w:r w:rsidRPr="001C25AA">
        <w:rPr>
          <w:rFonts w:hint="eastAsia"/>
          <w:rtl/>
        </w:rPr>
        <w:t>الداخلية</w:t>
      </w:r>
      <w:r w:rsidRPr="001C25AA">
        <w:rPr>
          <w:rtl/>
        </w:rPr>
        <w:t xml:space="preserve">). </w:t>
      </w:r>
      <w:r w:rsidRPr="001C25AA">
        <w:rPr>
          <w:rFonts w:hint="eastAsia"/>
          <w:rtl/>
        </w:rPr>
        <w:t>راجع</w:t>
      </w:r>
      <w:r w:rsidRPr="001C25AA">
        <w:rPr>
          <w:rtl/>
        </w:rPr>
        <w:t xml:space="preserve"> </w:t>
      </w:r>
      <w:r w:rsidRPr="001C25AA">
        <w:rPr>
          <w:rFonts w:hint="eastAsia"/>
          <w:rtl/>
        </w:rPr>
        <w:t>الرابط</w:t>
      </w:r>
      <w:r w:rsidRPr="001C25AA">
        <w:rPr>
          <w:rtl/>
        </w:rPr>
        <w:t xml:space="preserve"> </w:t>
      </w:r>
      <w:r w:rsidRPr="001C25AA">
        <w:rPr>
          <w:rStyle w:val="Hyperlink"/>
          <w:rtl/>
        </w:rPr>
        <w:t>icsc.un.org/Home/SalaryScales</w:t>
      </w:r>
      <w:r w:rsidRPr="001C25AA">
        <w:rPr>
          <w:rtl/>
        </w:rPr>
        <w:t>.</w:t>
      </w:r>
    </w:p>
  </w:footnote>
  <w:footnote w:id="2">
    <w:p w14:paraId="4A6AC6AE" w14:textId="77777777" w:rsidR="002F5986" w:rsidRDefault="002F5986" w:rsidP="002F5986">
      <w:pPr>
        <w:pStyle w:val="Footnotetexte"/>
      </w:pPr>
      <w:r>
        <w:rPr>
          <w:rStyle w:val="FootnoteReference"/>
        </w:rPr>
        <w:footnoteRef/>
      </w:r>
      <w:r>
        <w:tab/>
      </w:r>
      <w:r>
        <w:rPr>
          <w:rFonts w:hint="eastAsia"/>
          <w:rtl/>
        </w:rPr>
        <w:t>قرار</w:t>
      </w:r>
      <w:r>
        <w:rPr>
          <w:rtl/>
        </w:rPr>
        <w:t xml:space="preserve"> </w:t>
      </w:r>
      <w:r>
        <w:rPr>
          <w:rFonts w:hint="eastAsia"/>
          <w:rtl/>
        </w:rPr>
        <w:t>الجمعية</w:t>
      </w:r>
      <w:r>
        <w:rPr>
          <w:rtl/>
        </w:rPr>
        <w:t xml:space="preserve"> </w:t>
      </w:r>
      <w:r>
        <w:rPr>
          <w:rFonts w:hint="eastAsia"/>
          <w:rtl/>
        </w:rPr>
        <w:t>العامة</w:t>
      </w:r>
      <w:r>
        <w:rPr>
          <w:rtl/>
        </w:rPr>
        <w:t xml:space="preserve"> </w:t>
      </w:r>
      <w:r>
        <w:rPr>
          <w:rFonts w:hint="eastAsia"/>
          <w:rtl/>
        </w:rPr>
        <w:t>للأمم</w:t>
      </w:r>
      <w:r>
        <w:rPr>
          <w:rtl/>
        </w:rPr>
        <w:t xml:space="preserve"> </w:t>
      </w:r>
      <w:r>
        <w:rPr>
          <w:rFonts w:hint="eastAsia"/>
          <w:rtl/>
        </w:rPr>
        <w:t>المتحدة</w:t>
      </w:r>
      <w:r>
        <w:rPr>
          <w:rtl/>
        </w:rPr>
        <w:t xml:space="preserve"> </w:t>
      </w:r>
      <w:hyperlink r:id="rId1" w:history="1">
        <w:r w:rsidRPr="000309D5">
          <w:rPr>
            <w:rStyle w:val="Hyperlink"/>
            <w:rFonts w:cs="Times New Roman"/>
            <w:noProof w:val="0"/>
            <w:lang w:eastAsia="zh-CN"/>
          </w:rPr>
          <w:t>A/RES/80/236</w:t>
        </w:r>
      </w:hyperlink>
      <w:r>
        <w:rPr>
          <w:rtl/>
        </w:rPr>
        <w:t xml:space="preserve"> </w:t>
      </w:r>
      <w:r>
        <w:rPr>
          <w:rFonts w:hint="eastAsia"/>
          <w:rtl/>
        </w:rPr>
        <w:t>بشأن</w:t>
      </w:r>
      <w:r>
        <w:rPr>
          <w:rtl/>
        </w:rPr>
        <w:t xml:space="preserve"> </w:t>
      </w:r>
      <w:r>
        <w:rPr>
          <w:rFonts w:hint="eastAsia"/>
          <w:rtl/>
        </w:rPr>
        <w:t>النظام</w:t>
      </w:r>
      <w:r>
        <w:rPr>
          <w:rtl/>
        </w:rPr>
        <w:t xml:space="preserve"> </w:t>
      </w:r>
      <w:r>
        <w:rPr>
          <w:rFonts w:hint="eastAsia"/>
          <w:rtl/>
        </w:rPr>
        <w:t>الموحد</w:t>
      </w:r>
      <w:r>
        <w:rPr>
          <w:rtl/>
        </w:rPr>
        <w:t xml:space="preserve"> </w:t>
      </w:r>
      <w:r>
        <w:rPr>
          <w:rFonts w:hint="eastAsia"/>
          <w:rtl/>
        </w:rPr>
        <w:t>للأمم</w:t>
      </w:r>
      <w:r>
        <w:rPr>
          <w:rtl/>
        </w:rPr>
        <w:t xml:space="preserve"> </w:t>
      </w:r>
      <w:r>
        <w:rPr>
          <w:rFonts w:hint="eastAsia"/>
          <w:rtl/>
        </w:rPr>
        <w:t>المتحدة،</w:t>
      </w:r>
      <w:r>
        <w:rPr>
          <w:rtl/>
        </w:rPr>
        <w:t xml:space="preserve"> </w:t>
      </w:r>
      <w:r>
        <w:rPr>
          <w:rFonts w:hint="eastAsia"/>
          <w:rtl/>
        </w:rPr>
        <w:t>المعتمد</w:t>
      </w:r>
      <w:r>
        <w:rPr>
          <w:rtl/>
        </w:rPr>
        <w:t xml:space="preserve"> </w:t>
      </w:r>
      <w:r>
        <w:rPr>
          <w:rFonts w:hint="eastAsia"/>
          <w:rtl/>
        </w:rPr>
        <w:t>في</w:t>
      </w:r>
      <w:r>
        <w:rPr>
          <w:rtl/>
        </w:rPr>
        <w:t xml:space="preserve"> </w:t>
      </w:r>
      <w:r>
        <w:rPr>
          <w:rFonts w:hint="eastAsia"/>
          <w:cs/>
        </w:rPr>
        <w:t>‎</w:t>
      </w:r>
      <w:r>
        <w:rPr>
          <w:rtl/>
          <w:cs/>
        </w:rPr>
        <w:t xml:space="preserve">30 </w:t>
      </w:r>
      <w:r>
        <w:rPr>
          <w:rFonts w:hint="eastAsia"/>
          <w:rtl/>
          <w:cs/>
        </w:rPr>
        <w:t>‏</w:t>
      </w:r>
      <w:r>
        <w:rPr>
          <w:rFonts w:hint="eastAsia"/>
          <w:cs/>
        </w:rPr>
        <w:t>ديسمبر</w:t>
      </w:r>
      <w:r>
        <w:rPr>
          <w:rtl/>
          <w:cs/>
        </w:rPr>
        <w:t xml:space="preserve"> </w:t>
      </w:r>
      <w:r>
        <w:rPr>
          <w:rFonts w:hint="eastAsia"/>
          <w:rtl/>
          <w:cs/>
        </w:rPr>
        <w:t>‎</w:t>
      </w:r>
      <w:r>
        <w:rPr>
          <w:rtl/>
        </w:rPr>
        <w:t>2025.</w:t>
      </w:r>
    </w:p>
  </w:footnote>
  <w:footnote w:id="3">
    <w:p w14:paraId="7D81C6C2" w14:textId="17441C64" w:rsidR="000309D5" w:rsidRDefault="000309D5" w:rsidP="000309D5">
      <w:pPr>
        <w:pStyle w:val="Footnotetexte"/>
      </w:pPr>
      <w:r>
        <w:rPr>
          <w:rStyle w:val="FootnoteReference"/>
        </w:rPr>
        <w:footnoteRef/>
      </w:r>
      <w:r>
        <w:tab/>
      </w:r>
      <w:r>
        <w:rPr>
          <w:rFonts w:hint="eastAsia"/>
          <w:rtl/>
        </w:rPr>
        <w:t>الجمعية</w:t>
      </w:r>
      <w:r>
        <w:rPr>
          <w:rtl/>
        </w:rPr>
        <w:t xml:space="preserve"> </w:t>
      </w:r>
      <w:r>
        <w:rPr>
          <w:rFonts w:hint="eastAsia"/>
          <w:rtl/>
        </w:rPr>
        <w:t>العامة</w:t>
      </w:r>
      <w:r>
        <w:rPr>
          <w:rtl/>
        </w:rPr>
        <w:t xml:space="preserve"> </w:t>
      </w:r>
      <w:r>
        <w:rPr>
          <w:rFonts w:hint="eastAsia"/>
          <w:rtl/>
        </w:rPr>
        <w:t>للأمم</w:t>
      </w:r>
      <w:r>
        <w:rPr>
          <w:rtl/>
        </w:rPr>
        <w:t xml:space="preserve"> </w:t>
      </w:r>
      <w:r>
        <w:rPr>
          <w:rFonts w:hint="eastAsia"/>
          <w:rtl/>
        </w:rPr>
        <w:t>المتحدة،</w:t>
      </w:r>
      <w:r>
        <w:rPr>
          <w:rtl/>
        </w:rPr>
        <w:t xml:space="preserve"> </w:t>
      </w:r>
      <w:r>
        <w:rPr>
          <w:rFonts w:hint="eastAsia"/>
          <w:rtl/>
        </w:rPr>
        <w:t>الوثائق</w:t>
      </w:r>
      <w:r>
        <w:rPr>
          <w:rtl/>
        </w:rPr>
        <w:t xml:space="preserve"> </w:t>
      </w:r>
      <w:r>
        <w:rPr>
          <w:rFonts w:hint="eastAsia"/>
          <w:rtl/>
        </w:rPr>
        <w:t>الرسمية،</w:t>
      </w:r>
      <w:r>
        <w:rPr>
          <w:rtl/>
        </w:rPr>
        <w:t xml:space="preserve"> </w:t>
      </w:r>
      <w:r>
        <w:rPr>
          <w:rFonts w:hint="eastAsia"/>
          <w:rtl/>
        </w:rPr>
        <w:t>الدورة</w:t>
      </w:r>
      <w:r>
        <w:rPr>
          <w:rtl/>
        </w:rPr>
        <w:t xml:space="preserve"> </w:t>
      </w:r>
      <w:r>
        <w:rPr>
          <w:rFonts w:hint="eastAsia"/>
          <w:rtl/>
        </w:rPr>
        <w:t>الثمانون،</w:t>
      </w:r>
      <w:r>
        <w:rPr>
          <w:rtl/>
        </w:rPr>
        <w:t xml:space="preserve"> </w:t>
      </w:r>
      <w:r>
        <w:rPr>
          <w:rFonts w:hint="eastAsia"/>
          <w:rtl/>
        </w:rPr>
        <w:t>الإضافة</w:t>
      </w:r>
      <w:r>
        <w:rPr>
          <w:rtl/>
        </w:rPr>
        <w:t xml:space="preserve"> </w:t>
      </w:r>
      <w:r>
        <w:rPr>
          <w:rFonts w:hint="eastAsia"/>
          <w:rtl/>
        </w:rPr>
        <w:t>رقم</w:t>
      </w:r>
      <w:r>
        <w:rPr>
          <w:rtl/>
        </w:rPr>
        <w:t xml:space="preserve"> 30</w:t>
      </w:r>
      <w:r>
        <w:rPr>
          <w:rFonts w:hint="eastAsia"/>
          <w:rtl/>
        </w:rPr>
        <w:t>،</w:t>
      </w:r>
      <w:r>
        <w:rPr>
          <w:rtl/>
        </w:rPr>
        <w:t xml:space="preserve"> </w:t>
      </w:r>
      <w:hyperlink r:id="rId2" w:history="1">
        <w:r w:rsidRPr="000309D5">
          <w:rPr>
            <w:rStyle w:val="Hyperlink"/>
            <w:rFonts w:cs="Times New Roman"/>
            <w:noProof w:val="0"/>
            <w:lang w:eastAsia="zh-CN"/>
          </w:rPr>
          <w:t>A/80/30</w:t>
        </w:r>
      </w:hyperlink>
      <w:r>
        <w:rPr>
          <w:rFonts w:cs="Times New Roman"/>
        </w:rPr>
        <w:t xml:space="preserve"> (2025)</w:t>
      </w:r>
      <w:r>
        <w:rPr>
          <w:rtl/>
        </w:rPr>
        <w:t>.</w:t>
      </w:r>
    </w:p>
  </w:footnote>
  <w:footnote w:id="4">
    <w:p w14:paraId="6A3E4EAA" w14:textId="77777777" w:rsidR="002F5986" w:rsidRDefault="002F5986" w:rsidP="002F5986">
      <w:pPr>
        <w:pStyle w:val="Footnotetexte"/>
      </w:pPr>
      <w:r>
        <w:rPr>
          <w:rStyle w:val="FootnoteReference"/>
        </w:rPr>
        <w:footnoteRef/>
      </w:r>
      <w:r>
        <w:tab/>
      </w:r>
      <w:hyperlink r:id="rId3" w:history="1">
        <w:r w:rsidRPr="000309D5">
          <w:rPr>
            <w:rStyle w:val="Hyperlink"/>
            <w:rFonts w:hint="eastAsia"/>
            <w:noProof w:val="0"/>
            <w:rtl/>
            <w:lang w:val="en-US" w:eastAsia="zh-CN"/>
          </w:rPr>
          <w:t>النظام</w:t>
        </w:r>
        <w:r w:rsidRPr="000309D5">
          <w:rPr>
            <w:rStyle w:val="Hyperlink"/>
            <w:noProof w:val="0"/>
            <w:rtl/>
            <w:lang w:val="en-US" w:eastAsia="zh-CN"/>
          </w:rPr>
          <w:t xml:space="preserve"> </w:t>
        </w:r>
        <w:r w:rsidRPr="000309D5">
          <w:rPr>
            <w:rStyle w:val="Hyperlink"/>
            <w:rFonts w:hint="eastAsia"/>
            <w:noProof w:val="0"/>
            <w:rtl/>
            <w:lang w:val="en-US" w:eastAsia="zh-CN"/>
          </w:rPr>
          <w:t>الأساسي</w:t>
        </w:r>
        <w:r w:rsidRPr="000309D5">
          <w:rPr>
            <w:rStyle w:val="Hyperlink"/>
            <w:noProof w:val="0"/>
            <w:rtl/>
            <w:lang w:val="en-US" w:eastAsia="zh-CN"/>
          </w:rPr>
          <w:t xml:space="preserve"> </w:t>
        </w:r>
        <w:r w:rsidRPr="000309D5">
          <w:rPr>
            <w:rStyle w:val="Hyperlink"/>
            <w:rFonts w:hint="eastAsia"/>
            <w:noProof w:val="0"/>
            <w:rtl/>
            <w:lang w:val="en-US" w:eastAsia="zh-CN"/>
          </w:rPr>
          <w:t>للصندوق</w:t>
        </w:r>
        <w:r w:rsidRPr="000309D5">
          <w:rPr>
            <w:rStyle w:val="Hyperlink"/>
            <w:noProof w:val="0"/>
            <w:rtl/>
            <w:lang w:val="en-US" w:eastAsia="zh-CN"/>
          </w:rPr>
          <w:t xml:space="preserve"> </w:t>
        </w:r>
        <w:r w:rsidRPr="000309D5">
          <w:rPr>
            <w:rStyle w:val="Hyperlink"/>
            <w:rFonts w:hint="eastAsia"/>
            <w:noProof w:val="0"/>
            <w:rtl/>
            <w:lang w:val="en-US" w:eastAsia="zh-CN"/>
          </w:rPr>
          <w:t>المشترك</w:t>
        </w:r>
        <w:r w:rsidRPr="000309D5">
          <w:rPr>
            <w:rStyle w:val="Hyperlink"/>
            <w:noProof w:val="0"/>
            <w:rtl/>
            <w:lang w:val="en-US" w:eastAsia="zh-CN"/>
          </w:rPr>
          <w:t xml:space="preserve"> </w:t>
        </w:r>
        <w:r w:rsidRPr="000309D5">
          <w:rPr>
            <w:rStyle w:val="Hyperlink"/>
            <w:rFonts w:hint="eastAsia"/>
            <w:noProof w:val="0"/>
            <w:rtl/>
            <w:lang w:val="en-US" w:eastAsia="zh-CN"/>
          </w:rPr>
          <w:t>للمعاشات</w:t>
        </w:r>
        <w:r w:rsidRPr="000309D5">
          <w:rPr>
            <w:rStyle w:val="Hyperlink"/>
            <w:noProof w:val="0"/>
            <w:rtl/>
            <w:lang w:val="en-US" w:eastAsia="zh-CN"/>
          </w:rPr>
          <w:t xml:space="preserve"> </w:t>
        </w:r>
        <w:r w:rsidRPr="000309D5">
          <w:rPr>
            <w:rStyle w:val="Hyperlink"/>
            <w:rFonts w:hint="eastAsia"/>
            <w:noProof w:val="0"/>
            <w:rtl/>
            <w:lang w:val="en-US" w:eastAsia="zh-CN"/>
          </w:rPr>
          <w:t>التقاعدية</w:t>
        </w:r>
        <w:r w:rsidRPr="000309D5">
          <w:rPr>
            <w:rStyle w:val="Hyperlink"/>
            <w:noProof w:val="0"/>
            <w:rtl/>
            <w:lang w:val="en-US" w:eastAsia="zh-CN"/>
          </w:rPr>
          <w:t xml:space="preserve"> </w:t>
        </w:r>
        <w:r w:rsidRPr="000309D5">
          <w:rPr>
            <w:rStyle w:val="Hyperlink"/>
            <w:rFonts w:hint="eastAsia"/>
            <w:noProof w:val="0"/>
            <w:rtl/>
            <w:lang w:val="en-US" w:eastAsia="zh-CN"/>
          </w:rPr>
          <w:t>لموظفي</w:t>
        </w:r>
        <w:r w:rsidRPr="000309D5">
          <w:rPr>
            <w:rStyle w:val="Hyperlink"/>
            <w:noProof w:val="0"/>
            <w:rtl/>
            <w:lang w:val="en-US" w:eastAsia="zh-CN"/>
          </w:rPr>
          <w:t xml:space="preserve"> </w:t>
        </w:r>
        <w:r w:rsidRPr="000309D5">
          <w:rPr>
            <w:rStyle w:val="Hyperlink"/>
            <w:rFonts w:hint="eastAsia"/>
            <w:noProof w:val="0"/>
            <w:rtl/>
            <w:lang w:val="en-US" w:eastAsia="zh-CN"/>
          </w:rPr>
          <w:t>الأمم</w:t>
        </w:r>
        <w:r w:rsidRPr="000309D5">
          <w:rPr>
            <w:rStyle w:val="Hyperlink"/>
            <w:noProof w:val="0"/>
            <w:rtl/>
            <w:lang w:val="en-US" w:eastAsia="zh-CN"/>
          </w:rPr>
          <w:t xml:space="preserve"> </w:t>
        </w:r>
        <w:r w:rsidRPr="000309D5">
          <w:rPr>
            <w:rStyle w:val="Hyperlink"/>
            <w:rFonts w:hint="eastAsia"/>
            <w:noProof w:val="0"/>
            <w:rtl/>
            <w:lang w:val="en-US" w:eastAsia="zh-CN"/>
          </w:rPr>
          <w:t>المتحدة،</w:t>
        </w:r>
        <w:r w:rsidRPr="000309D5">
          <w:rPr>
            <w:rStyle w:val="Hyperlink"/>
            <w:noProof w:val="0"/>
            <w:rtl/>
            <w:lang w:val="en-US" w:eastAsia="zh-CN"/>
          </w:rPr>
          <w:t xml:space="preserve"> </w:t>
        </w:r>
        <w:r w:rsidRPr="000309D5">
          <w:rPr>
            <w:rStyle w:val="Hyperlink"/>
            <w:rFonts w:hint="eastAsia"/>
            <w:noProof w:val="0"/>
            <w:rtl/>
            <w:lang w:val="en-US" w:eastAsia="zh-CN"/>
          </w:rPr>
          <w:t>المادة</w:t>
        </w:r>
      </w:hyperlink>
      <w:r>
        <w:rPr>
          <w:rtl/>
        </w:rPr>
        <w:t xml:space="preserve"> 51(</w:t>
      </w:r>
      <w:r>
        <w:rPr>
          <w:rFonts w:hint="eastAsia"/>
          <w:rtl/>
        </w:rPr>
        <w:t>ب</w:t>
      </w:r>
      <w:r>
        <w:rPr>
          <w:rtl/>
        </w:rPr>
        <w:t>): "</w:t>
      </w:r>
      <w:r>
        <w:rPr>
          <w:rFonts w:hint="eastAsia"/>
          <w:rtl/>
        </w:rPr>
        <w:t>في</w:t>
      </w:r>
      <w:r>
        <w:rPr>
          <w:rtl/>
        </w:rPr>
        <w:t xml:space="preserve"> </w:t>
      </w:r>
      <w:r>
        <w:rPr>
          <w:rFonts w:hint="eastAsia"/>
          <w:rtl/>
        </w:rPr>
        <w:t>حالة</w:t>
      </w:r>
      <w:r>
        <w:rPr>
          <w:rtl/>
        </w:rPr>
        <w:t xml:space="preserve"> </w:t>
      </w:r>
      <w:r>
        <w:rPr>
          <w:rFonts w:hint="eastAsia"/>
          <w:rtl/>
        </w:rPr>
        <w:t>المشاركين</w:t>
      </w:r>
      <w:r>
        <w:rPr>
          <w:rtl/>
        </w:rPr>
        <w:t xml:space="preserve"> </w:t>
      </w:r>
      <w:r>
        <w:rPr>
          <w:rFonts w:hint="eastAsia"/>
          <w:rtl/>
        </w:rPr>
        <w:t>من</w:t>
      </w:r>
      <w:r>
        <w:rPr>
          <w:rtl/>
        </w:rPr>
        <w:t xml:space="preserve"> </w:t>
      </w:r>
      <w:r>
        <w:rPr>
          <w:rFonts w:hint="eastAsia"/>
          <w:rtl/>
        </w:rPr>
        <w:t>الفئتين</w:t>
      </w:r>
      <w:r>
        <w:rPr>
          <w:rtl/>
        </w:rPr>
        <w:t xml:space="preserve"> </w:t>
      </w:r>
      <w:r>
        <w:rPr>
          <w:rFonts w:hint="eastAsia"/>
          <w:rtl/>
        </w:rPr>
        <w:t>الفنية</w:t>
      </w:r>
      <w:r>
        <w:rPr>
          <w:rtl/>
        </w:rPr>
        <w:t xml:space="preserve"> </w:t>
      </w:r>
      <w:r>
        <w:rPr>
          <w:rFonts w:hint="eastAsia"/>
          <w:rtl/>
        </w:rPr>
        <w:t>والعليا،</w:t>
      </w:r>
      <w:r>
        <w:rPr>
          <w:rtl/>
        </w:rPr>
        <w:t xml:space="preserve"> </w:t>
      </w:r>
      <w:r>
        <w:rPr>
          <w:rFonts w:hint="eastAsia"/>
          <w:rtl/>
        </w:rPr>
        <w:t>يكون</w:t>
      </w:r>
      <w:r>
        <w:rPr>
          <w:rtl/>
        </w:rPr>
        <w:t xml:space="preserve"> </w:t>
      </w:r>
      <w:r>
        <w:rPr>
          <w:rFonts w:hint="eastAsia"/>
          <w:rtl/>
        </w:rPr>
        <w:t>جدول</w:t>
      </w:r>
      <w:r>
        <w:rPr>
          <w:rtl/>
        </w:rPr>
        <w:t xml:space="preserve"> </w:t>
      </w:r>
      <w:r>
        <w:rPr>
          <w:rFonts w:hint="eastAsia"/>
          <w:rtl/>
        </w:rPr>
        <w:t>الأجر</w:t>
      </w:r>
      <w:r>
        <w:rPr>
          <w:rtl/>
        </w:rPr>
        <w:t xml:space="preserve"> </w:t>
      </w:r>
      <w:r>
        <w:rPr>
          <w:rFonts w:hint="eastAsia"/>
          <w:rtl/>
        </w:rPr>
        <w:t>الداخل</w:t>
      </w:r>
      <w:r>
        <w:rPr>
          <w:rtl/>
        </w:rPr>
        <w:t xml:space="preserve"> </w:t>
      </w:r>
      <w:r>
        <w:rPr>
          <w:rFonts w:hint="eastAsia"/>
          <w:rtl/>
        </w:rPr>
        <w:t>في</w:t>
      </w:r>
      <w:r>
        <w:rPr>
          <w:rtl/>
        </w:rPr>
        <w:t xml:space="preserve"> </w:t>
      </w:r>
      <w:r>
        <w:rPr>
          <w:rFonts w:hint="eastAsia"/>
          <w:rtl/>
        </w:rPr>
        <w:t>حساب</w:t>
      </w:r>
      <w:r>
        <w:rPr>
          <w:rtl/>
        </w:rPr>
        <w:t xml:space="preserve"> </w:t>
      </w:r>
      <w:r>
        <w:rPr>
          <w:rFonts w:hint="eastAsia"/>
          <w:rtl/>
        </w:rPr>
        <w:t>المعاش</w:t>
      </w:r>
      <w:r>
        <w:rPr>
          <w:rtl/>
        </w:rPr>
        <w:t xml:space="preserve"> </w:t>
      </w:r>
      <w:r>
        <w:rPr>
          <w:rFonts w:hint="eastAsia"/>
          <w:rtl/>
        </w:rPr>
        <w:t>التقاعدي</w:t>
      </w:r>
      <w:r>
        <w:rPr>
          <w:rtl/>
        </w:rPr>
        <w:t xml:space="preserve"> </w:t>
      </w:r>
      <w:r>
        <w:rPr>
          <w:rFonts w:hint="eastAsia"/>
          <w:rtl/>
        </w:rPr>
        <w:t>على</w:t>
      </w:r>
      <w:r>
        <w:rPr>
          <w:rtl/>
        </w:rPr>
        <w:t xml:space="preserve"> </w:t>
      </w:r>
      <w:r>
        <w:rPr>
          <w:rFonts w:hint="eastAsia"/>
          <w:rtl/>
        </w:rPr>
        <w:t>النحو</w:t>
      </w:r>
      <w:r>
        <w:rPr>
          <w:rtl/>
        </w:rPr>
        <w:t xml:space="preserve"> </w:t>
      </w:r>
      <w:r>
        <w:rPr>
          <w:rFonts w:hint="eastAsia"/>
          <w:rtl/>
        </w:rPr>
        <w:t>المبين</w:t>
      </w:r>
      <w:r>
        <w:rPr>
          <w:rtl/>
        </w:rPr>
        <w:t xml:space="preserve"> </w:t>
      </w:r>
      <w:r>
        <w:rPr>
          <w:rFonts w:hint="eastAsia"/>
          <w:rtl/>
        </w:rPr>
        <w:t>في</w:t>
      </w:r>
      <w:r>
        <w:rPr>
          <w:rtl/>
        </w:rPr>
        <w:t xml:space="preserve"> </w:t>
      </w:r>
      <w:r>
        <w:rPr>
          <w:rFonts w:hint="eastAsia"/>
          <w:rtl/>
        </w:rPr>
        <w:t>موقع</w:t>
      </w:r>
      <w:r>
        <w:rPr>
          <w:rtl/>
        </w:rPr>
        <w:t xml:space="preserve"> </w:t>
      </w:r>
      <w:r>
        <w:rPr>
          <w:rFonts w:hint="eastAsia"/>
          <w:rtl/>
        </w:rPr>
        <w:t>لجنة</w:t>
      </w:r>
      <w:r>
        <w:rPr>
          <w:rtl/>
        </w:rPr>
        <w:t xml:space="preserve"> </w:t>
      </w:r>
      <w:r>
        <w:rPr>
          <w:rFonts w:hint="eastAsia"/>
          <w:rtl/>
        </w:rPr>
        <w:t>الخدمة</w:t>
      </w:r>
      <w:r>
        <w:rPr>
          <w:rtl/>
        </w:rPr>
        <w:t xml:space="preserve"> </w:t>
      </w:r>
      <w:r>
        <w:rPr>
          <w:rFonts w:hint="eastAsia"/>
          <w:rtl/>
        </w:rPr>
        <w:t>المدنية</w:t>
      </w:r>
      <w:r>
        <w:rPr>
          <w:rtl/>
        </w:rPr>
        <w:t xml:space="preserve"> </w:t>
      </w:r>
      <w:r>
        <w:rPr>
          <w:rFonts w:hint="eastAsia"/>
          <w:rtl/>
        </w:rPr>
        <w:t>الدولية</w:t>
      </w:r>
      <w:r>
        <w:rPr>
          <w:rFonts w:hint="cs"/>
          <w:rtl/>
        </w:rPr>
        <w:t xml:space="preserve">. </w:t>
      </w:r>
      <w:r>
        <w:rPr>
          <w:rFonts w:hint="eastAsia"/>
          <w:rtl/>
        </w:rPr>
        <w:t>ويعدل</w:t>
      </w:r>
      <w:r>
        <w:rPr>
          <w:rtl/>
        </w:rPr>
        <w:t xml:space="preserve"> </w:t>
      </w:r>
      <w:r>
        <w:rPr>
          <w:rFonts w:hint="eastAsia"/>
          <w:rtl/>
        </w:rPr>
        <w:t>هذا</w:t>
      </w:r>
      <w:r>
        <w:rPr>
          <w:rtl/>
        </w:rPr>
        <w:t xml:space="preserve"> </w:t>
      </w:r>
      <w:r>
        <w:rPr>
          <w:rFonts w:hint="eastAsia"/>
          <w:rtl/>
        </w:rPr>
        <w:t>المبلغ</w:t>
      </w:r>
      <w:r>
        <w:rPr>
          <w:rtl/>
        </w:rPr>
        <w:t xml:space="preserve"> </w:t>
      </w:r>
      <w:r>
        <w:rPr>
          <w:rFonts w:hint="eastAsia"/>
          <w:rtl/>
        </w:rPr>
        <w:t>في</w:t>
      </w:r>
      <w:r>
        <w:rPr>
          <w:rtl/>
        </w:rPr>
        <w:t xml:space="preserve"> </w:t>
      </w:r>
      <w:r>
        <w:rPr>
          <w:rFonts w:hint="eastAsia"/>
          <w:rtl/>
        </w:rPr>
        <w:t>نفس</w:t>
      </w:r>
      <w:r>
        <w:rPr>
          <w:rtl/>
        </w:rPr>
        <w:t xml:space="preserve"> </w:t>
      </w:r>
      <w:r>
        <w:rPr>
          <w:rFonts w:hint="eastAsia"/>
          <w:rtl/>
        </w:rPr>
        <w:t>التاريخ</w:t>
      </w:r>
      <w:r>
        <w:rPr>
          <w:rtl/>
        </w:rPr>
        <w:t xml:space="preserve"> </w:t>
      </w:r>
      <w:r>
        <w:rPr>
          <w:rFonts w:hint="eastAsia"/>
          <w:rtl/>
        </w:rPr>
        <w:t>الذي</w:t>
      </w:r>
      <w:r>
        <w:rPr>
          <w:rtl/>
        </w:rPr>
        <w:t xml:space="preserve"> </w:t>
      </w:r>
      <w:r>
        <w:rPr>
          <w:rFonts w:hint="eastAsia"/>
          <w:rtl/>
        </w:rPr>
        <w:t>تعدل</w:t>
      </w:r>
      <w:r>
        <w:rPr>
          <w:rtl/>
        </w:rPr>
        <w:t xml:space="preserve"> </w:t>
      </w:r>
      <w:r>
        <w:rPr>
          <w:rFonts w:hint="eastAsia"/>
          <w:rtl/>
        </w:rPr>
        <w:t>فيه</w:t>
      </w:r>
      <w:r>
        <w:rPr>
          <w:rtl/>
        </w:rPr>
        <w:t xml:space="preserve"> </w:t>
      </w:r>
      <w:r>
        <w:rPr>
          <w:rFonts w:hint="eastAsia"/>
          <w:rtl/>
        </w:rPr>
        <w:t>مبالغ</w:t>
      </w:r>
      <w:r>
        <w:rPr>
          <w:rtl/>
        </w:rPr>
        <w:t xml:space="preserve"> </w:t>
      </w:r>
      <w:r>
        <w:rPr>
          <w:rFonts w:hint="eastAsia"/>
          <w:rtl/>
        </w:rPr>
        <w:t>الأجور</w:t>
      </w:r>
      <w:r>
        <w:rPr>
          <w:rtl/>
        </w:rPr>
        <w:t xml:space="preserve"> </w:t>
      </w:r>
      <w:r>
        <w:rPr>
          <w:rFonts w:hint="eastAsia"/>
          <w:rtl/>
        </w:rPr>
        <w:t>الصافية</w:t>
      </w:r>
      <w:r>
        <w:rPr>
          <w:rtl/>
        </w:rPr>
        <w:t xml:space="preserve"> </w:t>
      </w:r>
      <w:r>
        <w:rPr>
          <w:rFonts w:hint="eastAsia"/>
          <w:rtl/>
        </w:rPr>
        <w:t>للموظفين</w:t>
      </w:r>
      <w:r>
        <w:rPr>
          <w:rtl/>
        </w:rPr>
        <w:t xml:space="preserve"> </w:t>
      </w:r>
      <w:r>
        <w:rPr>
          <w:rFonts w:hint="eastAsia"/>
          <w:rtl/>
        </w:rPr>
        <w:t>في</w:t>
      </w:r>
      <w:r>
        <w:rPr>
          <w:rtl/>
        </w:rPr>
        <w:t xml:space="preserve"> </w:t>
      </w:r>
      <w:r>
        <w:rPr>
          <w:rFonts w:hint="eastAsia"/>
          <w:rtl/>
        </w:rPr>
        <w:t>الفئتين</w:t>
      </w:r>
      <w:r>
        <w:rPr>
          <w:rtl/>
        </w:rPr>
        <w:t xml:space="preserve"> </w:t>
      </w:r>
      <w:r>
        <w:rPr>
          <w:rFonts w:hint="eastAsia"/>
          <w:rtl/>
        </w:rPr>
        <w:t>الفنية</w:t>
      </w:r>
      <w:r>
        <w:rPr>
          <w:rtl/>
        </w:rPr>
        <w:t xml:space="preserve"> </w:t>
      </w:r>
      <w:r>
        <w:rPr>
          <w:rFonts w:hint="eastAsia"/>
          <w:rtl/>
        </w:rPr>
        <w:t>والعليا</w:t>
      </w:r>
      <w:r>
        <w:rPr>
          <w:rtl/>
        </w:rPr>
        <w:t xml:space="preserve"> </w:t>
      </w:r>
      <w:r>
        <w:rPr>
          <w:rFonts w:hint="eastAsia"/>
          <w:rtl/>
        </w:rPr>
        <w:t>في</w:t>
      </w:r>
      <w:r>
        <w:rPr>
          <w:rtl/>
        </w:rPr>
        <w:t xml:space="preserve"> </w:t>
      </w:r>
      <w:r>
        <w:rPr>
          <w:rFonts w:hint="eastAsia"/>
          <w:rtl/>
        </w:rPr>
        <w:t>نيويورك</w:t>
      </w:r>
      <w:r>
        <w:rPr>
          <w:rtl/>
        </w:rPr>
        <w:t xml:space="preserve">. </w:t>
      </w:r>
      <w:r>
        <w:rPr>
          <w:rFonts w:hint="eastAsia"/>
          <w:rtl/>
        </w:rPr>
        <w:t>ويكون</w:t>
      </w:r>
      <w:r>
        <w:rPr>
          <w:rtl/>
        </w:rPr>
        <w:t xml:space="preserve"> </w:t>
      </w:r>
      <w:r>
        <w:rPr>
          <w:rFonts w:hint="eastAsia"/>
          <w:rtl/>
        </w:rPr>
        <w:t>هذا</w:t>
      </w:r>
      <w:r>
        <w:rPr>
          <w:rtl/>
        </w:rPr>
        <w:t xml:space="preserve"> </w:t>
      </w:r>
      <w:r>
        <w:rPr>
          <w:rFonts w:hint="eastAsia"/>
          <w:rtl/>
        </w:rPr>
        <w:t>التعديل</w:t>
      </w:r>
      <w:r>
        <w:rPr>
          <w:rtl/>
        </w:rPr>
        <w:t xml:space="preserve"> </w:t>
      </w:r>
      <w:r>
        <w:rPr>
          <w:rFonts w:hint="eastAsia"/>
          <w:rtl/>
        </w:rPr>
        <w:t>بنسبة</w:t>
      </w:r>
      <w:r>
        <w:rPr>
          <w:rtl/>
        </w:rPr>
        <w:t xml:space="preserve"> </w:t>
      </w:r>
      <w:r>
        <w:rPr>
          <w:rFonts w:hint="eastAsia"/>
          <w:rtl/>
        </w:rPr>
        <w:t>‏مئوية</w:t>
      </w:r>
      <w:r>
        <w:rPr>
          <w:rtl/>
        </w:rPr>
        <w:t xml:space="preserve"> </w:t>
      </w:r>
      <w:r>
        <w:rPr>
          <w:rFonts w:hint="eastAsia"/>
          <w:rtl/>
        </w:rPr>
        <w:t>موحدة</w:t>
      </w:r>
      <w:r>
        <w:rPr>
          <w:rtl/>
        </w:rPr>
        <w:t xml:space="preserve"> </w:t>
      </w:r>
      <w:r>
        <w:rPr>
          <w:rFonts w:hint="eastAsia"/>
          <w:rtl/>
        </w:rPr>
        <w:t>تساوي</w:t>
      </w:r>
      <w:r>
        <w:rPr>
          <w:rtl/>
        </w:rPr>
        <w:t xml:space="preserve"> </w:t>
      </w:r>
      <w:r>
        <w:rPr>
          <w:rFonts w:hint="eastAsia"/>
          <w:rtl/>
        </w:rPr>
        <w:t>المتوسط</w:t>
      </w:r>
      <w:r>
        <w:rPr>
          <w:rtl/>
        </w:rPr>
        <w:t xml:space="preserve"> </w:t>
      </w:r>
      <w:r>
        <w:rPr>
          <w:rFonts w:hint="eastAsia"/>
          <w:rtl/>
        </w:rPr>
        <w:t>المرجح</w:t>
      </w:r>
      <w:r>
        <w:rPr>
          <w:rtl/>
        </w:rPr>
        <w:t xml:space="preserve"> </w:t>
      </w:r>
      <w:r>
        <w:rPr>
          <w:rFonts w:hint="eastAsia"/>
          <w:rtl/>
        </w:rPr>
        <w:t>للنسبة</w:t>
      </w:r>
      <w:r>
        <w:rPr>
          <w:rtl/>
        </w:rPr>
        <w:t xml:space="preserve"> </w:t>
      </w:r>
      <w:r>
        <w:rPr>
          <w:rFonts w:hint="eastAsia"/>
          <w:rtl/>
        </w:rPr>
        <w:t>المئوية</w:t>
      </w:r>
      <w:r>
        <w:rPr>
          <w:rtl/>
        </w:rPr>
        <w:t xml:space="preserve"> </w:t>
      </w:r>
      <w:r>
        <w:rPr>
          <w:rFonts w:hint="eastAsia"/>
          <w:rtl/>
        </w:rPr>
        <w:t>للفرق</w:t>
      </w:r>
      <w:r>
        <w:rPr>
          <w:rtl/>
        </w:rPr>
        <w:t xml:space="preserve"> </w:t>
      </w:r>
      <w:r>
        <w:rPr>
          <w:rFonts w:hint="eastAsia"/>
          <w:rtl/>
        </w:rPr>
        <w:t>في</w:t>
      </w:r>
      <w:r>
        <w:rPr>
          <w:rtl/>
        </w:rPr>
        <w:t xml:space="preserve"> </w:t>
      </w:r>
      <w:r>
        <w:rPr>
          <w:rFonts w:hint="eastAsia"/>
          <w:rtl/>
        </w:rPr>
        <w:t>مبالغ</w:t>
      </w:r>
      <w:r>
        <w:rPr>
          <w:rtl/>
        </w:rPr>
        <w:t xml:space="preserve"> </w:t>
      </w:r>
      <w:r>
        <w:rPr>
          <w:rFonts w:hint="eastAsia"/>
          <w:rtl/>
        </w:rPr>
        <w:t>الأجور</w:t>
      </w:r>
      <w:r>
        <w:rPr>
          <w:rtl/>
        </w:rPr>
        <w:t xml:space="preserve"> </w:t>
      </w:r>
      <w:r>
        <w:rPr>
          <w:rFonts w:hint="eastAsia"/>
          <w:rtl/>
        </w:rPr>
        <w:t>الصافية،</w:t>
      </w:r>
      <w:r>
        <w:rPr>
          <w:rtl/>
        </w:rPr>
        <w:t xml:space="preserve"> </w:t>
      </w:r>
      <w:r>
        <w:rPr>
          <w:rFonts w:hint="eastAsia"/>
          <w:rtl/>
        </w:rPr>
        <w:t>على</w:t>
      </w:r>
      <w:r>
        <w:rPr>
          <w:rtl/>
        </w:rPr>
        <w:t xml:space="preserve"> </w:t>
      </w:r>
      <w:r>
        <w:rPr>
          <w:rFonts w:hint="eastAsia"/>
          <w:rtl/>
        </w:rPr>
        <w:t>النحو</w:t>
      </w:r>
      <w:r>
        <w:rPr>
          <w:rtl/>
        </w:rPr>
        <w:t xml:space="preserve"> </w:t>
      </w:r>
      <w:r>
        <w:rPr>
          <w:rFonts w:hint="eastAsia"/>
          <w:rtl/>
        </w:rPr>
        <w:t>الذي</w:t>
      </w:r>
      <w:r>
        <w:rPr>
          <w:rtl/>
        </w:rPr>
        <w:t xml:space="preserve"> </w:t>
      </w:r>
      <w:r>
        <w:rPr>
          <w:rFonts w:hint="eastAsia"/>
          <w:rtl/>
        </w:rPr>
        <w:t>تحدده</w:t>
      </w:r>
      <w:r>
        <w:rPr>
          <w:rtl/>
        </w:rPr>
        <w:t xml:space="preserve"> </w:t>
      </w:r>
      <w:r>
        <w:rPr>
          <w:rFonts w:hint="eastAsia"/>
          <w:rtl/>
        </w:rPr>
        <w:t>لجنة</w:t>
      </w:r>
      <w:r>
        <w:rPr>
          <w:rtl/>
        </w:rPr>
        <w:t xml:space="preserve"> </w:t>
      </w:r>
      <w:r>
        <w:rPr>
          <w:rFonts w:hint="eastAsia"/>
          <w:rtl/>
        </w:rPr>
        <w:t>الخدمة</w:t>
      </w:r>
      <w:r>
        <w:rPr>
          <w:rtl/>
        </w:rPr>
        <w:t xml:space="preserve"> </w:t>
      </w:r>
      <w:r>
        <w:rPr>
          <w:rFonts w:hint="eastAsia"/>
          <w:rtl/>
        </w:rPr>
        <w:t>المدنية</w:t>
      </w:r>
      <w:r>
        <w:rPr>
          <w:rtl/>
        </w:rPr>
        <w:t xml:space="preserve"> </w:t>
      </w:r>
      <w:r>
        <w:rPr>
          <w:rFonts w:hint="eastAsia"/>
          <w:rtl/>
        </w:rPr>
        <w:t>‏الدولية</w:t>
      </w:r>
      <w:r>
        <w:rPr>
          <w:rtl/>
        </w:rPr>
        <w:t>".</w:t>
      </w:r>
      <w:r>
        <w:rPr>
          <w:rFonts w:hint="eastAsia"/>
          <w:rtl/>
        </w:rPr>
        <w:t>‏</w:t>
      </w:r>
    </w:p>
  </w:footnote>
  <w:footnote w:id="5">
    <w:p w14:paraId="09B24135" w14:textId="7E687D8F" w:rsidR="000309D5" w:rsidRDefault="000309D5" w:rsidP="000309D5">
      <w:pPr>
        <w:pStyle w:val="Footnotetexte"/>
      </w:pPr>
      <w:r>
        <w:rPr>
          <w:rStyle w:val="FootnoteReference"/>
        </w:rPr>
        <w:footnoteRef/>
      </w:r>
      <w:r>
        <w:tab/>
      </w:r>
      <w:r>
        <w:rPr>
          <w:rFonts w:hint="eastAsia"/>
          <w:rtl/>
        </w:rPr>
        <w:t>‏</w:t>
      </w:r>
      <w:r>
        <w:rPr>
          <w:rtl/>
        </w:rPr>
        <w:t>"</w:t>
      </w:r>
      <w:r>
        <w:rPr>
          <w:rFonts w:hint="eastAsia"/>
          <w:rtl/>
        </w:rPr>
        <w:t>منهجية</w:t>
      </w:r>
      <w:r>
        <w:rPr>
          <w:rtl/>
        </w:rPr>
        <w:t xml:space="preserve"> </w:t>
      </w:r>
      <w:r>
        <w:rPr>
          <w:rFonts w:hint="eastAsia"/>
          <w:rtl/>
        </w:rPr>
        <w:t>الدراسات</w:t>
      </w:r>
      <w:r>
        <w:rPr>
          <w:rtl/>
        </w:rPr>
        <w:t xml:space="preserve"> </w:t>
      </w:r>
      <w:r>
        <w:rPr>
          <w:rFonts w:hint="eastAsia"/>
          <w:rtl/>
        </w:rPr>
        <w:t>الاستقصائية</w:t>
      </w:r>
      <w:r>
        <w:rPr>
          <w:rtl/>
        </w:rPr>
        <w:t xml:space="preserve"> </w:t>
      </w:r>
      <w:r>
        <w:rPr>
          <w:rFonts w:hint="eastAsia"/>
          <w:rtl/>
        </w:rPr>
        <w:t>لأفضل</w:t>
      </w:r>
      <w:r>
        <w:rPr>
          <w:rtl/>
        </w:rPr>
        <w:t xml:space="preserve"> </w:t>
      </w:r>
      <w:r>
        <w:rPr>
          <w:rFonts w:hint="eastAsia"/>
          <w:rtl/>
        </w:rPr>
        <w:t>شروط</w:t>
      </w:r>
      <w:r>
        <w:rPr>
          <w:rtl/>
        </w:rPr>
        <w:t xml:space="preserve"> </w:t>
      </w:r>
      <w:r>
        <w:rPr>
          <w:rFonts w:hint="eastAsia"/>
          <w:rtl/>
        </w:rPr>
        <w:t>العمل</w:t>
      </w:r>
      <w:r>
        <w:rPr>
          <w:rtl/>
        </w:rPr>
        <w:t xml:space="preserve"> </w:t>
      </w:r>
      <w:r>
        <w:rPr>
          <w:rFonts w:hint="eastAsia"/>
          <w:rtl/>
        </w:rPr>
        <w:t>المتبعة</w:t>
      </w:r>
      <w:r>
        <w:rPr>
          <w:rtl/>
        </w:rPr>
        <w:t xml:space="preserve"> </w:t>
      </w:r>
      <w:r>
        <w:rPr>
          <w:rFonts w:hint="eastAsia"/>
          <w:rtl/>
        </w:rPr>
        <w:t>في</w:t>
      </w:r>
      <w:r>
        <w:rPr>
          <w:rtl/>
        </w:rPr>
        <w:t xml:space="preserve"> </w:t>
      </w:r>
      <w:r>
        <w:rPr>
          <w:rFonts w:hint="eastAsia"/>
          <w:rtl/>
        </w:rPr>
        <w:t>مراكز</w:t>
      </w:r>
      <w:r>
        <w:rPr>
          <w:rtl/>
        </w:rPr>
        <w:t xml:space="preserve"> </w:t>
      </w:r>
      <w:r>
        <w:rPr>
          <w:rFonts w:hint="eastAsia"/>
          <w:rtl/>
        </w:rPr>
        <w:t>العمل</w:t>
      </w:r>
      <w:r>
        <w:rPr>
          <w:rtl/>
        </w:rPr>
        <w:t xml:space="preserve"> </w:t>
      </w:r>
      <w:r>
        <w:rPr>
          <w:rFonts w:hint="eastAsia"/>
          <w:rtl/>
        </w:rPr>
        <w:t>في</w:t>
      </w:r>
      <w:r>
        <w:rPr>
          <w:rtl/>
        </w:rPr>
        <w:t xml:space="preserve"> </w:t>
      </w:r>
      <w:r>
        <w:rPr>
          <w:rFonts w:hint="eastAsia"/>
          <w:rtl/>
        </w:rPr>
        <w:t>المقر</w:t>
      </w:r>
      <w:r>
        <w:rPr>
          <w:rtl/>
        </w:rPr>
        <w:t xml:space="preserve"> (</w:t>
      </w:r>
      <w:r>
        <w:rPr>
          <w:rFonts w:hint="eastAsia"/>
          <w:rtl/>
        </w:rPr>
        <w:t>منهجية</w:t>
      </w:r>
      <w:r>
        <w:rPr>
          <w:rtl/>
        </w:rPr>
        <w:t xml:space="preserve"> </w:t>
      </w:r>
      <w:r>
        <w:rPr>
          <w:rFonts w:hint="eastAsia"/>
          <w:rtl/>
        </w:rPr>
        <w:t>الدراسة</w:t>
      </w:r>
      <w:r>
        <w:rPr>
          <w:rtl/>
        </w:rPr>
        <w:t xml:space="preserve"> </w:t>
      </w:r>
      <w:r>
        <w:rPr>
          <w:rFonts w:hint="eastAsia"/>
          <w:rtl/>
        </w:rPr>
        <w:t>الاستقصائية</w:t>
      </w:r>
      <w:r>
        <w:rPr>
          <w:rtl/>
        </w:rPr>
        <w:t xml:space="preserve"> </w:t>
      </w:r>
      <w:r>
        <w:rPr>
          <w:rFonts w:hint="eastAsia"/>
          <w:rtl/>
        </w:rPr>
        <w:t>الأولى</w:t>
      </w:r>
      <w:r>
        <w:rPr>
          <w:rtl/>
        </w:rPr>
        <w:t>)"</w:t>
      </w:r>
      <w:r>
        <w:rPr>
          <w:rFonts w:hint="eastAsia"/>
          <w:rtl/>
        </w:rPr>
        <w:t>،</w:t>
      </w:r>
      <w:r>
        <w:rPr>
          <w:rtl/>
        </w:rPr>
        <w:t xml:space="preserve"> </w:t>
      </w:r>
      <w:r>
        <w:rPr>
          <w:rFonts w:hint="eastAsia"/>
          <w:rtl/>
        </w:rPr>
        <w:t>‏</w:t>
      </w:r>
      <w:hyperlink r:id="rId4" w:history="1">
        <w:r w:rsidRPr="00B914C7">
          <w:rPr>
            <w:rStyle w:val="Hyperlink"/>
            <w:szCs w:val="22"/>
          </w:rPr>
          <w:t>ICSC/94/R.16</w:t>
        </w:r>
      </w:hyperlink>
      <w:r>
        <w:rPr>
          <w:rFonts w:hint="eastAsia"/>
          <w:cs/>
        </w:rPr>
        <w:t>‎</w:t>
      </w:r>
      <w:r>
        <w:rPr>
          <w:rFonts w:hint="eastAsia"/>
          <w:rtl/>
          <w:cs/>
        </w:rPr>
        <w:t>،</w:t>
      </w:r>
      <w:r>
        <w:rPr>
          <w:rtl/>
          <w:cs/>
        </w:rPr>
        <w:t xml:space="preserve"> 10 </w:t>
      </w:r>
      <w:r>
        <w:rPr>
          <w:rFonts w:hint="eastAsia"/>
          <w:rtl/>
          <w:cs/>
        </w:rPr>
        <w:t>أغسطس</w:t>
      </w:r>
      <w:r>
        <w:rPr>
          <w:rtl/>
          <w:cs/>
        </w:rPr>
        <w:t xml:space="preserve"> </w:t>
      </w:r>
      <w:r>
        <w:rPr>
          <w:rtl/>
        </w:rPr>
        <w:t>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DA2C" w14:textId="77777777" w:rsidR="001A3E13" w:rsidRPr="00057769" w:rsidRDefault="001A3E13" w:rsidP="001A3E13">
    <w:pPr>
      <w:pStyle w:val="Header"/>
    </w:pPr>
    <w:r>
      <w:rPr>
        <w:noProof/>
      </w:rPr>
      <w:drawing>
        <wp:inline distT="0" distB="0" distL="0" distR="0" wp14:anchorId="03717881" wp14:editId="3328A895">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4823978">
    <w:abstractNumId w:val="9"/>
  </w:num>
  <w:num w:numId="2" w16cid:durableId="864291845">
    <w:abstractNumId w:val="7"/>
  </w:num>
  <w:num w:numId="3" w16cid:durableId="1577520451">
    <w:abstractNumId w:val="6"/>
  </w:num>
  <w:num w:numId="4" w16cid:durableId="1216088621">
    <w:abstractNumId w:val="5"/>
  </w:num>
  <w:num w:numId="5" w16cid:durableId="367146075">
    <w:abstractNumId w:val="4"/>
  </w:num>
  <w:num w:numId="6" w16cid:durableId="1853060641">
    <w:abstractNumId w:val="8"/>
  </w:num>
  <w:num w:numId="7" w16cid:durableId="2084717079">
    <w:abstractNumId w:val="3"/>
  </w:num>
  <w:num w:numId="8" w16cid:durableId="2018774756">
    <w:abstractNumId w:val="2"/>
  </w:num>
  <w:num w:numId="9" w16cid:durableId="804585889">
    <w:abstractNumId w:val="1"/>
  </w:num>
  <w:num w:numId="10" w16cid:durableId="1311402805">
    <w:abstractNumId w:val="0"/>
  </w:num>
  <w:num w:numId="11" w16cid:durableId="358048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F8"/>
    <w:rsid w:val="000116AF"/>
    <w:rsid w:val="000309D5"/>
    <w:rsid w:val="0006468A"/>
    <w:rsid w:val="00077A58"/>
    <w:rsid w:val="00090574"/>
    <w:rsid w:val="000C1C0E"/>
    <w:rsid w:val="000C548A"/>
    <w:rsid w:val="000F6A82"/>
    <w:rsid w:val="00133C39"/>
    <w:rsid w:val="00191059"/>
    <w:rsid w:val="00196A8F"/>
    <w:rsid w:val="001A3E13"/>
    <w:rsid w:val="001B6E2B"/>
    <w:rsid w:val="001C0169"/>
    <w:rsid w:val="001C0C21"/>
    <w:rsid w:val="001C25AA"/>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2F5986"/>
    <w:rsid w:val="003122E3"/>
    <w:rsid w:val="00327CAE"/>
    <w:rsid w:val="00334924"/>
    <w:rsid w:val="003409BC"/>
    <w:rsid w:val="00357185"/>
    <w:rsid w:val="00383829"/>
    <w:rsid w:val="003F4B29"/>
    <w:rsid w:val="00410B26"/>
    <w:rsid w:val="00420F8A"/>
    <w:rsid w:val="00423A15"/>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45AE3"/>
    <w:rsid w:val="005546CF"/>
    <w:rsid w:val="0055516A"/>
    <w:rsid w:val="0058491B"/>
    <w:rsid w:val="00592EA5"/>
    <w:rsid w:val="005A3170"/>
    <w:rsid w:val="005F5AFF"/>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96B66"/>
    <w:rsid w:val="008A7F84"/>
    <w:rsid w:val="008C4079"/>
    <w:rsid w:val="0091702E"/>
    <w:rsid w:val="00923B0C"/>
    <w:rsid w:val="00924F46"/>
    <w:rsid w:val="00934928"/>
    <w:rsid w:val="00935AAC"/>
    <w:rsid w:val="0093725D"/>
    <w:rsid w:val="0094021C"/>
    <w:rsid w:val="00952F86"/>
    <w:rsid w:val="0096716C"/>
    <w:rsid w:val="00982B28"/>
    <w:rsid w:val="009868AC"/>
    <w:rsid w:val="009D313F"/>
    <w:rsid w:val="00A47A5A"/>
    <w:rsid w:val="00A63AE6"/>
    <w:rsid w:val="00A6683B"/>
    <w:rsid w:val="00A67F05"/>
    <w:rsid w:val="00A72FB8"/>
    <w:rsid w:val="00A97F94"/>
    <w:rsid w:val="00AA7EA2"/>
    <w:rsid w:val="00AB5A56"/>
    <w:rsid w:val="00B03099"/>
    <w:rsid w:val="00B05BC8"/>
    <w:rsid w:val="00B30F5E"/>
    <w:rsid w:val="00B64B47"/>
    <w:rsid w:val="00B95654"/>
    <w:rsid w:val="00B97F32"/>
    <w:rsid w:val="00BA04B2"/>
    <w:rsid w:val="00C002DE"/>
    <w:rsid w:val="00C0602B"/>
    <w:rsid w:val="00C224DA"/>
    <w:rsid w:val="00C34305"/>
    <w:rsid w:val="00C53BF8"/>
    <w:rsid w:val="00C66157"/>
    <w:rsid w:val="00C674FE"/>
    <w:rsid w:val="00C67501"/>
    <w:rsid w:val="00C75633"/>
    <w:rsid w:val="00CE2EE1"/>
    <w:rsid w:val="00CE3349"/>
    <w:rsid w:val="00CE36E5"/>
    <w:rsid w:val="00CE4360"/>
    <w:rsid w:val="00CF183F"/>
    <w:rsid w:val="00CF27F5"/>
    <w:rsid w:val="00CF3FFD"/>
    <w:rsid w:val="00D10CCF"/>
    <w:rsid w:val="00D13941"/>
    <w:rsid w:val="00D23F5F"/>
    <w:rsid w:val="00D43F7D"/>
    <w:rsid w:val="00D63735"/>
    <w:rsid w:val="00D77D0F"/>
    <w:rsid w:val="00DA1CF0"/>
    <w:rsid w:val="00DA6A30"/>
    <w:rsid w:val="00DC1E02"/>
    <w:rsid w:val="00DC24B4"/>
    <w:rsid w:val="00DC5FB0"/>
    <w:rsid w:val="00DE4FB8"/>
    <w:rsid w:val="00DE6C35"/>
    <w:rsid w:val="00DF16DC"/>
    <w:rsid w:val="00E00AF8"/>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2D7B"/>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52C28"/>
  <w15:chartTrackingRefBased/>
  <w15:docId w15:val="{171ED1E8-0EE8-47D9-84DF-5AC72A0D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C34305"/>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46-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council/Documents/basic-texts-2023/RES-046-A.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jspf.org/wp-content/uploads/2026/02/2026-UNJSPF-Regulations-1-January-2026-English-Rev-30.pdf" TargetMode="External"/><Relationship Id="rId2" Type="http://schemas.openxmlformats.org/officeDocument/2006/relationships/hyperlink" Target="https://digitallibrary.un.org/record/4091239?ln=en&amp;v=pdf" TargetMode="External"/><Relationship Id="rId1" Type="http://schemas.openxmlformats.org/officeDocument/2006/relationships/hyperlink" Target="https://docs.un.org/en/A/RES/80/236a-b" TargetMode="External"/><Relationship Id="rId4" Type="http://schemas.openxmlformats.org/officeDocument/2006/relationships/hyperlink" Target="https://onehr.un.org/media/salarySurvey/resources/resourcesDocs/files-167351495957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4</Pages>
  <Words>855</Words>
  <Characters>4876</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Changes in the conditions of service under the United Nations common system</vt:lpstr>
    </vt:vector>
  </TitlesOfParts>
  <Company>International Telecommunication Union</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the conditions of service under the United Nations common system</dc:title>
  <dc:subject>ITU Council 2026</dc:subject>
  <cp:keywords>C26; C2026; Council 2026; PP26</cp:keywords>
  <dc:description/>
  <dcterms:created xsi:type="dcterms:W3CDTF">2026-04-21T09:51:00Z</dcterms:created>
  <dcterms:modified xsi:type="dcterms:W3CDTF">2026-04-21T09:52:00Z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