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vertAnchor="page" w:horzAnchor="page" w:tblpX="1821" w:tblpY="2314"/>
        <w:tblW w:w="9214" w:type="dxa"/>
        <w:tblLayout w:type="fixed"/>
        <w:tblLook w:val="0000" w:firstRow="0" w:lastRow="0" w:firstColumn="0" w:lastColumn="0" w:noHBand="0" w:noVBand="0"/>
      </w:tblPr>
      <w:tblGrid>
        <w:gridCol w:w="3969"/>
        <w:gridCol w:w="5245"/>
      </w:tblGrid>
      <w:tr w:rsidR="00FE57F6" w:rsidRPr="00BB6FD8" w14:paraId="1CC67413" w14:textId="77777777" w:rsidTr="00C538FC">
        <w:trPr>
          <w:cantSplit/>
          <w:trHeight w:val="23"/>
        </w:trPr>
        <w:tc>
          <w:tcPr>
            <w:tcW w:w="3969" w:type="dxa"/>
            <w:vMerge w:val="restart"/>
            <w:tcMar>
              <w:left w:w="0" w:type="dxa"/>
            </w:tcMar>
          </w:tcPr>
          <w:p w14:paraId="72FF0ED2" w14:textId="73161C42" w:rsidR="00FE57F6" w:rsidRPr="00BB6FD8" w:rsidRDefault="00E53222" w:rsidP="00C538FC">
            <w:pPr>
              <w:tabs>
                <w:tab w:val="left" w:pos="851"/>
              </w:tabs>
              <w:spacing w:before="0" w:line="240" w:lineRule="atLeast"/>
              <w:rPr>
                <w:b/>
              </w:rPr>
            </w:pPr>
            <w:bookmarkStart w:id="0" w:name="_Hlk133421839"/>
            <w:r>
              <w:rPr>
                <w:b/>
              </w:rPr>
              <w:t>Punto del o</w:t>
            </w:r>
            <w:r w:rsidR="00BB6FD8" w:rsidRPr="00BB6FD8">
              <w:rPr>
                <w:b/>
              </w:rPr>
              <w:t>rden del día</w:t>
            </w:r>
            <w:r w:rsidR="00FE57F6" w:rsidRPr="00BB6FD8">
              <w:rPr>
                <w:b/>
              </w:rPr>
              <w:t xml:space="preserve">: </w:t>
            </w:r>
            <w:r>
              <w:rPr>
                <w:b/>
              </w:rPr>
              <w:t>PL</w:t>
            </w:r>
          </w:p>
        </w:tc>
        <w:tc>
          <w:tcPr>
            <w:tcW w:w="5245" w:type="dxa"/>
          </w:tcPr>
          <w:p w14:paraId="3DE8886C" w14:textId="21335CB7" w:rsidR="00FE57F6" w:rsidRPr="00BB6FD8" w:rsidRDefault="00902E8F" w:rsidP="00C538FC">
            <w:pPr>
              <w:tabs>
                <w:tab w:val="left" w:pos="851"/>
              </w:tabs>
              <w:spacing w:before="0" w:line="240" w:lineRule="atLeast"/>
              <w:jc w:val="right"/>
              <w:rPr>
                <w:b/>
              </w:rPr>
            </w:pPr>
            <w:r>
              <w:rPr>
                <w:b/>
              </w:rPr>
              <w:t>Addéndum</w:t>
            </w:r>
            <w:r w:rsidR="00E53222">
              <w:rPr>
                <w:b/>
              </w:rPr>
              <w:t xml:space="preserve"> 1 al</w:t>
            </w:r>
            <w:r w:rsidR="00E53222">
              <w:rPr>
                <w:b/>
              </w:rPr>
              <w:br/>
            </w:r>
            <w:r w:rsidR="00FE57F6" w:rsidRPr="00BB6FD8">
              <w:rPr>
                <w:b/>
              </w:rPr>
              <w:t>Document</w:t>
            </w:r>
            <w:r w:rsidR="00F24B71" w:rsidRPr="00BB6FD8">
              <w:rPr>
                <w:b/>
              </w:rPr>
              <w:t>o</w:t>
            </w:r>
            <w:r w:rsidR="00FE57F6" w:rsidRPr="00BB6FD8">
              <w:rPr>
                <w:b/>
              </w:rPr>
              <w:t xml:space="preserve"> C2</w:t>
            </w:r>
            <w:r w:rsidR="00F61BDB">
              <w:rPr>
                <w:b/>
              </w:rPr>
              <w:t>6</w:t>
            </w:r>
            <w:r w:rsidR="00FE57F6" w:rsidRPr="00BB6FD8">
              <w:rPr>
                <w:b/>
              </w:rPr>
              <w:t>/</w:t>
            </w:r>
            <w:r w:rsidR="00E53222">
              <w:rPr>
                <w:b/>
              </w:rPr>
              <w:t>22</w:t>
            </w:r>
            <w:r w:rsidR="00FE57F6" w:rsidRPr="00BB6FD8">
              <w:rPr>
                <w:b/>
              </w:rPr>
              <w:t>-</w:t>
            </w:r>
            <w:r w:rsidR="00F24B71" w:rsidRPr="00BB6FD8">
              <w:rPr>
                <w:b/>
              </w:rPr>
              <w:t>S</w:t>
            </w:r>
          </w:p>
        </w:tc>
      </w:tr>
      <w:tr w:rsidR="00FE57F6" w:rsidRPr="00666D09" w14:paraId="08F9D116" w14:textId="77777777" w:rsidTr="00C538FC">
        <w:trPr>
          <w:cantSplit/>
        </w:trPr>
        <w:tc>
          <w:tcPr>
            <w:tcW w:w="3969" w:type="dxa"/>
            <w:vMerge/>
          </w:tcPr>
          <w:p w14:paraId="045FB268" w14:textId="77777777" w:rsidR="00FE57F6" w:rsidRPr="00BB6FD8" w:rsidRDefault="00FE57F6" w:rsidP="00C538FC">
            <w:pPr>
              <w:tabs>
                <w:tab w:val="left" w:pos="851"/>
              </w:tabs>
              <w:spacing w:line="240" w:lineRule="atLeast"/>
              <w:rPr>
                <w:b/>
              </w:rPr>
            </w:pPr>
          </w:p>
        </w:tc>
        <w:tc>
          <w:tcPr>
            <w:tcW w:w="5245" w:type="dxa"/>
          </w:tcPr>
          <w:p w14:paraId="664BE76B" w14:textId="0CBB636A" w:rsidR="00FE57F6" w:rsidRPr="00666D09" w:rsidRDefault="00E53222" w:rsidP="00C538FC">
            <w:pPr>
              <w:tabs>
                <w:tab w:val="left" w:pos="851"/>
              </w:tabs>
              <w:spacing w:before="0"/>
              <w:jc w:val="right"/>
              <w:rPr>
                <w:b/>
                <w:lang w:val="en-GB"/>
              </w:rPr>
            </w:pPr>
            <w:r>
              <w:rPr>
                <w:b/>
                <w:lang w:val="es-ES"/>
              </w:rPr>
              <w:t>7 de octubre de 2026</w:t>
            </w:r>
          </w:p>
        </w:tc>
      </w:tr>
      <w:tr w:rsidR="00FE57F6" w:rsidRPr="00BB6FD8" w14:paraId="5530896E" w14:textId="77777777" w:rsidTr="00C538FC">
        <w:trPr>
          <w:cantSplit/>
          <w:trHeight w:val="23"/>
        </w:trPr>
        <w:tc>
          <w:tcPr>
            <w:tcW w:w="3969" w:type="dxa"/>
            <w:vMerge/>
          </w:tcPr>
          <w:p w14:paraId="72D6EAF7" w14:textId="77777777" w:rsidR="00FE57F6" w:rsidRPr="00666D09" w:rsidRDefault="00FE57F6" w:rsidP="00C538FC">
            <w:pPr>
              <w:tabs>
                <w:tab w:val="left" w:pos="851"/>
              </w:tabs>
              <w:spacing w:line="240" w:lineRule="atLeast"/>
              <w:rPr>
                <w:b/>
                <w:lang w:val="en-GB"/>
              </w:rPr>
            </w:pPr>
          </w:p>
        </w:tc>
        <w:tc>
          <w:tcPr>
            <w:tcW w:w="5245" w:type="dxa"/>
          </w:tcPr>
          <w:p w14:paraId="3A010BDA" w14:textId="77777777" w:rsidR="00FE57F6" w:rsidRPr="00BB6FD8" w:rsidRDefault="00F24B71" w:rsidP="00C538FC">
            <w:pPr>
              <w:tabs>
                <w:tab w:val="left" w:pos="851"/>
              </w:tabs>
              <w:spacing w:before="0" w:line="240" w:lineRule="atLeast"/>
              <w:jc w:val="right"/>
              <w:rPr>
                <w:b/>
                <w:bCs/>
              </w:rPr>
            </w:pPr>
            <w:r w:rsidRPr="00BB6FD8">
              <w:rPr>
                <w:rFonts w:cstheme="minorHAnsi"/>
                <w:b/>
                <w:bCs/>
              </w:rPr>
              <w:t>Original: inglés</w:t>
            </w:r>
          </w:p>
        </w:tc>
      </w:tr>
      <w:tr w:rsidR="00FE57F6" w:rsidRPr="00BB6FD8" w14:paraId="14286661" w14:textId="77777777" w:rsidTr="00C538FC">
        <w:trPr>
          <w:cantSplit/>
          <w:trHeight w:val="23"/>
        </w:trPr>
        <w:tc>
          <w:tcPr>
            <w:tcW w:w="3969" w:type="dxa"/>
          </w:tcPr>
          <w:p w14:paraId="421515A1" w14:textId="77777777" w:rsidR="00FE57F6" w:rsidRPr="00BB6FD8" w:rsidRDefault="00FE57F6" w:rsidP="00C538FC">
            <w:pPr>
              <w:tabs>
                <w:tab w:val="left" w:pos="851"/>
              </w:tabs>
              <w:spacing w:line="240" w:lineRule="atLeast"/>
              <w:rPr>
                <w:b/>
              </w:rPr>
            </w:pPr>
          </w:p>
        </w:tc>
        <w:tc>
          <w:tcPr>
            <w:tcW w:w="5245" w:type="dxa"/>
          </w:tcPr>
          <w:p w14:paraId="3DEBA512" w14:textId="77777777" w:rsidR="00FE57F6" w:rsidRPr="00BB6FD8" w:rsidRDefault="00FE57F6" w:rsidP="00C538FC">
            <w:pPr>
              <w:tabs>
                <w:tab w:val="left" w:pos="851"/>
              </w:tabs>
              <w:spacing w:before="0" w:line="240" w:lineRule="atLeast"/>
              <w:jc w:val="right"/>
              <w:rPr>
                <w:b/>
              </w:rPr>
            </w:pPr>
          </w:p>
        </w:tc>
      </w:tr>
      <w:tr w:rsidR="00FE57F6" w:rsidRPr="00BB6FD8" w14:paraId="401D9E9A" w14:textId="77777777" w:rsidTr="00C538FC">
        <w:trPr>
          <w:cantSplit/>
        </w:trPr>
        <w:tc>
          <w:tcPr>
            <w:tcW w:w="9214" w:type="dxa"/>
            <w:gridSpan w:val="2"/>
            <w:tcMar>
              <w:left w:w="0" w:type="dxa"/>
            </w:tcMar>
          </w:tcPr>
          <w:p w14:paraId="6CEC4B9C" w14:textId="77777777" w:rsidR="00FE57F6" w:rsidRPr="005C54D3" w:rsidRDefault="00D03F3E" w:rsidP="00C538FC">
            <w:pPr>
              <w:pStyle w:val="Source"/>
              <w:jc w:val="left"/>
              <w:rPr>
                <w:sz w:val="32"/>
                <w:szCs w:val="32"/>
              </w:rPr>
            </w:pPr>
            <w:r w:rsidRPr="005C54D3">
              <w:rPr>
                <w:rFonts w:cstheme="minorHAnsi"/>
                <w:sz w:val="32"/>
                <w:szCs w:val="32"/>
              </w:rPr>
              <w:t>Informe de la Secretaria General</w:t>
            </w:r>
          </w:p>
        </w:tc>
      </w:tr>
      <w:tr w:rsidR="00FE57F6" w:rsidRPr="00BB6FD8" w14:paraId="61982B59" w14:textId="77777777" w:rsidTr="00C538FC">
        <w:trPr>
          <w:cantSplit/>
        </w:trPr>
        <w:tc>
          <w:tcPr>
            <w:tcW w:w="9214" w:type="dxa"/>
            <w:gridSpan w:val="2"/>
            <w:tcMar>
              <w:left w:w="0" w:type="dxa"/>
            </w:tcMar>
          </w:tcPr>
          <w:p w14:paraId="4B5A4865" w14:textId="6F890642" w:rsidR="00FE57F6" w:rsidRPr="005C54D3" w:rsidRDefault="00443C05" w:rsidP="00C538FC">
            <w:pPr>
              <w:pStyle w:val="Subtitle"/>
              <w:framePr w:hSpace="0" w:wrap="auto" w:hAnchor="text" w:xAlign="left" w:yAlign="inline"/>
              <w:rPr>
                <w:sz w:val="32"/>
                <w:szCs w:val="32"/>
                <w:lang w:val="es-ES_tradnl"/>
              </w:rPr>
            </w:pPr>
            <w:proofErr w:type="spellStart"/>
            <w:r w:rsidRPr="00F45655">
              <w:rPr>
                <w:lang w:val="es-ES"/>
              </w:rPr>
              <w:t>ADDÉNDUM</w:t>
            </w:r>
            <w:proofErr w:type="spellEnd"/>
            <w:r w:rsidRPr="00F45655">
              <w:rPr>
                <w:lang w:val="es-ES"/>
              </w:rPr>
              <w:t xml:space="preserve"> AL DECIMOQUINTO INFORME DEL COMITÉ ASESOR INDEPENDIENTE SOBRE LA GESTIÓN (CAIG) – INFORME ANUAL PARA 2025</w:t>
            </w:r>
            <w:r>
              <w:rPr>
                <w:lang w:val="es-ES"/>
              </w:rPr>
              <w:noBreakHyphen/>
            </w:r>
            <w:r w:rsidRPr="00F45655">
              <w:rPr>
                <w:lang w:val="es-ES"/>
              </w:rPr>
              <w:t>2026</w:t>
            </w:r>
          </w:p>
        </w:tc>
      </w:tr>
      <w:tr w:rsidR="00FE57F6" w:rsidRPr="00BB6FD8" w14:paraId="70A4D20A" w14:textId="77777777" w:rsidTr="00C538FC">
        <w:trPr>
          <w:cantSplit/>
        </w:trPr>
        <w:tc>
          <w:tcPr>
            <w:tcW w:w="9214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</w:tcMar>
          </w:tcPr>
          <w:p w14:paraId="25C3DB50" w14:textId="77777777" w:rsidR="00FE57F6" w:rsidRPr="00BB6FD8" w:rsidRDefault="00F24B71" w:rsidP="00C538FC">
            <w:pPr>
              <w:spacing w:before="160"/>
              <w:rPr>
                <w:b/>
                <w:bCs/>
                <w:sz w:val="26"/>
                <w:szCs w:val="26"/>
              </w:rPr>
            </w:pPr>
            <w:r w:rsidRPr="00BB6FD8">
              <w:rPr>
                <w:b/>
                <w:bCs/>
                <w:sz w:val="26"/>
                <w:szCs w:val="26"/>
              </w:rPr>
              <w:t>Finalidad</w:t>
            </w:r>
          </w:p>
          <w:p w14:paraId="65C147B4" w14:textId="5632C2AE" w:rsidR="00FE57F6" w:rsidRPr="00E53222" w:rsidRDefault="00E53222" w:rsidP="00925ED3">
            <w:pPr>
              <w:rPr>
                <w:rFonts w:asciiTheme="minorHAnsi" w:hAnsiTheme="minorHAnsi" w:cstheme="minorHAnsi"/>
                <w:strike/>
                <w:color w:val="000000"/>
                <w:lang w:val="es-ES"/>
              </w:rPr>
            </w:pPr>
            <w:bookmarkStart w:id="1" w:name="_Hlk109320107"/>
            <w:r w:rsidRPr="00E53222">
              <w:rPr>
                <w:lang w:val="es-ES"/>
              </w:rPr>
              <w:t>En el presente Addéndum al decimoquinto informe del Comité Asesor Independiente sobre la Gestión (CAIG) al Consejo de la UIT</w:t>
            </w:r>
            <w:bookmarkEnd w:id="1"/>
            <w:r w:rsidRPr="00E53222">
              <w:rPr>
                <w:lang w:val="es-ES"/>
              </w:rPr>
              <w:t xml:space="preserve"> se exponen las opiniones del CAIG sobre los estados financieros auditados de la UIT correspondientes al ejercicio 2025.</w:t>
            </w:r>
          </w:p>
          <w:p w14:paraId="42E8B4B5" w14:textId="77777777" w:rsidR="00FE57F6" w:rsidRPr="00BB6FD8" w:rsidRDefault="00F24B71" w:rsidP="00C538FC">
            <w:pPr>
              <w:spacing w:before="160"/>
              <w:rPr>
                <w:b/>
                <w:bCs/>
                <w:sz w:val="26"/>
                <w:szCs w:val="26"/>
              </w:rPr>
            </w:pPr>
            <w:r w:rsidRPr="00BB6FD8">
              <w:rPr>
                <w:b/>
                <w:bCs/>
                <w:sz w:val="26"/>
                <w:szCs w:val="26"/>
              </w:rPr>
              <w:t xml:space="preserve">Acción solicitada </w:t>
            </w:r>
            <w:r w:rsidR="00677A97" w:rsidRPr="00BB6FD8">
              <w:rPr>
                <w:b/>
                <w:bCs/>
                <w:sz w:val="26"/>
                <w:szCs w:val="26"/>
              </w:rPr>
              <w:t>al</w:t>
            </w:r>
            <w:r w:rsidRPr="00BB6FD8">
              <w:rPr>
                <w:b/>
                <w:bCs/>
                <w:sz w:val="26"/>
                <w:szCs w:val="26"/>
              </w:rPr>
              <w:t xml:space="preserve"> Consejo</w:t>
            </w:r>
          </w:p>
          <w:p w14:paraId="7469684E" w14:textId="52A25E6E" w:rsidR="00FE57F6" w:rsidRPr="00E53222" w:rsidRDefault="00E53222" w:rsidP="00E53222">
            <w:pPr>
              <w:rPr>
                <w:lang w:val="es-ES"/>
              </w:rPr>
            </w:pPr>
            <w:r w:rsidRPr="00E53222">
              <w:rPr>
                <w:lang w:val="es-ES"/>
              </w:rPr>
              <w:t>Se invita al Consejo a</w:t>
            </w:r>
            <w:r w:rsidRPr="00E53222">
              <w:rPr>
                <w:b/>
                <w:bCs/>
                <w:lang w:val="es-ES"/>
              </w:rPr>
              <w:t xml:space="preserve"> aprobar </w:t>
            </w:r>
            <w:r w:rsidRPr="00E53222">
              <w:rPr>
                <w:lang w:val="es-ES"/>
              </w:rPr>
              <w:t xml:space="preserve">el presente informe. </w:t>
            </w:r>
          </w:p>
          <w:p w14:paraId="0AD36F67" w14:textId="77777777" w:rsidR="00D03F3E" w:rsidRPr="00F24B71" w:rsidRDefault="00D03F3E" w:rsidP="00D03F3E">
            <w:pPr>
              <w:spacing w:before="160"/>
              <w:rPr>
                <w:b/>
                <w:bCs/>
                <w:sz w:val="26"/>
                <w:szCs w:val="26"/>
                <w:lang w:val="es-ES"/>
              </w:rPr>
            </w:pPr>
            <w:r w:rsidRPr="00F24B71">
              <w:rPr>
                <w:b/>
                <w:bCs/>
                <w:sz w:val="26"/>
                <w:szCs w:val="26"/>
                <w:lang w:val="es-ES"/>
              </w:rPr>
              <w:t>Vínculo</w:t>
            </w:r>
            <w:r w:rsidR="00A073DC">
              <w:rPr>
                <w:b/>
                <w:bCs/>
                <w:sz w:val="26"/>
                <w:szCs w:val="26"/>
                <w:lang w:val="es-ES"/>
              </w:rPr>
              <w:t>(</w:t>
            </w:r>
            <w:r w:rsidRPr="00F24B71">
              <w:rPr>
                <w:b/>
                <w:bCs/>
                <w:sz w:val="26"/>
                <w:szCs w:val="26"/>
                <w:lang w:val="es-ES"/>
              </w:rPr>
              <w:t>s</w:t>
            </w:r>
            <w:r w:rsidR="00A073DC">
              <w:rPr>
                <w:b/>
                <w:bCs/>
                <w:sz w:val="26"/>
                <w:szCs w:val="26"/>
                <w:lang w:val="es-ES"/>
              </w:rPr>
              <w:t>)</w:t>
            </w:r>
            <w:r w:rsidRPr="00F24B71">
              <w:rPr>
                <w:b/>
                <w:bCs/>
                <w:sz w:val="26"/>
                <w:szCs w:val="26"/>
                <w:lang w:val="es-ES"/>
              </w:rPr>
              <w:t xml:space="preserve"> pertinente</w:t>
            </w:r>
            <w:r w:rsidR="00A073DC">
              <w:rPr>
                <w:b/>
                <w:bCs/>
                <w:sz w:val="26"/>
                <w:szCs w:val="26"/>
                <w:lang w:val="es-ES"/>
              </w:rPr>
              <w:t>(</w:t>
            </w:r>
            <w:r w:rsidRPr="00F24B71">
              <w:rPr>
                <w:b/>
                <w:bCs/>
                <w:sz w:val="26"/>
                <w:szCs w:val="26"/>
                <w:lang w:val="es-ES"/>
              </w:rPr>
              <w:t>s</w:t>
            </w:r>
            <w:r w:rsidR="00A073DC">
              <w:rPr>
                <w:b/>
                <w:bCs/>
                <w:sz w:val="26"/>
                <w:szCs w:val="26"/>
                <w:lang w:val="es-ES"/>
              </w:rPr>
              <w:t>)</w:t>
            </w:r>
            <w:r w:rsidRPr="00F24B71">
              <w:rPr>
                <w:b/>
                <w:bCs/>
                <w:sz w:val="26"/>
                <w:szCs w:val="26"/>
                <w:lang w:val="es-ES"/>
              </w:rPr>
              <w:t xml:space="preserve"> con el Plan Estratégico</w:t>
            </w:r>
          </w:p>
          <w:p w14:paraId="6C6567A8" w14:textId="2ACB509B" w:rsidR="00D03F3E" w:rsidRPr="00F24B71" w:rsidRDefault="00E53222" w:rsidP="00D03F3E">
            <w:pPr>
              <w:rPr>
                <w:lang w:val="es-ES"/>
              </w:rPr>
            </w:pPr>
            <w:r w:rsidRPr="00E53222">
              <w:rPr>
                <w:lang w:val="es-ES"/>
              </w:rPr>
              <w:t>Plan Estratégico de la UIT para 2024-2027.</w:t>
            </w:r>
          </w:p>
          <w:p w14:paraId="09467C70" w14:textId="77777777" w:rsidR="00D03F3E" w:rsidRDefault="00D03F3E" w:rsidP="00D03F3E">
            <w:pPr>
              <w:spacing w:before="160"/>
              <w:rPr>
                <w:b/>
                <w:bCs/>
                <w:sz w:val="26"/>
                <w:szCs w:val="26"/>
              </w:rPr>
            </w:pPr>
            <w:r w:rsidRPr="00F24B71">
              <w:rPr>
                <w:b/>
                <w:bCs/>
                <w:sz w:val="26"/>
                <w:szCs w:val="26"/>
              </w:rPr>
              <w:t>Repercusiones financieras</w:t>
            </w:r>
          </w:p>
          <w:p w14:paraId="70209772" w14:textId="5FDD9F21" w:rsidR="00D03F3E" w:rsidRPr="00BB6FD8" w:rsidRDefault="00E53222" w:rsidP="00D03F3E">
            <w:r>
              <w:t>Ninguna.</w:t>
            </w:r>
          </w:p>
          <w:p w14:paraId="2D5EEA8C" w14:textId="77777777" w:rsidR="00FE57F6" w:rsidRPr="00BB6FD8" w:rsidRDefault="00FE57F6" w:rsidP="00C538FC">
            <w:pPr>
              <w:spacing w:before="160"/>
              <w:rPr>
                <w:caps/>
                <w:sz w:val="22"/>
              </w:rPr>
            </w:pPr>
            <w:r w:rsidRPr="00BB6FD8">
              <w:rPr>
                <w:sz w:val="22"/>
              </w:rPr>
              <w:t>__________________</w:t>
            </w:r>
          </w:p>
          <w:p w14:paraId="2D58D9B2" w14:textId="77777777" w:rsidR="00FE57F6" w:rsidRPr="00BB6FD8" w:rsidRDefault="00F24B71" w:rsidP="00C538FC">
            <w:pPr>
              <w:spacing w:before="160"/>
              <w:rPr>
                <w:b/>
                <w:bCs/>
                <w:sz w:val="26"/>
                <w:szCs w:val="26"/>
              </w:rPr>
            </w:pPr>
            <w:r w:rsidRPr="00BB6FD8">
              <w:rPr>
                <w:b/>
                <w:bCs/>
                <w:sz w:val="26"/>
                <w:szCs w:val="26"/>
              </w:rPr>
              <w:t>Referencia</w:t>
            </w:r>
            <w:r w:rsidR="002A4DA5">
              <w:rPr>
                <w:b/>
                <w:bCs/>
                <w:sz w:val="26"/>
                <w:szCs w:val="26"/>
              </w:rPr>
              <w:t>s</w:t>
            </w:r>
          </w:p>
          <w:p w14:paraId="44A45D87" w14:textId="4BD8165F" w:rsidR="00FE57F6" w:rsidRPr="004D3A3C" w:rsidRDefault="00E53222" w:rsidP="00C538FC">
            <w:pPr>
              <w:spacing w:after="160"/>
              <w:rPr>
                <w:i/>
                <w:iCs/>
                <w:sz w:val="22"/>
                <w:szCs w:val="22"/>
              </w:rPr>
            </w:pPr>
            <w:r w:rsidRPr="00F45655">
              <w:rPr>
                <w:i/>
                <w:iCs/>
                <w:sz w:val="22"/>
                <w:szCs w:val="22"/>
                <w:lang w:val="es-ES"/>
              </w:rPr>
              <w:t>Resolució</w:t>
            </w:r>
            <w:r w:rsidR="008C6D0F">
              <w:rPr>
                <w:i/>
                <w:iCs/>
                <w:sz w:val="22"/>
                <w:szCs w:val="22"/>
                <w:lang w:val="es-ES"/>
              </w:rPr>
              <w:t xml:space="preserve">n </w:t>
            </w:r>
            <w:hyperlink r:id="rId6" w:history="1">
              <w:r w:rsidR="008C6D0F">
                <w:rPr>
                  <w:rStyle w:val="Hyperlink"/>
                  <w:i/>
                  <w:iCs/>
                  <w:sz w:val="22"/>
                  <w:szCs w:val="22"/>
                  <w:lang w:val="es-ES"/>
                </w:rPr>
                <w:t>162 (Rev. Bucarest, 2022)</w:t>
              </w:r>
            </w:hyperlink>
            <w:r w:rsidRPr="00F45655">
              <w:rPr>
                <w:i/>
                <w:iCs/>
                <w:sz w:val="22"/>
                <w:szCs w:val="22"/>
                <w:lang w:val="es-ES"/>
              </w:rPr>
              <w:t xml:space="preserve"> de la Conferencia de Plenipotenciarios; Acuerd</w:t>
            </w:r>
            <w:r w:rsidR="008C6D0F">
              <w:rPr>
                <w:i/>
                <w:iCs/>
                <w:sz w:val="22"/>
                <w:szCs w:val="22"/>
                <w:lang w:val="es-ES"/>
              </w:rPr>
              <w:t xml:space="preserve">o </w:t>
            </w:r>
            <w:hyperlink r:id="rId7" w:history="1">
              <w:r w:rsidR="008C6D0F">
                <w:rPr>
                  <w:rStyle w:val="Hyperlink"/>
                  <w:i/>
                  <w:iCs/>
                  <w:sz w:val="22"/>
                  <w:szCs w:val="22"/>
                  <w:lang w:val="es-ES"/>
                </w:rPr>
                <w:t>633 (C23)</w:t>
              </w:r>
            </w:hyperlink>
            <w:r w:rsidRPr="00F45655">
              <w:rPr>
                <w:i/>
                <w:iCs/>
                <w:sz w:val="22"/>
                <w:szCs w:val="22"/>
                <w:lang w:val="es-ES"/>
              </w:rPr>
              <w:t xml:space="preserve"> del Consejo</w:t>
            </w:r>
          </w:p>
        </w:tc>
      </w:tr>
      <w:bookmarkEnd w:id="0"/>
    </w:tbl>
    <w:p w14:paraId="7E1ACD34" w14:textId="213F3EB2" w:rsidR="00093EEB" w:rsidRDefault="00093EEB"/>
    <w:p w14:paraId="1254FBDF" w14:textId="77777777" w:rsidR="00CC7F60" w:rsidRPr="00BB6FD8" w:rsidRDefault="00CC7F60"/>
    <w:p w14:paraId="09E212D8" w14:textId="77777777" w:rsidR="00443C05" w:rsidRDefault="001559F5" w:rsidP="00443C05">
      <w:r w:rsidRPr="00BB6FD8">
        <w:br w:type="page"/>
      </w:r>
    </w:p>
    <w:p w14:paraId="19AF583D" w14:textId="76C1F507" w:rsidR="008C6D0F" w:rsidRDefault="008C6D0F" w:rsidP="008C6D0F">
      <w:pPr>
        <w:pStyle w:val="Headingb"/>
        <w:tabs>
          <w:tab w:val="clear" w:pos="567"/>
          <w:tab w:val="left" w:pos="0"/>
        </w:tabs>
        <w:ind w:left="0" w:firstLine="0"/>
      </w:pPr>
      <w:r>
        <w:lastRenderedPageBreak/>
        <w:t>Recomendaciones del CAIG en relación con los estados financieros auditados de la UIT correspondientes al ejercicio 2025</w:t>
      </w:r>
    </w:p>
    <w:p w14:paraId="76D8E357" w14:textId="0D4286C1" w:rsidR="008C6D0F" w:rsidRDefault="008C6D0F" w:rsidP="008C6D0F">
      <w:r>
        <w:t>1</w:t>
      </w:r>
      <w:r>
        <w:tab/>
        <w:t>De conformidad con su mandato (apartados c) a e) del §</w:t>
      </w:r>
      <w:r w:rsidR="00CC7F60">
        <w:t> </w:t>
      </w:r>
      <w:r>
        <w:t>3) y sus funciones de supervisión en relación con la presentación de informes financieros, la contabilidad, los controles internos y la gestión de riesgos de la UIT, el 21 de mayo de 2026 el Comité examinó y debatió el proyecto de estados financieros auditados de la UIT correspondientes a</w:t>
      </w:r>
      <w:r w:rsidR="000C371B">
        <w:t> </w:t>
      </w:r>
      <w:r>
        <w:t>2025 con la Dirección y el Auditor Externo.</w:t>
      </w:r>
    </w:p>
    <w:p w14:paraId="79966FDF" w14:textId="77777777" w:rsidR="008C6D0F" w:rsidRDefault="008C6D0F" w:rsidP="008C6D0F">
      <w:r>
        <w:t>2</w:t>
      </w:r>
      <w:r>
        <w:tab/>
        <w:t>El Comité mantuvo además conversaciones con el Auditor Externo sobre las conclusiones que figuran en su informe de auditoría y en su proyecto de carta de representación, y examinó la naturaleza y el alcance de las irregularidades ajustadas y no ajustadas.</w:t>
      </w:r>
    </w:p>
    <w:p w14:paraId="1B4EB42D" w14:textId="77777777" w:rsidR="008C6D0F" w:rsidRDefault="008C6D0F" w:rsidP="008C6D0F">
      <w:r>
        <w:t>3</w:t>
      </w:r>
      <w:r>
        <w:tab/>
        <w:t>El Comité se mostró satisfecho con las respuestas de la Dirección a las observaciones y recomendaciones del Auditor Externo y tomó nota de la intención de este último de emitir un dictamen sin reservas.</w:t>
      </w:r>
    </w:p>
    <w:p w14:paraId="3562E70F" w14:textId="35B18FDE" w:rsidR="008C6D0F" w:rsidRDefault="008C6D0F" w:rsidP="008C6D0F">
      <w:r>
        <w:t>4</w:t>
      </w:r>
      <w:r>
        <w:tab/>
        <w:t xml:space="preserve">Partiendo de los exámenes y las deliberaciones antes mencionados, el Comité recomendó a la Dirección y al Consejo de la UIT que procedieran a firmar, aprobar y refrendar los estados financieros auditados de la UIT correspondientes al </w:t>
      </w:r>
      <w:r w:rsidRPr="00CC7F60">
        <w:t>ejercicio</w:t>
      </w:r>
      <w:r w:rsidR="00CC7F60">
        <w:t> </w:t>
      </w:r>
      <w:r w:rsidRPr="00CC7F60">
        <w:t>2025</w:t>
      </w:r>
      <w:r>
        <w:t>.</w:t>
      </w:r>
    </w:p>
    <w:p w14:paraId="2E46F395" w14:textId="77777777" w:rsidR="008C6D0F" w:rsidRDefault="008C6D0F" w:rsidP="008C6D0F">
      <w:r>
        <w:t>5</w:t>
      </w:r>
      <w:r>
        <w:tab/>
        <w:t>El Comité reconoce y valora los encomiables esfuerzos desplegados por la Dirección de la UIT, y en especial por el Departamento de Gestión de los Recursos Financieros, a fin de lograr una presentación fiel de los estados financieros de 2025, de conformidad con el Reglamento Financiero de la UIT y las Normas Internacionales de Contabilidad del Sector Público (IPSAS).</w:t>
      </w:r>
    </w:p>
    <w:p w14:paraId="72FB5964" w14:textId="1122472F" w:rsidR="008C6D0F" w:rsidRDefault="008C6D0F" w:rsidP="008C6D0F">
      <w:r>
        <w:t>6</w:t>
      </w:r>
      <w:r>
        <w:tab/>
        <w:t>De cara al futuro, el Comité espera mantener debates fructíferos con el Auditor Externo y la Dirección de la UIT sobre el plan de trabajo de auditoría de 2027, y recomienda priorizar la gestión de riesgos, las oportunidades de mejora de la eficiencia, la idoneidad de las tecnologías digitales y la prevención del fraude. El Comité reitera su agradecimiento al Auditor Externo por la extraordinaria labor realizada y transmite sus felicitaciones y sus mejores deseos a los Sres.</w:t>
      </w:r>
      <w:r w:rsidR="00491D65">
        <w:t> </w:t>
      </w:r>
      <w:r>
        <w:t>Simon</w:t>
      </w:r>
      <w:r w:rsidR="00491D65">
        <w:t> </w:t>
      </w:r>
      <w:r>
        <w:t>Irwin y Damian</w:t>
      </w:r>
      <w:r w:rsidR="00491D65">
        <w:t> </w:t>
      </w:r>
      <w:r>
        <w:t>Brewitt, auditores principales a cargo de la UIT durante los últimos cuatro años, con motivo de su jubilación de la Oficina Nacional de Auditoría (NAO) del Reino Unido.</w:t>
      </w:r>
    </w:p>
    <w:p w14:paraId="2FA14F5C" w14:textId="77777777" w:rsidR="008C6D0F" w:rsidRDefault="008C6D0F" w:rsidP="008C6D0F">
      <w:pPr>
        <w:pStyle w:val="Headingb"/>
        <w:ind w:left="0" w:firstLine="0"/>
      </w:pPr>
      <w:r>
        <w:t>Ejes de la intensa labor de asesoramiento del CAIG desde la primera reunión de 2026 del Consejo</w:t>
      </w:r>
    </w:p>
    <w:p w14:paraId="5A6E43FA" w14:textId="614BC94C" w:rsidR="008C6D0F" w:rsidRDefault="008C6D0F" w:rsidP="008C6D0F">
      <w:r>
        <w:t>7</w:t>
      </w:r>
      <w:r>
        <w:tab/>
        <w:t xml:space="preserve">Tras presentar su decimoquinto informe (véase el Documento </w:t>
      </w:r>
      <w:hyperlink r:id="rId8" w:history="1">
        <w:r w:rsidRPr="00E57AB5">
          <w:rPr>
            <w:rStyle w:val="Hyperlink"/>
          </w:rPr>
          <w:t>C26/22</w:t>
        </w:r>
      </w:hyperlink>
      <w:r>
        <w:t>) en la primera reunión de 2026 del Consejo, celebrada el 29 de abril de 2026, el Comité ha ampliado e intensificado su labor de asesoramiento a la Dirección y a los responsables de la UIT, articulándola en torno a los siguientes objetivos:</w:t>
      </w:r>
    </w:p>
    <w:p w14:paraId="5332B991" w14:textId="20245B35" w:rsidR="008C6D0F" w:rsidRDefault="008C6D0F" w:rsidP="008C6D0F">
      <w:pPr>
        <w:pStyle w:val="enumlev1"/>
      </w:pPr>
      <w:r>
        <w:t>•</w:t>
      </w:r>
      <w:r>
        <w:tab/>
        <w:t>garantizar avances y cambios genuinos y realistas en la función y la cultura de gestión de riesgos de la UIT (Recomendación</w:t>
      </w:r>
      <w:r w:rsidR="00491D65">
        <w:t> </w:t>
      </w:r>
      <w:r>
        <w:t>2026/1);</w:t>
      </w:r>
    </w:p>
    <w:p w14:paraId="5C05D128" w14:textId="1B49B2B9" w:rsidR="008C6D0F" w:rsidRDefault="008C6D0F" w:rsidP="008C6D0F">
      <w:pPr>
        <w:pStyle w:val="enumlev1"/>
      </w:pPr>
      <w:r>
        <w:t>•</w:t>
      </w:r>
      <w:r>
        <w:tab/>
        <w:t>realizar un análisis exhaustivo de la reestructuración de la función de auditoría interna para convertirla en una fuente de garantías fiable, orientada al riesgo y que ofrezca valor añadido (Recomendación</w:t>
      </w:r>
      <w:r w:rsidR="00491D65">
        <w:t> </w:t>
      </w:r>
      <w:r>
        <w:t>2026/3);</w:t>
      </w:r>
    </w:p>
    <w:p w14:paraId="6635D16F" w14:textId="7F0AACF1" w:rsidR="008C6D0F" w:rsidRDefault="008C6D0F" w:rsidP="008C6D0F">
      <w:pPr>
        <w:pStyle w:val="enumlev1"/>
      </w:pPr>
      <w:r>
        <w:t>•</w:t>
      </w:r>
      <w:r>
        <w:tab/>
        <w:t>evaluar el grado de madurez de los sistemas internos de justicia y reparación, así como la hoja de ruta para su modernización (Recomendación</w:t>
      </w:r>
      <w:r w:rsidR="00491D65">
        <w:t> </w:t>
      </w:r>
      <w:r>
        <w:t>2026/5);</w:t>
      </w:r>
    </w:p>
    <w:p w14:paraId="39B06A5D" w14:textId="77777777" w:rsidR="008C6D0F" w:rsidRDefault="008C6D0F" w:rsidP="008C6D0F">
      <w:pPr>
        <w:pStyle w:val="enumlev1"/>
      </w:pPr>
      <w:r>
        <w:lastRenderedPageBreak/>
        <w:t>•</w:t>
      </w:r>
      <w:r>
        <w:tab/>
        <w:t>examinar la ejecución, la prestación de servicios, la rendición de cuentas y la gestión del desempeño;</w:t>
      </w:r>
    </w:p>
    <w:p w14:paraId="3FED3FDC" w14:textId="77777777" w:rsidR="008C6D0F" w:rsidRDefault="008C6D0F" w:rsidP="008C6D0F">
      <w:pPr>
        <w:pStyle w:val="enumlev1"/>
      </w:pPr>
      <w:r>
        <w:t>•</w:t>
      </w:r>
      <w:r>
        <w:tab/>
        <w:t>reafirmar los valores de respeto, civismo, tolerancia y confianza, e invertir en el desarrollo y el bienestar del personal, con objeto de mejorar el entorno laboral y la productividad; y</w:t>
      </w:r>
    </w:p>
    <w:p w14:paraId="0BB7BF1B" w14:textId="77777777" w:rsidR="008C6D0F" w:rsidRDefault="008C6D0F" w:rsidP="008C6D0F">
      <w:pPr>
        <w:pStyle w:val="enumlev1"/>
      </w:pPr>
      <w:r>
        <w:t>•</w:t>
      </w:r>
      <w:r>
        <w:tab/>
        <w:t>apoyar la resiliencia estratégica de la Unión, gracias a una mayor eficiencia operativa, a la eficacia de su modelo institucional y a la solidez de su trayectoria financiera.</w:t>
      </w:r>
    </w:p>
    <w:p w14:paraId="232B1CAB" w14:textId="33F9BF9F" w:rsidR="008C6D0F" w:rsidRDefault="008C6D0F" w:rsidP="008C6D0F">
      <w:r>
        <w:t>8</w:t>
      </w:r>
      <w:r>
        <w:tab/>
        <w:t xml:space="preserve">El Comité celebró diversas reuniones virtuales específicas y se reunió de forma presencial con motivo de su </w:t>
      </w:r>
      <w:hyperlink r:id="rId9" w:history="1">
        <w:r w:rsidRPr="0097091D">
          <w:rPr>
            <w:rStyle w:val="Hyperlink"/>
          </w:rPr>
          <w:t>45</w:t>
        </w:r>
        <w:r w:rsidR="00110EA6" w:rsidRPr="0097091D">
          <w:rPr>
            <w:rStyle w:val="Hyperlink"/>
          </w:rPr>
          <w:t>.</w:t>
        </w:r>
        <w:r w:rsidRPr="0097091D">
          <w:rPr>
            <w:rStyle w:val="Hyperlink"/>
          </w:rPr>
          <w:t>ª</w:t>
        </w:r>
        <w:r w:rsidR="00491D65" w:rsidRPr="0097091D">
          <w:rPr>
            <w:rStyle w:val="Hyperlink"/>
          </w:rPr>
          <w:t> </w:t>
        </w:r>
        <w:r w:rsidR="0097091D" w:rsidRPr="0097091D">
          <w:rPr>
            <w:rStyle w:val="Hyperlink"/>
          </w:rPr>
          <w:t>reunión</w:t>
        </w:r>
      </w:hyperlink>
      <w:r>
        <w:t xml:space="preserve"> en junio de 2026. En el decimosexto informe del</w:t>
      </w:r>
      <w:r w:rsidR="00491D65">
        <w:t xml:space="preserve"> </w:t>
      </w:r>
      <w:r>
        <w:t>CAIG —Informe Anual para 2026</w:t>
      </w:r>
      <w:r w:rsidR="00491D65">
        <w:noBreakHyphen/>
      </w:r>
      <w:r>
        <w:t>2027—, que se someterá al Consejo de la UIT en su reunión de junio de 2027, se facilitará información detallada sobre esta labor de asesoramiento ampliada.</w:t>
      </w:r>
    </w:p>
    <w:p w14:paraId="7DD85763" w14:textId="77777777" w:rsidR="008C6D0F" w:rsidRDefault="008C6D0F" w:rsidP="008C6D0F">
      <w:pPr>
        <w:pStyle w:val="Headingb"/>
      </w:pPr>
      <w:r>
        <w:t>Composición del Comité Asesor Independiente sobre la Gestión de la UIT</w:t>
      </w:r>
    </w:p>
    <w:p w14:paraId="6F9D6FD1" w14:textId="4EE9779C" w:rsidR="008C6D0F" w:rsidRDefault="008C6D0F" w:rsidP="008C6D0F">
      <w:pPr>
        <w:pStyle w:val="enumlev1"/>
      </w:pPr>
      <w:r>
        <w:tab/>
        <w:t>Sr.</w:t>
      </w:r>
      <w:r w:rsidR="00491D65">
        <w:t> </w:t>
      </w:r>
      <w:r>
        <w:t>Bassam Hage (miembro)</w:t>
      </w:r>
    </w:p>
    <w:p w14:paraId="05D792B3" w14:textId="71208A81" w:rsidR="008C6D0F" w:rsidRDefault="008C6D0F" w:rsidP="008C6D0F">
      <w:pPr>
        <w:pStyle w:val="enumlev1"/>
      </w:pPr>
      <w:r>
        <w:tab/>
        <w:t>Sr.</w:t>
      </w:r>
      <w:r w:rsidR="00491D65">
        <w:t> </w:t>
      </w:r>
      <w:r>
        <w:t>Christof G. Maetze (miembro)</w:t>
      </w:r>
    </w:p>
    <w:p w14:paraId="3A23948D" w14:textId="0DCCBC1A" w:rsidR="008C6D0F" w:rsidRDefault="008C6D0F" w:rsidP="008C6D0F">
      <w:pPr>
        <w:pStyle w:val="enumlev1"/>
      </w:pPr>
      <w:r>
        <w:tab/>
        <w:t>Sra.</w:t>
      </w:r>
      <w:r w:rsidR="00491D65">
        <w:t> </w:t>
      </w:r>
      <w:r>
        <w:t>Chitra Barth-Radhakishun (miembro)</w:t>
      </w:r>
    </w:p>
    <w:p w14:paraId="0206AF8E" w14:textId="298F09AC" w:rsidR="008C6D0F" w:rsidRDefault="008C6D0F" w:rsidP="008C6D0F">
      <w:pPr>
        <w:pStyle w:val="enumlev1"/>
      </w:pPr>
      <w:r>
        <w:tab/>
        <w:t>Sr.</w:t>
      </w:r>
      <w:r w:rsidR="00491D65">
        <w:t> </w:t>
      </w:r>
      <w:r>
        <w:t>Niel Harper (miembro)</w:t>
      </w:r>
    </w:p>
    <w:p w14:paraId="55899541" w14:textId="23988391" w:rsidR="008C6D0F" w:rsidRDefault="008C6D0F" w:rsidP="008C6D0F">
      <w:pPr>
        <w:pStyle w:val="enumlev1"/>
      </w:pPr>
      <w:r>
        <w:tab/>
        <w:t>Sr.</w:t>
      </w:r>
      <w:r w:rsidR="00491D65">
        <w:t> </w:t>
      </w:r>
      <w:r>
        <w:t>Henrique Schneider (miembro – Vicepresidente)</w:t>
      </w:r>
    </w:p>
    <w:p w14:paraId="1A2FC113" w14:textId="5C21F20B" w:rsidR="008C6D0F" w:rsidRDefault="008C6D0F" w:rsidP="008C6D0F">
      <w:pPr>
        <w:pStyle w:val="enumlev1"/>
      </w:pPr>
      <w:r>
        <w:tab/>
        <w:t>Sr.</w:t>
      </w:r>
      <w:r w:rsidR="00491D65">
        <w:t> </w:t>
      </w:r>
      <w:r>
        <w:t>Honore Ndoko (miembro – Presidente)</w:t>
      </w:r>
    </w:p>
    <w:p w14:paraId="350EB3F2" w14:textId="77777777" w:rsidR="008C6D0F" w:rsidRDefault="008C6D0F" w:rsidP="008C6D0F">
      <w:pPr>
        <w:pStyle w:val="enumlev1"/>
      </w:pPr>
      <w:r>
        <w:tab/>
        <w:t>y</w:t>
      </w:r>
    </w:p>
    <w:p w14:paraId="101A0DAE" w14:textId="0E8A1B27" w:rsidR="008C6D0F" w:rsidRDefault="008C6D0F" w:rsidP="008C6D0F">
      <w:pPr>
        <w:pStyle w:val="enumlev1"/>
      </w:pPr>
      <w:r>
        <w:tab/>
        <w:t>Sr.</w:t>
      </w:r>
      <w:r w:rsidR="00491D65">
        <w:t> </w:t>
      </w:r>
      <w:r>
        <w:t>Catalin Marinescu (Secretario Ejecutivo/funcionario de la UIT).</w:t>
      </w:r>
    </w:p>
    <w:p w14:paraId="29B475E8" w14:textId="5D9545D4" w:rsidR="002A4DA5" w:rsidRDefault="002A4DA5" w:rsidP="008C6D0F"/>
    <w:p w14:paraId="0B1C0B1E" w14:textId="77777777" w:rsidR="002A4DA5" w:rsidRPr="002A4DA5" w:rsidRDefault="002A4DA5" w:rsidP="002A4DA5">
      <w:pPr>
        <w:jc w:val="center"/>
      </w:pPr>
      <w:r>
        <w:t>______________</w:t>
      </w:r>
    </w:p>
    <w:sectPr w:rsidR="002A4DA5" w:rsidRPr="002A4DA5" w:rsidSect="00C538FC">
      <w:footerReference w:type="default" r:id="rId10"/>
      <w:headerReference w:type="first" r:id="rId11"/>
      <w:footerReference w:type="first" r:id="rId12"/>
      <w:pgSz w:w="11907" w:h="16834"/>
      <w:pgMar w:top="1418" w:right="1418" w:bottom="1418" w:left="1418" w:header="720" w:footer="720" w:gutter="0"/>
      <w:paperSrc w:first="286" w:other="286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EB3D2" w14:textId="77777777" w:rsidR="002843EE" w:rsidRDefault="002843EE">
      <w:r>
        <w:separator/>
      </w:r>
    </w:p>
  </w:endnote>
  <w:endnote w:type="continuationSeparator" w:id="0">
    <w:p w14:paraId="1CA0A8D0" w14:textId="77777777" w:rsidR="002843EE" w:rsidRDefault="00284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03"/>
      <w:gridCol w:w="8261"/>
    </w:tblGrid>
    <w:tr w:rsidR="003273A4" w:rsidRPr="00784011" w14:paraId="59C6631A" w14:textId="77777777" w:rsidTr="00E31DCE">
      <w:trPr>
        <w:jc w:val="center"/>
      </w:trPr>
      <w:tc>
        <w:tcPr>
          <w:tcW w:w="1803" w:type="dxa"/>
          <w:vAlign w:val="center"/>
        </w:tcPr>
        <w:p w14:paraId="7EF6FC14" w14:textId="1DAC0B24" w:rsidR="003273A4" w:rsidRDefault="002946E2" w:rsidP="003273A4">
          <w:pPr>
            <w:pStyle w:val="Header"/>
            <w:jc w:val="left"/>
            <w:rPr>
              <w:noProof/>
            </w:rPr>
          </w:pPr>
          <w:r>
            <w:rPr>
              <w:noProof/>
            </w:rPr>
            <w:t xml:space="preserve">gDoc </w:t>
          </w:r>
          <w:r w:rsidR="008C6D0F">
            <w:rPr>
              <w:noProof/>
            </w:rPr>
            <w:t>2602731</w:t>
          </w:r>
        </w:p>
      </w:tc>
      <w:tc>
        <w:tcPr>
          <w:tcW w:w="8261" w:type="dxa"/>
        </w:tcPr>
        <w:p w14:paraId="64317E47" w14:textId="3A03A0EB" w:rsidR="003273A4" w:rsidRPr="00E06FD5" w:rsidRDefault="003273A4" w:rsidP="00C309FD">
          <w:pPr>
            <w:pStyle w:val="Header"/>
            <w:tabs>
              <w:tab w:val="left" w:pos="6175"/>
              <w:tab w:val="right" w:pos="8505"/>
              <w:tab w:val="right" w:pos="9639"/>
            </w:tabs>
            <w:jc w:val="left"/>
            <w:rPr>
              <w:rFonts w:ascii="Arial" w:hAnsi="Arial" w:cs="Arial"/>
              <w:b/>
              <w:bCs/>
              <w:szCs w:val="18"/>
            </w:rPr>
          </w:pPr>
          <w:r>
            <w:rPr>
              <w:bCs/>
            </w:rPr>
            <w:tab/>
          </w:r>
          <w:r w:rsidRPr="00623AE3">
            <w:rPr>
              <w:bCs/>
            </w:rPr>
            <w:t>C</w:t>
          </w:r>
          <w:r>
            <w:rPr>
              <w:bCs/>
            </w:rPr>
            <w:t>2</w:t>
          </w:r>
          <w:r w:rsidR="00F61BDB">
            <w:rPr>
              <w:bCs/>
            </w:rPr>
            <w:t>6</w:t>
          </w:r>
          <w:r w:rsidRPr="00623AE3">
            <w:rPr>
              <w:bCs/>
            </w:rPr>
            <w:t>/</w:t>
          </w:r>
          <w:r w:rsidR="008C6D0F">
            <w:rPr>
              <w:bCs/>
            </w:rPr>
            <w:t>22</w:t>
          </w:r>
          <w:r w:rsidR="000C371B">
            <w:rPr>
              <w:bCs/>
            </w:rPr>
            <w:t>(Add.1)</w:t>
          </w:r>
          <w:r w:rsidRPr="00623AE3">
            <w:rPr>
              <w:bCs/>
            </w:rPr>
            <w:t>-</w:t>
          </w:r>
          <w:r>
            <w:rPr>
              <w:bCs/>
            </w:rPr>
            <w:t>S</w:t>
          </w:r>
          <w:r>
            <w:rPr>
              <w:bCs/>
            </w:rPr>
            <w:tab/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2AD4B935" w14:textId="77777777" w:rsidR="00760F1C" w:rsidRPr="003273A4" w:rsidRDefault="00760F1C" w:rsidP="003273A4">
    <w:pPr>
      <w:pStyle w:val="Footer"/>
      <w:rPr>
        <w:b/>
        <w:bCs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03"/>
      <w:gridCol w:w="8261"/>
    </w:tblGrid>
    <w:tr w:rsidR="00F24B71" w:rsidRPr="00784011" w14:paraId="4ECA6B79" w14:textId="77777777" w:rsidTr="00E31DCE">
      <w:trPr>
        <w:jc w:val="center"/>
      </w:trPr>
      <w:tc>
        <w:tcPr>
          <w:tcW w:w="1803" w:type="dxa"/>
          <w:vAlign w:val="center"/>
        </w:tcPr>
        <w:p w14:paraId="75754EAF" w14:textId="77777777" w:rsidR="00F24B71" w:rsidRPr="002946E2" w:rsidRDefault="00F61BDB" w:rsidP="00F24B71">
          <w:pPr>
            <w:pStyle w:val="Header"/>
            <w:jc w:val="left"/>
            <w:rPr>
              <w:noProof/>
            </w:rPr>
          </w:pPr>
          <w:hyperlink r:id="rId1" w:anchor="/es" w:history="1">
            <w:r>
              <w:rPr>
                <w:rStyle w:val="Hyperlink"/>
                <w:noProof/>
                <w:color w:val="4F81BD" w:themeColor="accent1"/>
                <w:u w:val="none"/>
              </w:rPr>
              <w:t>council.itu.int/2026</w:t>
            </w:r>
          </w:hyperlink>
          <w:r w:rsidR="002946E2" w:rsidRPr="002946E2">
            <w:rPr>
              <w:noProof/>
            </w:rPr>
            <w:t xml:space="preserve"> </w:t>
          </w:r>
        </w:p>
      </w:tc>
      <w:tc>
        <w:tcPr>
          <w:tcW w:w="8261" w:type="dxa"/>
        </w:tcPr>
        <w:p w14:paraId="305883F0" w14:textId="506D9B3A" w:rsidR="00F24B71" w:rsidRPr="00E06FD5" w:rsidRDefault="00F24B71" w:rsidP="00C309FD">
          <w:pPr>
            <w:pStyle w:val="Header"/>
            <w:tabs>
              <w:tab w:val="left" w:pos="6175"/>
              <w:tab w:val="right" w:pos="8505"/>
              <w:tab w:val="right" w:pos="9639"/>
            </w:tabs>
            <w:jc w:val="left"/>
            <w:rPr>
              <w:rFonts w:ascii="Arial" w:hAnsi="Arial" w:cs="Arial"/>
              <w:b/>
              <w:bCs/>
              <w:szCs w:val="18"/>
            </w:rPr>
          </w:pPr>
          <w:r>
            <w:rPr>
              <w:bCs/>
            </w:rPr>
            <w:tab/>
          </w:r>
          <w:r w:rsidRPr="00623AE3">
            <w:rPr>
              <w:bCs/>
            </w:rPr>
            <w:t>C</w:t>
          </w:r>
          <w:r>
            <w:rPr>
              <w:bCs/>
            </w:rPr>
            <w:t>2</w:t>
          </w:r>
          <w:r w:rsidR="00F61BDB">
            <w:rPr>
              <w:bCs/>
            </w:rPr>
            <w:t>6</w:t>
          </w:r>
          <w:r w:rsidRPr="00623AE3">
            <w:rPr>
              <w:bCs/>
            </w:rPr>
            <w:t>/</w:t>
          </w:r>
          <w:r w:rsidR="008C6D0F">
            <w:rPr>
              <w:bCs/>
            </w:rPr>
            <w:t>22</w:t>
          </w:r>
          <w:r w:rsidR="000C371B">
            <w:rPr>
              <w:bCs/>
            </w:rPr>
            <w:t>(Add.1)</w:t>
          </w:r>
          <w:r w:rsidRPr="00623AE3">
            <w:rPr>
              <w:bCs/>
            </w:rPr>
            <w:t>-</w:t>
          </w:r>
          <w:r w:rsidR="003273A4">
            <w:rPr>
              <w:bCs/>
            </w:rPr>
            <w:t>S</w:t>
          </w:r>
          <w:r>
            <w:rPr>
              <w:bCs/>
            </w:rPr>
            <w:tab/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4689E044" w14:textId="77777777" w:rsidR="00760F1C" w:rsidRPr="00F24B71" w:rsidRDefault="00760F1C" w:rsidP="00F24B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24271" w14:textId="77777777" w:rsidR="002843EE" w:rsidRDefault="002843EE">
      <w:r>
        <w:t>____________________</w:t>
      </w:r>
    </w:p>
  </w:footnote>
  <w:footnote w:type="continuationSeparator" w:id="0">
    <w:p w14:paraId="14909BDD" w14:textId="77777777" w:rsidR="002843EE" w:rsidRDefault="002843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CB2ED" w14:textId="77777777" w:rsidR="00F61BDB" w:rsidRPr="009B20CA" w:rsidRDefault="009B20CA" w:rsidP="009B20CA">
    <w:pPr>
      <w:pStyle w:val="Header"/>
      <w:jc w:val="left"/>
    </w:pPr>
    <w:r>
      <w:rPr>
        <w:noProof/>
      </w:rPr>
      <w:drawing>
        <wp:inline distT="0" distB="0" distL="0" distR="0" wp14:anchorId="40B4C063" wp14:editId="71456D2E">
          <wp:extent cx="3060000" cy="821421"/>
          <wp:effectExtent l="0" t="0" r="0" b="0"/>
          <wp:docPr id="85307067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3070676" name="Picture 8530706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0000" cy="821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81D"/>
    <w:rsid w:val="000007D1"/>
    <w:rsid w:val="000300CA"/>
    <w:rsid w:val="0006007D"/>
    <w:rsid w:val="00093EEB"/>
    <w:rsid w:val="000B0D00"/>
    <w:rsid w:val="000B7C15"/>
    <w:rsid w:val="000C371B"/>
    <w:rsid w:val="000D1D0F"/>
    <w:rsid w:val="000F5290"/>
    <w:rsid w:val="0010165C"/>
    <w:rsid w:val="00110EA6"/>
    <w:rsid w:val="001212A8"/>
    <w:rsid w:val="00145128"/>
    <w:rsid w:val="00146BFB"/>
    <w:rsid w:val="001559F5"/>
    <w:rsid w:val="0016169C"/>
    <w:rsid w:val="001F14A2"/>
    <w:rsid w:val="002801AA"/>
    <w:rsid w:val="002843EE"/>
    <w:rsid w:val="002946E2"/>
    <w:rsid w:val="002A4DA5"/>
    <w:rsid w:val="002C3F32"/>
    <w:rsid w:val="002C4676"/>
    <w:rsid w:val="002C70B0"/>
    <w:rsid w:val="002F3CC4"/>
    <w:rsid w:val="003032E2"/>
    <w:rsid w:val="0031300A"/>
    <w:rsid w:val="003273A4"/>
    <w:rsid w:val="0034796E"/>
    <w:rsid w:val="00443C05"/>
    <w:rsid w:val="00473962"/>
    <w:rsid w:val="00491D65"/>
    <w:rsid w:val="004B5D49"/>
    <w:rsid w:val="004D3A3C"/>
    <w:rsid w:val="00504040"/>
    <w:rsid w:val="00513630"/>
    <w:rsid w:val="00560125"/>
    <w:rsid w:val="00585553"/>
    <w:rsid w:val="005B34D9"/>
    <w:rsid w:val="005B68DF"/>
    <w:rsid w:val="005C54D3"/>
    <w:rsid w:val="005C5BA7"/>
    <w:rsid w:val="005D0CCF"/>
    <w:rsid w:val="005F3BCB"/>
    <w:rsid w:val="005F410F"/>
    <w:rsid w:val="0060149A"/>
    <w:rsid w:val="00601924"/>
    <w:rsid w:val="006447EA"/>
    <w:rsid w:val="0064481D"/>
    <w:rsid w:val="00644EC6"/>
    <w:rsid w:val="0064731F"/>
    <w:rsid w:val="00664572"/>
    <w:rsid w:val="00664F70"/>
    <w:rsid w:val="00666D09"/>
    <w:rsid w:val="006710F6"/>
    <w:rsid w:val="00677A97"/>
    <w:rsid w:val="006C1B56"/>
    <w:rsid w:val="006D4761"/>
    <w:rsid w:val="00726872"/>
    <w:rsid w:val="00760F1C"/>
    <w:rsid w:val="007657F0"/>
    <w:rsid w:val="0077110E"/>
    <w:rsid w:val="0077252D"/>
    <w:rsid w:val="00774EDE"/>
    <w:rsid w:val="007844C0"/>
    <w:rsid w:val="00793700"/>
    <w:rsid w:val="007955DA"/>
    <w:rsid w:val="007D20B3"/>
    <w:rsid w:val="007E5DD3"/>
    <w:rsid w:val="007F350B"/>
    <w:rsid w:val="00814AF8"/>
    <w:rsid w:val="00820BE4"/>
    <w:rsid w:val="008451E8"/>
    <w:rsid w:val="008C6D0F"/>
    <w:rsid w:val="008F6ABC"/>
    <w:rsid w:val="00902E8F"/>
    <w:rsid w:val="00913B9C"/>
    <w:rsid w:val="00925ED3"/>
    <w:rsid w:val="00927F93"/>
    <w:rsid w:val="00956E77"/>
    <w:rsid w:val="0097091D"/>
    <w:rsid w:val="009A338E"/>
    <w:rsid w:val="009B20CA"/>
    <w:rsid w:val="009E4383"/>
    <w:rsid w:val="009F4811"/>
    <w:rsid w:val="00A073DC"/>
    <w:rsid w:val="00AA390C"/>
    <w:rsid w:val="00B0200A"/>
    <w:rsid w:val="00B102E2"/>
    <w:rsid w:val="00B23F07"/>
    <w:rsid w:val="00B574DB"/>
    <w:rsid w:val="00B826C2"/>
    <w:rsid w:val="00B8298E"/>
    <w:rsid w:val="00BB6FD8"/>
    <w:rsid w:val="00BD0723"/>
    <w:rsid w:val="00BD2518"/>
    <w:rsid w:val="00BF1D1C"/>
    <w:rsid w:val="00C20C59"/>
    <w:rsid w:val="00C2727F"/>
    <w:rsid w:val="00C309FD"/>
    <w:rsid w:val="00C45FD7"/>
    <w:rsid w:val="00C462D1"/>
    <w:rsid w:val="00C538FC"/>
    <w:rsid w:val="00C55B1F"/>
    <w:rsid w:val="00CC7F60"/>
    <w:rsid w:val="00CF1A67"/>
    <w:rsid w:val="00D03F3E"/>
    <w:rsid w:val="00D2750E"/>
    <w:rsid w:val="00D375E0"/>
    <w:rsid w:val="00D50A36"/>
    <w:rsid w:val="00D62446"/>
    <w:rsid w:val="00DA4EA2"/>
    <w:rsid w:val="00DC20B0"/>
    <w:rsid w:val="00DC3D3E"/>
    <w:rsid w:val="00DE2C90"/>
    <w:rsid w:val="00DE3B24"/>
    <w:rsid w:val="00E06947"/>
    <w:rsid w:val="00E21444"/>
    <w:rsid w:val="00E26725"/>
    <w:rsid w:val="00E34072"/>
    <w:rsid w:val="00E3592D"/>
    <w:rsid w:val="00E359BD"/>
    <w:rsid w:val="00E50D76"/>
    <w:rsid w:val="00E53222"/>
    <w:rsid w:val="00E57AB5"/>
    <w:rsid w:val="00E92DE8"/>
    <w:rsid w:val="00EB1212"/>
    <w:rsid w:val="00ED65AB"/>
    <w:rsid w:val="00F12850"/>
    <w:rsid w:val="00F1398F"/>
    <w:rsid w:val="00F24B71"/>
    <w:rsid w:val="00F33BF4"/>
    <w:rsid w:val="00F61BDB"/>
    <w:rsid w:val="00F7105E"/>
    <w:rsid w:val="00F75F57"/>
    <w:rsid w:val="00F82FEE"/>
    <w:rsid w:val="00FD57D3"/>
    <w:rsid w:val="00FE57F6"/>
    <w:rsid w:val="00FF1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F5F184"/>
  <w15:docId w15:val="{B9BBECA0-910D-4382-B90D-29D2E044A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032E2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0B0D00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0B0D00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0B0D00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0B0D00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0B0D00"/>
    <w:pPr>
      <w:outlineLvl w:val="4"/>
    </w:pPr>
  </w:style>
  <w:style w:type="paragraph" w:styleId="Heading6">
    <w:name w:val="heading 6"/>
    <w:basedOn w:val="Heading4"/>
    <w:next w:val="Normal"/>
    <w:qFormat/>
    <w:rsid w:val="000B0D00"/>
    <w:pPr>
      <w:outlineLvl w:val="5"/>
    </w:pPr>
  </w:style>
  <w:style w:type="paragraph" w:styleId="Heading7">
    <w:name w:val="heading 7"/>
    <w:basedOn w:val="Heading4"/>
    <w:next w:val="Normal"/>
    <w:qFormat/>
    <w:rsid w:val="000B0D00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0B0D00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0B0D00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rsid w:val="006710F6"/>
  </w:style>
  <w:style w:type="paragraph" w:styleId="TOC4">
    <w:name w:val="toc 4"/>
    <w:basedOn w:val="Normal"/>
    <w:next w:val="Normal"/>
    <w:rsid w:val="000B0D0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0B0D0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0B0D0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0B0D0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7">
    <w:name w:val="toc 7"/>
    <w:basedOn w:val="Normal"/>
    <w:next w:val="Normal"/>
    <w:rsid w:val="000B0D0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0B0D0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0B0D0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Index7">
    <w:name w:val="index 7"/>
    <w:basedOn w:val="Normal"/>
    <w:next w:val="Normal"/>
    <w:rsid w:val="006710F6"/>
    <w:pPr>
      <w:ind w:left="1698"/>
    </w:pPr>
  </w:style>
  <w:style w:type="paragraph" w:styleId="Index6">
    <w:name w:val="index 6"/>
    <w:basedOn w:val="Normal"/>
    <w:next w:val="Normal"/>
    <w:rsid w:val="006710F6"/>
    <w:pPr>
      <w:ind w:left="1415"/>
    </w:pPr>
  </w:style>
  <w:style w:type="paragraph" w:styleId="Index5">
    <w:name w:val="index 5"/>
    <w:basedOn w:val="Normal"/>
    <w:next w:val="Normal"/>
    <w:rsid w:val="006710F6"/>
    <w:pPr>
      <w:ind w:left="1132"/>
    </w:pPr>
  </w:style>
  <w:style w:type="paragraph" w:styleId="Index4">
    <w:name w:val="index 4"/>
    <w:basedOn w:val="Normal"/>
    <w:next w:val="Normal"/>
    <w:rsid w:val="006710F6"/>
    <w:pPr>
      <w:ind w:left="849"/>
    </w:pPr>
  </w:style>
  <w:style w:type="paragraph" w:styleId="Index3">
    <w:name w:val="index 3"/>
    <w:basedOn w:val="Normal"/>
    <w:next w:val="Normal"/>
    <w:rsid w:val="006710F6"/>
    <w:pPr>
      <w:ind w:left="566"/>
    </w:pPr>
  </w:style>
  <w:style w:type="paragraph" w:styleId="Index2">
    <w:name w:val="index 2"/>
    <w:basedOn w:val="Normal"/>
    <w:next w:val="Normal"/>
    <w:rsid w:val="006710F6"/>
    <w:pPr>
      <w:ind w:left="283"/>
    </w:pPr>
  </w:style>
  <w:style w:type="paragraph" w:styleId="Index1">
    <w:name w:val="index 1"/>
    <w:basedOn w:val="Normal"/>
    <w:next w:val="Normal"/>
    <w:rsid w:val="006710F6"/>
  </w:style>
  <w:style w:type="character" w:styleId="LineNumber">
    <w:name w:val="line number"/>
    <w:basedOn w:val="DefaultParagraphFont"/>
    <w:rsid w:val="006710F6"/>
  </w:style>
  <w:style w:type="paragraph" w:styleId="IndexHeading">
    <w:name w:val="index heading"/>
    <w:basedOn w:val="Normal"/>
    <w:next w:val="Index1"/>
    <w:rsid w:val="006710F6"/>
  </w:style>
  <w:style w:type="paragraph" w:styleId="Footer">
    <w:name w:val="footer"/>
    <w:basedOn w:val="Normal"/>
    <w:rsid w:val="000B0D0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uiPriority w:val="99"/>
    <w:rsid w:val="000B0D00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0B0D00"/>
    <w:rPr>
      <w:position w:val="6"/>
      <w:sz w:val="16"/>
    </w:rPr>
  </w:style>
  <w:style w:type="paragraph" w:styleId="FootnoteText">
    <w:name w:val="footnote text"/>
    <w:basedOn w:val="Normal"/>
    <w:rsid w:val="000B0D00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0B0D00"/>
    <w:pPr>
      <w:ind w:left="567"/>
    </w:pPr>
  </w:style>
  <w:style w:type="paragraph" w:customStyle="1" w:styleId="AnnexNo">
    <w:name w:val="Annex_No"/>
    <w:basedOn w:val="Normal"/>
    <w:next w:val="Annexref"/>
    <w:rsid w:val="000B0D00"/>
    <w:pPr>
      <w:spacing w:before="720"/>
      <w:jc w:val="center"/>
    </w:pPr>
    <w:rPr>
      <w:caps/>
      <w:sz w:val="28"/>
    </w:rPr>
  </w:style>
  <w:style w:type="paragraph" w:customStyle="1" w:styleId="Annextitle">
    <w:name w:val="Annex_title"/>
    <w:basedOn w:val="Normal"/>
    <w:next w:val="Normal"/>
    <w:rsid w:val="000B0D00"/>
    <w:pPr>
      <w:spacing w:before="240" w:after="240"/>
      <w:jc w:val="center"/>
    </w:pPr>
    <w:rPr>
      <w:b/>
      <w:sz w:val="28"/>
    </w:rPr>
  </w:style>
  <w:style w:type="paragraph" w:customStyle="1" w:styleId="Annexref">
    <w:name w:val="Annex_ref"/>
    <w:basedOn w:val="Normal"/>
    <w:next w:val="Annextitle"/>
    <w:rsid w:val="000B0D00"/>
    <w:pPr>
      <w:jc w:val="center"/>
    </w:pPr>
    <w:rPr>
      <w:sz w:val="28"/>
    </w:rPr>
  </w:style>
  <w:style w:type="paragraph" w:customStyle="1" w:styleId="Normalaftertitle">
    <w:name w:val="Normal after title"/>
    <w:basedOn w:val="Normal"/>
    <w:next w:val="Normal"/>
    <w:rsid w:val="000B0D00"/>
    <w:pPr>
      <w:spacing w:before="240"/>
    </w:pPr>
  </w:style>
  <w:style w:type="paragraph" w:customStyle="1" w:styleId="AppendixNo">
    <w:name w:val="Appendix_No"/>
    <w:basedOn w:val="AnnexNo"/>
    <w:next w:val="Appendixref"/>
    <w:rsid w:val="000B0D00"/>
  </w:style>
  <w:style w:type="paragraph" w:customStyle="1" w:styleId="Appendixtitle">
    <w:name w:val="Appendix_title"/>
    <w:basedOn w:val="Annextitle"/>
    <w:next w:val="Normal"/>
    <w:rsid w:val="000B0D00"/>
  </w:style>
  <w:style w:type="paragraph" w:customStyle="1" w:styleId="Appendixref">
    <w:name w:val="Appendix_ref"/>
    <w:basedOn w:val="Annexref"/>
    <w:next w:val="Appendixtitle"/>
    <w:rsid w:val="000B0D00"/>
  </w:style>
  <w:style w:type="paragraph" w:customStyle="1" w:styleId="enumlev1">
    <w:name w:val="enumlev1"/>
    <w:basedOn w:val="Normal"/>
    <w:qFormat/>
    <w:rsid w:val="000B0D00"/>
    <w:pPr>
      <w:spacing w:before="86"/>
      <w:ind w:left="567" w:hanging="567"/>
    </w:pPr>
  </w:style>
  <w:style w:type="paragraph" w:customStyle="1" w:styleId="enumlev2">
    <w:name w:val="enumlev2"/>
    <w:basedOn w:val="enumlev1"/>
    <w:rsid w:val="000B0D00"/>
    <w:pPr>
      <w:ind w:left="1134"/>
    </w:pPr>
  </w:style>
  <w:style w:type="paragraph" w:customStyle="1" w:styleId="enumlev3">
    <w:name w:val="enumlev3"/>
    <w:basedOn w:val="enumlev2"/>
    <w:rsid w:val="000B0D00"/>
    <w:pPr>
      <w:ind w:left="1701"/>
    </w:pPr>
  </w:style>
  <w:style w:type="paragraph" w:customStyle="1" w:styleId="Artheading">
    <w:name w:val="Art_heading"/>
    <w:basedOn w:val="Normal"/>
    <w:next w:val="Normalaftertitle"/>
    <w:rsid w:val="000B0D00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No">
    <w:name w:val="Art_No"/>
    <w:basedOn w:val="Normal"/>
    <w:next w:val="Arttitle"/>
    <w:rsid w:val="000B0D00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0B0D00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0B0D00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Chaptitle"/>
    <w:rsid w:val="000B0D00"/>
  </w:style>
  <w:style w:type="paragraph" w:customStyle="1" w:styleId="Chaptitle">
    <w:name w:val="Chap_title"/>
    <w:basedOn w:val="Arttitle"/>
    <w:next w:val="Normal"/>
    <w:rsid w:val="000B0D00"/>
  </w:style>
  <w:style w:type="paragraph" w:customStyle="1" w:styleId="Equationlegend">
    <w:name w:val="Equation_legend"/>
    <w:basedOn w:val="NormalIndent"/>
    <w:rsid w:val="006710F6"/>
    <w:pPr>
      <w:tabs>
        <w:tab w:val="right" w:pos="1531"/>
      </w:tabs>
      <w:spacing w:before="80"/>
      <w:ind w:left="1701" w:hanging="1701"/>
    </w:pPr>
  </w:style>
  <w:style w:type="paragraph" w:customStyle="1" w:styleId="Figure">
    <w:name w:val="Figure"/>
    <w:basedOn w:val="Normal"/>
    <w:next w:val="Figuretitle"/>
    <w:rsid w:val="006710F6"/>
    <w:pPr>
      <w:keepNext/>
      <w:keepLines/>
      <w:spacing w:after="120"/>
      <w:jc w:val="center"/>
    </w:pPr>
  </w:style>
  <w:style w:type="paragraph" w:customStyle="1" w:styleId="Figuretitle">
    <w:name w:val="Figure_title"/>
    <w:basedOn w:val="Tabletitle"/>
    <w:next w:val="Normalaftertitle"/>
    <w:rsid w:val="006710F6"/>
    <w:pPr>
      <w:spacing w:before="240" w:after="480"/>
    </w:pPr>
  </w:style>
  <w:style w:type="paragraph" w:customStyle="1" w:styleId="Tabletitle">
    <w:name w:val="Table_title"/>
    <w:basedOn w:val="TableNo"/>
    <w:next w:val="Tabletext"/>
    <w:rsid w:val="000B0D0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0B0D00"/>
    <w:pPr>
      <w:keepNext/>
      <w:spacing w:before="560" w:after="120"/>
      <w:jc w:val="center"/>
    </w:pPr>
    <w:rPr>
      <w:caps/>
    </w:rPr>
  </w:style>
  <w:style w:type="paragraph" w:customStyle="1" w:styleId="Tabletext">
    <w:name w:val="Table_text"/>
    <w:basedOn w:val="Normal"/>
    <w:rsid w:val="000B0D00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Figurelegend">
    <w:name w:val="Figure_legend"/>
    <w:basedOn w:val="Normal"/>
    <w:rsid w:val="006710F6"/>
    <w:pPr>
      <w:keepNext/>
      <w:keepLines/>
      <w:spacing w:before="20" w:after="20"/>
    </w:pPr>
    <w:rPr>
      <w:sz w:val="18"/>
    </w:rPr>
  </w:style>
  <w:style w:type="paragraph" w:customStyle="1" w:styleId="Equation">
    <w:name w:val="Equation"/>
    <w:basedOn w:val="Normal"/>
    <w:rsid w:val="006710F6"/>
    <w:pPr>
      <w:tabs>
        <w:tab w:val="center" w:pos="4820"/>
        <w:tab w:val="right" w:pos="9639"/>
      </w:tabs>
    </w:pPr>
  </w:style>
  <w:style w:type="paragraph" w:customStyle="1" w:styleId="Head">
    <w:name w:val="Head"/>
    <w:basedOn w:val="Normal"/>
    <w:rsid w:val="006710F6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toc0">
    <w:name w:val="toc 0"/>
    <w:basedOn w:val="Normal"/>
    <w:next w:val="TOC1"/>
    <w:rsid w:val="000B0D00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List">
    <w:name w:val="List"/>
    <w:basedOn w:val="Normal"/>
    <w:rsid w:val="006710F6"/>
    <w:pPr>
      <w:tabs>
        <w:tab w:val="left" w:pos="2127"/>
      </w:tabs>
      <w:ind w:left="2127" w:hanging="2127"/>
    </w:pPr>
  </w:style>
  <w:style w:type="paragraph" w:customStyle="1" w:styleId="Part">
    <w:name w:val="Part"/>
    <w:basedOn w:val="Normal"/>
    <w:rsid w:val="006710F6"/>
    <w:pPr>
      <w:tabs>
        <w:tab w:val="left" w:pos="1276"/>
      </w:tabs>
      <w:spacing w:before="199"/>
      <w:ind w:left="1701" w:hanging="1701"/>
    </w:pPr>
    <w:rPr>
      <w:caps/>
    </w:rPr>
  </w:style>
  <w:style w:type="paragraph" w:customStyle="1" w:styleId="Figurewithouttitle">
    <w:name w:val="Figure_without_title"/>
    <w:basedOn w:val="Figure"/>
    <w:next w:val="Normalaftertitle"/>
    <w:rsid w:val="006710F6"/>
    <w:pPr>
      <w:keepNext w:val="0"/>
      <w:spacing w:after="240"/>
    </w:pPr>
  </w:style>
  <w:style w:type="character" w:styleId="PageNumber">
    <w:name w:val="page number"/>
    <w:basedOn w:val="DefaultParagraphFont"/>
    <w:rsid w:val="000B0D00"/>
    <w:rPr>
      <w:rFonts w:ascii="Calibri" w:hAnsi="Calibri"/>
    </w:rPr>
  </w:style>
  <w:style w:type="paragraph" w:customStyle="1" w:styleId="meeting">
    <w:name w:val="meeting"/>
    <w:basedOn w:val="Head"/>
    <w:next w:val="Head"/>
    <w:rsid w:val="006710F6"/>
    <w:pPr>
      <w:tabs>
        <w:tab w:val="left" w:pos="7371"/>
      </w:tabs>
      <w:spacing w:after="567"/>
    </w:pPr>
  </w:style>
  <w:style w:type="paragraph" w:customStyle="1" w:styleId="PartNo">
    <w:name w:val="Part_No"/>
    <w:basedOn w:val="AnnexNo"/>
    <w:next w:val="Parttitle"/>
    <w:rsid w:val="006710F6"/>
  </w:style>
  <w:style w:type="paragraph" w:customStyle="1" w:styleId="Parttitle">
    <w:name w:val="Part_title"/>
    <w:basedOn w:val="Annextitle"/>
    <w:next w:val="Partref"/>
    <w:rsid w:val="006710F6"/>
  </w:style>
  <w:style w:type="paragraph" w:customStyle="1" w:styleId="Partref">
    <w:name w:val="Part_ref"/>
    <w:basedOn w:val="Annexref"/>
    <w:next w:val="Normalaftertitle"/>
    <w:rsid w:val="006710F6"/>
  </w:style>
  <w:style w:type="paragraph" w:customStyle="1" w:styleId="Headingb">
    <w:name w:val="Heading_b"/>
    <w:basedOn w:val="Heading3"/>
    <w:next w:val="Normal"/>
    <w:rsid w:val="000B0D00"/>
    <w:pPr>
      <w:spacing w:before="160"/>
      <w:outlineLvl w:val="0"/>
    </w:pPr>
  </w:style>
  <w:style w:type="paragraph" w:customStyle="1" w:styleId="Subject">
    <w:name w:val="Subject"/>
    <w:basedOn w:val="Normal"/>
    <w:next w:val="Source"/>
    <w:rsid w:val="006710F6"/>
    <w:pPr>
      <w:tabs>
        <w:tab w:val="left" w:pos="709"/>
      </w:tabs>
      <w:spacing w:before="0"/>
      <w:ind w:left="709" w:hanging="709"/>
    </w:pPr>
  </w:style>
  <w:style w:type="paragraph" w:customStyle="1" w:styleId="Source">
    <w:name w:val="Source"/>
    <w:basedOn w:val="Normal"/>
    <w:next w:val="Title1"/>
    <w:rsid w:val="000B0D00"/>
    <w:pPr>
      <w:spacing w:before="840"/>
      <w:jc w:val="center"/>
    </w:pPr>
    <w:rPr>
      <w:b/>
      <w:sz w:val="28"/>
    </w:rPr>
  </w:style>
  <w:style w:type="paragraph" w:customStyle="1" w:styleId="Data">
    <w:name w:val="Data"/>
    <w:basedOn w:val="Subject"/>
    <w:next w:val="Subject"/>
    <w:rsid w:val="006710F6"/>
  </w:style>
  <w:style w:type="character" w:styleId="Hyperlink">
    <w:name w:val="Hyperlink"/>
    <w:basedOn w:val="DefaultParagraphFont"/>
    <w:rsid w:val="000B0D00"/>
    <w:rPr>
      <w:color w:val="0000FF"/>
      <w:u w:val="single"/>
    </w:rPr>
  </w:style>
  <w:style w:type="character" w:styleId="FollowedHyperlink">
    <w:name w:val="FollowedHyperlink"/>
    <w:basedOn w:val="DefaultParagraphFont"/>
    <w:rsid w:val="006710F6"/>
    <w:rPr>
      <w:color w:val="800080"/>
      <w:u w:val="single"/>
    </w:rPr>
  </w:style>
  <w:style w:type="paragraph" w:customStyle="1" w:styleId="FirstFooter">
    <w:name w:val="FirstFooter"/>
    <w:basedOn w:val="Footer"/>
    <w:rsid w:val="000B0D00"/>
    <w:rPr>
      <w:caps w:val="0"/>
    </w:rPr>
  </w:style>
  <w:style w:type="paragraph" w:customStyle="1" w:styleId="Note">
    <w:name w:val="Note"/>
    <w:basedOn w:val="Normal"/>
    <w:rsid w:val="000B0D00"/>
    <w:pPr>
      <w:tabs>
        <w:tab w:val="clear" w:pos="567"/>
        <w:tab w:val="left" w:pos="851"/>
      </w:tabs>
    </w:pPr>
  </w:style>
  <w:style w:type="paragraph" w:styleId="TOC9">
    <w:name w:val="toc 9"/>
    <w:basedOn w:val="TOC4"/>
    <w:rsid w:val="006710F6"/>
  </w:style>
  <w:style w:type="paragraph" w:customStyle="1" w:styleId="Headingi">
    <w:name w:val="Heading_i"/>
    <w:basedOn w:val="Heading3"/>
    <w:next w:val="Normal"/>
    <w:rsid w:val="000B0D00"/>
    <w:pPr>
      <w:spacing w:before="160"/>
      <w:outlineLvl w:val="0"/>
    </w:pPr>
    <w:rPr>
      <w:b w:val="0"/>
      <w:i/>
    </w:rPr>
  </w:style>
  <w:style w:type="paragraph" w:customStyle="1" w:styleId="Title1">
    <w:name w:val="Title 1"/>
    <w:basedOn w:val="Source"/>
    <w:next w:val="Title2"/>
    <w:rsid w:val="000B0D00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0B0D00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0B0D00"/>
    <w:rPr>
      <w:caps w:val="0"/>
    </w:rPr>
  </w:style>
  <w:style w:type="paragraph" w:customStyle="1" w:styleId="Title4">
    <w:name w:val="Title 4"/>
    <w:basedOn w:val="Title3"/>
    <w:next w:val="Heading1"/>
    <w:rsid w:val="006710F6"/>
    <w:rPr>
      <w:b/>
    </w:rPr>
  </w:style>
  <w:style w:type="paragraph" w:customStyle="1" w:styleId="dnum">
    <w:name w:val="dnum"/>
    <w:basedOn w:val="Normal"/>
    <w:rsid w:val="006710F6"/>
    <w:pPr>
      <w:framePr w:hSpace="181" w:wrap="notBeside" w:vAnchor="page" w:hAnchor="margin" w:x="1" w:y="852"/>
      <w:shd w:val="solid" w:color="FFFFFF" w:fill="FFFFFF"/>
      <w:tabs>
        <w:tab w:val="left" w:pos="1871"/>
      </w:tabs>
    </w:pPr>
    <w:rPr>
      <w:b/>
      <w:bCs/>
    </w:rPr>
  </w:style>
  <w:style w:type="paragraph" w:customStyle="1" w:styleId="ddate">
    <w:name w:val="ddate"/>
    <w:basedOn w:val="Normal"/>
    <w:rsid w:val="006710F6"/>
    <w:pPr>
      <w:framePr w:hSpace="181" w:wrap="notBeside" w:vAnchor="page" w:hAnchor="margin" w:x="1" w:y="852"/>
      <w:shd w:val="solid" w:color="FFFFFF" w:fill="FFFFFF"/>
      <w:tabs>
        <w:tab w:val="left" w:pos="1871"/>
      </w:tabs>
      <w:spacing w:before="0"/>
    </w:pPr>
    <w:rPr>
      <w:b/>
      <w:bCs/>
    </w:rPr>
  </w:style>
  <w:style w:type="paragraph" w:customStyle="1" w:styleId="dorlang">
    <w:name w:val="dorlang"/>
    <w:basedOn w:val="Normal"/>
    <w:rsid w:val="006710F6"/>
    <w:pPr>
      <w:framePr w:hSpace="181" w:wrap="notBeside" w:vAnchor="page" w:hAnchor="margin" w:x="1" w:y="852"/>
      <w:shd w:val="solid" w:color="FFFFFF" w:fill="FFFFFF"/>
      <w:tabs>
        <w:tab w:val="left" w:pos="1871"/>
      </w:tabs>
      <w:spacing w:before="0"/>
    </w:pPr>
    <w:rPr>
      <w:b/>
      <w:bCs/>
    </w:rPr>
  </w:style>
  <w:style w:type="paragraph" w:customStyle="1" w:styleId="RecNo">
    <w:name w:val="Rec_No"/>
    <w:basedOn w:val="Normal"/>
    <w:next w:val="Rectitle"/>
    <w:rsid w:val="000B0D00"/>
    <w:pPr>
      <w:spacing w:before="720"/>
      <w:jc w:val="center"/>
    </w:pPr>
    <w:rPr>
      <w:caps/>
      <w:sz w:val="28"/>
    </w:rPr>
  </w:style>
  <w:style w:type="paragraph" w:customStyle="1" w:styleId="Rectitle">
    <w:name w:val="Rec_title"/>
    <w:basedOn w:val="Normal"/>
    <w:next w:val="Heading1"/>
    <w:rsid w:val="000B0D00"/>
    <w:pPr>
      <w:spacing w:before="240"/>
      <w:jc w:val="center"/>
    </w:pPr>
    <w:rPr>
      <w:b/>
      <w:sz w:val="28"/>
    </w:rPr>
  </w:style>
  <w:style w:type="paragraph" w:customStyle="1" w:styleId="Recref">
    <w:name w:val="Rec_ref"/>
    <w:basedOn w:val="Rectitle"/>
    <w:next w:val="Recdate"/>
    <w:rsid w:val="006710F6"/>
    <w:pPr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"/>
    <w:rsid w:val="006710F6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6710F6"/>
  </w:style>
  <w:style w:type="paragraph" w:customStyle="1" w:styleId="QuestionNo">
    <w:name w:val="Question_No"/>
    <w:basedOn w:val="RecNo"/>
    <w:next w:val="Questiontitle"/>
    <w:rsid w:val="006710F6"/>
  </w:style>
  <w:style w:type="paragraph" w:customStyle="1" w:styleId="Questiontitle">
    <w:name w:val="Question_title"/>
    <w:basedOn w:val="Rectitle"/>
    <w:next w:val="Questionref"/>
    <w:rsid w:val="006710F6"/>
  </w:style>
  <w:style w:type="paragraph" w:customStyle="1" w:styleId="Questionref">
    <w:name w:val="Question_ref"/>
    <w:basedOn w:val="Recref"/>
    <w:next w:val="Questiondate"/>
    <w:rsid w:val="006710F6"/>
  </w:style>
  <w:style w:type="paragraph" w:customStyle="1" w:styleId="Reftext">
    <w:name w:val="Ref_text"/>
    <w:basedOn w:val="Normal"/>
    <w:rsid w:val="000B0D00"/>
    <w:pPr>
      <w:ind w:left="567" w:hanging="567"/>
    </w:pPr>
  </w:style>
  <w:style w:type="paragraph" w:customStyle="1" w:styleId="Reftitle">
    <w:name w:val="Ref_title"/>
    <w:basedOn w:val="Normal"/>
    <w:next w:val="Reftext"/>
    <w:rsid w:val="000B0D00"/>
    <w:pPr>
      <w:spacing w:before="480"/>
      <w:jc w:val="center"/>
    </w:pPr>
    <w:rPr>
      <w:caps/>
      <w:sz w:val="28"/>
    </w:rPr>
  </w:style>
  <w:style w:type="paragraph" w:customStyle="1" w:styleId="Repdate">
    <w:name w:val="Rep_date"/>
    <w:basedOn w:val="Recdate"/>
    <w:next w:val="Normalaftertitle"/>
    <w:rsid w:val="006710F6"/>
  </w:style>
  <w:style w:type="paragraph" w:customStyle="1" w:styleId="RepNo">
    <w:name w:val="Rep_No"/>
    <w:basedOn w:val="RecNo"/>
    <w:next w:val="Reptitle"/>
    <w:rsid w:val="006710F6"/>
  </w:style>
  <w:style w:type="paragraph" w:customStyle="1" w:styleId="Reptitle">
    <w:name w:val="Rep_title"/>
    <w:basedOn w:val="Rectitle"/>
    <w:next w:val="Repref"/>
    <w:rsid w:val="006710F6"/>
  </w:style>
  <w:style w:type="paragraph" w:customStyle="1" w:styleId="Repref">
    <w:name w:val="Rep_ref"/>
    <w:basedOn w:val="Recref"/>
    <w:next w:val="Repdate"/>
    <w:rsid w:val="006710F6"/>
  </w:style>
  <w:style w:type="paragraph" w:customStyle="1" w:styleId="Resdate">
    <w:name w:val="Res_date"/>
    <w:basedOn w:val="Recdate"/>
    <w:next w:val="Normalaftertitle"/>
    <w:rsid w:val="006710F6"/>
  </w:style>
  <w:style w:type="paragraph" w:customStyle="1" w:styleId="ResNo">
    <w:name w:val="Res_No"/>
    <w:basedOn w:val="AnnexNo"/>
    <w:next w:val="Restitle"/>
    <w:rsid w:val="000B0D00"/>
  </w:style>
  <w:style w:type="paragraph" w:customStyle="1" w:styleId="Restitle">
    <w:name w:val="Res_title"/>
    <w:basedOn w:val="Annextitle"/>
    <w:next w:val="Normal"/>
    <w:rsid w:val="000B0D00"/>
  </w:style>
  <w:style w:type="paragraph" w:customStyle="1" w:styleId="Resref">
    <w:name w:val="Res_ref"/>
    <w:basedOn w:val="Recref"/>
    <w:next w:val="Resdate"/>
    <w:rsid w:val="006710F6"/>
  </w:style>
  <w:style w:type="paragraph" w:customStyle="1" w:styleId="SectionNo">
    <w:name w:val="Section_No"/>
    <w:basedOn w:val="AnnexNo"/>
    <w:next w:val="Sectiontitle"/>
    <w:rsid w:val="006710F6"/>
  </w:style>
  <w:style w:type="paragraph" w:customStyle="1" w:styleId="Sectiontitle">
    <w:name w:val="Section_title"/>
    <w:basedOn w:val="Normal"/>
    <w:next w:val="Normalaftertitle"/>
    <w:rsid w:val="006710F6"/>
    <w:rPr>
      <w:sz w:val="28"/>
    </w:rPr>
  </w:style>
  <w:style w:type="paragraph" w:customStyle="1" w:styleId="SpecialFooter">
    <w:name w:val="Special Footer"/>
    <w:basedOn w:val="Footer"/>
    <w:rsid w:val="006710F6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Tabletext"/>
    <w:rsid w:val="000B0D00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6710F6"/>
    <w:pPr>
      <w:spacing w:before="120"/>
    </w:pPr>
  </w:style>
  <w:style w:type="paragraph" w:customStyle="1" w:styleId="Tableref">
    <w:name w:val="Table_ref"/>
    <w:basedOn w:val="Normal"/>
    <w:next w:val="Tabletitle"/>
    <w:rsid w:val="006710F6"/>
    <w:pPr>
      <w:keepNext/>
      <w:spacing w:before="567"/>
      <w:jc w:val="center"/>
    </w:pPr>
  </w:style>
  <w:style w:type="paragraph" w:customStyle="1" w:styleId="Reasons">
    <w:name w:val="Reasons"/>
    <w:basedOn w:val="Normal"/>
    <w:qFormat/>
    <w:rsid w:val="000B0D00"/>
  </w:style>
  <w:style w:type="paragraph" w:customStyle="1" w:styleId="FigureNo">
    <w:name w:val="Figure_No"/>
    <w:basedOn w:val="Normal"/>
    <w:next w:val="Figuretitle"/>
    <w:rsid w:val="006710F6"/>
    <w:pPr>
      <w:keepNext/>
      <w:keepLines/>
      <w:spacing w:before="240" w:after="120"/>
      <w:jc w:val="center"/>
    </w:pPr>
    <w:rPr>
      <w:caps/>
    </w:rPr>
  </w:style>
  <w:style w:type="paragraph" w:customStyle="1" w:styleId="Table">
    <w:name w:val="Table_#"/>
    <w:basedOn w:val="Normal"/>
    <w:next w:val="Normal"/>
    <w:rsid w:val="00093EEB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  <w:lang w:val="en-GB"/>
    </w:rPr>
  </w:style>
  <w:style w:type="paragraph" w:customStyle="1" w:styleId="Subtitle">
    <w:name w:val="Sub_title"/>
    <w:basedOn w:val="Title1"/>
    <w:qFormat/>
    <w:rsid w:val="00FE57F6"/>
    <w:pPr>
      <w:framePr w:hSpace="180" w:wrap="around" w:hAnchor="page" w:x="1821" w:y="2317"/>
      <w:spacing w:before="120" w:after="160"/>
      <w:jc w:val="left"/>
    </w:pPr>
    <w:rPr>
      <w:caps w:val="0"/>
      <w:sz w:val="3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1559F5"/>
    <w:rPr>
      <w:rFonts w:ascii="Calibri" w:hAnsi="Calibri"/>
      <w:sz w:val="18"/>
      <w:lang w:val="es-ES_tradnl" w:eastAsia="en-US"/>
    </w:rPr>
  </w:style>
  <w:style w:type="table" w:styleId="TableGrid">
    <w:name w:val="Table Grid"/>
    <w:basedOn w:val="TableNormal"/>
    <w:uiPriority w:val="39"/>
    <w:rsid w:val="001559F5"/>
    <w:rPr>
      <w:rFonts w:asciiTheme="minorHAnsi" w:eastAsiaTheme="minorHAnsi" w:hAnsiTheme="minorHAnsi" w:cstheme="minorBid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B6FD8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2946E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7091D"/>
    <w:rPr>
      <w:rFonts w:ascii="Calibri" w:hAnsi="Calibri"/>
      <w:sz w:val="24"/>
      <w:lang w:val="es-ES_trad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u.int/md/S26-CL-C-0022/es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itu.int/md/S23-CL-C-0127/es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tu.int/en/council/Documents/basic-texts-2023/RES-162-S.pdf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www.itu.int/en/council/Documents/imac/IMAC%2045th%20Summary%20Report.pdf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council.itu.int/2026/e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878</Words>
  <Characters>4667</Characters>
  <Application>Microsoft Office Word</Application>
  <DocSecurity>0</DocSecurity>
  <Lines>103</Lines>
  <Paragraphs>53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UNIÓN INTERNACIONAL DE TELECOMUNICACIONES	</vt:lpstr>
      </vt:variant>
      <vt:variant>
        <vt:i4>0</vt:i4>
      </vt:variant>
    </vt:vector>
  </HeadingPairs>
  <TitlesOfParts>
    <vt:vector size="1" baseType="lpstr">
      <vt:lpstr/>
    </vt:vector>
  </TitlesOfParts>
  <Manager>Secretaría General - Pool</Manager>
  <Company>International Telecommunication Union</Company>
  <LinksUpToDate>false</LinksUpToDate>
  <CharactersWithSpaces>5492</CharactersWithSpaces>
  <SharedDoc>false</SharedDoc>
  <HLinks>
    <vt:vector size="6" baseType="variant">
      <vt:variant>
        <vt:i4>3342371</vt:i4>
      </vt:variant>
      <vt:variant>
        <vt:i4>12</vt:i4>
      </vt:variant>
      <vt:variant>
        <vt:i4>0</vt:i4>
      </vt:variant>
      <vt:variant>
        <vt:i4>5</vt:i4>
      </vt:variant>
      <vt:variant>
        <vt:lpwstr>http://www.itu.int/council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Addéndum al decimoquinto Informe del Comité Asesor Independiente sobre la Gestión (CAIG) – Informe anual para 2025 2026</dc:title>
  <dc:subject>Consejo 2026 de la UIT</dc:subject>
  <dc:creator>Spanish</dc:creator>
  <cp:keywords>C2026; C26; Council-26</cp:keywords>
  <dc:description/>
  <cp:lastModifiedBy>GBS2</cp:lastModifiedBy>
  <cp:revision>4</cp:revision>
  <cp:lastPrinted>2006-03-24T09:51:00Z</cp:lastPrinted>
  <dcterms:created xsi:type="dcterms:W3CDTF">2026-10-28T17:16:00Z</dcterms:created>
  <dcterms:modified xsi:type="dcterms:W3CDTF">2026-10-28T17:18:00Z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Documento C17/-S</vt:lpwstr>
  </property>
  <property fmtid="{D5CDD505-2E9C-101B-9397-08002B2CF9AE}" pid="3" name="Docdate">
    <vt:lpwstr>enero de 2017</vt:lpwstr>
  </property>
  <property fmtid="{D5CDD505-2E9C-101B-9397-08002B2CF9AE}" pid="4" name="Docorlang">
    <vt:lpwstr>Original: inglés</vt:lpwstr>
  </property>
  <property fmtid="{D5CDD505-2E9C-101B-9397-08002B2CF9AE}" pid="5" name="Docbluepink">
    <vt:lpwstr>Consejo 2017 Ginebra, 15-25 de mayo de 2017</vt:lpwstr>
  </property>
  <property fmtid="{D5CDD505-2E9C-101B-9397-08002B2CF9AE}" pid="6" name="Docdest">
    <vt:lpwstr/>
  </property>
  <property fmtid="{D5CDD505-2E9C-101B-9397-08002B2CF9AE}" pid="7" name="Docauthor">
    <vt:lpwstr/>
  </property>
  <property fmtid="{D5CDD505-2E9C-101B-9397-08002B2CF9AE}" pid="8" name="GrammarlyDocumentId">
    <vt:lpwstr>5c03a5c9b91678b956e25536f0296632c716f66cf9a10e87f22af88ff3e788b1</vt:lpwstr>
  </property>
</Properties>
</file>