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3FEE8CEB" w14:textId="77777777" w:rsidTr="00796BDB">
        <w:trPr>
          <w:cantSplit/>
          <w:trHeight w:val="23"/>
        </w:trPr>
        <w:tc>
          <w:tcPr>
            <w:tcW w:w="3969" w:type="dxa"/>
            <w:vMerge w:val="restart"/>
            <w:tcMar>
              <w:left w:w="0" w:type="dxa"/>
            </w:tcMar>
          </w:tcPr>
          <w:p w14:paraId="3A0E12DF" w14:textId="69C80780" w:rsidR="00D72F49" w:rsidRPr="00E85629" w:rsidRDefault="00D72F49" w:rsidP="00796BDB">
            <w:pPr>
              <w:tabs>
                <w:tab w:val="left" w:pos="851"/>
              </w:tabs>
              <w:spacing w:before="0" w:line="240" w:lineRule="atLeast"/>
              <w:rPr>
                <w:b/>
              </w:rPr>
            </w:pPr>
            <w:r w:rsidRPr="00122CE1">
              <w:rPr>
                <w:b/>
              </w:rPr>
              <w:t>Point de l'ordre du jour</w:t>
            </w:r>
            <w:r>
              <w:rPr>
                <w:b/>
              </w:rPr>
              <w:t>:</w:t>
            </w:r>
            <w:r w:rsidR="00D2404C">
              <w:rPr>
                <w:b/>
              </w:rPr>
              <w:t xml:space="preserve"> ADM 1</w:t>
            </w:r>
          </w:p>
        </w:tc>
        <w:tc>
          <w:tcPr>
            <w:tcW w:w="5245" w:type="dxa"/>
          </w:tcPr>
          <w:p w14:paraId="48F6D24C" w14:textId="60CD78CC"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D2404C">
              <w:rPr>
                <w:b/>
              </w:rPr>
              <w:t>20</w:t>
            </w:r>
            <w:r>
              <w:rPr>
                <w:b/>
              </w:rPr>
              <w:t>-F</w:t>
            </w:r>
          </w:p>
        </w:tc>
      </w:tr>
      <w:tr w:rsidR="00D72F49" w:rsidRPr="00C049D7" w14:paraId="683397A5" w14:textId="77777777" w:rsidTr="00796BDB">
        <w:trPr>
          <w:cantSplit/>
        </w:trPr>
        <w:tc>
          <w:tcPr>
            <w:tcW w:w="3969" w:type="dxa"/>
            <w:vMerge/>
          </w:tcPr>
          <w:p w14:paraId="3DA0EF02" w14:textId="77777777" w:rsidR="00D72F49" w:rsidRPr="00813E5E" w:rsidRDefault="00D72F49" w:rsidP="00796BDB">
            <w:pPr>
              <w:tabs>
                <w:tab w:val="left" w:pos="851"/>
              </w:tabs>
              <w:spacing w:line="240" w:lineRule="atLeast"/>
              <w:rPr>
                <w:b/>
              </w:rPr>
            </w:pPr>
          </w:p>
        </w:tc>
        <w:tc>
          <w:tcPr>
            <w:tcW w:w="5245" w:type="dxa"/>
          </w:tcPr>
          <w:p w14:paraId="61FDFF2F" w14:textId="0DB8864D" w:rsidR="00D72F49" w:rsidRPr="00FC6D7D" w:rsidRDefault="00D2404C" w:rsidP="00796BDB">
            <w:pPr>
              <w:tabs>
                <w:tab w:val="left" w:pos="851"/>
              </w:tabs>
              <w:spacing w:before="0"/>
              <w:jc w:val="right"/>
              <w:rPr>
                <w:b/>
                <w:lang w:val="en-GB"/>
              </w:rPr>
            </w:pPr>
            <w:r>
              <w:rPr>
                <w:b/>
              </w:rPr>
              <w:t>27 mars 2026</w:t>
            </w:r>
          </w:p>
        </w:tc>
      </w:tr>
      <w:tr w:rsidR="00D72F49" w:rsidRPr="00813E5E" w14:paraId="53D57DC0" w14:textId="77777777" w:rsidTr="00796BDB">
        <w:trPr>
          <w:cantSplit/>
          <w:trHeight w:val="23"/>
        </w:trPr>
        <w:tc>
          <w:tcPr>
            <w:tcW w:w="3969" w:type="dxa"/>
            <w:vMerge/>
          </w:tcPr>
          <w:p w14:paraId="1E4D9286" w14:textId="77777777" w:rsidR="00D72F49" w:rsidRPr="00FC6D7D" w:rsidRDefault="00D72F49" w:rsidP="00796BDB">
            <w:pPr>
              <w:tabs>
                <w:tab w:val="left" w:pos="851"/>
              </w:tabs>
              <w:spacing w:line="240" w:lineRule="atLeast"/>
              <w:rPr>
                <w:b/>
                <w:lang w:val="en-GB"/>
              </w:rPr>
            </w:pPr>
          </w:p>
        </w:tc>
        <w:tc>
          <w:tcPr>
            <w:tcW w:w="5245" w:type="dxa"/>
          </w:tcPr>
          <w:p w14:paraId="20FAE2A4"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42E10E89" w14:textId="77777777" w:rsidTr="00796BDB">
        <w:trPr>
          <w:cantSplit/>
          <w:trHeight w:val="23"/>
        </w:trPr>
        <w:tc>
          <w:tcPr>
            <w:tcW w:w="3969" w:type="dxa"/>
          </w:tcPr>
          <w:p w14:paraId="4046163A" w14:textId="77777777" w:rsidR="00D72F49" w:rsidRPr="00813E5E" w:rsidRDefault="00D72F49" w:rsidP="00796BDB">
            <w:pPr>
              <w:tabs>
                <w:tab w:val="left" w:pos="851"/>
              </w:tabs>
              <w:spacing w:line="240" w:lineRule="atLeast"/>
              <w:rPr>
                <w:b/>
              </w:rPr>
            </w:pPr>
          </w:p>
        </w:tc>
        <w:tc>
          <w:tcPr>
            <w:tcW w:w="5245" w:type="dxa"/>
          </w:tcPr>
          <w:p w14:paraId="5BCF82FD" w14:textId="77777777" w:rsidR="00D72F49" w:rsidRDefault="00D72F49" w:rsidP="00796BDB">
            <w:pPr>
              <w:tabs>
                <w:tab w:val="left" w:pos="851"/>
              </w:tabs>
              <w:spacing w:before="0" w:line="240" w:lineRule="atLeast"/>
              <w:jc w:val="right"/>
              <w:rPr>
                <w:b/>
              </w:rPr>
            </w:pPr>
          </w:p>
        </w:tc>
      </w:tr>
      <w:tr w:rsidR="00D72F49" w:rsidRPr="00122CE1" w14:paraId="03AF3023" w14:textId="77777777" w:rsidTr="00796BDB">
        <w:trPr>
          <w:cantSplit/>
        </w:trPr>
        <w:tc>
          <w:tcPr>
            <w:tcW w:w="9214" w:type="dxa"/>
            <w:gridSpan w:val="2"/>
            <w:tcMar>
              <w:left w:w="0" w:type="dxa"/>
            </w:tcMar>
          </w:tcPr>
          <w:p w14:paraId="4EF76374" w14:textId="77777777" w:rsidR="00D72F49" w:rsidRPr="0075647B" w:rsidRDefault="00D72F49" w:rsidP="0075647B">
            <w:pPr>
              <w:pStyle w:val="Source"/>
              <w:framePr w:hSpace="0" w:wrap="auto" w:vAnchor="margin" w:hAnchor="text" w:xAlign="left" w:yAlign="inline"/>
            </w:pPr>
            <w:r w:rsidRPr="0075647B">
              <w:t xml:space="preserve">Rapport </w:t>
            </w:r>
            <w:r w:rsidR="00E95647" w:rsidRPr="0075647B">
              <w:t xml:space="preserve">de la </w:t>
            </w:r>
            <w:r w:rsidRPr="0075647B">
              <w:t>Secrétaire général</w:t>
            </w:r>
            <w:r w:rsidR="00E95647" w:rsidRPr="0075647B">
              <w:t>e</w:t>
            </w:r>
          </w:p>
        </w:tc>
      </w:tr>
      <w:tr w:rsidR="00D72F49" w:rsidRPr="00813E5E" w14:paraId="24D82B1B" w14:textId="77777777" w:rsidTr="00796BDB">
        <w:trPr>
          <w:cantSplit/>
        </w:trPr>
        <w:tc>
          <w:tcPr>
            <w:tcW w:w="9214" w:type="dxa"/>
            <w:gridSpan w:val="2"/>
            <w:tcMar>
              <w:left w:w="0" w:type="dxa"/>
            </w:tcMar>
          </w:tcPr>
          <w:p w14:paraId="72D65DC4" w14:textId="2E7CB336" w:rsidR="00D72F49" w:rsidRPr="00D2404C" w:rsidRDefault="0075647B" w:rsidP="00796BDB">
            <w:pPr>
              <w:pStyle w:val="Subtitle"/>
              <w:framePr w:hSpace="0" w:wrap="auto" w:hAnchor="text" w:xAlign="left" w:yAlign="inline"/>
              <w:rPr>
                <w:sz w:val="32"/>
                <w:szCs w:val="32"/>
                <w:lang w:val="fr-FR"/>
              </w:rPr>
            </w:pPr>
            <w:r w:rsidRPr="00D2404C">
              <w:rPr>
                <w:rFonts w:cstheme="minorHAnsi"/>
                <w:sz w:val="32"/>
                <w:szCs w:val="32"/>
                <w:lang w:val="fr-FR"/>
              </w:rPr>
              <w:t>PARTICIPATION PROVISOIRE D'ENTITÉS S'OCCUPANT DE QUESTIONS DE TÉLÉCOMMUNICATION AUX ACTIVITÉS DE L'UIT</w:t>
            </w:r>
          </w:p>
        </w:tc>
      </w:tr>
      <w:tr w:rsidR="00D72F49" w:rsidRPr="00813E5E" w14:paraId="023F7C8E" w14:textId="77777777" w:rsidTr="00796BDB">
        <w:trPr>
          <w:cantSplit/>
        </w:trPr>
        <w:tc>
          <w:tcPr>
            <w:tcW w:w="9214" w:type="dxa"/>
            <w:gridSpan w:val="2"/>
            <w:tcBorders>
              <w:top w:val="single" w:sz="4" w:space="0" w:color="auto"/>
              <w:bottom w:val="single" w:sz="4" w:space="0" w:color="auto"/>
            </w:tcBorders>
            <w:tcMar>
              <w:left w:w="0" w:type="dxa"/>
            </w:tcMar>
          </w:tcPr>
          <w:p w14:paraId="13FA6AE0" w14:textId="77777777" w:rsidR="00D72F49" w:rsidRPr="0099485B" w:rsidRDefault="00F37FE5" w:rsidP="00796BDB">
            <w:pPr>
              <w:spacing w:before="160"/>
              <w:rPr>
                <w:b/>
                <w:bCs/>
                <w:sz w:val="26"/>
                <w:szCs w:val="26"/>
                <w:lang w:val="fr-CH"/>
              </w:rPr>
            </w:pPr>
            <w:r>
              <w:rPr>
                <w:b/>
                <w:bCs/>
                <w:sz w:val="26"/>
                <w:szCs w:val="26"/>
                <w:lang w:val="fr-CH"/>
              </w:rPr>
              <w:t>Objet</w:t>
            </w:r>
          </w:p>
          <w:p w14:paraId="08E2D278" w14:textId="4E0E7CF4" w:rsidR="00D72F49" w:rsidRPr="0099485B" w:rsidRDefault="00D2404C" w:rsidP="0075647B">
            <w:pPr>
              <w:jc w:val="both"/>
              <w:rPr>
                <w:lang w:val="fr-CH"/>
              </w:rPr>
            </w:pPr>
            <w:r w:rsidRPr="00D2404C">
              <w:rPr>
                <w:lang w:val="fr-CH"/>
              </w:rPr>
              <w:t>Dans le présent rapport, la Secrétaire générale communique au Conseil de l'UIT les noms "d'autres entités s'occupant de questions de télécommunication" (voir le numéro 230 de la Convention de l'UIT), qui ont été inscrites provisoirement dans la liste des Membres de Secteur et qui sont admises à participer aux travaux des Secteurs de l'UIT ainsi que les noms des Associés admis à participer aux travaux d'une commission d'études donnée, dans l'attente de la confirmation du Conseil.</w:t>
            </w:r>
          </w:p>
          <w:p w14:paraId="00B0F6D3" w14:textId="77777777" w:rsidR="00D72F49" w:rsidRPr="00122CE1" w:rsidRDefault="00D72F49" w:rsidP="00796BDB">
            <w:pPr>
              <w:spacing w:before="160"/>
              <w:rPr>
                <w:b/>
                <w:bCs/>
                <w:sz w:val="26"/>
                <w:szCs w:val="26"/>
                <w:lang w:val="fr-CH"/>
              </w:rPr>
            </w:pPr>
            <w:r w:rsidRPr="00122CE1">
              <w:rPr>
                <w:b/>
                <w:bCs/>
                <w:sz w:val="26"/>
                <w:szCs w:val="26"/>
                <w:lang w:val="fr-CH"/>
              </w:rPr>
              <w:t>Suite à donner par le Conseil</w:t>
            </w:r>
          </w:p>
          <w:p w14:paraId="1FF9BD18" w14:textId="79F2C892" w:rsidR="00D72F49" w:rsidRPr="00122CE1" w:rsidRDefault="00D2404C" w:rsidP="006D4170">
            <w:pPr>
              <w:jc w:val="both"/>
              <w:rPr>
                <w:lang w:val="fr-CH"/>
              </w:rPr>
            </w:pPr>
            <w:r w:rsidRPr="00D2404C">
              <w:rPr>
                <w:lang w:val="fr-CH"/>
              </w:rPr>
              <w:t xml:space="preserve">Le Conseil est invité à </w:t>
            </w:r>
            <w:r w:rsidRPr="005F616C">
              <w:rPr>
                <w:b/>
                <w:bCs/>
                <w:lang w:val="fr-CH"/>
              </w:rPr>
              <w:t>confirmer</w:t>
            </w:r>
            <w:r w:rsidRPr="00D2404C">
              <w:rPr>
                <w:lang w:val="fr-CH"/>
              </w:rPr>
              <w:t xml:space="preserve"> les mesures prises par la Secrétaire générale en ce qui concerne l'admission "d'autres entités s'occupant de questions de télécommunication" (numéro 230 de la Convention), comme indiqué dans l'</w:t>
            </w:r>
            <w:hyperlink w:anchor="Annex" w:history="1">
              <w:r w:rsidRPr="00562C61">
                <w:rPr>
                  <w:rStyle w:val="Hyperlink"/>
                  <w:rFonts w:eastAsia="Times New Roman" w:cs="Times New Roman"/>
                  <w:szCs w:val="20"/>
                  <w:lang w:val="fr-CH"/>
                </w:rPr>
                <w:t>annexe</w:t>
              </w:r>
            </w:hyperlink>
            <w:r w:rsidRPr="00D2404C">
              <w:rPr>
                <w:lang w:val="fr-CH"/>
              </w:rPr>
              <w:t xml:space="preserve"> ci-jointe.</w:t>
            </w:r>
          </w:p>
          <w:p w14:paraId="4AD7FD4A" w14:textId="3F85C32A" w:rsidR="00D72F49" w:rsidRPr="00122CE1" w:rsidRDefault="00D72F49" w:rsidP="00796BDB">
            <w:pPr>
              <w:spacing w:before="160"/>
              <w:rPr>
                <w:b/>
                <w:bCs/>
                <w:sz w:val="26"/>
                <w:szCs w:val="26"/>
                <w:lang w:val="fr-CH"/>
              </w:rPr>
            </w:pPr>
            <w:r w:rsidRPr="00122CE1">
              <w:rPr>
                <w:b/>
                <w:bCs/>
                <w:sz w:val="26"/>
                <w:szCs w:val="26"/>
                <w:lang w:val="fr-CH"/>
              </w:rPr>
              <w:t xml:space="preserve">Liens pertinents avec le </w:t>
            </w:r>
            <w:r w:rsidR="00F37FE5">
              <w:rPr>
                <w:b/>
                <w:bCs/>
                <w:sz w:val="26"/>
                <w:szCs w:val="26"/>
                <w:lang w:val="fr-CH"/>
              </w:rPr>
              <w:t>p</w:t>
            </w:r>
            <w:r w:rsidRPr="00122CE1">
              <w:rPr>
                <w:b/>
                <w:bCs/>
                <w:sz w:val="26"/>
                <w:szCs w:val="26"/>
                <w:lang w:val="fr-CH"/>
              </w:rPr>
              <w:t>lan stratégique</w:t>
            </w:r>
          </w:p>
          <w:p w14:paraId="5B1CCE5E" w14:textId="2E28F135" w:rsidR="00D72F49" w:rsidRPr="00122CE1" w:rsidRDefault="00D2404C" w:rsidP="006D4170">
            <w:pPr>
              <w:jc w:val="both"/>
              <w:rPr>
                <w:lang w:val="fr-CH"/>
              </w:rPr>
            </w:pPr>
            <w:r w:rsidRPr="00D2404C">
              <w:rPr>
                <w:lang w:val="fr-CH"/>
              </w:rPr>
              <w:t>Travaux reposant sur les contributions des membres, partenariats et coopération internationale, mobilisation des ressources.</w:t>
            </w:r>
          </w:p>
          <w:p w14:paraId="7B25E36E" w14:textId="77777777" w:rsidR="00E95647" w:rsidRDefault="00D72F49" w:rsidP="00796BDB">
            <w:pPr>
              <w:spacing w:before="160"/>
              <w:rPr>
                <w:b/>
                <w:bCs/>
                <w:sz w:val="26"/>
                <w:szCs w:val="26"/>
                <w:lang w:val="fr-CH"/>
              </w:rPr>
            </w:pPr>
            <w:r w:rsidRPr="00122CE1">
              <w:rPr>
                <w:b/>
                <w:bCs/>
                <w:sz w:val="26"/>
                <w:szCs w:val="26"/>
                <w:lang w:val="fr-CH"/>
              </w:rPr>
              <w:t>Incidences financières</w:t>
            </w:r>
          </w:p>
          <w:p w14:paraId="7792F9C1" w14:textId="0ACABF5C" w:rsidR="00D72F49" w:rsidRPr="00882919" w:rsidRDefault="00D2404C" w:rsidP="006D4170">
            <w:pPr>
              <w:jc w:val="both"/>
              <w:rPr>
                <w:szCs w:val="24"/>
              </w:rPr>
            </w:pPr>
            <w:r w:rsidRPr="00D2404C">
              <w:rPr>
                <w:szCs w:val="24"/>
              </w:rPr>
              <w:t>Le montant de 274</w:t>
            </w:r>
            <w:r w:rsidR="007261DA">
              <w:rPr>
                <w:szCs w:val="24"/>
              </w:rPr>
              <w:t> </w:t>
            </w:r>
            <w:r w:rsidRPr="00D2404C">
              <w:rPr>
                <w:szCs w:val="24"/>
              </w:rPr>
              <w:t>275</w:t>
            </w:r>
            <w:r w:rsidR="007261DA">
              <w:rPr>
                <w:szCs w:val="24"/>
              </w:rPr>
              <w:t> </w:t>
            </w:r>
            <w:r w:rsidRPr="00D2404C">
              <w:rPr>
                <w:szCs w:val="24"/>
              </w:rPr>
              <w:t>CHF par an correspondant aux droits acquittés par les Membres de Secteur et les Associés, comme indiqué dans l'</w:t>
            </w:r>
            <w:r w:rsidRPr="00562C61">
              <w:rPr>
                <w:szCs w:val="24"/>
              </w:rPr>
              <w:t>annexe</w:t>
            </w:r>
            <w:r w:rsidRPr="00D2404C">
              <w:rPr>
                <w:szCs w:val="24"/>
              </w:rPr>
              <w:t>, est inclus dans le budget pour la période 2025-2026.</w:t>
            </w:r>
          </w:p>
          <w:p w14:paraId="5C84589F" w14:textId="77777777" w:rsidR="00D72F49" w:rsidRPr="00813E5E" w:rsidRDefault="00D72F49" w:rsidP="00796BDB">
            <w:pPr>
              <w:spacing w:before="160"/>
              <w:rPr>
                <w:caps/>
                <w:sz w:val="22"/>
              </w:rPr>
            </w:pPr>
            <w:r w:rsidRPr="00813E5E">
              <w:rPr>
                <w:sz w:val="22"/>
              </w:rPr>
              <w:t>____________</w:t>
            </w:r>
            <w:r>
              <w:rPr>
                <w:sz w:val="22"/>
              </w:rPr>
              <w:t>______</w:t>
            </w:r>
          </w:p>
          <w:p w14:paraId="5C48C12C" w14:textId="77777777" w:rsidR="00D72F49" w:rsidRDefault="00D72F49" w:rsidP="00796BDB">
            <w:pPr>
              <w:spacing w:before="160"/>
              <w:rPr>
                <w:b/>
                <w:bCs/>
                <w:sz w:val="26"/>
                <w:szCs w:val="26"/>
              </w:rPr>
            </w:pPr>
            <w:r w:rsidRPr="00F16BAB">
              <w:rPr>
                <w:b/>
                <w:bCs/>
                <w:sz w:val="26"/>
                <w:szCs w:val="26"/>
              </w:rPr>
              <w:t>Références</w:t>
            </w:r>
          </w:p>
          <w:p w14:paraId="6E27A706" w14:textId="2953A9F0" w:rsidR="00D72F49" w:rsidRPr="006D4170" w:rsidRDefault="00D2404C" w:rsidP="00CE5172">
            <w:pPr>
              <w:pStyle w:val="Referencetext"/>
              <w:framePr w:hSpace="0" w:wrap="auto" w:vAnchor="margin" w:hAnchor="text" w:xAlign="left" w:yAlign="inline"/>
            </w:pPr>
            <w:r w:rsidRPr="006D4170">
              <w:t xml:space="preserve">Numéros 229, 230, 231, 234, 237, 241A et 241C de la </w:t>
            </w:r>
            <w:hyperlink r:id="rId7" w:history="1">
              <w:r w:rsidRPr="006D4170">
                <w:rPr>
                  <w:rStyle w:val="Hyperlink"/>
                  <w:rFonts w:eastAsia="Times New Roman" w:cs="Times New Roman"/>
                </w:rPr>
                <w:t>Convention de l'UIT</w:t>
              </w:r>
            </w:hyperlink>
            <w:r w:rsidRPr="006D4170">
              <w:t xml:space="preserve">; Documents </w:t>
            </w:r>
            <w:hyperlink r:id="rId8" w:history="1">
              <w:r w:rsidRPr="006D4170">
                <w:rPr>
                  <w:rStyle w:val="Hyperlink"/>
                  <w:rFonts w:eastAsia="Times New Roman" w:cs="Times New Roman"/>
                </w:rPr>
                <w:t>C93/49</w:t>
              </w:r>
            </w:hyperlink>
            <w:r w:rsidRPr="006D4170">
              <w:t xml:space="preserve"> et </w:t>
            </w:r>
            <w:hyperlink r:id="rId9" w:history="1">
              <w:r w:rsidRPr="006D4170">
                <w:rPr>
                  <w:rStyle w:val="Hyperlink"/>
                  <w:rFonts w:eastAsia="Times New Roman" w:cs="Times New Roman"/>
                </w:rPr>
                <w:t>C2000/33</w:t>
              </w:r>
            </w:hyperlink>
            <w:r w:rsidRPr="006D4170">
              <w:t>.</w:t>
            </w:r>
          </w:p>
        </w:tc>
      </w:tr>
    </w:tbl>
    <w:p w14:paraId="29BCEF17"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155DCB76" w14:textId="77777777" w:rsidR="00D2404C" w:rsidRPr="00A164AD" w:rsidRDefault="00D2404C" w:rsidP="00562C61">
      <w:pPr>
        <w:pStyle w:val="Headingb"/>
      </w:pPr>
      <w:r w:rsidRPr="00A164AD">
        <w:lastRenderedPageBreak/>
        <w:t>Considérations générales</w:t>
      </w:r>
    </w:p>
    <w:p w14:paraId="4A5330C7" w14:textId="20F6F2B5" w:rsidR="00D2404C" w:rsidRPr="00A164AD" w:rsidRDefault="00D2404C" w:rsidP="006D4170">
      <w:pPr>
        <w:jc w:val="both"/>
      </w:pPr>
      <w:r w:rsidRPr="00A164AD">
        <w:t>1</w:t>
      </w:r>
      <w:r w:rsidRPr="00A164AD">
        <w:tab/>
        <w:t>En 1993, le Conseil de l'UIT a établi les procédures régissant l'admission et la participation des Membres de Secteur (voir le Document </w:t>
      </w:r>
      <w:hyperlink r:id="rId10">
        <w:r w:rsidRPr="00A164AD">
          <w:rPr>
            <w:rStyle w:val="Hyperlink"/>
          </w:rPr>
          <w:t>C93/49</w:t>
        </w:r>
      </w:hyperlink>
      <w:r w:rsidRPr="00A164AD">
        <w:t>). En 2000, il a établi les procédures correspondantes pour les Associés.</w:t>
      </w:r>
    </w:p>
    <w:p w14:paraId="748323FF" w14:textId="6338C284" w:rsidR="00D2404C" w:rsidRPr="00A164AD" w:rsidRDefault="00D2404C" w:rsidP="006D4170">
      <w:pPr>
        <w:jc w:val="both"/>
      </w:pPr>
      <w:r w:rsidRPr="00A164AD">
        <w:t>2</w:t>
      </w:r>
      <w:r w:rsidRPr="00A164AD">
        <w:tab/>
        <w:t>Conformément à l'article 19 de la Convention de l'UIT, les Membres de Secteur, c'est</w:t>
      </w:r>
      <w:r w:rsidRPr="00A164AD">
        <w:noBreakHyphen/>
        <w:t>à</w:t>
      </w:r>
      <w:r w:rsidR="005F616C">
        <w:noBreakHyphen/>
      </w:r>
      <w:r w:rsidRPr="00A164AD">
        <w:t>dire les entités et les organisations autres que les administrations, sont classés dans les trois grandes catégories suivantes: exploitations reconnues, organismes scientifiques ou industriels et organismes de financement ou de développement approuvés par l'État Membre intéressé (numéro 229 de la Convention); autres entités s'occupant de questions de télécommunication approuvées par l'État Membre intéressé (numéro 230 de la Convention); et organisations régionales et autres organisations internationales de télécommunication, de normalisation, de financement ou de développement (numéro 231 de la Convention). Leurs droits et obligations en ce qui concerne leur participation aux activités de l'UIT sont différents.</w:t>
      </w:r>
    </w:p>
    <w:p w14:paraId="6608E871" w14:textId="77777777" w:rsidR="00D2404C" w:rsidRPr="00A164AD" w:rsidRDefault="00D2404C" w:rsidP="006D4170">
      <w:pPr>
        <w:jc w:val="both"/>
        <w:rPr>
          <w:rFonts w:asciiTheme="minorHAnsi" w:hAnsiTheme="minorHAnsi" w:cstheme="minorBidi"/>
        </w:rPr>
      </w:pPr>
      <w:r w:rsidRPr="00A164AD">
        <w:t>3</w:t>
      </w:r>
      <w:r w:rsidRPr="00A164AD">
        <w:tab/>
        <w:t>Conformément au numéro 241C de la Convention, les dispositions pertinentes de l'article 19 de la Convention s'appliquent aux Associés. Par conséquent, les procédures d'admission et de participation applicables aux entités et organisations visées dans ledit article s'appliquent également aux Associés, en fonction de la catégorie particulière dont ils relèvent (voir les numéros 229, 230 et 231 de la Convention).</w:t>
      </w:r>
    </w:p>
    <w:p w14:paraId="7ECA2C29" w14:textId="77777777" w:rsidR="00D2404C" w:rsidRPr="00A164AD" w:rsidRDefault="00D2404C" w:rsidP="006D4170">
      <w:pPr>
        <w:jc w:val="both"/>
      </w:pPr>
      <w:r w:rsidRPr="00A164AD">
        <w:t>4</w:t>
      </w:r>
      <w:r w:rsidRPr="00A164AD">
        <w:tab/>
        <w:t>En vertu de l'article 19 de la Convention, toute demande d'une entité mentionnée au numéro 230 de la Convention, à savoir d'autres entités s'occupant de questions de télécommunication approuvées par l'État Membre intéressé, doit être confirmée par le Conseil.</w:t>
      </w:r>
    </w:p>
    <w:p w14:paraId="2D0D1D6D" w14:textId="77777777" w:rsidR="00D2404C" w:rsidRPr="00A164AD" w:rsidRDefault="00D2404C" w:rsidP="006D4170">
      <w:pPr>
        <w:jc w:val="both"/>
      </w:pPr>
      <w:r w:rsidRPr="00A164AD">
        <w:t>5</w:t>
      </w:r>
      <w:r w:rsidRPr="00A164AD">
        <w:tab/>
        <w:t>Conformément à la procédure décrite dans le Document C93/49, le Secrétaire général inscrit à titre provisoire le nom des entités dans la liste des "membres" indiquée dans le numéro 237 de la Convention, pour approbation formelle par le Conseil.</w:t>
      </w:r>
    </w:p>
    <w:p w14:paraId="6B2EB43D" w14:textId="77777777" w:rsidR="00D2404C" w:rsidRPr="00A164AD" w:rsidRDefault="00D2404C" w:rsidP="00562C61">
      <w:pPr>
        <w:pStyle w:val="Headingb"/>
        <w:rPr>
          <w:rFonts w:cs="Calibri"/>
        </w:rPr>
      </w:pPr>
      <w:r w:rsidRPr="00A164AD">
        <w:t>Situation actuelle</w:t>
      </w:r>
    </w:p>
    <w:p w14:paraId="79C57999" w14:textId="77777777" w:rsidR="00D2404C" w:rsidRPr="00A164AD" w:rsidRDefault="00D2404C" w:rsidP="006D4170">
      <w:pPr>
        <w:jc w:val="both"/>
      </w:pPr>
      <w:r w:rsidRPr="00A164AD">
        <w:t>6</w:t>
      </w:r>
      <w:r w:rsidRPr="00A164AD">
        <w:tab/>
        <w:t>Au 31 décembre 202</w:t>
      </w:r>
      <w:r>
        <w:t>5</w:t>
      </w:r>
      <w:r w:rsidRPr="00A164AD">
        <w:t>, les autres entités s'occupant de questions de télécommunication visées au numéro 230 de la Convention en tant que membres de l'UIT représentaient 5</w:t>
      </w:r>
      <w:r>
        <w:t>8</w:t>
      </w:r>
      <w:r w:rsidRPr="00A164AD">
        <w:t> Membres de Secteur, représentant 7</w:t>
      </w:r>
      <w:r>
        <w:t>6</w:t>
      </w:r>
      <w:r w:rsidRPr="00A164AD">
        <w:t xml:space="preserve"> adhésions, et </w:t>
      </w:r>
      <w:r>
        <w:t>5</w:t>
      </w:r>
      <w:r w:rsidRPr="00A164AD">
        <w:t xml:space="preserve">5 Associés, représentant </w:t>
      </w:r>
      <w:r>
        <w:t>5</w:t>
      </w:r>
      <w:r w:rsidRPr="00A164AD">
        <w:t>6 adhésions, admis à participer aux travaux d'une commission d'études donnée.</w:t>
      </w:r>
    </w:p>
    <w:p w14:paraId="27D6E316" w14:textId="77777777" w:rsidR="00D2404C" w:rsidRPr="00A164AD" w:rsidRDefault="00D2404C" w:rsidP="007261DA">
      <w:pPr>
        <w:pStyle w:val="Headingb"/>
      </w:pPr>
      <w:r w:rsidRPr="00A164AD">
        <w:t>Demande adressée au Conseil</w:t>
      </w:r>
    </w:p>
    <w:p w14:paraId="79D28A3F" w14:textId="77777777" w:rsidR="00D2404C" w:rsidRPr="00A164AD" w:rsidRDefault="00D2404C" w:rsidP="006D4170">
      <w:pPr>
        <w:jc w:val="both"/>
      </w:pPr>
      <w:r w:rsidRPr="00A164AD">
        <w:t>7</w:t>
      </w:r>
      <w:r w:rsidRPr="00A164AD">
        <w:tab/>
        <w:t xml:space="preserve">Le Conseil est invité à </w:t>
      </w:r>
      <w:r w:rsidRPr="00A164AD">
        <w:rPr>
          <w:b/>
          <w:bCs/>
        </w:rPr>
        <w:t xml:space="preserve">confirmer </w:t>
      </w:r>
      <w:r w:rsidRPr="00A164AD">
        <w:t>les mesures prises par la Secrétaire générale en ce qui concerne l'admission "d'autres entités s'occupant de questions de télécommunication" (numéro 230 de la Convention), comme indiqué dans l'</w:t>
      </w:r>
      <w:hyperlink w:anchor="Annex" w:history="1">
        <w:r w:rsidRPr="00A164AD">
          <w:rPr>
            <w:rStyle w:val="Hyperlink"/>
          </w:rPr>
          <w:t>annexe</w:t>
        </w:r>
      </w:hyperlink>
      <w:r w:rsidRPr="00A164AD">
        <w:t xml:space="preserve"> ci-jointe.</w:t>
      </w:r>
    </w:p>
    <w:p w14:paraId="1D0E8920" w14:textId="77777777" w:rsidR="00D2404C" w:rsidRPr="00A164AD" w:rsidRDefault="00D2404C" w:rsidP="007261DA">
      <w:pPr>
        <w:spacing w:before="840"/>
      </w:pPr>
      <w:r w:rsidRPr="005F616C">
        <w:rPr>
          <w:b/>
          <w:bCs/>
          <w:i/>
          <w:iCs/>
        </w:rPr>
        <w:t>Annexe</w:t>
      </w:r>
      <w:r w:rsidRPr="005F616C">
        <w:rPr>
          <w:i/>
          <w:iCs/>
        </w:rPr>
        <w:t>: 1</w:t>
      </w:r>
    </w:p>
    <w:p w14:paraId="51AF5C60" w14:textId="77777777" w:rsidR="00D2404C" w:rsidRPr="00A164AD" w:rsidRDefault="00D2404C" w:rsidP="00D2404C">
      <w:pPr>
        <w:tabs>
          <w:tab w:val="clear" w:pos="567"/>
          <w:tab w:val="clear" w:pos="1134"/>
          <w:tab w:val="clear" w:pos="1701"/>
          <w:tab w:val="clear" w:pos="2268"/>
          <w:tab w:val="clear" w:pos="2835"/>
        </w:tabs>
        <w:overflowPunct/>
        <w:autoSpaceDE/>
        <w:autoSpaceDN/>
        <w:adjustRightInd/>
        <w:spacing w:before="0"/>
        <w:textAlignment w:val="auto"/>
        <w:rPr>
          <w:rFonts w:ascii="Segoe UI" w:hAnsi="Segoe UI" w:cs="Segoe UI"/>
          <w:sz w:val="18"/>
          <w:szCs w:val="18"/>
          <w:lang w:eastAsia="zh-CN"/>
        </w:rPr>
      </w:pPr>
      <w:r w:rsidRPr="00A164AD">
        <w:rPr>
          <w:rFonts w:ascii="Segoe UI" w:hAnsi="Segoe UI" w:cs="Segoe UI"/>
          <w:sz w:val="18"/>
          <w:szCs w:val="18"/>
          <w:lang w:eastAsia="zh-CN"/>
        </w:rPr>
        <w:br w:type="page"/>
      </w:r>
    </w:p>
    <w:p w14:paraId="4F77C137" w14:textId="77777777" w:rsidR="00D2404C" w:rsidRPr="00A164AD" w:rsidRDefault="00D2404C" w:rsidP="00D2404C">
      <w:pPr>
        <w:pStyle w:val="AnnexNo"/>
      </w:pPr>
      <w:r w:rsidRPr="00A164AD">
        <w:lastRenderedPageBreak/>
        <w:t>ANNEXE</w:t>
      </w:r>
      <w:bookmarkStart w:id="0" w:name="Annex"/>
      <w:bookmarkEnd w:id="0"/>
    </w:p>
    <w:p w14:paraId="403C3BDD" w14:textId="6D9661B9" w:rsidR="00D2404C" w:rsidRPr="00A164AD" w:rsidRDefault="00D2404C" w:rsidP="00D2404C">
      <w:pPr>
        <w:pStyle w:val="Annextitle"/>
      </w:pPr>
      <w:r w:rsidRPr="00A164AD">
        <w:rPr>
          <w:bCs/>
        </w:rPr>
        <w:t>Participation provisoire d'autres entités s'occupant de questions de télécommunication (numéro</w:t>
      </w:r>
      <w:r w:rsidR="005F616C">
        <w:rPr>
          <w:bCs/>
        </w:rPr>
        <w:t xml:space="preserve"> </w:t>
      </w:r>
      <w:r w:rsidRPr="00A164AD">
        <w:rPr>
          <w:bCs/>
        </w:rPr>
        <w:t>230 de la Convention) en tant</w:t>
      </w:r>
      <w:r w:rsidRPr="00A164AD">
        <w:rPr>
          <w:bCs/>
        </w:rPr>
        <w:br/>
        <w:t>que Membre de Secteur ou en tant qu'Associé</w:t>
      </w:r>
    </w:p>
    <w:p w14:paraId="61D161CD" w14:textId="77777777" w:rsidR="00D2404C" w:rsidRPr="00A164AD" w:rsidRDefault="00D2404C" w:rsidP="006D4170">
      <w:pPr>
        <w:pStyle w:val="Normalaftertitle"/>
        <w:jc w:val="both"/>
      </w:pPr>
      <w:r w:rsidRPr="00A164AD">
        <w:t>Entre le 1er janvier et le 31 décembre 202</w:t>
      </w:r>
      <w:r>
        <w:t>5</w:t>
      </w:r>
      <w:r w:rsidRPr="00A164AD">
        <w:t xml:space="preserve">, </w:t>
      </w:r>
      <w:r>
        <w:t>quatorze</w:t>
      </w:r>
      <w:r w:rsidRPr="00A164AD">
        <w:t xml:space="preserve"> (</w:t>
      </w:r>
      <w:r>
        <w:t>14</w:t>
      </w:r>
      <w:r w:rsidRPr="00A164AD">
        <w:t xml:space="preserve">) demandes de participation en tant que Membre de Secteur et </w:t>
      </w:r>
      <w:r>
        <w:t>treize</w:t>
      </w:r>
      <w:r w:rsidRPr="00A164AD">
        <w:t xml:space="preserve"> (</w:t>
      </w:r>
      <w:r>
        <w:t>13</w:t>
      </w:r>
      <w:r w:rsidRPr="00A164AD">
        <w:t>) demandes de participation en tant qu'Associé ont été reçues. Le montant de la contribution pour la classe de contribution d'une unité pour les Membres de Secteur est de 63 600 CHF. La classe de contribution par entité indiquée dans les tableaux ci-dessous correspond à des fractions de ce montant.</w:t>
      </w:r>
    </w:p>
    <w:p w14:paraId="38A1F17B" w14:textId="77777777" w:rsidR="00D2404C" w:rsidRPr="00A164AD" w:rsidRDefault="00D2404C" w:rsidP="00D2404C">
      <w:pPr>
        <w:pStyle w:val="Tabletitle"/>
        <w:spacing w:before="240"/>
      </w:pPr>
      <w:r w:rsidRPr="00A164AD">
        <w:rPr>
          <w:bCs/>
        </w:rPr>
        <w:t>Membres de Secteur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08"/>
        <w:gridCol w:w="1277"/>
        <w:gridCol w:w="1437"/>
        <w:gridCol w:w="865"/>
        <w:gridCol w:w="1498"/>
        <w:gridCol w:w="1754"/>
      </w:tblGrid>
      <w:tr w:rsidR="00D2404C" w:rsidRPr="00992EDF" w14:paraId="1A1BE3E8" w14:textId="77777777" w:rsidTr="00365930">
        <w:trPr>
          <w:cantSplit/>
          <w:jc w:val="center"/>
        </w:trPr>
        <w:tc>
          <w:tcPr>
            <w:tcW w:w="2808" w:type="dxa"/>
            <w:shd w:val="clear" w:color="auto" w:fill="FFFFFF" w:themeFill="background1"/>
            <w:vAlign w:val="center"/>
            <w:hideMark/>
          </w:tcPr>
          <w:p w14:paraId="37B9C6C3" w14:textId="77777777" w:rsidR="00D2404C" w:rsidRPr="00562C61" w:rsidRDefault="00D2404C" w:rsidP="00562C61">
            <w:pPr>
              <w:pStyle w:val="Tablehead"/>
            </w:pPr>
            <w:r w:rsidRPr="00562C61">
              <w:t>Membre de Secteur</w:t>
            </w:r>
          </w:p>
        </w:tc>
        <w:tc>
          <w:tcPr>
            <w:tcW w:w="1277" w:type="dxa"/>
            <w:shd w:val="clear" w:color="auto" w:fill="FFFFFF" w:themeFill="background1"/>
            <w:vAlign w:val="center"/>
            <w:hideMark/>
          </w:tcPr>
          <w:p w14:paraId="6D0B00D4" w14:textId="77777777" w:rsidR="00D2404C" w:rsidRPr="00562C61" w:rsidRDefault="00D2404C" w:rsidP="00562C61">
            <w:pPr>
              <w:pStyle w:val="Tablehead"/>
            </w:pPr>
            <w:r w:rsidRPr="00562C61">
              <w:t>Date d'admission provisoire</w:t>
            </w:r>
          </w:p>
        </w:tc>
        <w:tc>
          <w:tcPr>
            <w:tcW w:w="1437" w:type="dxa"/>
            <w:shd w:val="clear" w:color="auto" w:fill="FFFFFF" w:themeFill="background1"/>
            <w:vAlign w:val="center"/>
            <w:hideMark/>
          </w:tcPr>
          <w:p w14:paraId="5A2BA49F" w14:textId="77777777" w:rsidR="00D2404C" w:rsidRPr="00562C61" w:rsidRDefault="00D2404C" w:rsidP="00562C61">
            <w:pPr>
              <w:pStyle w:val="Tablehead"/>
            </w:pPr>
            <w:r w:rsidRPr="00562C61">
              <w:t>Notification</w:t>
            </w:r>
          </w:p>
        </w:tc>
        <w:tc>
          <w:tcPr>
            <w:tcW w:w="865" w:type="dxa"/>
            <w:shd w:val="clear" w:color="auto" w:fill="FFFFFF" w:themeFill="background1"/>
            <w:vAlign w:val="center"/>
            <w:hideMark/>
          </w:tcPr>
          <w:p w14:paraId="57575F45" w14:textId="77777777" w:rsidR="00D2404C" w:rsidRPr="00562C61" w:rsidRDefault="00D2404C" w:rsidP="00562C61">
            <w:pPr>
              <w:pStyle w:val="Tablehead"/>
            </w:pPr>
            <w:r w:rsidRPr="00562C61">
              <w:t>Secteur</w:t>
            </w:r>
          </w:p>
        </w:tc>
        <w:tc>
          <w:tcPr>
            <w:tcW w:w="1498" w:type="dxa"/>
            <w:shd w:val="clear" w:color="auto" w:fill="FFFFFF" w:themeFill="background1"/>
            <w:vAlign w:val="center"/>
            <w:hideMark/>
          </w:tcPr>
          <w:p w14:paraId="4DEECF67" w14:textId="77777777" w:rsidR="00D2404C" w:rsidRPr="00562C61" w:rsidRDefault="00D2404C" w:rsidP="00562C61">
            <w:pPr>
              <w:pStyle w:val="Tablehead"/>
            </w:pPr>
            <w:r w:rsidRPr="00562C61">
              <w:t>Classe de contribution</w:t>
            </w:r>
          </w:p>
        </w:tc>
        <w:tc>
          <w:tcPr>
            <w:tcW w:w="1754" w:type="dxa"/>
            <w:shd w:val="clear" w:color="auto" w:fill="FFFFFF" w:themeFill="background1"/>
            <w:vAlign w:val="center"/>
            <w:hideMark/>
          </w:tcPr>
          <w:p w14:paraId="5D978D7D" w14:textId="77777777" w:rsidR="00D2404C" w:rsidRPr="00562C61" w:rsidRDefault="00D2404C" w:rsidP="00562C61">
            <w:pPr>
              <w:pStyle w:val="Tablehead"/>
            </w:pPr>
            <w:r w:rsidRPr="00562C61">
              <w:t>Approuvé par l'Administration</w:t>
            </w:r>
          </w:p>
        </w:tc>
      </w:tr>
      <w:tr w:rsidR="00D2404C" w:rsidRPr="00BB34AE" w14:paraId="32DC5FA3" w14:textId="77777777" w:rsidTr="00365930">
        <w:trPr>
          <w:cantSplit/>
          <w:jc w:val="center"/>
        </w:trPr>
        <w:tc>
          <w:tcPr>
            <w:tcW w:w="2808" w:type="dxa"/>
            <w:shd w:val="clear" w:color="auto" w:fill="FFFFFF" w:themeFill="background1"/>
            <w:vAlign w:val="center"/>
            <w:hideMark/>
          </w:tcPr>
          <w:p w14:paraId="3B02F98C"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Entirety Brasil LTDA</w:t>
            </w:r>
          </w:p>
        </w:tc>
        <w:tc>
          <w:tcPr>
            <w:tcW w:w="1277" w:type="dxa"/>
            <w:shd w:val="clear" w:color="auto" w:fill="FFFFFF" w:themeFill="background1"/>
            <w:vAlign w:val="center"/>
            <w:hideMark/>
          </w:tcPr>
          <w:p w14:paraId="7C2C4786"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06.01.2025</w:t>
            </w:r>
          </w:p>
        </w:tc>
        <w:tc>
          <w:tcPr>
            <w:tcW w:w="1437" w:type="dxa"/>
            <w:shd w:val="clear" w:color="auto" w:fill="FFFFFF" w:themeFill="background1"/>
            <w:vAlign w:val="center"/>
            <w:hideMark/>
          </w:tcPr>
          <w:p w14:paraId="49C0CD73"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1686</w:t>
            </w:r>
          </w:p>
        </w:tc>
        <w:tc>
          <w:tcPr>
            <w:tcW w:w="865" w:type="dxa"/>
            <w:shd w:val="clear" w:color="auto" w:fill="FFFFFF" w:themeFill="background1"/>
            <w:vAlign w:val="center"/>
            <w:hideMark/>
          </w:tcPr>
          <w:p w14:paraId="049692AB"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UIT-D</w:t>
            </w:r>
          </w:p>
        </w:tc>
        <w:tc>
          <w:tcPr>
            <w:tcW w:w="1498" w:type="dxa"/>
            <w:shd w:val="clear" w:color="auto" w:fill="FFFFFF" w:themeFill="background1"/>
            <w:vAlign w:val="center"/>
            <w:hideMark/>
          </w:tcPr>
          <w:p w14:paraId="1F854E17"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1/16</w:t>
            </w:r>
          </w:p>
        </w:tc>
        <w:tc>
          <w:tcPr>
            <w:tcW w:w="1754" w:type="dxa"/>
            <w:shd w:val="clear" w:color="auto" w:fill="FFFFFF" w:themeFill="background1"/>
            <w:vAlign w:val="center"/>
            <w:hideMark/>
          </w:tcPr>
          <w:p w14:paraId="58118306"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Brésil</w:t>
            </w:r>
          </w:p>
        </w:tc>
      </w:tr>
      <w:tr w:rsidR="00D2404C" w:rsidRPr="00BB34AE" w14:paraId="747DD33E" w14:textId="77777777" w:rsidTr="00365930">
        <w:trPr>
          <w:cantSplit/>
          <w:jc w:val="center"/>
        </w:trPr>
        <w:tc>
          <w:tcPr>
            <w:tcW w:w="2808" w:type="dxa"/>
            <w:shd w:val="clear" w:color="auto" w:fill="FFFFFF" w:themeFill="background1"/>
            <w:vAlign w:val="center"/>
            <w:hideMark/>
          </w:tcPr>
          <w:p w14:paraId="4B4DBD9E" w14:textId="77777777" w:rsidR="00D2404C" w:rsidRPr="00562C61" w:rsidRDefault="00D2404C" w:rsidP="00562C61">
            <w:pPr>
              <w:pStyle w:val="Tabletext"/>
              <w:rPr>
                <w:rFonts w:asciiTheme="minorHAnsi" w:hAnsiTheme="minorHAnsi"/>
              </w:rPr>
            </w:pPr>
            <w:r w:rsidRPr="00562C61">
              <w:rPr>
                <w:rFonts w:asciiTheme="minorHAnsi" w:hAnsiTheme="minorHAnsi"/>
              </w:rPr>
              <w:t>Association brésilienne des fournisseurs de services Internet et de télécommunication (ABRINT)</w:t>
            </w:r>
          </w:p>
        </w:tc>
        <w:tc>
          <w:tcPr>
            <w:tcW w:w="1277" w:type="dxa"/>
            <w:shd w:val="clear" w:color="auto" w:fill="FFFFFF" w:themeFill="background1"/>
            <w:vAlign w:val="center"/>
            <w:hideMark/>
          </w:tcPr>
          <w:p w14:paraId="0070223B"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06.01.2025</w:t>
            </w:r>
          </w:p>
        </w:tc>
        <w:tc>
          <w:tcPr>
            <w:tcW w:w="1437" w:type="dxa"/>
            <w:shd w:val="clear" w:color="auto" w:fill="FFFFFF" w:themeFill="background1"/>
            <w:vAlign w:val="center"/>
            <w:hideMark/>
          </w:tcPr>
          <w:p w14:paraId="68DDDE04"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1686</w:t>
            </w:r>
          </w:p>
        </w:tc>
        <w:tc>
          <w:tcPr>
            <w:tcW w:w="865" w:type="dxa"/>
            <w:shd w:val="clear" w:color="auto" w:fill="FFFFFF" w:themeFill="background1"/>
            <w:vAlign w:val="center"/>
            <w:hideMark/>
          </w:tcPr>
          <w:p w14:paraId="229B1C38"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UIT-D</w:t>
            </w:r>
          </w:p>
        </w:tc>
        <w:tc>
          <w:tcPr>
            <w:tcW w:w="1498" w:type="dxa"/>
            <w:shd w:val="clear" w:color="auto" w:fill="FFFFFF" w:themeFill="background1"/>
            <w:vAlign w:val="center"/>
            <w:hideMark/>
          </w:tcPr>
          <w:p w14:paraId="33964A57"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1/16</w:t>
            </w:r>
          </w:p>
        </w:tc>
        <w:tc>
          <w:tcPr>
            <w:tcW w:w="1754" w:type="dxa"/>
            <w:shd w:val="clear" w:color="auto" w:fill="FFFFFF" w:themeFill="background1"/>
            <w:vAlign w:val="center"/>
            <w:hideMark/>
          </w:tcPr>
          <w:p w14:paraId="27AEB5B6"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Brésil</w:t>
            </w:r>
          </w:p>
        </w:tc>
      </w:tr>
      <w:tr w:rsidR="00D2404C" w:rsidRPr="00BB34AE" w14:paraId="06A74C60" w14:textId="77777777" w:rsidTr="00365930">
        <w:trPr>
          <w:cantSplit/>
          <w:jc w:val="center"/>
        </w:trPr>
        <w:tc>
          <w:tcPr>
            <w:tcW w:w="2808" w:type="dxa"/>
            <w:shd w:val="clear" w:color="auto" w:fill="FFFFFF" w:themeFill="background1"/>
            <w:vAlign w:val="center"/>
          </w:tcPr>
          <w:p w14:paraId="1A1DE058"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Policy Impact Partners Ltd.</w:t>
            </w:r>
          </w:p>
        </w:tc>
        <w:tc>
          <w:tcPr>
            <w:tcW w:w="1277" w:type="dxa"/>
            <w:shd w:val="clear" w:color="auto" w:fill="FFFFFF" w:themeFill="background1"/>
            <w:vAlign w:val="center"/>
          </w:tcPr>
          <w:p w14:paraId="07345C53"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20.01.2025</w:t>
            </w:r>
          </w:p>
        </w:tc>
        <w:tc>
          <w:tcPr>
            <w:tcW w:w="1437" w:type="dxa"/>
            <w:shd w:val="clear" w:color="auto" w:fill="FFFFFF" w:themeFill="background1"/>
            <w:vAlign w:val="center"/>
          </w:tcPr>
          <w:p w14:paraId="7EC69325"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1686</w:t>
            </w:r>
          </w:p>
        </w:tc>
        <w:tc>
          <w:tcPr>
            <w:tcW w:w="865" w:type="dxa"/>
            <w:shd w:val="clear" w:color="auto" w:fill="FFFFFF" w:themeFill="background1"/>
            <w:vAlign w:val="center"/>
          </w:tcPr>
          <w:p w14:paraId="2307FF15"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UIT-R</w:t>
            </w:r>
          </w:p>
        </w:tc>
        <w:tc>
          <w:tcPr>
            <w:tcW w:w="1498" w:type="dxa"/>
            <w:shd w:val="clear" w:color="auto" w:fill="FFFFFF" w:themeFill="background1"/>
            <w:vAlign w:val="center"/>
          </w:tcPr>
          <w:p w14:paraId="04D1A039"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1/2</w:t>
            </w:r>
          </w:p>
        </w:tc>
        <w:tc>
          <w:tcPr>
            <w:tcW w:w="1754" w:type="dxa"/>
            <w:shd w:val="clear" w:color="auto" w:fill="FFFFFF" w:themeFill="background1"/>
            <w:vAlign w:val="center"/>
          </w:tcPr>
          <w:p w14:paraId="78FC6B24"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Royaume-Uni</w:t>
            </w:r>
          </w:p>
        </w:tc>
      </w:tr>
      <w:tr w:rsidR="00D2404C" w:rsidRPr="00BB34AE" w14:paraId="58B9035D" w14:textId="77777777" w:rsidTr="00365930">
        <w:trPr>
          <w:cantSplit/>
          <w:jc w:val="center"/>
        </w:trPr>
        <w:tc>
          <w:tcPr>
            <w:tcW w:w="2808" w:type="dxa"/>
            <w:shd w:val="clear" w:color="auto" w:fill="FFFFFF" w:themeFill="background1"/>
            <w:vAlign w:val="center"/>
            <w:hideMark/>
          </w:tcPr>
          <w:p w14:paraId="5B29C1EF"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Association des fournisseurs de services technologiques du Kenya (TESPOK)</w:t>
            </w:r>
          </w:p>
        </w:tc>
        <w:tc>
          <w:tcPr>
            <w:tcW w:w="1277" w:type="dxa"/>
            <w:shd w:val="clear" w:color="auto" w:fill="FFFFFF" w:themeFill="background1"/>
            <w:vAlign w:val="center"/>
            <w:hideMark/>
          </w:tcPr>
          <w:p w14:paraId="6C01DD77"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04.03.2025</w:t>
            </w:r>
          </w:p>
        </w:tc>
        <w:tc>
          <w:tcPr>
            <w:tcW w:w="1437" w:type="dxa"/>
            <w:shd w:val="clear" w:color="auto" w:fill="FFFFFF" w:themeFill="background1"/>
            <w:vAlign w:val="center"/>
            <w:hideMark/>
          </w:tcPr>
          <w:p w14:paraId="1E9A10CC"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1688</w:t>
            </w:r>
          </w:p>
        </w:tc>
        <w:tc>
          <w:tcPr>
            <w:tcW w:w="865" w:type="dxa"/>
            <w:shd w:val="clear" w:color="auto" w:fill="FFFFFF" w:themeFill="background1"/>
            <w:vAlign w:val="center"/>
            <w:hideMark/>
          </w:tcPr>
          <w:p w14:paraId="1783319C"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UIT-D</w:t>
            </w:r>
          </w:p>
        </w:tc>
        <w:tc>
          <w:tcPr>
            <w:tcW w:w="1498" w:type="dxa"/>
            <w:shd w:val="clear" w:color="auto" w:fill="FFFFFF" w:themeFill="background1"/>
            <w:vAlign w:val="center"/>
            <w:hideMark/>
          </w:tcPr>
          <w:p w14:paraId="1F12FCCC"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1/16</w:t>
            </w:r>
          </w:p>
        </w:tc>
        <w:tc>
          <w:tcPr>
            <w:tcW w:w="1754" w:type="dxa"/>
            <w:shd w:val="clear" w:color="auto" w:fill="FFFFFF" w:themeFill="background1"/>
            <w:vAlign w:val="center"/>
            <w:hideMark/>
          </w:tcPr>
          <w:p w14:paraId="3678F0C2"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Kenya</w:t>
            </w:r>
          </w:p>
        </w:tc>
      </w:tr>
      <w:tr w:rsidR="00D2404C" w:rsidRPr="00BB34AE" w14:paraId="4244DFDC" w14:textId="77777777" w:rsidTr="00365930">
        <w:trPr>
          <w:cantSplit/>
          <w:jc w:val="center"/>
        </w:trPr>
        <w:tc>
          <w:tcPr>
            <w:tcW w:w="2808" w:type="dxa"/>
            <w:shd w:val="clear" w:color="auto" w:fill="FFFFFF" w:themeFill="background1"/>
            <w:vAlign w:val="center"/>
          </w:tcPr>
          <w:p w14:paraId="4CC2EC2A"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Centre chinois d'information sur les réseaux Internet</w:t>
            </w:r>
          </w:p>
        </w:tc>
        <w:tc>
          <w:tcPr>
            <w:tcW w:w="1277" w:type="dxa"/>
            <w:shd w:val="clear" w:color="auto" w:fill="FFFFFF" w:themeFill="background1"/>
            <w:vAlign w:val="center"/>
          </w:tcPr>
          <w:p w14:paraId="6CEAD7E1"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03.04.2025</w:t>
            </w:r>
          </w:p>
        </w:tc>
        <w:tc>
          <w:tcPr>
            <w:tcW w:w="1437" w:type="dxa"/>
            <w:shd w:val="clear" w:color="auto" w:fill="FFFFFF" w:themeFill="background1"/>
            <w:vAlign w:val="center"/>
          </w:tcPr>
          <w:p w14:paraId="0868BDAA"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1689</w:t>
            </w:r>
          </w:p>
        </w:tc>
        <w:tc>
          <w:tcPr>
            <w:tcW w:w="865" w:type="dxa"/>
            <w:shd w:val="clear" w:color="auto" w:fill="FFFFFF" w:themeFill="background1"/>
            <w:vAlign w:val="center"/>
          </w:tcPr>
          <w:p w14:paraId="3540DE07"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UIT-D</w:t>
            </w:r>
          </w:p>
        </w:tc>
        <w:tc>
          <w:tcPr>
            <w:tcW w:w="1498" w:type="dxa"/>
            <w:shd w:val="clear" w:color="auto" w:fill="FFFFFF" w:themeFill="background1"/>
            <w:vAlign w:val="center"/>
          </w:tcPr>
          <w:p w14:paraId="14928006"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1/16</w:t>
            </w:r>
          </w:p>
        </w:tc>
        <w:tc>
          <w:tcPr>
            <w:tcW w:w="1754" w:type="dxa"/>
            <w:shd w:val="clear" w:color="auto" w:fill="FFFFFF" w:themeFill="background1"/>
            <w:vAlign w:val="center"/>
          </w:tcPr>
          <w:p w14:paraId="5346129C"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Chine</w:t>
            </w:r>
          </w:p>
        </w:tc>
      </w:tr>
      <w:tr w:rsidR="00D2404C" w:rsidRPr="00BB34AE" w14:paraId="441525F5" w14:textId="77777777" w:rsidTr="00365930">
        <w:trPr>
          <w:cantSplit/>
          <w:jc w:val="center"/>
        </w:trPr>
        <w:tc>
          <w:tcPr>
            <w:tcW w:w="2808" w:type="dxa"/>
            <w:shd w:val="clear" w:color="auto" w:fill="FFFFFF" w:themeFill="background1"/>
            <w:vAlign w:val="center"/>
            <w:hideMark/>
          </w:tcPr>
          <w:p w14:paraId="674CD80E"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Cyberlite Books Pte. Ltd.</w:t>
            </w:r>
          </w:p>
        </w:tc>
        <w:tc>
          <w:tcPr>
            <w:tcW w:w="1277" w:type="dxa"/>
            <w:shd w:val="clear" w:color="auto" w:fill="FFFFFF" w:themeFill="background1"/>
            <w:vAlign w:val="center"/>
            <w:hideMark/>
          </w:tcPr>
          <w:p w14:paraId="0A0988D3"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28.04.2025</w:t>
            </w:r>
          </w:p>
        </w:tc>
        <w:tc>
          <w:tcPr>
            <w:tcW w:w="1437" w:type="dxa"/>
            <w:shd w:val="clear" w:color="auto" w:fill="FFFFFF" w:themeFill="background1"/>
            <w:vAlign w:val="center"/>
            <w:hideMark/>
          </w:tcPr>
          <w:p w14:paraId="2AD2C42C"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1689</w:t>
            </w:r>
          </w:p>
        </w:tc>
        <w:tc>
          <w:tcPr>
            <w:tcW w:w="865" w:type="dxa"/>
            <w:shd w:val="clear" w:color="auto" w:fill="FFFFFF" w:themeFill="background1"/>
            <w:vAlign w:val="center"/>
            <w:hideMark/>
          </w:tcPr>
          <w:p w14:paraId="72BC8454"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UIT-D</w:t>
            </w:r>
          </w:p>
        </w:tc>
        <w:tc>
          <w:tcPr>
            <w:tcW w:w="1498" w:type="dxa"/>
            <w:shd w:val="clear" w:color="auto" w:fill="FFFFFF" w:themeFill="background1"/>
            <w:vAlign w:val="center"/>
            <w:hideMark/>
          </w:tcPr>
          <w:p w14:paraId="452D7B22"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1/16</w:t>
            </w:r>
          </w:p>
        </w:tc>
        <w:tc>
          <w:tcPr>
            <w:tcW w:w="1754" w:type="dxa"/>
            <w:shd w:val="clear" w:color="auto" w:fill="FFFFFF" w:themeFill="background1"/>
            <w:vAlign w:val="center"/>
            <w:hideMark/>
          </w:tcPr>
          <w:p w14:paraId="7CD9A17D"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Singapour</w:t>
            </w:r>
          </w:p>
        </w:tc>
      </w:tr>
      <w:tr w:rsidR="00D2404C" w:rsidRPr="00BB34AE" w14:paraId="4730D583" w14:textId="77777777" w:rsidTr="00365930">
        <w:trPr>
          <w:cantSplit/>
          <w:jc w:val="center"/>
        </w:trPr>
        <w:tc>
          <w:tcPr>
            <w:tcW w:w="2808" w:type="dxa"/>
            <w:shd w:val="clear" w:color="auto" w:fill="FFFFFF" w:themeFill="background1"/>
            <w:vAlign w:val="center"/>
            <w:hideMark/>
          </w:tcPr>
          <w:p w14:paraId="7A5DF10E"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Cognizant Technology Solutions</w:t>
            </w:r>
          </w:p>
        </w:tc>
        <w:tc>
          <w:tcPr>
            <w:tcW w:w="1277" w:type="dxa"/>
            <w:shd w:val="clear" w:color="auto" w:fill="FFFFFF" w:themeFill="background1"/>
            <w:vAlign w:val="center"/>
            <w:hideMark/>
          </w:tcPr>
          <w:p w14:paraId="00F5AA1D"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01.05.2025</w:t>
            </w:r>
          </w:p>
        </w:tc>
        <w:tc>
          <w:tcPr>
            <w:tcW w:w="1437" w:type="dxa"/>
            <w:shd w:val="clear" w:color="auto" w:fill="FFFFFF" w:themeFill="background1"/>
            <w:vAlign w:val="center"/>
            <w:hideMark/>
          </w:tcPr>
          <w:p w14:paraId="6B8BD01B"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1690</w:t>
            </w:r>
          </w:p>
        </w:tc>
        <w:tc>
          <w:tcPr>
            <w:tcW w:w="865" w:type="dxa"/>
            <w:shd w:val="clear" w:color="auto" w:fill="FFFFFF" w:themeFill="background1"/>
            <w:vAlign w:val="center"/>
            <w:hideMark/>
          </w:tcPr>
          <w:p w14:paraId="6DBB9724"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UIT-T</w:t>
            </w:r>
          </w:p>
        </w:tc>
        <w:tc>
          <w:tcPr>
            <w:tcW w:w="1498" w:type="dxa"/>
            <w:shd w:val="clear" w:color="auto" w:fill="FFFFFF" w:themeFill="background1"/>
            <w:vAlign w:val="center"/>
            <w:hideMark/>
          </w:tcPr>
          <w:p w14:paraId="50A224B5"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1/2</w:t>
            </w:r>
          </w:p>
        </w:tc>
        <w:tc>
          <w:tcPr>
            <w:tcW w:w="1754" w:type="dxa"/>
            <w:shd w:val="clear" w:color="auto" w:fill="FFFFFF" w:themeFill="background1"/>
            <w:vAlign w:val="center"/>
            <w:hideMark/>
          </w:tcPr>
          <w:p w14:paraId="77670B7E"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Royaume-Uni</w:t>
            </w:r>
          </w:p>
        </w:tc>
      </w:tr>
      <w:tr w:rsidR="00D2404C" w:rsidRPr="00BB34AE" w14:paraId="672AEEFC" w14:textId="77777777" w:rsidTr="00365930">
        <w:trPr>
          <w:cantSplit/>
          <w:jc w:val="center"/>
        </w:trPr>
        <w:tc>
          <w:tcPr>
            <w:tcW w:w="2808" w:type="dxa"/>
            <w:shd w:val="clear" w:color="auto" w:fill="FFFFFF" w:themeFill="background1"/>
            <w:vAlign w:val="center"/>
          </w:tcPr>
          <w:p w14:paraId="377BDC6E"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AST &amp; Science SpaceMobile</w:t>
            </w:r>
          </w:p>
        </w:tc>
        <w:tc>
          <w:tcPr>
            <w:tcW w:w="1277" w:type="dxa"/>
            <w:shd w:val="clear" w:color="auto" w:fill="FFFFFF" w:themeFill="background1"/>
            <w:vAlign w:val="center"/>
          </w:tcPr>
          <w:p w14:paraId="25C439A2"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06.05.2025</w:t>
            </w:r>
          </w:p>
        </w:tc>
        <w:tc>
          <w:tcPr>
            <w:tcW w:w="1437" w:type="dxa"/>
            <w:shd w:val="clear" w:color="auto" w:fill="FFFFFF" w:themeFill="background1"/>
            <w:vAlign w:val="center"/>
          </w:tcPr>
          <w:p w14:paraId="73E3D53D"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1690</w:t>
            </w:r>
          </w:p>
        </w:tc>
        <w:tc>
          <w:tcPr>
            <w:tcW w:w="865" w:type="dxa"/>
            <w:shd w:val="clear" w:color="auto" w:fill="FFFFFF" w:themeFill="background1"/>
            <w:vAlign w:val="center"/>
          </w:tcPr>
          <w:p w14:paraId="067879C1"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UIT-R</w:t>
            </w:r>
          </w:p>
        </w:tc>
        <w:tc>
          <w:tcPr>
            <w:tcW w:w="1498" w:type="dxa"/>
            <w:shd w:val="clear" w:color="auto" w:fill="FFFFFF" w:themeFill="background1"/>
            <w:vAlign w:val="center"/>
          </w:tcPr>
          <w:p w14:paraId="56E38680"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1/2</w:t>
            </w:r>
          </w:p>
        </w:tc>
        <w:tc>
          <w:tcPr>
            <w:tcW w:w="1754" w:type="dxa"/>
            <w:shd w:val="clear" w:color="auto" w:fill="FFFFFF" w:themeFill="background1"/>
            <w:vAlign w:val="center"/>
          </w:tcPr>
          <w:p w14:paraId="71ABCED6"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États-Unis</w:t>
            </w:r>
          </w:p>
        </w:tc>
      </w:tr>
      <w:tr w:rsidR="00D2404C" w:rsidRPr="00BB34AE" w14:paraId="53DF212F" w14:textId="77777777" w:rsidTr="00365930">
        <w:trPr>
          <w:cantSplit/>
          <w:jc w:val="center"/>
        </w:trPr>
        <w:tc>
          <w:tcPr>
            <w:tcW w:w="2808" w:type="dxa"/>
            <w:shd w:val="clear" w:color="auto" w:fill="FFFFFF" w:themeFill="background1"/>
            <w:vAlign w:val="center"/>
          </w:tcPr>
          <w:p w14:paraId="751F3480" w14:textId="77777777" w:rsidR="00D2404C" w:rsidRPr="00562C61" w:rsidRDefault="00D2404C" w:rsidP="00562C61">
            <w:pPr>
              <w:pStyle w:val="Tabletext"/>
              <w:rPr>
                <w:rFonts w:asciiTheme="minorHAnsi" w:hAnsiTheme="minorHAnsi"/>
                <w:lang w:val="en-US" w:eastAsia="en-GB"/>
              </w:rPr>
            </w:pPr>
            <w:r w:rsidRPr="00562C61">
              <w:rPr>
                <w:rFonts w:asciiTheme="minorHAnsi" w:hAnsiTheme="minorHAnsi"/>
                <w:lang w:val="en-US" w:eastAsia="en-GB"/>
              </w:rPr>
              <w:t>Huaneng International Power Jiangsu Energy Development Co., Ltd.</w:t>
            </w:r>
          </w:p>
        </w:tc>
        <w:tc>
          <w:tcPr>
            <w:tcW w:w="1277" w:type="dxa"/>
            <w:shd w:val="clear" w:color="auto" w:fill="FFFFFF" w:themeFill="background1"/>
            <w:vAlign w:val="center"/>
          </w:tcPr>
          <w:p w14:paraId="492E1579"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30.07.2025</w:t>
            </w:r>
          </w:p>
        </w:tc>
        <w:tc>
          <w:tcPr>
            <w:tcW w:w="1437" w:type="dxa"/>
            <w:shd w:val="clear" w:color="auto" w:fill="FFFFFF" w:themeFill="background1"/>
            <w:vAlign w:val="center"/>
          </w:tcPr>
          <w:p w14:paraId="07FAB048"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1692</w:t>
            </w:r>
          </w:p>
        </w:tc>
        <w:tc>
          <w:tcPr>
            <w:tcW w:w="865" w:type="dxa"/>
            <w:shd w:val="clear" w:color="auto" w:fill="FFFFFF" w:themeFill="background1"/>
            <w:vAlign w:val="center"/>
          </w:tcPr>
          <w:p w14:paraId="37496E28"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UIT-T</w:t>
            </w:r>
          </w:p>
        </w:tc>
        <w:tc>
          <w:tcPr>
            <w:tcW w:w="1498" w:type="dxa"/>
            <w:shd w:val="clear" w:color="auto" w:fill="FFFFFF" w:themeFill="background1"/>
            <w:vAlign w:val="center"/>
          </w:tcPr>
          <w:p w14:paraId="1713D09F"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1/2</w:t>
            </w:r>
          </w:p>
        </w:tc>
        <w:tc>
          <w:tcPr>
            <w:tcW w:w="1754" w:type="dxa"/>
            <w:shd w:val="clear" w:color="auto" w:fill="FFFFFF" w:themeFill="background1"/>
            <w:vAlign w:val="center"/>
          </w:tcPr>
          <w:p w14:paraId="6E37204D"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Chine</w:t>
            </w:r>
          </w:p>
        </w:tc>
      </w:tr>
      <w:tr w:rsidR="00D2404C" w:rsidRPr="00BB34AE" w14:paraId="307E377B" w14:textId="77777777" w:rsidTr="00365930">
        <w:trPr>
          <w:cantSplit/>
          <w:jc w:val="center"/>
        </w:trPr>
        <w:tc>
          <w:tcPr>
            <w:tcW w:w="2808" w:type="dxa"/>
            <w:shd w:val="clear" w:color="auto" w:fill="FFFFFF" w:themeFill="background1"/>
            <w:vAlign w:val="center"/>
          </w:tcPr>
          <w:p w14:paraId="3208E19D"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Groupe TSARKA</w:t>
            </w:r>
          </w:p>
        </w:tc>
        <w:tc>
          <w:tcPr>
            <w:tcW w:w="1277" w:type="dxa"/>
            <w:shd w:val="clear" w:color="auto" w:fill="FFFFFF" w:themeFill="background1"/>
            <w:vAlign w:val="center"/>
          </w:tcPr>
          <w:p w14:paraId="19C42033"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12.08.2025</w:t>
            </w:r>
          </w:p>
        </w:tc>
        <w:tc>
          <w:tcPr>
            <w:tcW w:w="1437" w:type="dxa"/>
            <w:shd w:val="clear" w:color="auto" w:fill="FFFFFF" w:themeFill="background1"/>
            <w:vAlign w:val="center"/>
          </w:tcPr>
          <w:p w14:paraId="1414080A"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1693</w:t>
            </w:r>
          </w:p>
        </w:tc>
        <w:tc>
          <w:tcPr>
            <w:tcW w:w="865" w:type="dxa"/>
            <w:shd w:val="clear" w:color="auto" w:fill="FFFFFF" w:themeFill="background1"/>
            <w:vAlign w:val="center"/>
          </w:tcPr>
          <w:p w14:paraId="5F85345C"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UIT-D</w:t>
            </w:r>
          </w:p>
        </w:tc>
        <w:tc>
          <w:tcPr>
            <w:tcW w:w="1498" w:type="dxa"/>
            <w:shd w:val="clear" w:color="auto" w:fill="FFFFFF" w:themeFill="background1"/>
            <w:vAlign w:val="center"/>
          </w:tcPr>
          <w:p w14:paraId="14368744"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1/8</w:t>
            </w:r>
          </w:p>
        </w:tc>
        <w:tc>
          <w:tcPr>
            <w:tcW w:w="1754" w:type="dxa"/>
            <w:shd w:val="clear" w:color="auto" w:fill="FFFFFF" w:themeFill="background1"/>
            <w:vAlign w:val="center"/>
          </w:tcPr>
          <w:p w14:paraId="0AEFE704"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Kazakhstan</w:t>
            </w:r>
          </w:p>
        </w:tc>
      </w:tr>
      <w:tr w:rsidR="00D2404C" w:rsidRPr="00BB34AE" w14:paraId="20CFFFC3" w14:textId="77777777" w:rsidTr="00365930">
        <w:trPr>
          <w:cantSplit/>
          <w:jc w:val="center"/>
        </w:trPr>
        <w:tc>
          <w:tcPr>
            <w:tcW w:w="2808" w:type="dxa"/>
            <w:shd w:val="clear" w:color="auto" w:fill="FFFFFF" w:themeFill="background1"/>
            <w:vAlign w:val="center"/>
          </w:tcPr>
          <w:p w14:paraId="752337E8"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DLA Piper LLC</w:t>
            </w:r>
          </w:p>
        </w:tc>
        <w:tc>
          <w:tcPr>
            <w:tcW w:w="1277" w:type="dxa"/>
            <w:shd w:val="clear" w:color="auto" w:fill="FFFFFF" w:themeFill="background1"/>
            <w:vAlign w:val="center"/>
          </w:tcPr>
          <w:p w14:paraId="6324B165"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19.08.2025</w:t>
            </w:r>
          </w:p>
        </w:tc>
        <w:tc>
          <w:tcPr>
            <w:tcW w:w="1437" w:type="dxa"/>
            <w:shd w:val="clear" w:color="auto" w:fill="FFFFFF" w:themeFill="background1"/>
            <w:vAlign w:val="center"/>
          </w:tcPr>
          <w:p w14:paraId="11B6621C"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1693</w:t>
            </w:r>
          </w:p>
        </w:tc>
        <w:tc>
          <w:tcPr>
            <w:tcW w:w="865" w:type="dxa"/>
            <w:shd w:val="clear" w:color="auto" w:fill="FFFFFF" w:themeFill="background1"/>
            <w:vAlign w:val="center"/>
          </w:tcPr>
          <w:p w14:paraId="1CDE8DA9"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UIT-D</w:t>
            </w:r>
          </w:p>
        </w:tc>
        <w:tc>
          <w:tcPr>
            <w:tcW w:w="1498" w:type="dxa"/>
            <w:shd w:val="clear" w:color="auto" w:fill="FFFFFF" w:themeFill="background1"/>
            <w:vAlign w:val="center"/>
          </w:tcPr>
          <w:p w14:paraId="20ED5CCB"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1/8</w:t>
            </w:r>
          </w:p>
        </w:tc>
        <w:tc>
          <w:tcPr>
            <w:tcW w:w="1754" w:type="dxa"/>
            <w:shd w:val="clear" w:color="auto" w:fill="FFFFFF" w:themeFill="background1"/>
            <w:vAlign w:val="center"/>
          </w:tcPr>
          <w:p w14:paraId="4D0DADC3"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États-Unis</w:t>
            </w:r>
          </w:p>
        </w:tc>
      </w:tr>
      <w:tr w:rsidR="00D2404C" w:rsidRPr="00BB34AE" w14:paraId="7E223C11" w14:textId="77777777" w:rsidTr="00365930">
        <w:trPr>
          <w:cantSplit/>
          <w:jc w:val="center"/>
        </w:trPr>
        <w:tc>
          <w:tcPr>
            <w:tcW w:w="2808" w:type="dxa"/>
            <w:shd w:val="clear" w:color="auto" w:fill="FFFFFF" w:themeFill="background1"/>
            <w:vAlign w:val="center"/>
          </w:tcPr>
          <w:p w14:paraId="6693A139"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Geneva AI Governance Institute</w:t>
            </w:r>
          </w:p>
        </w:tc>
        <w:tc>
          <w:tcPr>
            <w:tcW w:w="1277" w:type="dxa"/>
            <w:shd w:val="clear" w:color="auto" w:fill="FFFFFF" w:themeFill="background1"/>
            <w:vAlign w:val="center"/>
          </w:tcPr>
          <w:p w14:paraId="489CE930"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18.09.2025</w:t>
            </w:r>
          </w:p>
        </w:tc>
        <w:tc>
          <w:tcPr>
            <w:tcW w:w="1437" w:type="dxa"/>
            <w:shd w:val="clear" w:color="auto" w:fill="FFFFFF" w:themeFill="background1"/>
            <w:vAlign w:val="center"/>
          </w:tcPr>
          <w:p w14:paraId="46AABC57"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1694</w:t>
            </w:r>
          </w:p>
        </w:tc>
        <w:tc>
          <w:tcPr>
            <w:tcW w:w="865" w:type="dxa"/>
            <w:shd w:val="clear" w:color="auto" w:fill="FFFFFF" w:themeFill="background1"/>
            <w:vAlign w:val="center"/>
          </w:tcPr>
          <w:p w14:paraId="1F0830A5"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UIT-T</w:t>
            </w:r>
          </w:p>
        </w:tc>
        <w:tc>
          <w:tcPr>
            <w:tcW w:w="1498" w:type="dxa"/>
            <w:shd w:val="clear" w:color="auto" w:fill="FFFFFF" w:themeFill="background1"/>
            <w:vAlign w:val="center"/>
          </w:tcPr>
          <w:p w14:paraId="183EF805"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1/2</w:t>
            </w:r>
          </w:p>
        </w:tc>
        <w:tc>
          <w:tcPr>
            <w:tcW w:w="1754" w:type="dxa"/>
            <w:shd w:val="clear" w:color="auto" w:fill="FFFFFF" w:themeFill="background1"/>
            <w:vAlign w:val="center"/>
          </w:tcPr>
          <w:p w14:paraId="42BD95A2"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Suisse</w:t>
            </w:r>
          </w:p>
        </w:tc>
      </w:tr>
      <w:tr w:rsidR="00D2404C" w:rsidRPr="00BB34AE" w14:paraId="35D7F7D9" w14:textId="77777777" w:rsidTr="00365930">
        <w:trPr>
          <w:cantSplit/>
          <w:jc w:val="center"/>
        </w:trPr>
        <w:tc>
          <w:tcPr>
            <w:tcW w:w="2808" w:type="dxa"/>
            <w:shd w:val="clear" w:color="auto" w:fill="FFFFFF" w:themeFill="background1"/>
            <w:vAlign w:val="center"/>
          </w:tcPr>
          <w:p w14:paraId="02675EAD"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Policy Impact Partners Ltd.</w:t>
            </w:r>
          </w:p>
        </w:tc>
        <w:tc>
          <w:tcPr>
            <w:tcW w:w="1277" w:type="dxa"/>
            <w:shd w:val="clear" w:color="auto" w:fill="FFFFFF" w:themeFill="background1"/>
            <w:vAlign w:val="center"/>
          </w:tcPr>
          <w:p w14:paraId="52A7C81F"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12.11.2025</w:t>
            </w:r>
          </w:p>
        </w:tc>
        <w:tc>
          <w:tcPr>
            <w:tcW w:w="1437" w:type="dxa"/>
            <w:shd w:val="clear" w:color="auto" w:fill="FFFFFF" w:themeFill="background1"/>
            <w:vAlign w:val="center"/>
          </w:tcPr>
          <w:p w14:paraId="09B52CBA"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1696</w:t>
            </w:r>
          </w:p>
        </w:tc>
        <w:tc>
          <w:tcPr>
            <w:tcW w:w="865" w:type="dxa"/>
            <w:shd w:val="clear" w:color="auto" w:fill="FFFFFF" w:themeFill="background1"/>
            <w:vAlign w:val="center"/>
          </w:tcPr>
          <w:p w14:paraId="06818F6D"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UIT-D</w:t>
            </w:r>
          </w:p>
        </w:tc>
        <w:tc>
          <w:tcPr>
            <w:tcW w:w="1498" w:type="dxa"/>
            <w:shd w:val="clear" w:color="auto" w:fill="FFFFFF" w:themeFill="background1"/>
            <w:vAlign w:val="center"/>
          </w:tcPr>
          <w:p w14:paraId="3367F063"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1/8</w:t>
            </w:r>
          </w:p>
        </w:tc>
        <w:tc>
          <w:tcPr>
            <w:tcW w:w="1754" w:type="dxa"/>
            <w:shd w:val="clear" w:color="auto" w:fill="FFFFFF" w:themeFill="background1"/>
            <w:vAlign w:val="center"/>
          </w:tcPr>
          <w:p w14:paraId="357DCAC0"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Royaume-Uni</w:t>
            </w:r>
          </w:p>
        </w:tc>
      </w:tr>
      <w:tr w:rsidR="00D2404C" w:rsidRPr="00BB34AE" w14:paraId="49B017DD" w14:textId="77777777" w:rsidTr="00365930">
        <w:trPr>
          <w:cantSplit/>
          <w:jc w:val="center"/>
        </w:trPr>
        <w:tc>
          <w:tcPr>
            <w:tcW w:w="2808" w:type="dxa"/>
            <w:shd w:val="clear" w:color="auto" w:fill="FFFFFF" w:themeFill="background1"/>
            <w:vAlign w:val="center"/>
          </w:tcPr>
          <w:p w14:paraId="394C2057"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Agence de Développement des Technologies de l'Information et de la Communication (ADETIC)</w:t>
            </w:r>
          </w:p>
        </w:tc>
        <w:tc>
          <w:tcPr>
            <w:tcW w:w="1277" w:type="dxa"/>
            <w:shd w:val="clear" w:color="auto" w:fill="FFFFFF" w:themeFill="background1"/>
            <w:vAlign w:val="center"/>
          </w:tcPr>
          <w:p w14:paraId="388181A6"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17.11.2025</w:t>
            </w:r>
          </w:p>
        </w:tc>
        <w:tc>
          <w:tcPr>
            <w:tcW w:w="1437" w:type="dxa"/>
            <w:shd w:val="clear" w:color="auto" w:fill="FFFFFF" w:themeFill="background1"/>
            <w:vAlign w:val="center"/>
          </w:tcPr>
          <w:p w14:paraId="5B578130"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1696</w:t>
            </w:r>
          </w:p>
        </w:tc>
        <w:tc>
          <w:tcPr>
            <w:tcW w:w="865" w:type="dxa"/>
            <w:shd w:val="clear" w:color="auto" w:fill="FFFFFF" w:themeFill="background1"/>
            <w:vAlign w:val="center"/>
          </w:tcPr>
          <w:p w14:paraId="4703FE01"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UIT-D</w:t>
            </w:r>
          </w:p>
        </w:tc>
        <w:tc>
          <w:tcPr>
            <w:tcW w:w="1498" w:type="dxa"/>
            <w:shd w:val="clear" w:color="auto" w:fill="FFFFFF" w:themeFill="background1"/>
            <w:vAlign w:val="center"/>
          </w:tcPr>
          <w:p w14:paraId="7F3457F5"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1/16</w:t>
            </w:r>
          </w:p>
        </w:tc>
        <w:tc>
          <w:tcPr>
            <w:tcW w:w="1754" w:type="dxa"/>
            <w:shd w:val="clear" w:color="auto" w:fill="FFFFFF" w:themeFill="background1"/>
            <w:vAlign w:val="center"/>
          </w:tcPr>
          <w:p w14:paraId="161F4BEA"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Tchad</w:t>
            </w:r>
          </w:p>
        </w:tc>
      </w:tr>
    </w:tbl>
    <w:p w14:paraId="53EE577E" w14:textId="77777777" w:rsidR="00D2404C" w:rsidRPr="00A164AD" w:rsidRDefault="00D2404C" w:rsidP="00562C61">
      <w:pPr>
        <w:pStyle w:val="Tabletitle"/>
      </w:pPr>
      <w:r w:rsidRPr="00562C61">
        <w:lastRenderedPageBreak/>
        <w:t>Associés</w:t>
      </w:r>
    </w:p>
    <w:tbl>
      <w:tblPr>
        <w:tblW w:w="9640" w:type="dxa"/>
        <w:jc w:val="center"/>
        <w:tblLayout w:type="fixed"/>
        <w:tblCellMar>
          <w:left w:w="57" w:type="dxa"/>
          <w:right w:w="57" w:type="dxa"/>
        </w:tblCellMar>
        <w:tblLook w:val="04A0" w:firstRow="1" w:lastRow="0" w:firstColumn="1" w:lastColumn="0" w:noHBand="0" w:noVBand="1"/>
      </w:tblPr>
      <w:tblGrid>
        <w:gridCol w:w="2809"/>
        <w:gridCol w:w="1274"/>
        <w:gridCol w:w="1442"/>
        <w:gridCol w:w="853"/>
        <w:gridCol w:w="1512"/>
        <w:gridCol w:w="1750"/>
      </w:tblGrid>
      <w:tr w:rsidR="00D2404C" w:rsidRPr="00992EDF" w14:paraId="2DEC112F" w14:textId="77777777" w:rsidTr="00365930">
        <w:trPr>
          <w:cantSplit/>
          <w:jc w:val="center"/>
        </w:trPr>
        <w:tc>
          <w:tcPr>
            <w:tcW w:w="2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9F642C" w14:textId="77777777" w:rsidR="00D2404C" w:rsidRPr="00562C61" w:rsidRDefault="00D2404C" w:rsidP="00562C61">
            <w:pPr>
              <w:pStyle w:val="Tablehead"/>
            </w:pPr>
            <w:r w:rsidRPr="00562C61">
              <w:t>Associé</w:t>
            </w:r>
          </w:p>
        </w:tc>
        <w:tc>
          <w:tcPr>
            <w:tcW w:w="127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D2DF4C" w14:textId="77777777" w:rsidR="00D2404C" w:rsidRPr="00562C61" w:rsidRDefault="00D2404C" w:rsidP="00562C61">
            <w:pPr>
              <w:pStyle w:val="Tablehead"/>
            </w:pPr>
            <w:r w:rsidRPr="00562C61">
              <w:t>Date d'admission provisoire</w:t>
            </w:r>
          </w:p>
        </w:tc>
        <w:tc>
          <w:tcPr>
            <w:tcW w:w="144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CD556E" w14:textId="77777777" w:rsidR="00D2404C" w:rsidRPr="00562C61" w:rsidRDefault="00D2404C" w:rsidP="00562C61">
            <w:pPr>
              <w:pStyle w:val="Tablehead"/>
            </w:pPr>
            <w:r w:rsidRPr="00562C61">
              <w:t>Notification</w:t>
            </w:r>
          </w:p>
        </w:tc>
        <w:tc>
          <w:tcPr>
            <w:tcW w:w="8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532950" w14:textId="77777777" w:rsidR="00D2404C" w:rsidRPr="00562C61" w:rsidRDefault="00D2404C" w:rsidP="00562C61">
            <w:pPr>
              <w:pStyle w:val="Tablehead"/>
            </w:pPr>
            <w:r w:rsidRPr="00562C61">
              <w:t>Secteur et CE</w:t>
            </w:r>
          </w:p>
        </w:tc>
        <w:tc>
          <w:tcPr>
            <w:tcW w:w="151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64BF6B" w14:textId="77777777" w:rsidR="00D2404C" w:rsidRPr="00562C61" w:rsidRDefault="00D2404C" w:rsidP="00562C61">
            <w:pPr>
              <w:pStyle w:val="Tablehead"/>
            </w:pPr>
            <w:r w:rsidRPr="00562C61">
              <w:t>Classe de contribution</w:t>
            </w:r>
          </w:p>
        </w:tc>
        <w:tc>
          <w:tcPr>
            <w:tcW w:w="17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107883" w14:textId="77777777" w:rsidR="00D2404C" w:rsidRPr="00562C61" w:rsidRDefault="00D2404C" w:rsidP="00562C61">
            <w:pPr>
              <w:pStyle w:val="Tablehead"/>
            </w:pPr>
            <w:r w:rsidRPr="00562C61">
              <w:t>Approuvé par l'Administration</w:t>
            </w:r>
          </w:p>
        </w:tc>
      </w:tr>
      <w:tr w:rsidR="00D2404C" w:rsidRPr="00BB34AE" w14:paraId="6FBCDDA0" w14:textId="77777777" w:rsidTr="00365930">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545BF883" w14:textId="77777777" w:rsidR="00D2404C" w:rsidRPr="00562C61" w:rsidRDefault="00D2404C" w:rsidP="00562C61">
            <w:pPr>
              <w:pStyle w:val="Tabletext"/>
              <w:rPr>
                <w:rFonts w:asciiTheme="minorHAnsi" w:hAnsiTheme="minorHAnsi"/>
                <w:lang w:val="en-US" w:eastAsia="en-GB"/>
              </w:rPr>
            </w:pPr>
            <w:r w:rsidRPr="00562C61">
              <w:rPr>
                <w:rFonts w:asciiTheme="minorHAnsi" w:hAnsiTheme="minorHAnsi"/>
                <w:lang w:val="en-US" w:eastAsia="en-GB"/>
              </w:rPr>
              <w:t>WK Global Technology Market Access sp. z o.o.</w:t>
            </w:r>
          </w:p>
        </w:tc>
        <w:tc>
          <w:tcPr>
            <w:tcW w:w="1274" w:type="dxa"/>
            <w:tcBorders>
              <w:top w:val="nil"/>
              <w:left w:val="nil"/>
              <w:bottom w:val="single" w:sz="4" w:space="0" w:color="auto"/>
              <w:right w:val="single" w:sz="4" w:space="0" w:color="auto"/>
            </w:tcBorders>
            <w:shd w:val="clear" w:color="auto" w:fill="FFFFFF" w:themeFill="background1"/>
            <w:vAlign w:val="center"/>
          </w:tcPr>
          <w:p w14:paraId="67599B85"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28.02.2025</w:t>
            </w:r>
          </w:p>
        </w:tc>
        <w:tc>
          <w:tcPr>
            <w:tcW w:w="1442" w:type="dxa"/>
            <w:tcBorders>
              <w:top w:val="nil"/>
              <w:left w:val="nil"/>
              <w:bottom w:val="single" w:sz="4" w:space="0" w:color="auto"/>
              <w:right w:val="single" w:sz="4" w:space="0" w:color="auto"/>
            </w:tcBorders>
            <w:shd w:val="clear" w:color="auto" w:fill="FFFFFF" w:themeFill="background1"/>
            <w:vAlign w:val="center"/>
          </w:tcPr>
          <w:p w14:paraId="73B026AA"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1687</w:t>
            </w:r>
          </w:p>
        </w:tc>
        <w:tc>
          <w:tcPr>
            <w:tcW w:w="853" w:type="dxa"/>
            <w:tcBorders>
              <w:top w:val="nil"/>
              <w:left w:val="nil"/>
              <w:bottom w:val="single" w:sz="4" w:space="0" w:color="auto"/>
              <w:right w:val="single" w:sz="4" w:space="0" w:color="auto"/>
            </w:tcBorders>
            <w:shd w:val="clear" w:color="auto" w:fill="FFFFFF" w:themeFill="background1"/>
            <w:vAlign w:val="center"/>
          </w:tcPr>
          <w:p w14:paraId="47C8306F"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CE 4 de l'UIT-R</w:t>
            </w:r>
          </w:p>
        </w:tc>
        <w:tc>
          <w:tcPr>
            <w:tcW w:w="1512" w:type="dxa"/>
            <w:tcBorders>
              <w:top w:val="nil"/>
              <w:left w:val="nil"/>
              <w:bottom w:val="single" w:sz="4" w:space="0" w:color="auto"/>
              <w:right w:val="single" w:sz="4" w:space="0" w:color="auto"/>
            </w:tcBorders>
            <w:shd w:val="clear" w:color="auto" w:fill="FFFFFF" w:themeFill="background1"/>
            <w:vAlign w:val="center"/>
          </w:tcPr>
          <w:p w14:paraId="65F6E2B8"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1/16</w:t>
            </w:r>
          </w:p>
        </w:tc>
        <w:tc>
          <w:tcPr>
            <w:tcW w:w="1750" w:type="dxa"/>
            <w:tcBorders>
              <w:top w:val="nil"/>
              <w:left w:val="nil"/>
              <w:bottom w:val="single" w:sz="4" w:space="0" w:color="auto"/>
              <w:right w:val="single" w:sz="4" w:space="0" w:color="auto"/>
            </w:tcBorders>
            <w:shd w:val="clear" w:color="auto" w:fill="FFFFFF" w:themeFill="background1"/>
            <w:vAlign w:val="center"/>
          </w:tcPr>
          <w:p w14:paraId="4B64A939"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Pologne</w:t>
            </w:r>
          </w:p>
        </w:tc>
      </w:tr>
      <w:tr w:rsidR="00D2404C" w:rsidRPr="00BB34AE" w14:paraId="246D1781" w14:textId="77777777" w:rsidTr="00365930">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3B8F2EDF"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World Technology Games, LLC</w:t>
            </w:r>
          </w:p>
        </w:tc>
        <w:tc>
          <w:tcPr>
            <w:tcW w:w="1274" w:type="dxa"/>
            <w:tcBorders>
              <w:top w:val="nil"/>
              <w:left w:val="nil"/>
              <w:bottom w:val="single" w:sz="4" w:space="0" w:color="auto"/>
              <w:right w:val="single" w:sz="4" w:space="0" w:color="auto"/>
            </w:tcBorders>
            <w:shd w:val="clear" w:color="auto" w:fill="FFFFFF" w:themeFill="background1"/>
            <w:vAlign w:val="center"/>
          </w:tcPr>
          <w:p w14:paraId="7F0602A4"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20.03.2025</w:t>
            </w:r>
          </w:p>
        </w:tc>
        <w:tc>
          <w:tcPr>
            <w:tcW w:w="1442" w:type="dxa"/>
            <w:tcBorders>
              <w:top w:val="nil"/>
              <w:left w:val="nil"/>
              <w:bottom w:val="single" w:sz="4" w:space="0" w:color="auto"/>
              <w:right w:val="single" w:sz="4" w:space="0" w:color="auto"/>
            </w:tcBorders>
            <w:shd w:val="clear" w:color="auto" w:fill="FFFFFF" w:themeFill="background1"/>
            <w:vAlign w:val="center"/>
          </w:tcPr>
          <w:p w14:paraId="24A0416B"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1688</w:t>
            </w:r>
          </w:p>
        </w:tc>
        <w:tc>
          <w:tcPr>
            <w:tcW w:w="853" w:type="dxa"/>
            <w:tcBorders>
              <w:top w:val="nil"/>
              <w:left w:val="nil"/>
              <w:bottom w:val="single" w:sz="4" w:space="0" w:color="auto"/>
              <w:right w:val="single" w:sz="4" w:space="0" w:color="auto"/>
            </w:tcBorders>
            <w:shd w:val="clear" w:color="auto" w:fill="FFFFFF" w:themeFill="background1"/>
            <w:vAlign w:val="center"/>
          </w:tcPr>
          <w:p w14:paraId="32FA78D1"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CE 1 de l'UIT-D</w:t>
            </w:r>
          </w:p>
        </w:tc>
        <w:tc>
          <w:tcPr>
            <w:tcW w:w="1512" w:type="dxa"/>
            <w:tcBorders>
              <w:top w:val="nil"/>
              <w:left w:val="nil"/>
              <w:bottom w:val="single" w:sz="4" w:space="0" w:color="auto"/>
              <w:right w:val="single" w:sz="4" w:space="0" w:color="auto"/>
            </w:tcBorders>
            <w:shd w:val="clear" w:color="auto" w:fill="FFFFFF" w:themeFill="background1"/>
            <w:vAlign w:val="center"/>
          </w:tcPr>
          <w:p w14:paraId="4DF9C6B0"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1/16</w:t>
            </w:r>
          </w:p>
        </w:tc>
        <w:tc>
          <w:tcPr>
            <w:tcW w:w="1750" w:type="dxa"/>
            <w:tcBorders>
              <w:top w:val="nil"/>
              <w:left w:val="nil"/>
              <w:bottom w:val="single" w:sz="4" w:space="0" w:color="auto"/>
              <w:right w:val="single" w:sz="4" w:space="0" w:color="auto"/>
            </w:tcBorders>
            <w:shd w:val="clear" w:color="auto" w:fill="FFFFFF" w:themeFill="background1"/>
            <w:vAlign w:val="center"/>
          </w:tcPr>
          <w:p w14:paraId="024822D6"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États-Unis</w:t>
            </w:r>
          </w:p>
        </w:tc>
      </w:tr>
      <w:tr w:rsidR="00D2404C" w:rsidRPr="00BB34AE" w14:paraId="36D9AE46" w14:textId="77777777" w:rsidTr="00365930">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2B6658"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Tactikom</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0401E41C"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21.03.2025</w:t>
            </w:r>
          </w:p>
        </w:tc>
        <w:tc>
          <w:tcPr>
            <w:tcW w:w="1442" w:type="dxa"/>
            <w:tcBorders>
              <w:top w:val="nil"/>
              <w:left w:val="nil"/>
              <w:bottom w:val="single" w:sz="4" w:space="0" w:color="auto"/>
              <w:right w:val="single" w:sz="4" w:space="0" w:color="auto"/>
            </w:tcBorders>
            <w:shd w:val="clear" w:color="auto" w:fill="FFFFFF" w:themeFill="background1"/>
            <w:vAlign w:val="center"/>
            <w:hideMark/>
          </w:tcPr>
          <w:p w14:paraId="5798CB1B"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1688</w:t>
            </w:r>
          </w:p>
        </w:tc>
        <w:tc>
          <w:tcPr>
            <w:tcW w:w="853" w:type="dxa"/>
            <w:tcBorders>
              <w:top w:val="nil"/>
              <w:left w:val="nil"/>
              <w:bottom w:val="single" w:sz="4" w:space="0" w:color="auto"/>
              <w:right w:val="single" w:sz="4" w:space="0" w:color="auto"/>
            </w:tcBorders>
            <w:shd w:val="clear" w:color="auto" w:fill="FFFFFF" w:themeFill="background1"/>
            <w:vAlign w:val="center"/>
            <w:hideMark/>
          </w:tcPr>
          <w:p w14:paraId="1BB4A8D9"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CE 3 de l'UIT-T</w:t>
            </w:r>
          </w:p>
        </w:tc>
        <w:tc>
          <w:tcPr>
            <w:tcW w:w="1512" w:type="dxa"/>
            <w:tcBorders>
              <w:top w:val="nil"/>
              <w:left w:val="nil"/>
              <w:bottom w:val="single" w:sz="4" w:space="0" w:color="auto"/>
              <w:right w:val="single" w:sz="4" w:space="0" w:color="auto"/>
            </w:tcBorders>
            <w:shd w:val="clear" w:color="auto" w:fill="FFFFFF" w:themeFill="background1"/>
            <w:vAlign w:val="center"/>
            <w:hideMark/>
          </w:tcPr>
          <w:p w14:paraId="7CBE3EBB"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1/16</w:t>
            </w:r>
          </w:p>
        </w:tc>
        <w:tc>
          <w:tcPr>
            <w:tcW w:w="1750" w:type="dxa"/>
            <w:tcBorders>
              <w:top w:val="nil"/>
              <w:left w:val="nil"/>
              <w:bottom w:val="single" w:sz="4" w:space="0" w:color="auto"/>
              <w:right w:val="single" w:sz="4" w:space="0" w:color="auto"/>
            </w:tcBorders>
            <w:shd w:val="clear" w:color="auto" w:fill="FFFFFF" w:themeFill="background1"/>
            <w:vAlign w:val="center"/>
            <w:hideMark/>
          </w:tcPr>
          <w:p w14:paraId="29798B17"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Suisse</w:t>
            </w:r>
          </w:p>
        </w:tc>
      </w:tr>
      <w:tr w:rsidR="00D2404C" w:rsidRPr="00BB34AE" w14:paraId="03782A99" w14:textId="77777777" w:rsidTr="00365930">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FF80C1"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Réseau pour la recherche et l'éducation de l'Ouganda</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7FFB5755"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31.03.2025</w:t>
            </w:r>
          </w:p>
        </w:tc>
        <w:tc>
          <w:tcPr>
            <w:tcW w:w="1442" w:type="dxa"/>
            <w:tcBorders>
              <w:top w:val="nil"/>
              <w:left w:val="nil"/>
              <w:bottom w:val="single" w:sz="4" w:space="0" w:color="auto"/>
              <w:right w:val="single" w:sz="4" w:space="0" w:color="auto"/>
            </w:tcBorders>
            <w:shd w:val="clear" w:color="auto" w:fill="FFFFFF" w:themeFill="background1"/>
            <w:vAlign w:val="center"/>
            <w:hideMark/>
          </w:tcPr>
          <w:p w14:paraId="6852554F"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1688</w:t>
            </w:r>
          </w:p>
        </w:tc>
        <w:tc>
          <w:tcPr>
            <w:tcW w:w="853" w:type="dxa"/>
            <w:tcBorders>
              <w:top w:val="nil"/>
              <w:left w:val="nil"/>
              <w:bottom w:val="single" w:sz="4" w:space="0" w:color="auto"/>
              <w:right w:val="single" w:sz="4" w:space="0" w:color="auto"/>
            </w:tcBorders>
            <w:shd w:val="clear" w:color="auto" w:fill="FFFFFF" w:themeFill="background1"/>
            <w:vAlign w:val="center"/>
            <w:hideMark/>
          </w:tcPr>
          <w:p w14:paraId="399F943D"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CE 2 de l'UIT-D</w:t>
            </w:r>
          </w:p>
        </w:tc>
        <w:tc>
          <w:tcPr>
            <w:tcW w:w="1512" w:type="dxa"/>
            <w:tcBorders>
              <w:top w:val="nil"/>
              <w:left w:val="nil"/>
              <w:bottom w:val="single" w:sz="4" w:space="0" w:color="auto"/>
              <w:right w:val="single" w:sz="4" w:space="0" w:color="auto"/>
            </w:tcBorders>
            <w:shd w:val="clear" w:color="auto" w:fill="FFFFFF" w:themeFill="background1"/>
            <w:vAlign w:val="center"/>
            <w:hideMark/>
          </w:tcPr>
          <w:p w14:paraId="3A06A826"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1/32</w:t>
            </w:r>
          </w:p>
        </w:tc>
        <w:tc>
          <w:tcPr>
            <w:tcW w:w="1750" w:type="dxa"/>
            <w:tcBorders>
              <w:top w:val="nil"/>
              <w:left w:val="nil"/>
              <w:bottom w:val="single" w:sz="4" w:space="0" w:color="auto"/>
              <w:right w:val="single" w:sz="4" w:space="0" w:color="auto"/>
            </w:tcBorders>
            <w:shd w:val="clear" w:color="auto" w:fill="FFFFFF" w:themeFill="background1"/>
            <w:vAlign w:val="center"/>
            <w:hideMark/>
          </w:tcPr>
          <w:p w14:paraId="2C6D984A"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Ouganda</w:t>
            </w:r>
          </w:p>
        </w:tc>
      </w:tr>
      <w:tr w:rsidR="00D2404C" w:rsidRPr="00BB34AE" w14:paraId="09647EAA" w14:textId="77777777" w:rsidTr="00365930">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3406EFA6"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Association one6G</w:t>
            </w:r>
          </w:p>
        </w:tc>
        <w:tc>
          <w:tcPr>
            <w:tcW w:w="1274" w:type="dxa"/>
            <w:tcBorders>
              <w:top w:val="nil"/>
              <w:left w:val="nil"/>
              <w:bottom w:val="single" w:sz="4" w:space="0" w:color="auto"/>
              <w:right w:val="single" w:sz="4" w:space="0" w:color="auto"/>
            </w:tcBorders>
            <w:shd w:val="clear" w:color="auto" w:fill="FFFFFF" w:themeFill="background1"/>
            <w:vAlign w:val="center"/>
          </w:tcPr>
          <w:p w14:paraId="09247266"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16.04.2025</w:t>
            </w:r>
          </w:p>
        </w:tc>
        <w:tc>
          <w:tcPr>
            <w:tcW w:w="1442" w:type="dxa"/>
            <w:tcBorders>
              <w:top w:val="nil"/>
              <w:left w:val="nil"/>
              <w:bottom w:val="single" w:sz="4" w:space="0" w:color="auto"/>
              <w:right w:val="single" w:sz="4" w:space="0" w:color="auto"/>
            </w:tcBorders>
            <w:shd w:val="clear" w:color="auto" w:fill="FFFFFF" w:themeFill="background1"/>
            <w:vAlign w:val="center"/>
          </w:tcPr>
          <w:p w14:paraId="56456448"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1689</w:t>
            </w:r>
          </w:p>
        </w:tc>
        <w:tc>
          <w:tcPr>
            <w:tcW w:w="853" w:type="dxa"/>
            <w:tcBorders>
              <w:top w:val="nil"/>
              <w:left w:val="nil"/>
              <w:bottom w:val="single" w:sz="4" w:space="0" w:color="auto"/>
              <w:right w:val="single" w:sz="4" w:space="0" w:color="auto"/>
            </w:tcBorders>
            <w:shd w:val="clear" w:color="auto" w:fill="FFFFFF" w:themeFill="background1"/>
            <w:vAlign w:val="center"/>
          </w:tcPr>
          <w:p w14:paraId="3F2504F5"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CE 5 de l'UIT-R</w:t>
            </w:r>
          </w:p>
        </w:tc>
        <w:tc>
          <w:tcPr>
            <w:tcW w:w="1512" w:type="dxa"/>
            <w:tcBorders>
              <w:top w:val="nil"/>
              <w:left w:val="nil"/>
              <w:bottom w:val="single" w:sz="4" w:space="0" w:color="auto"/>
              <w:right w:val="single" w:sz="4" w:space="0" w:color="auto"/>
            </w:tcBorders>
            <w:shd w:val="clear" w:color="auto" w:fill="FFFFFF" w:themeFill="background1"/>
            <w:vAlign w:val="center"/>
          </w:tcPr>
          <w:p w14:paraId="0A3C0CF0"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w:t>
            </w:r>
          </w:p>
        </w:tc>
        <w:tc>
          <w:tcPr>
            <w:tcW w:w="1750" w:type="dxa"/>
            <w:tcBorders>
              <w:top w:val="nil"/>
              <w:left w:val="nil"/>
              <w:bottom w:val="single" w:sz="4" w:space="0" w:color="auto"/>
              <w:right w:val="single" w:sz="4" w:space="0" w:color="auto"/>
            </w:tcBorders>
            <w:shd w:val="clear" w:color="auto" w:fill="FFFFFF" w:themeFill="background1"/>
            <w:vAlign w:val="center"/>
          </w:tcPr>
          <w:p w14:paraId="3CC9162D"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Suisse</w:t>
            </w:r>
          </w:p>
        </w:tc>
      </w:tr>
      <w:tr w:rsidR="00D2404C" w:rsidRPr="00BB34AE" w14:paraId="66F01852" w14:textId="77777777" w:rsidTr="00365930">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5BE9B7"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Secure World Foundation</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342206E5"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16.04.2025</w:t>
            </w:r>
          </w:p>
        </w:tc>
        <w:tc>
          <w:tcPr>
            <w:tcW w:w="1442" w:type="dxa"/>
            <w:tcBorders>
              <w:top w:val="nil"/>
              <w:left w:val="nil"/>
              <w:bottom w:val="single" w:sz="4" w:space="0" w:color="auto"/>
              <w:right w:val="single" w:sz="4" w:space="0" w:color="auto"/>
            </w:tcBorders>
            <w:shd w:val="clear" w:color="auto" w:fill="FFFFFF" w:themeFill="background1"/>
            <w:vAlign w:val="center"/>
            <w:hideMark/>
          </w:tcPr>
          <w:p w14:paraId="186F4AF2"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1689</w:t>
            </w:r>
          </w:p>
        </w:tc>
        <w:tc>
          <w:tcPr>
            <w:tcW w:w="853" w:type="dxa"/>
            <w:tcBorders>
              <w:top w:val="nil"/>
              <w:left w:val="nil"/>
              <w:bottom w:val="single" w:sz="4" w:space="0" w:color="auto"/>
              <w:right w:val="single" w:sz="4" w:space="0" w:color="auto"/>
            </w:tcBorders>
            <w:shd w:val="clear" w:color="auto" w:fill="FFFFFF" w:themeFill="background1"/>
            <w:vAlign w:val="center"/>
            <w:hideMark/>
          </w:tcPr>
          <w:p w14:paraId="009AF1E5"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CE 4 de l'UIT-R</w:t>
            </w:r>
          </w:p>
        </w:tc>
        <w:tc>
          <w:tcPr>
            <w:tcW w:w="1512" w:type="dxa"/>
            <w:tcBorders>
              <w:top w:val="nil"/>
              <w:left w:val="nil"/>
              <w:bottom w:val="single" w:sz="4" w:space="0" w:color="auto"/>
              <w:right w:val="single" w:sz="4" w:space="0" w:color="auto"/>
            </w:tcBorders>
            <w:shd w:val="clear" w:color="auto" w:fill="FFFFFF" w:themeFill="background1"/>
            <w:vAlign w:val="center"/>
            <w:hideMark/>
          </w:tcPr>
          <w:p w14:paraId="533E98B6"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1/16</w:t>
            </w:r>
          </w:p>
        </w:tc>
        <w:tc>
          <w:tcPr>
            <w:tcW w:w="1750" w:type="dxa"/>
            <w:tcBorders>
              <w:top w:val="nil"/>
              <w:left w:val="nil"/>
              <w:bottom w:val="single" w:sz="4" w:space="0" w:color="auto"/>
              <w:right w:val="single" w:sz="4" w:space="0" w:color="auto"/>
            </w:tcBorders>
            <w:shd w:val="clear" w:color="auto" w:fill="FFFFFF" w:themeFill="background1"/>
            <w:vAlign w:val="center"/>
            <w:hideMark/>
          </w:tcPr>
          <w:p w14:paraId="237552A4"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États-Unis</w:t>
            </w:r>
          </w:p>
        </w:tc>
      </w:tr>
      <w:tr w:rsidR="00D2404C" w:rsidRPr="00BB34AE" w14:paraId="16D56B19" w14:textId="77777777" w:rsidTr="00365930">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E1EB37" w14:textId="77777777" w:rsidR="00D2404C" w:rsidRPr="00562C61" w:rsidRDefault="00D2404C" w:rsidP="00562C61">
            <w:pPr>
              <w:pStyle w:val="Tabletext"/>
              <w:rPr>
                <w:rFonts w:asciiTheme="minorHAnsi" w:hAnsiTheme="minorHAnsi"/>
                <w:lang w:val="en-US" w:eastAsia="en-GB"/>
              </w:rPr>
            </w:pPr>
            <w:r w:rsidRPr="00562C61">
              <w:rPr>
                <w:rFonts w:asciiTheme="minorHAnsi" w:hAnsiTheme="minorHAnsi"/>
                <w:lang w:val="en-US" w:eastAsia="en-GB"/>
              </w:rPr>
              <w:t>The Consortium for Execution of Rendezvous and Servicing Operations (CONFERS)</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2D096643"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23.04.2025</w:t>
            </w:r>
          </w:p>
        </w:tc>
        <w:tc>
          <w:tcPr>
            <w:tcW w:w="1442" w:type="dxa"/>
            <w:tcBorders>
              <w:top w:val="nil"/>
              <w:left w:val="nil"/>
              <w:bottom w:val="single" w:sz="4" w:space="0" w:color="auto"/>
              <w:right w:val="single" w:sz="4" w:space="0" w:color="auto"/>
            </w:tcBorders>
            <w:shd w:val="clear" w:color="auto" w:fill="FFFFFF" w:themeFill="background1"/>
            <w:vAlign w:val="center"/>
            <w:hideMark/>
          </w:tcPr>
          <w:p w14:paraId="5CA4E48A"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1689</w:t>
            </w:r>
          </w:p>
        </w:tc>
        <w:tc>
          <w:tcPr>
            <w:tcW w:w="853" w:type="dxa"/>
            <w:tcBorders>
              <w:top w:val="nil"/>
              <w:left w:val="nil"/>
              <w:bottom w:val="single" w:sz="4" w:space="0" w:color="auto"/>
              <w:right w:val="single" w:sz="4" w:space="0" w:color="auto"/>
            </w:tcBorders>
            <w:shd w:val="clear" w:color="auto" w:fill="FFFFFF" w:themeFill="background1"/>
            <w:vAlign w:val="center"/>
            <w:hideMark/>
          </w:tcPr>
          <w:p w14:paraId="3CE077EC"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CE 4 de l'UIT-R</w:t>
            </w:r>
          </w:p>
        </w:tc>
        <w:tc>
          <w:tcPr>
            <w:tcW w:w="1512" w:type="dxa"/>
            <w:tcBorders>
              <w:top w:val="nil"/>
              <w:left w:val="nil"/>
              <w:bottom w:val="single" w:sz="4" w:space="0" w:color="auto"/>
              <w:right w:val="single" w:sz="4" w:space="0" w:color="auto"/>
            </w:tcBorders>
            <w:shd w:val="clear" w:color="auto" w:fill="FFFFFF" w:themeFill="background1"/>
            <w:vAlign w:val="center"/>
            <w:hideMark/>
          </w:tcPr>
          <w:p w14:paraId="0A6560E5"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1/16</w:t>
            </w:r>
          </w:p>
        </w:tc>
        <w:tc>
          <w:tcPr>
            <w:tcW w:w="1750" w:type="dxa"/>
            <w:tcBorders>
              <w:top w:val="nil"/>
              <w:left w:val="nil"/>
              <w:bottom w:val="single" w:sz="4" w:space="0" w:color="auto"/>
              <w:right w:val="single" w:sz="4" w:space="0" w:color="auto"/>
            </w:tcBorders>
            <w:shd w:val="clear" w:color="auto" w:fill="FFFFFF" w:themeFill="background1"/>
            <w:vAlign w:val="center"/>
            <w:hideMark/>
          </w:tcPr>
          <w:p w14:paraId="6E42E198"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États-Unis</w:t>
            </w:r>
          </w:p>
        </w:tc>
      </w:tr>
      <w:tr w:rsidR="00D2404C" w:rsidRPr="00BB34AE" w14:paraId="7FB3CE68" w14:textId="77777777" w:rsidTr="00365930">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147A60B2"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Association pour les échanges internationaux de Beijing</w:t>
            </w:r>
          </w:p>
        </w:tc>
        <w:tc>
          <w:tcPr>
            <w:tcW w:w="1274" w:type="dxa"/>
            <w:tcBorders>
              <w:top w:val="nil"/>
              <w:left w:val="nil"/>
              <w:bottom w:val="single" w:sz="4" w:space="0" w:color="auto"/>
              <w:right w:val="single" w:sz="4" w:space="0" w:color="auto"/>
            </w:tcBorders>
            <w:shd w:val="clear" w:color="auto" w:fill="FFFFFF" w:themeFill="background1"/>
            <w:vAlign w:val="center"/>
          </w:tcPr>
          <w:p w14:paraId="35DC5280"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12.05.2025</w:t>
            </w:r>
          </w:p>
        </w:tc>
        <w:tc>
          <w:tcPr>
            <w:tcW w:w="1442" w:type="dxa"/>
            <w:tcBorders>
              <w:top w:val="nil"/>
              <w:left w:val="nil"/>
              <w:bottom w:val="single" w:sz="4" w:space="0" w:color="auto"/>
              <w:right w:val="single" w:sz="4" w:space="0" w:color="auto"/>
            </w:tcBorders>
            <w:shd w:val="clear" w:color="auto" w:fill="FFFFFF" w:themeFill="background1"/>
            <w:vAlign w:val="center"/>
          </w:tcPr>
          <w:p w14:paraId="6055B710"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1690</w:t>
            </w:r>
          </w:p>
        </w:tc>
        <w:tc>
          <w:tcPr>
            <w:tcW w:w="853" w:type="dxa"/>
            <w:tcBorders>
              <w:top w:val="nil"/>
              <w:left w:val="nil"/>
              <w:bottom w:val="single" w:sz="4" w:space="0" w:color="auto"/>
              <w:right w:val="single" w:sz="4" w:space="0" w:color="auto"/>
            </w:tcBorders>
            <w:shd w:val="clear" w:color="auto" w:fill="FFFFFF" w:themeFill="background1"/>
            <w:vAlign w:val="center"/>
          </w:tcPr>
          <w:p w14:paraId="535CD45A"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CE 2 de l'UIT-D</w:t>
            </w:r>
          </w:p>
        </w:tc>
        <w:tc>
          <w:tcPr>
            <w:tcW w:w="1512" w:type="dxa"/>
            <w:tcBorders>
              <w:top w:val="nil"/>
              <w:left w:val="nil"/>
              <w:bottom w:val="single" w:sz="4" w:space="0" w:color="auto"/>
              <w:right w:val="single" w:sz="4" w:space="0" w:color="auto"/>
            </w:tcBorders>
            <w:shd w:val="clear" w:color="auto" w:fill="FFFFFF" w:themeFill="background1"/>
            <w:vAlign w:val="center"/>
          </w:tcPr>
          <w:p w14:paraId="2B4B5DFC"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1/32</w:t>
            </w:r>
          </w:p>
        </w:tc>
        <w:tc>
          <w:tcPr>
            <w:tcW w:w="1750" w:type="dxa"/>
            <w:tcBorders>
              <w:top w:val="nil"/>
              <w:left w:val="nil"/>
              <w:bottom w:val="single" w:sz="4" w:space="0" w:color="auto"/>
              <w:right w:val="single" w:sz="4" w:space="0" w:color="auto"/>
            </w:tcBorders>
            <w:shd w:val="clear" w:color="auto" w:fill="FFFFFF" w:themeFill="background1"/>
            <w:vAlign w:val="center"/>
          </w:tcPr>
          <w:p w14:paraId="0561457F"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Chine</w:t>
            </w:r>
          </w:p>
        </w:tc>
      </w:tr>
      <w:tr w:rsidR="00D2404C" w:rsidRPr="00BB34AE" w14:paraId="5D992540" w14:textId="77777777" w:rsidTr="00365930">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3002719B" w14:textId="77777777" w:rsidR="00D2404C" w:rsidRPr="00562C61" w:rsidRDefault="00D2404C" w:rsidP="00562C61">
            <w:pPr>
              <w:pStyle w:val="Tabletext"/>
              <w:rPr>
                <w:rFonts w:asciiTheme="minorHAnsi" w:hAnsiTheme="minorHAnsi"/>
                <w:lang w:val="en-US" w:eastAsia="en-GB"/>
              </w:rPr>
            </w:pPr>
            <w:r w:rsidRPr="00562C61">
              <w:rPr>
                <w:rFonts w:asciiTheme="minorHAnsi" w:hAnsiTheme="minorHAnsi"/>
                <w:lang w:val="en-US" w:eastAsia="en-GB"/>
              </w:rPr>
              <w:t>Beijing General Municipal Engineering Design &amp; Research Institute Co., Ltd.</w:t>
            </w:r>
          </w:p>
        </w:tc>
        <w:tc>
          <w:tcPr>
            <w:tcW w:w="1274" w:type="dxa"/>
            <w:tcBorders>
              <w:top w:val="nil"/>
              <w:left w:val="nil"/>
              <w:bottom w:val="single" w:sz="4" w:space="0" w:color="auto"/>
              <w:right w:val="single" w:sz="4" w:space="0" w:color="auto"/>
            </w:tcBorders>
            <w:shd w:val="clear" w:color="auto" w:fill="FFFFFF" w:themeFill="background1"/>
            <w:vAlign w:val="center"/>
          </w:tcPr>
          <w:p w14:paraId="68CD0AAB"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07.08.2025</w:t>
            </w:r>
          </w:p>
        </w:tc>
        <w:tc>
          <w:tcPr>
            <w:tcW w:w="1442" w:type="dxa"/>
            <w:tcBorders>
              <w:top w:val="nil"/>
              <w:left w:val="nil"/>
              <w:bottom w:val="single" w:sz="4" w:space="0" w:color="auto"/>
              <w:right w:val="single" w:sz="4" w:space="0" w:color="auto"/>
            </w:tcBorders>
            <w:shd w:val="clear" w:color="auto" w:fill="FFFFFF" w:themeFill="background1"/>
            <w:vAlign w:val="center"/>
          </w:tcPr>
          <w:p w14:paraId="1D1F2747"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1693</w:t>
            </w:r>
          </w:p>
        </w:tc>
        <w:tc>
          <w:tcPr>
            <w:tcW w:w="853" w:type="dxa"/>
            <w:tcBorders>
              <w:top w:val="nil"/>
              <w:left w:val="nil"/>
              <w:bottom w:val="single" w:sz="4" w:space="0" w:color="auto"/>
              <w:right w:val="single" w:sz="4" w:space="0" w:color="auto"/>
            </w:tcBorders>
            <w:shd w:val="clear" w:color="auto" w:fill="FFFFFF" w:themeFill="background1"/>
            <w:vAlign w:val="center"/>
          </w:tcPr>
          <w:p w14:paraId="4F328A83"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CE 21 de l'UIT-T</w:t>
            </w:r>
          </w:p>
        </w:tc>
        <w:tc>
          <w:tcPr>
            <w:tcW w:w="1512" w:type="dxa"/>
            <w:tcBorders>
              <w:top w:val="nil"/>
              <w:left w:val="nil"/>
              <w:bottom w:val="single" w:sz="4" w:space="0" w:color="auto"/>
              <w:right w:val="single" w:sz="4" w:space="0" w:color="auto"/>
            </w:tcBorders>
            <w:shd w:val="clear" w:color="auto" w:fill="FFFFFF" w:themeFill="background1"/>
            <w:vAlign w:val="center"/>
          </w:tcPr>
          <w:p w14:paraId="60F89483"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w:t>
            </w:r>
          </w:p>
        </w:tc>
        <w:tc>
          <w:tcPr>
            <w:tcW w:w="1750" w:type="dxa"/>
            <w:tcBorders>
              <w:top w:val="nil"/>
              <w:left w:val="nil"/>
              <w:bottom w:val="single" w:sz="4" w:space="0" w:color="auto"/>
              <w:right w:val="single" w:sz="4" w:space="0" w:color="auto"/>
            </w:tcBorders>
            <w:shd w:val="clear" w:color="auto" w:fill="FFFFFF" w:themeFill="background1"/>
            <w:vAlign w:val="center"/>
          </w:tcPr>
          <w:p w14:paraId="3B664606"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Chine</w:t>
            </w:r>
          </w:p>
        </w:tc>
      </w:tr>
      <w:tr w:rsidR="00D2404C" w:rsidRPr="00BB34AE" w14:paraId="3F9D310E" w14:textId="77777777" w:rsidTr="00365930">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5736F69E"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Association des normes relatives à la radiodiffusion (Broadcast Standards Association, ATSC)</w:t>
            </w:r>
          </w:p>
        </w:tc>
        <w:tc>
          <w:tcPr>
            <w:tcW w:w="1274" w:type="dxa"/>
            <w:tcBorders>
              <w:top w:val="nil"/>
              <w:left w:val="nil"/>
              <w:bottom w:val="single" w:sz="4" w:space="0" w:color="auto"/>
              <w:right w:val="single" w:sz="4" w:space="0" w:color="auto"/>
            </w:tcBorders>
            <w:shd w:val="clear" w:color="auto" w:fill="FFFFFF" w:themeFill="background1"/>
            <w:vAlign w:val="center"/>
          </w:tcPr>
          <w:p w14:paraId="729FFA97"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21.08.2025</w:t>
            </w:r>
          </w:p>
        </w:tc>
        <w:tc>
          <w:tcPr>
            <w:tcW w:w="1442" w:type="dxa"/>
            <w:tcBorders>
              <w:top w:val="nil"/>
              <w:left w:val="nil"/>
              <w:bottom w:val="single" w:sz="4" w:space="0" w:color="auto"/>
              <w:right w:val="single" w:sz="4" w:space="0" w:color="auto"/>
            </w:tcBorders>
            <w:shd w:val="clear" w:color="auto" w:fill="FFFFFF" w:themeFill="background1"/>
            <w:vAlign w:val="center"/>
          </w:tcPr>
          <w:p w14:paraId="7E5D61F8"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1693</w:t>
            </w:r>
          </w:p>
        </w:tc>
        <w:tc>
          <w:tcPr>
            <w:tcW w:w="853" w:type="dxa"/>
            <w:tcBorders>
              <w:top w:val="nil"/>
              <w:left w:val="nil"/>
              <w:bottom w:val="single" w:sz="4" w:space="0" w:color="auto"/>
              <w:right w:val="single" w:sz="4" w:space="0" w:color="auto"/>
            </w:tcBorders>
            <w:shd w:val="clear" w:color="auto" w:fill="FFFFFF" w:themeFill="background1"/>
            <w:vAlign w:val="center"/>
          </w:tcPr>
          <w:p w14:paraId="5F8475AE"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CE 6 de l'UIT-R</w:t>
            </w:r>
          </w:p>
        </w:tc>
        <w:tc>
          <w:tcPr>
            <w:tcW w:w="1512" w:type="dxa"/>
            <w:tcBorders>
              <w:top w:val="nil"/>
              <w:left w:val="nil"/>
              <w:bottom w:val="single" w:sz="4" w:space="0" w:color="auto"/>
              <w:right w:val="single" w:sz="4" w:space="0" w:color="auto"/>
            </w:tcBorders>
            <w:shd w:val="clear" w:color="auto" w:fill="FFFFFF" w:themeFill="background1"/>
            <w:vAlign w:val="center"/>
          </w:tcPr>
          <w:p w14:paraId="77A38786"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1/16</w:t>
            </w:r>
          </w:p>
        </w:tc>
        <w:tc>
          <w:tcPr>
            <w:tcW w:w="1750" w:type="dxa"/>
            <w:tcBorders>
              <w:top w:val="nil"/>
              <w:left w:val="nil"/>
              <w:bottom w:val="single" w:sz="4" w:space="0" w:color="auto"/>
              <w:right w:val="single" w:sz="4" w:space="0" w:color="auto"/>
            </w:tcBorders>
            <w:shd w:val="clear" w:color="auto" w:fill="FFFFFF" w:themeFill="background1"/>
            <w:vAlign w:val="center"/>
          </w:tcPr>
          <w:p w14:paraId="57930E6C"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États-Unis</w:t>
            </w:r>
          </w:p>
        </w:tc>
      </w:tr>
      <w:tr w:rsidR="00D2404C" w:rsidRPr="00BB34AE" w14:paraId="6FE31E8C" w14:textId="77777777" w:rsidTr="00365930">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0C6FCE8A"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Geneva AI Governance Institute</w:t>
            </w:r>
          </w:p>
        </w:tc>
        <w:tc>
          <w:tcPr>
            <w:tcW w:w="1274" w:type="dxa"/>
            <w:tcBorders>
              <w:top w:val="nil"/>
              <w:left w:val="nil"/>
              <w:bottom w:val="single" w:sz="4" w:space="0" w:color="auto"/>
              <w:right w:val="single" w:sz="4" w:space="0" w:color="auto"/>
            </w:tcBorders>
            <w:shd w:val="clear" w:color="auto" w:fill="FFFFFF" w:themeFill="background1"/>
            <w:vAlign w:val="center"/>
          </w:tcPr>
          <w:p w14:paraId="38533F8D"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18.09.2025</w:t>
            </w:r>
          </w:p>
        </w:tc>
        <w:tc>
          <w:tcPr>
            <w:tcW w:w="1442" w:type="dxa"/>
            <w:tcBorders>
              <w:top w:val="nil"/>
              <w:left w:val="nil"/>
              <w:bottom w:val="single" w:sz="4" w:space="0" w:color="auto"/>
              <w:right w:val="single" w:sz="4" w:space="0" w:color="auto"/>
            </w:tcBorders>
            <w:shd w:val="clear" w:color="auto" w:fill="FFFFFF" w:themeFill="background1"/>
            <w:vAlign w:val="center"/>
          </w:tcPr>
          <w:p w14:paraId="6CB9DFA2"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1694</w:t>
            </w:r>
          </w:p>
        </w:tc>
        <w:tc>
          <w:tcPr>
            <w:tcW w:w="853" w:type="dxa"/>
            <w:tcBorders>
              <w:top w:val="nil"/>
              <w:left w:val="nil"/>
              <w:bottom w:val="single" w:sz="4" w:space="0" w:color="auto"/>
              <w:right w:val="single" w:sz="4" w:space="0" w:color="auto"/>
            </w:tcBorders>
            <w:shd w:val="clear" w:color="auto" w:fill="FFFFFF" w:themeFill="background1"/>
            <w:vAlign w:val="center"/>
          </w:tcPr>
          <w:p w14:paraId="31C53AC5"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CE 2 de l'UIT-D</w:t>
            </w:r>
          </w:p>
        </w:tc>
        <w:tc>
          <w:tcPr>
            <w:tcW w:w="1512" w:type="dxa"/>
            <w:tcBorders>
              <w:top w:val="nil"/>
              <w:left w:val="nil"/>
              <w:bottom w:val="single" w:sz="4" w:space="0" w:color="auto"/>
              <w:right w:val="single" w:sz="4" w:space="0" w:color="auto"/>
            </w:tcBorders>
            <w:shd w:val="clear" w:color="auto" w:fill="FFFFFF" w:themeFill="background1"/>
            <w:vAlign w:val="center"/>
          </w:tcPr>
          <w:p w14:paraId="766C6736"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1/16</w:t>
            </w:r>
          </w:p>
        </w:tc>
        <w:tc>
          <w:tcPr>
            <w:tcW w:w="1750" w:type="dxa"/>
            <w:tcBorders>
              <w:top w:val="nil"/>
              <w:left w:val="nil"/>
              <w:bottom w:val="single" w:sz="4" w:space="0" w:color="auto"/>
              <w:right w:val="single" w:sz="4" w:space="0" w:color="auto"/>
            </w:tcBorders>
            <w:shd w:val="clear" w:color="auto" w:fill="FFFFFF" w:themeFill="background1"/>
            <w:vAlign w:val="center"/>
          </w:tcPr>
          <w:p w14:paraId="37C0860B"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Suisse</w:t>
            </w:r>
          </w:p>
        </w:tc>
      </w:tr>
      <w:tr w:rsidR="00D2404C" w:rsidRPr="00BB34AE" w14:paraId="1AA78AD5" w14:textId="77777777" w:rsidTr="00365930">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7717D6CB" w14:textId="77777777" w:rsidR="00D2404C" w:rsidRPr="00562C61" w:rsidRDefault="00D2404C" w:rsidP="00562C61">
            <w:pPr>
              <w:pStyle w:val="Tabletext"/>
              <w:rPr>
                <w:rFonts w:asciiTheme="minorHAnsi" w:hAnsiTheme="minorHAnsi"/>
                <w:lang w:val="pt-PT" w:eastAsia="en-GB"/>
              </w:rPr>
            </w:pPr>
            <w:r w:rsidRPr="00562C61">
              <w:rPr>
                <w:rFonts w:asciiTheme="minorHAnsi" w:hAnsiTheme="minorHAnsi"/>
                <w:lang w:val="pt-PT" w:eastAsia="en-GB"/>
              </w:rPr>
              <w:t>Compañía General de Electricidad S.A.</w:t>
            </w:r>
          </w:p>
        </w:tc>
        <w:tc>
          <w:tcPr>
            <w:tcW w:w="1274" w:type="dxa"/>
            <w:tcBorders>
              <w:top w:val="nil"/>
              <w:left w:val="nil"/>
              <w:bottom w:val="single" w:sz="4" w:space="0" w:color="auto"/>
              <w:right w:val="single" w:sz="4" w:space="0" w:color="auto"/>
            </w:tcBorders>
            <w:shd w:val="clear" w:color="auto" w:fill="FFFFFF" w:themeFill="background1"/>
            <w:vAlign w:val="center"/>
          </w:tcPr>
          <w:p w14:paraId="6898265A" w14:textId="77777777" w:rsidR="00D2404C" w:rsidRPr="00562C61" w:rsidRDefault="00D2404C" w:rsidP="007261DA">
            <w:pPr>
              <w:pStyle w:val="Tabletext"/>
              <w:jc w:val="center"/>
              <w:rPr>
                <w:rFonts w:asciiTheme="minorHAnsi" w:hAnsiTheme="minorHAnsi"/>
                <w:lang w:val="pt-PT" w:eastAsia="en-GB"/>
              </w:rPr>
            </w:pPr>
            <w:r w:rsidRPr="00562C61">
              <w:rPr>
                <w:rFonts w:asciiTheme="minorHAnsi" w:hAnsiTheme="minorHAnsi"/>
                <w:lang w:val="pt-PT" w:eastAsia="en-GB"/>
              </w:rPr>
              <w:t>24.11.2025</w:t>
            </w:r>
          </w:p>
        </w:tc>
        <w:tc>
          <w:tcPr>
            <w:tcW w:w="1442" w:type="dxa"/>
            <w:tcBorders>
              <w:top w:val="nil"/>
              <w:left w:val="nil"/>
              <w:bottom w:val="single" w:sz="4" w:space="0" w:color="auto"/>
              <w:right w:val="single" w:sz="4" w:space="0" w:color="auto"/>
            </w:tcBorders>
            <w:shd w:val="clear" w:color="auto" w:fill="FFFFFF" w:themeFill="background1"/>
            <w:vAlign w:val="center"/>
          </w:tcPr>
          <w:p w14:paraId="3004273C" w14:textId="77777777" w:rsidR="00D2404C" w:rsidRPr="00562C61" w:rsidRDefault="00D2404C" w:rsidP="007261DA">
            <w:pPr>
              <w:pStyle w:val="Tabletext"/>
              <w:jc w:val="center"/>
              <w:rPr>
                <w:rFonts w:asciiTheme="minorHAnsi" w:hAnsiTheme="minorHAnsi"/>
                <w:lang w:val="pt-PT" w:eastAsia="en-GB"/>
              </w:rPr>
            </w:pPr>
            <w:r w:rsidRPr="00562C61">
              <w:rPr>
                <w:rFonts w:asciiTheme="minorHAnsi" w:hAnsiTheme="minorHAnsi"/>
                <w:lang w:val="pt-PT" w:eastAsia="en-GB"/>
              </w:rPr>
              <w:t>1696</w:t>
            </w:r>
          </w:p>
        </w:tc>
        <w:tc>
          <w:tcPr>
            <w:tcW w:w="853" w:type="dxa"/>
            <w:tcBorders>
              <w:top w:val="nil"/>
              <w:left w:val="nil"/>
              <w:bottom w:val="single" w:sz="4" w:space="0" w:color="auto"/>
              <w:right w:val="single" w:sz="4" w:space="0" w:color="auto"/>
            </w:tcBorders>
            <w:shd w:val="clear" w:color="auto" w:fill="FFFFFF" w:themeFill="background1"/>
            <w:vAlign w:val="center"/>
          </w:tcPr>
          <w:p w14:paraId="2A61E8CA" w14:textId="77777777" w:rsidR="00D2404C" w:rsidRPr="00562C61" w:rsidRDefault="00D2404C" w:rsidP="007261DA">
            <w:pPr>
              <w:pStyle w:val="Tabletext"/>
              <w:jc w:val="center"/>
              <w:rPr>
                <w:rFonts w:asciiTheme="minorHAnsi" w:hAnsiTheme="minorHAnsi"/>
                <w:lang w:val="pt-PT" w:eastAsia="en-GB"/>
              </w:rPr>
            </w:pPr>
            <w:r w:rsidRPr="00562C61">
              <w:rPr>
                <w:rFonts w:asciiTheme="minorHAnsi" w:hAnsiTheme="minorHAnsi"/>
                <w:lang w:val="pt-PT" w:eastAsia="en-GB"/>
              </w:rPr>
              <w:t>CE 21 de l'UIT-T</w:t>
            </w:r>
          </w:p>
        </w:tc>
        <w:tc>
          <w:tcPr>
            <w:tcW w:w="1512" w:type="dxa"/>
            <w:tcBorders>
              <w:top w:val="nil"/>
              <w:left w:val="nil"/>
              <w:bottom w:val="single" w:sz="4" w:space="0" w:color="auto"/>
              <w:right w:val="single" w:sz="4" w:space="0" w:color="auto"/>
            </w:tcBorders>
            <w:shd w:val="clear" w:color="auto" w:fill="FFFFFF" w:themeFill="background1"/>
            <w:vAlign w:val="center"/>
          </w:tcPr>
          <w:p w14:paraId="092C4582" w14:textId="77777777" w:rsidR="00D2404C" w:rsidRPr="00562C61" w:rsidRDefault="00D2404C" w:rsidP="007261DA">
            <w:pPr>
              <w:pStyle w:val="Tabletext"/>
              <w:jc w:val="center"/>
              <w:rPr>
                <w:rFonts w:asciiTheme="minorHAnsi" w:hAnsiTheme="minorHAnsi"/>
                <w:lang w:val="pt-PT" w:eastAsia="en-GB"/>
              </w:rPr>
            </w:pPr>
            <w:r w:rsidRPr="00562C61">
              <w:rPr>
                <w:rFonts w:asciiTheme="minorHAnsi" w:hAnsiTheme="minorHAnsi"/>
                <w:lang w:val="pt-PT" w:eastAsia="en-GB"/>
              </w:rPr>
              <w:t>1/6</w:t>
            </w:r>
          </w:p>
        </w:tc>
        <w:tc>
          <w:tcPr>
            <w:tcW w:w="1750" w:type="dxa"/>
            <w:tcBorders>
              <w:top w:val="nil"/>
              <w:left w:val="nil"/>
              <w:bottom w:val="single" w:sz="4" w:space="0" w:color="auto"/>
              <w:right w:val="single" w:sz="4" w:space="0" w:color="auto"/>
            </w:tcBorders>
            <w:shd w:val="clear" w:color="auto" w:fill="FFFFFF" w:themeFill="background1"/>
            <w:vAlign w:val="center"/>
          </w:tcPr>
          <w:p w14:paraId="02734194" w14:textId="77777777" w:rsidR="00D2404C" w:rsidRPr="00562C61" w:rsidRDefault="00D2404C" w:rsidP="00562C61">
            <w:pPr>
              <w:pStyle w:val="Tabletext"/>
              <w:rPr>
                <w:rFonts w:asciiTheme="minorHAnsi" w:hAnsiTheme="minorHAnsi"/>
                <w:lang w:val="pt-PT" w:eastAsia="en-GB"/>
              </w:rPr>
            </w:pPr>
            <w:r w:rsidRPr="00562C61">
              <w:rPr>
                <w:rFonts w:asciiTheme="minorHAnsi" w:hAnsiTheme="minorHAnsi"/>
                <w:lang w:val="pt-PT" w:eastAsia="en-GB"/>
              </w:rPr>
              <w:t>Chili</w:t>
            </w:r>
          </w:p>
        </w:tc>
      </w:tr>
      <w:tr w:rsidR="00D2404C" w:rsidRPr="00BB34AE" w14:paraId="5B8E61D9" w14:textId="77777777" w:rsidTr="00365930">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85CC79"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Stellar Frequencies LLC</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30020630"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22.12.2025</w:t>
            </w:r>
          </w:p>
        </w:tc>
        <w:tc>
          <w:tcPr>
            <w:tcW w:w="1442" w:type="dxa"/>
            <w:tcBorders>
              <w:top w:val="nil"/>
              <w:left w:val="nil"/>
              <w:bottom w:val="single" w:sz="4" w:space="0" w:color="auto"/>
              <w:right w:val="single" w:sz="4" w:space="0" w:color="auto"/>
            </w:tcBorders>
            <w:shd w:val="clear" w:color="auto" w:fill="FFFFFF" w:themeFill="background1"/>
            <w:vAlign w:val="center"/>
            <w:hideMark/>
          </w:tcPr>
          <w:p w14:paraId="58B43D2C"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1697</w:t>
            </w:r>
          </w:p>
        </w:tc>
        <w:tc>
          <w:tcPr>
            <w:tcW w:w="853" w:type="dxa"/>
            <w:tcBorders>
              <w:top w:val="nil"/>
              <w:left w:val="nil"/>
              <w:bottom w:val="single" w:sz="4" w:space="0" w:color="auto"/>
              <w:right w:val="single" w:sz="4" w:space="0" w:color="auto"/>
            </w:tcBorders>
            <w:shd w:val="clear" w:color="auto" w:fill="FFFFFF" w:themeFill="background1"/>
            <w:vAlign w:val="center"/>
            <w:hideMark/>
          </w:tcPr>
          <w:p w14:paraId="159BA3BE"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CE 7 de l'UIT-R</w:t>
            </w:r>
          </w:p>
        </w:tc>
        <w:tc>
          <w:tcPr>
            <w:tcW w:w="1512" w:type="dxa"/>
            <w:tcBorders>
              <w:top w:val="nil"/>
              <w:left w:val="nil"/>
              <w:bottom w:val="single" w:sz="4" w:space="0" w:color="auto"/>
              <w:right w:val="single" w:sz="4" w:space="0" w:color="auto"/>
            </w:tcBorders>
            <w:shd w:val="clear" w:color="auto" w:fill="FFFFFF" w:themeFill="background1"/>
            <w:vAlign w:val="center"/>
            <w:hideMark/>
          </w:tcPr>
          <w:p w14:paraId="0EE572F0" w14:textId="77777777" w:rsidR="00D2404C" w:rsidRPr="00562C61" w:rsidRDefault="00D2404C" w:rsidP="007261DA">
            <w:pPr>
              <w:pStyle w:val="Tabletext"/>
              <w:jc w:val="center"/>
              <w:rPr>
                <w:rFonts w:asciiTheme="minorHAnsi" w:hAnsiTheme="minorHAnsi"/>
                <w:lang w:eastAsia="en-GB"/>
              </w:rPr>
            </w:pPr>
            <w:r w:rsidRPr="00562C61">
              <w:rPr>
                <w:rFonts w:asciiTheme="minorHAnsi" w:hAnsiTheme="minorHAnsi"/>
                <w:lang w:eastAsia="en-GB"/>
              </w:rPr>
              <w:t>1/16</w:t>
            </w:r>
          </w:p>
        </w:tc>
        <w:tc>
          <w:tcPr>
            <w:tcW w:w="1750" w:type="dxa"/>
            <w:tcBorders>
              <w:top w:val="nil"/>
              <w:left w:val="nil"/>
              <w:bottom w:val="single" w:sz="4" w:space="0" w:color="auto"/>
              <w:right w:val="single" w:sz="4" w:space="0" w:color="auto"/>
            </w:tcBorders>
            <w:shd w:val="clear" w:color="auto" w:fill="FFFFFF" w:themeFill="background1"/>
            <w:vAlign w:val="center"/>
            <w:hideMark/>
          </w:tcPr>
          <w:p w14:paraId="13771C89" w14:textId="77777777" w:rsidR="00D2404C" w:rsidRPr="00562C61" w:rsidRDefault="00D2404C" w:rsidP="00562C61">
            <w:pPr>
              <w:pStyle w:val="Tabletext"/>
              <w:rPr>
                <w:rFonts w:asciiTheme="minorHAnsi" w:hAnsiTheme="minorHAnsi"/>
                <w:lang w:eastAsia="en-GB"/>
              </w:rPr>
            </w:pPr>
            <w:r w:rsidRPr="00562C61">
              <w:rPr>
                <w:rFonts w:asciiTheme="minorHAnsi" w:hAnsiTheme="minorHAnsi"/>
                <w:lang w:eastAsia="en-GB"/>
              </w:rPr>
              <w:t>États-Unis</w:t>
            </w:r>
          </w:p>
        </w:tc>
      </w:tr>
    </w:tbl>
    <w:p w14:paraId="799AB08A" w14:textId="521CFCC2" w:rsidR="00897553" w:rsidRDefault="00D2404C" w:rsidP="00562C61">
      <w:pPr>
        <w:jc w:val="center"/>
      </w:pPr>
      <w:r w:rsidRPr="00A164AD">
        <w:t>______________</w:t>
      </w:r>
    </w:p>
    <w:sectPr w:rsidR="00897553" w:rsidSect="00D72F49">
      <w:headerReference w:type="even" r:id="rId11"/>
      <w:footerReference w:type="even" r:id="rId12"/>
      <w:footerReference w:type="default" r:id="rId13"/>
      <w:headerReference w:type="first" r:id="rId14"/>
      <w:footerReference w:type="first" r:id="rId15"/>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4785" w14:textId="77777777" w:rsidR="00C460CD" w:rsidRDefault="00C460CD">
      <w:r>
        <w:separator/>
      </w:r>
    </w:p>
  </w:endnote>
  <w:endnote w:type="continuationSeparator" w:id="0">
    <w:p w14:paraId="012C6BF9" w14:textId="77777777" w:rsidR="00C460CD" w:rsidRDefault="00C4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6E96" w14:textId="3A353566" w:rsidR="00732045" w:rsidRDefault="005F616C">
    <w:pPr>
      <w:pStyle w:val="Footer"/>
    </w:pPr>
    <w:fldSimple w:instr=" FILENAME \p \* MERGEFORMAT ">
      <w:r>
        <w:t>P:\FRA\gDoc\SG\C26\2600701F.docx</w:t>
      </w:r>
    </w:fldSimple>
    <w:r w:rsidR="00732045">
      <w:tab/>
    </w:r>
    <w:r w:rsidR="002F1B76">
      <w:fldChar w:fldCharType="begin"/>
    </w:r>
    <w:r w:rsidR="00732045">
      <w:instrText xml:space="preserve"> savedate \@ dd.MM.yy </w:instrText>
    </w:r>
    <w:r w:rsidR="002F1B76">
      <w:fldChar w:fldCharType="separate"/>
    </w:r>
    <w:r w:rsidR="00360663">
      <w:t>09.04.26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188B202" w14:textId="77777777" w:rsidTr="00E31DCE">
      <w:trPr>
        <w:jc w:val="center"/>
      </w:trPr>
      <w:tc>
        <w:tcPr>
          <w:tcW w:w="1803" w:type="dxa"/>
          <w:vAlign w:val="center"/>
        </w:tcPr>
        <w:p w14:paraId="0BD4C9B3" w14:textId="433334F8" w:rsidR="00A51849" w:rsidRDefault="00562C61" w:rsidP="00A51849">
          <w:pPr>
            <w:pStyle w:val="Header"/>
            <w:jc w:val="left"/>
            <w:rPr>
              <w:noProof/>
            </w:rPr>
          </w:pPr>
          <w:r>
            <w:rPr>
              <w:noProof/>
            </w:rPr>
            <w:t>2600701</w:t>
          </w:r>
        </w:p>
      </w:tc>
      <w:tc>
        <w:tcPr>
          <w:tcW w:w="8261" w:type="dxa"/>
        </w:tcPr>
        <w:p w14:paraId="7D4A96D0" w14:textId="49B84EA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562C61">
            <w:rPr>
              <w:bCs/>
            </w:rPr>
            <w:t>20</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421C7B9"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BA6F463" w14:textId="77777777" w:rsidTr="00E31DCE">
      <w:trPr>
        <w:jc w:val="center"/>
      </w:trPr>
      <w:tc>
        <w:tcPr>
          <w:tcW w:w="1803" w:type="dxa"/>
          <w:vAlign w:val="center"/>
        </w:tcPr>
        <w:p w14:paraId="5F598668"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08861A2D" w14:textId="579504E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562C61">
            <w:rPr>
              <w:bCs/>
            </w:rPr>
            <w:t>20</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EFA2ABE"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2056" w14:textId="77777777" w:rsidR="00C460CD" w:rsidRDefault="00C460CD">
      <w:r>
        <w:t>____________________</w:t>
      </w:r>
    </w:p>
  </w:footnote>
  <w:footnote w:type="continuationSeparator" w:id="0">
    <w:p w14:paraId="191D8624" w14:textId="77777777" w:rsidR="00C460CD" w:rsidRDefault="00C4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88A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3ED574F"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8CA1"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CD"/>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3568E"/>
    <w:rsid w:val="00355FF5"/>
    <w:rsid w:val="00360663"/>
    <w:rsid w:val="00361350"/>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2C61"/>
    <w:rsid w:val="00566679"/>
    <w:rsid w:val="00571EEA"/>
    <w:rsid w:val="00575417"/>
    <w:rsid w:val="005768E1"/>
    <w:rsid w:val="005B1938"/>
    <w:rsid w:val="005C3890"/>
    <w:rsid w:val="005F616C"/>
    <w:rsid w:val="005F7BFE"/>
    <w:rsid w:val="00600017"/>
    <w:rsid w:val="00602682"/>
    <w:rsid w:val="006235CA"/>
    <w:rsid w:val="0062366E"/>
    <w:rsid w:val="006643AB"/>
    <w:rsid w:val="006A11AE"/>
    <w:rsid w:val="006B224B"/>
    <w:rsid w:val="006D4170"/>
    <w:rsid w:val="006F0A53"/>
    <w:rsid w:val="006F2DEF"/>
    <w:rsid w:val="0071402E"/>
    <w:rsid w:val="007210CD"/>
    <w:rsid w:val="007261DA"/>
    <w:rsid w:val="00732045"/>
    <w:rsid w:val="0073275D"/>
    <w:rsid w:val="007369DB"/>
    <w:rsid w:val="0075647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460CD"/>
    <w:rsid w:val="00CA08ED"/>
    <w:rsid w:val="00CC6EAA"/>
    <w:rsid w:val="00CE5172"/>
    <w:rsid w:val="00CF0534"/>
    <w:rsid w:val="00CF183B"/>
    <w:rsid w:val="00D00DB2"/>
    <w:rsid w:val="00D2404C"/>
    <w:rsid w:val="00D375CD"/>
    <w:rsid w:val="00D37B53"/>
    <w:rsid w:val="00D5005A"/>
    <w:rsid w:val="00D553A2"/>
    <w:rsid w:val="00D72F49"/>
    <w:rsid w:val="00D774D3"/>
    <w:rsid w:val="00D904E8"/>
    <w:rsid w:val="00DA08C3"/>
    <w:rsid w:val="00DB5A3E"/>
    <w:rsid w:val="00DC22AA"/>
    <w:rsid w:val="00DD1A99"/>
    <w:rsid w:val="00DD7C7A"/>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8F176"/>
  <w15:docId w15:val="{42545A8C-3998-4C66-AD9C-43E44B0A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5647B"/>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R%26D/Council-document-C93-49-F.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tu.int/en/council/Documents/basic-texts-2023/Convention-F.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itu.int/en/council/Documents/R%26D/Council-document-C93-49-F.pdf" TargetMode="External"/><Relationship Id="rId4" Type="http://schemas.openxmlformats.org/officeDocument/2006/relationships/webSettings" Target="webSettings.xml"/><Relationship Id="rId9" Type="http://schemas.openxmlformats.org/officeDocument/2006/relationships/hyperlink" Target="https://www.itu.int/itudoc/gs/council/c00/docs/33-fr.html"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2</TotalTime>
  <Pages>4</Pages>
  <Words>1061</Words>
  <Characters>6628</Characters>
  <Application>Microsoft Office Word</Application>
  <DocSecurity>0</DocSecurity>
  <Lines>331</Lines>
  <Paragraphs>219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7470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provisoire d'entités s'occupant de questions de télécommunication aux activités de l'UIT</dc:title>
  <dc:subject>Conseil 2026 de l'UIT</dc:subject>
  <cp:keywords>C26; C2026; Council 2026; PP26</cp:keywords>
  <dc:description/>
  <cp:lastPrinted>2000-07-18T08:55:00Z</cp:lastPrinted>
  <dcterms:created xsi:type="dcterms:W3CDTF">2026-04-09T12:26:00Z</dcterms:created>
  <dcterms:modified xsi:type="dcterms:W3CDTF">2026-04-09T12:27:00Z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