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2634BA" w14:paraId="2233225F" w14:textId="77777777" w:rsidTr="00C4421B">
        <w:trPr>
          <w:cantSplit/>
          <w:trHeight w:val="23"/>
        </w:trPr>
        <w:tc>
          <w:tcPr>
            <w:tcW w:w="3969" w:type="dxa"/>
            <w:vMerge w:val="restart"/>
            <w:tcMar>
              <w:left w:w="0" w:type="dxa"/>
            </w:tcMar>
          </w:tcPr>
          <w:p w14:paraId="204106F5" w14:textId="5FB748C1" w:rsidR="00FE57F6" w:rsidRPr="002634BA" w:rsidRDefault="00CC1FAF" w:rsidP="00C4421B">
            <w:pPr>
              <w:tabs>
                <w:tab w:val="left" w:pos="851"/>
              </w:tabs>
              <w:spacing w:before="0" w:line="240" w:lineRule="atLeast"/>
              <w:rPr>
                <w:b/>
                <w:lang w:val="es-ES"/>
              </w:rPr>
            </w:pPr>
            <w:bookmarkStart w:id="0" w:name="_Hlk133421839"/>
            <w:r w:rsidRPr="002634BA">
              <w:rPr>
                <w:b/>
                <w:lang w:val="es-ES"/>
              </w:rPr>
              <w:t>Punto del o</w:t>
            </w:r>
            <w:r w:rsidR="00BB6FD8" w:rsidRPr="002634BA">
              <w:rPr>
                <w:b/>
                <w:lang w:val="es-ES"/>
              </w:rPr>
              <w:t>rden del día</w:t>
            </w:r>
            <w:r w:rsidR="00FE57F6" w:rsidRPr="002634BA">
              <w:rPr>
                <w:b/>
                <w:lang w:val="es-ES"/>
              </w:rPr>
              <w:t xml:space="preserve">: </w:t>
            </w:r>
            <w:r w:rsidR="004861AF" w:rsidRPr="002634BA">
              <w:rPr>
                <w:b/>
                <w:lang w:val="es-ES"/>
              </w:rPr>
              <w:t>ADM 1</w:t>
            </w:r>
          </w:p>
        </w:tc>
        <w:tc>
          <w:tcPr>
            <w:tcW w:w="5245" w:type="dxa"/>
          </w:tcPr>
          <w:p w14:paraId="79B4A537" w14:textId="1014097B" w:rsidR="00FE57F6" w:rsidRPr="002634BA" w:rsidRDefault="00FE57F6" w:rsidP="00C4421B">
            <w:pPr>
              <w:tabs>
                <w:tab w:val="left" w:pos="851"/>
              </w:tabs>
              <w:spacing w:before="0" w:line="240" w:lineRule="atLeast"/>
              <w:jc w:val="right"/>
              <w:rPr>
                <w:b/>
                <w:lang w:val="es-ES"/>
              </w:rPr>
            </w:pPr>
            <w:r w:rsidRPr="002634BA">
              <w:rPr>
                <w:b/>
                <w:lang w:val="es-ES"/>
              </w:rPr>
              <w:t>Document</w:t>
            </w:r>
            <w:r w:rsidR="00F24B71" w:rsidRPr="002634BA">
              <w:rPr>
                <w:b/>
                <w:lang w:val="es-ES"/>
              </w:rPr>
              <w:t>o</w:t>
            </w:r>
            <w:r w:rsidRPr="002634BA">
              <w:rPr>
                <w:b/>
                <w:lang w:val="es-ES"/>
              </w:rPr>
              <w:t xml:space="preserve"> C2</w:t>
            </w:r>
            <w:r w:rsidR="00F85E5C" w:rsidRPr="002634BA">
              <w:rPr>
                <w:b/>
                <w:lang w:val="es-ES"/>
              </w:rPr>
              <w:t>6</w:t>
            </w:r>
            <w:r w:rsidRPr="002634BA">
              <w:rPr>
                <w:b/>
                <w:lang w:val="es-ES"/>
              </w:rPr>
              <w:t>/</w:t>
            </w:r>
            <w:r w:rsidR="004861AF" w:rsidRPr="002634BA">
              <w:rPr>
                <w:b/>
                <w:lang w:val="es-ES"/>
              </w:rPr>
              <w:t>19</w:t>
            </w:r>
            <w:r w:rsidRPr="002634BA">
              <w:rPr>
                <w:b/>
                <w:lang w:val="es-ES"/>
              </w:rPr>
              <w:t>-</w:t>
            </w:r>
            <w:r w:rsidR="00F24B71" w:rsidRPr="002634BA">
              <w:rPr>
                <w:b/>
                <w:lang w:val="es-ES"/>
              </w:rPr>
              <w:t>S</w:t>
            </w:r>
          </w:p>
        </w:tc>
      </w:tr>
      <w:tr w:rsidR="00FE57F6" w:rsidRPr="002634BA" w14:paraId="61CD4CD8" w14:textId="77777777" w:rsidTr="00C4421B">
        <w:trPr>
          <w:cantSplit/>
        </w:trPr>
        <w:tc>
          <w:tcPr>
            <w:tcW w:w="3969" w:type="dxa"/>
            <w:vMerge/>
          </w:tcPr>
          <w:p w14:paraId="1EBA65DD" w14:textId="77777777" w:rsidR="00FE57F6" w:rsidRPr="002634BA" w:rsidRDefault="00FE57F6" w:rsidP="00C4421B">
            <w:pPr>
              <w:tabs>
                <w:tab w:val="left" w:pos="851"/>
              </w:tabs>
              <w:spacing w:line="240" w:lineRule="atLeast"/>
              <w:rPr>
                <w:b/>
                <w:lang w:val="es-ES"/>
              </w:rPr>
            </w:pPr>
          </w:p>
        </w:tc>
        <w:tc>
          <w:tcPr>
            <w:tcW w:w="5245" w:type="dxa"/>
          </w:tcPr>
          <w:p w14:paraId="6FE29078" w14:textId="206742BF" w:rsidR="00FE57F6" w:rsidRPr="002634BA" w:rsidRDefault="004861AF" w:rsidP="00C4421B">
            <w:pPr>
              <w:tabs>
                <w:tab w:val="left" w:pos="851"/>
              </w:tabs>
              <w:spacing w:before="0"/>
              <w:jc w:val="right"/>
              <w:rPr>
                <w:b/>
                <w:lang w:val="es-ES"/>
              </w:rPr>
            </w:pPr>
            <w:r w:rsidRPr="002634BA">
              <w:rPr>
                <w:b/>
                <w:lang w:val="es-ES"/>
              </w:rPr>
              <w:t>19 de marzo de 2026</w:t>
            </w:r>
          </w:p>
        </w:tc>
      </w:tr>
      <w:tr w:rsidR="00FE57F6" w:rsidRPr="002634BA" w14:paraId="47FDE350" w14:textId="77777777" w:rsidTr="00C4421B">
        <w:trPr>
          <w:cantSplit/>
          <w:trHeight w:val="23"/>
        </w:trPr>
        <w:tc>
          <w:tcPr>
            <w:tcW w:w="3969" w:type="dxa"/>
            <w:vMerge/>
          </w:tcPr>
          <w:p w14:paraId="1C09E10C" w14:textId="77777777" w:rsidR="00FE57F6" w:rsidRPr="002634BA" w:rsidRDefault="00FE57F6" w:rsidP="00C4421B">
            <w:pPr>
              <w:tabs>
                <w:tab w:val="left" w:pos="851"/>
              </w:tabs>
              <w:spacing w:line="240" w:lineRule="atLeast"/>
              <w:rPr>
                <w:b/>
                <w:lang w:val="es-ES"/>
              </w:rPr>
            </w:pPr>
          </w:p>
        </w:tc>
        <w:tc>
          <w:tcPr>
            <w:tcW w:w="5245" w:type="dxa"/>
          </w:tcPr>
          <w:p w14:paraId="420B5663" w14:textId="77777777" w:rsidR="00FE57F6" w:rsidRPr="002634BA" w:rsidRDefault="00F24B71" w:rsidP="00C4421B">
            <w:pPr>
              <w:tabs>
                <w:tab w:val="left" w:pos="851"/>
              </w:tabs>
              <w:spacing w:before="0" w:line="240" w:lineRule="atLeast"/>
              <w:jc w:val="right"/>
              <w:rPr>
                <w:b/>
                <w:bCs/>
                <w:lang w:val="es-ES"/>
              </w:rPr>
            </w:pPr>
            <w:r w:rsidRPr="002634BA">
              <w:rPr>
                <w:rFonts w:cstheme="minorHAnsi"/>
                <w:b/>
                <w:bCs/>
                <w:lang w:val="es-ES"/>
              </w:rPr>
              <w:t>Original: inglés</w:t>
            </w:r>
          </w:p>
        </w:tc>
      </w:tr>
      <w:tr w:rsidR="00FE57F6" w:rsidRPr="002634BA" w14:paraId="7AF9F44F" w14:textId="77777777" w:rsidTr="00C4421B">
        <w:trPr>
          <w:cantSplit/>
          <w:trHeight w:val="23"/>
        </w:trPr>
        <w:tc>
          <w:tcPr>
            <w:tcW w:w="3969" w:type="dxa"/>
          </w:tcPr>
          <w:p w14:paraId="72065B9C" w14:textId="77777777" w:rsidR="00FE57F6" w:rsidRPr="002634BA" w:rsidRDefault="00FE57F6" w:rsidP="001366BB">
            <w:pPr>
              <w:tabs>
                <w:tab w:val="left" w:pos="851"/>
              </w:tabs>
              <w:spacing w:before="0" w:line="240" w:lineRule="atLeast"/>
              <w:rPr>
                <w:b/>
                <w:lang w:val="es-ES"/>
              </w:rPr>
            </w:pPr>
          </w:p>
        </w:tc>
        <w:tc>
          <w:tcPr>
            <w:tcW w:w="5245" w:type="dxa"/>
          </w:tcPr>
          <w:p w14:paraId="78F570EC" w14:textId="77777777" w:rsidR="00FE57F6" w:rsidRPr="002634BA" w:rsidRDefault="00FE57F6" w:rsidP="001366BB">
            <w:pPr>
              <w:tabs>
                <w:tab w:val="left" w:pos="851"/>
              </w:tabs>
              <w:spacing w:before="0" w:line="240" w:lineRule="atLeast"/>
              <w:jc w:val="right"/>
              <w:rPr>
                <w:b/>
                <w:lang w:val="es-ES"/>
              </w:rPr>
            </w:pPr>
          </w:p>
        </w:tc>
      </w:tr>
      <w:tr w:rsidR="00FE57F6" w:rsidRPr="00610EFC" w14:paraId="447517A6" w14:textId="77777777" w:rsidTr="00C4421B">
        <w:trPr>
          <w:cantSplit/>
        </w:trPr>
        <w:tc>
          <w:tcPr>
            <w:tcW w:w="9214" w:type="dxa"/>
            <w:gridSpan w:val="2"/>
            <w:tcMar>
              <w:left w:w="0" w:type="dxa"/>
            </w:tcMar>
          </w:tcPr>
          <w:p w14:paraId="621E6E29" w14:textId="77777777" w:rsidR="00FE57F6" w:rsidRPr="001366BB" w:rsidRDefault="00157AC4" w:rsidP="001366BB">
            <w:pPr>
              <w:pStyle w:val="Source"/>
              <w:framePr w:hSpace="0" w:wrap="auto" w:vAnchor="margin" w:hAnchor="text" w:xAlign="left" w:yAlign="inline"/>
            </w:pPr>
            <w:r w:rsidRPr="001366BB">
              <w:t>Informe de la Secretaria General</w:t>
            </w:r>
          </w:p>
        </w:tc>
      </w:tr>
      <w:tr w:rsidR="00FE57F6" w:rsidRPr="00610EFC" w14:paraId="6EC84188" w14:textId="77777777" w:rsidTr="00C4421B">
        <w:trPr>
          <w:cantSplit/>
        </w:trPr>
        <w:tc>
          <w:tcPr>
            <w:tcW w:w="9214" w:type="dxa"/>
            <w:gridSpan w:val="2"/>
            <w:tcMar>
              <w:left w:w="0" w:type="dxa"/>
            </w:tcMar>
          </w:tcPr>
          <w:p w14:paraId="5B1925B4" w14:textId="5E0A1FEE" w:rsidR="00FE57F6" w:rsidRPr="002634BA" w:rsidRDefault="00610EFC" w:rsidP="001366BB">
            <w:pPr>
              <w:pStyle w:val="Subtitle"/>
              <w:framePr w:hSpace="0" w:wrap="auto" w:hAnchor="text" w:xAlign="left" w:yAlign="inline"/>
              <w:spacing w:after="120"/>
              <w:rPr>
                <w:lang w:val="es-ES"/>
              </w:rPr>
            </w:pPr>
            <w:r w:rsidRPr="002634BA">
              <w:rPr>
                <w:lang w:val="es-ES"/>
              </w:rPr>
              <w:t>PROYECTO DE METODOLOGÍA SOBRE NOTIFICACIONES</w:t>
            </w:r>
            <w:r>
              <w:rPr>
                <w:lang w:val="es-ES"/>
              </w:rPr>
              <w:t xml:space="preserve"> </w:t>
            </w:r>
            <w:r w:rsidRPr="002634BA">
              <w:rPr>
                <w:lang w:val="es-ES"/>
              </w:rPr>
              <w:t>DE REDES DE SATÉLITE</w:t>
            </w:r>
          </w:p>
        </w:tc>
      </w:tr>
      <w:tr w:rsidR="00FE57F6" w:rsidRPr="00610EFC" w14:paraId="75F99171" w14:textId="77777777" w:rsidTr="00C4421B">
        <w:trPr>
          <w:cantSplit/>
        </w:trPr>
        <w:tc>
          <w:tcPr>
            <w:tcW w:w="9214" w:type="dxa"/>
            <w:gridSpan w:val="2"/>
            <w:tcBorders>
              <w:top w:val="single" w:sz="4" w:space="0" w:color="auto"/>
              <w:bottom w:val="single" w:sz="4" w:space="0" w:color="auto"/>
            </w:tcBorders>
            <w:tcMar>
              <w:left w:w="0" w:type="dxa"/>
            </w:tcMar>
          </w:tcPr>
          <w:p w14:paraId="1386E1C4" w14:textId="77777777" w:rsidR="00FE57F6" w:rsidRPr="002634BA" w:rsidRDefault="00F24B71" w:rsidP="00C4421B">
            <w:pPr>
              <w:spacing w:before="160"/>
              <w:rPr>
                <w:b/>
                <w:bCs/>
                <w:sz w:val="26"/>
                <w:szCs w:val="26"/>
                <w:lang w:val="es-ES"/>
              </w:rPr>
            </w:pPr>
            <w:r w:rsidRPr="002634BA">
              <w:rPr>
                <w:b/>
                <w:bCs/>
                <w:sz w:val="26"/>
                <w:szCs w:val="26"/>
                <w:lang w:val="es-ES"/>
              </w:rPr>
              <w:t>Finalidad</w:t>
            </w:r>
          </w:p>
          <w:p w14:paraId="17785C28" w14:textId="3BA96ED9" w:rsidR="004861AF" w:rsidRPr="002634BA" w:rsidRDefault="004861AF" w:rsidP="006D1843">
            <w:pPr>
              <w:jc w:val="both"/>
              <w:rPr>
                <w:lang w:val="es-ES"/>
              </w:rPr>
            </w:pPr>
            <w:r w:rsidRPr="002634BA">
              <w:rPr>
                <w:lang w:val="es-ES"/>
              </w:rPr>
              <w:t>En el presente documento se reseña la propuesta de metodología de la Secretaría relativa a la recuperación de costes para notificaciones de redes de satélite. En recientes reuniones del Consejo y del Grupo de Trabajo del Consejo sobre Recursos Humanos y Financieros (GTC</w:t>
            </w:r>
            <w:r w:rsidRPr="002634BA">
              <w:rPr>
                <w:lang w:val="es-ES"/>
              </w:rPr>
              <w:noBreakHyphen/>
              <w:t>RHF), la Secretaría informó a los delegados de que los ingresos recaudados desde 2021 en concepto de tarifas de notificación de redes de satélite con arreglo a la metodología actual no han permitido recuperar íntegramente los costes de la labor realizada por la Secretaría para tramitar esas notificaciones. Esta situación obedece al sustancial aumento de la cantidad y la complejidad de las notificaciones, sin que se hayan producido aumentos correspondientes y proporcionales en las tarifas recaudadas. En consecuencia, en los últimos años, el coste de la tramitación de notificaciones de redes de satélite se ha sufragado con cargo al presupuesto ordinario de la UIT, a diferencia de lo previsto en el marco de la Resolución 91 de la Conferencia de Plenipotenciarios (Rev. Bucarest, 2022).</w:t>
            </w:r>
          </w:p>
          <w:p w14:paraId="7F742BA4" w14:textId="29E4830C" w:rsidR="004861AF" w:rsidRPr="002634BA" w:rsidRDefault="004861AF" w:rsidP="006D1843">
            <w:pPr>
              <w:jc w:val="both"/>
              <w:rPr>
                <w:lang w:val="es-ES"/>
              </w:rPr>
            </w:pPr>
            <w:r w:rsidRPr="002634BA">
              <w:rPr>
                <w:lang w:val="es-ES"/>
              </w:rPr>
              <w:t xml:space="preserve">A raíz de los esfuerzos de la Secretaría por poner de manifiesto ese desajuste, los delegados expresaron su inquietud por la necesidad de disponer de información pormenorizada que justifique los costes en relación con los elementos de costes directos e indirectos tenidos en cuenta y que facilite una toma de decisiones basada en datos. En 2025, el Consejo aplicó un aumento provisional de las tarifas de notificación de redes de satélite, lo que proporcionó ingresos adicionales para compensar parcialmente el citado desajuste por un </w:t>
            </w:r>
            <w:r w:rsidR="00A362BE">
              <w:rPr>
                <w:lang w:val="es-ES"/>
              </w:rPr>
              <w:t>periodo</w:t>
            </w:r>
            <w:r w:rsidRPr="002634BA">
              <w:rPr>
                <w:lang w:val="es-ES"/>
              </w:rPr>
              <w:t xml:space="preserve"> de dos años, y se encargó a la Secretaría, bajo orientación del GTC-RHF, que presentara propuestas para un marco revisado.</w:t>
            </w:r>
          </w:p>
          <w:p w14:paraId="388FCA49" w14:textId="5DAFFFE9" w:rsidR="00FE57F6" w:rsidRPr="002634BA" w:rsidRDefault="004861AF" w:rsidP="006D1843">
            <w:pPr>
              <w:jc w:val="both"/>
              <w:rPr>
                <w:lang w:val="es-ES"/>
              </w:rPr>
            </w:pPr>
            <w:r w:rsidRPr="002634BA">
              <w:rPr>
                <w:lang w:val="es-ES"/>
              </w:rPr>
              <w:t>La propuesta que figura en el presente documento tiene por objeto abordar los recientes debates e inquietudes de los delegados, y proponer un modelo de cálculo de costes basado en actividades que proporcione una metodología más precisa para calcular los costes en toda la UIT y permita armonizar las tarifas de las notificaciones de redes de satélite con esos costes, mediante la aplicación de principios de causalidad de los costes.</w:t>
            </w:r>
          </w:p>
          <w:p w14:paraId="7F502131" w14:textId="4A937AB6" w:rsidR="00FE57F6" w:rsidRPr="002634BA" w:rsidRDefault="00F24B71" w:rsidP="007B2B42">
            <w:pPr>
              <w:keepNext/>
              <w:keepLines/>
              <w:spacing w:before="160"/>
              <w:rPr>
                <w:b/>
                <w:bCs/>
                <w:sz w:val="26"/>
                <w:szCs w:val="26"/>
                <w:lang w:val="es-ES"/>
              </w:rPr>
            </w:pPr>
            <w:r w:rsidRPr="002634BA">
              <w:rPr>
                <w:b/>
                <w:bCs/>
                <w:sz w:val="26"/>
                <w:szCs w:val="26"/>
                <w:lang w:val="es-ES"/>
              </w:rPr>
              <w:t xml:space="preserve">Acción solicitada </w:t>
            </w:r>
            <w:r w:rsidR="00677A97" w:rsidRPr="002634BA">
              <w:rPr>
                <w:b/>
                <w:bCs/>
                <w:sz w:val="26"/>
                <w:szCs w:val="26"/>
                <w:lang w:val="es-ES"/>
              </w:rPr>
              <w:t>al</w:t>
            </w:r>
            <w:r w:rsidRPr="002634BA">
              <w:rPr>
                <w:b/>
                <w:bCs/>
                <w:sz w:val="26"/>
                <w:szCs w:val="26"/>
                <w:lang w:val="es-ES"/>
              </w:rPr>
              <w:t xml:space="preserve"> Consejo</w:t>
            </w:r>
          </w:p>
          <w:p w14:paraId="6163FF60" w14:textId="77777777" w:rsidR="007B2B42" w:rsidRPr="002634BA" w:rsidRDefault="007B2B42" w:rsidP="001366BB">
            <w:pPr>
              <w:spacing w:before="160" w:after="120"/>
              <w:rPr>
                <w:szCs w:val="24"/>
                <w:lang w:val="es-ES"/>
              </w:rPr>
            </w:pPr>
            <w:r w:rsidRPr="002634BA">
              <w:rPr>
                <w:szCs w:val="24"/>
                <w:lang w:val="es-ES"/>
              </w:rPr>
              <w:t xml:space="preserve">Se solicita al Consejo que </w:t>
            </w:r>
            <w:r w:rsidRPr="002634BA">
              <w:rPr>
                <w:b/>
                <w:bCs/>
                <w:szCs w:val="24"/>
                <w:lang w:val="es-ES"/>
              </w:rPr>
              <w:t>examine</w:t>
            </w:r>
            <w:r w:rsidRPr="002634BA">
              <w:rPr>
                <w:szCs w:val="24"/>
                <w:lang w:val="es-ES"/>
              </w:rPr>
              <w:t xml:space="preserve"> y </w:t>
            </w:r>
            <w:r w:rsidRPr="002634BA">
              <w:rPr>
                <w:b/>
                <w:bCs/>
                <w:szCs w:val="24"/>
                <w:lang w:val="es-ES"/>
              </w:rPr>
              <w:t>respalde</w:t>
            </w:r>
            <w:r w:rsidRPr="002634BA">
              <w:rPr>
                <w:szCs w:val="24"/>
                <w:lang w:val="es-ES"/>
              </w:rPr>
              <w:t xml:space="preserve"> la propuesta de metodología que figura en el presente documento.</w:t>
            </w:r>
          </w:p>
          <w:p w14:paraId="322FAB7A" w14:textId="77777777" w:rsidR="00F92BED" w:rsidRPr="002634BA" w:rsidRDefault="00F92BED" w:rsidP="00C4421B">
            <w:pPr>
              <w:spacing w:before="160"/>
              <w:rPr>
                <w:b/>
                <w:bCs/>
                <w:sz w:val="26"/>
                <w:szCs w:val="26"/>
                <w:lang w:val="es-ES"/>
              </w:rPr>
            </w:pPr>
            <w:r w:rsidRPr="002634BA">
              <w:rPr>
                <w:b/>
                <w:bCs/>
                <w:sz w:val="26"/>
                <w:szCs w:val="26"/>
                <w:lang w:val="es-ES"/>
              </w:rPr>
              <w:lastRenderedPageBreak/>
              <w:t>Vínculo(s) pertinente(s) con el Plan Estratégico</w:t>
            </w:r>
          </w:p>
          <w:p w14:paraId="69D22B0E" w14:textId="7EAE5093" w:rsidR="00F92BED" w:rsidRPr="002634BA" w:rsidRDefault="004861AF" w:rsidP="00C4421B">
            <w:pPr>
              <w:rPr>
                <w:lang w:val="es-ES"/>
              </w:rPr>
            </w:pPr>
            <w:r w:rsidRPr="002634BA">
              <w:rPr>
                <w:lang w:val="es-ES"/>
              </w:rPr>
              <w:t>Conectividad universal; espectro para servicios espaciales y terrenales; elaboración y aplicación del Reglamento Administrativo de la UIT; atribución y gestión de recursos.</w:t>
            </w:r>
          </w:p>
          <w:p w14:paraId="3ECA99B8" w14:textId="77777777" w:rsidR="00F92BED" w:rsidRPr="002634BA" w:rsidRDefault="00F92BED" w:rsidP="00C4421B">
            <w:pPr>
              <w:spacing w:before="160"/>
              <w:rPr>
                <w:b/>
                <w:bCs/>
                <w:sz w:val="26"/>
                <w:szCs w:val="26"/>
                <w:lang w:val="es-ES"/>
              </w:rPr>
            </w:pPr>
            <w:r w:rsidRPr="002634BA">
              <w:rPr>
                <w:b/>
                <w:bCs/>
                <w:sz w:val="26"/>
                <w:szCs w:val="26"/>
                <w:lang w:val="es-ES"/>
              </w:rPr>
              <w:t>Repercusiones financieras</w:t>
            </w:r>
          </w:p>
          <w:p w14:paraId="7D77F551" w14:textId="48EEE944" w:rsidR="00F92BED" w:rsidRPr="002634BA" w:rsidRDefault="004861AF" w:rsidP="00C4421B">
            <w:pPr>
              <w:rPr>
                <w:lang w:val="es-ES"/>
              </w:rPr>
            </w:pPr>
            <w:r w:rsidRPr="002634BA">
              <w:rPr>
                <w:lang w:val="es-ES"/>
              </w:rPr>
              <w:t>Los costes totales de la tramitación de redes de satélite se elevan a 15 753 700 de francos suizos, de los cuales los costes directos corresponden a 12 735 900 de francos suizos y los costes indirectos totales a 3 017 800 de francos suizos (en el presente documento se proporciona información pormenorizada al respecto).</w:t>
            </w:r>
          </w:p>
          <w:p w14:paraId="7E0B1D95" w14:textId="77777777" w:rsidR="00FE57F6" w:rsidRPr="002634BA" w:rsidRDefault="00FE57F6" w:rsidP="00C4421B">
            <w:pPr>
              <w:spacing w:before="160"/>
              <w:rPr>
                <w:caps/>
                <w:sz w:val="22"/>
                <w:lang w:val="es-ES"/>
              </w:rPr>
            </w:pPr>
            <w:r w:rsidRPr="002634BA">
              <w:rPr>
                <w:sz w:val="22"/>
                <w:lang w:val="es-ES"/>
              </w:rPr>
              <w:t>__________________</w:t>
            </w:r>
          </w:p>
          <w:p w14:paraId="0B7AD265" w14:textId="77777777" w:rsidR="00FE57F6" w:rsidRPr="002634BA" w:rsidRDefault="00F24B71" w:rsidP="00C4421B">
            <w:pPr>
              <w:spacing w:before="160"/>
              <w:rPr>
                <w:b/>
                <w:bCs/>
                <w:sz w:val="26"/>
                <w:szCs w:val="26"/>
                <w:lang w:val="es-ES"/>
              </w:rPr>
            </w:pPr>
            <w:r w:rsidRPr="002634BA">
              <w:rPr>
                <w:b/>
                <w:bCs/>
                <w:sz w:val="26"/>
                <w:szCs w:val="26"/>
                <w:lang w:val="es-ES"/>
              </w:rPr>
              <w:t>Referencia</w:t>
            </w:r>
            <w:r w:rsidR="00F92BED" w:rsidRPr="002634BA">
              <w:rPr>
                <w:b/>
                <w:bCs/>
                <w:sz w:val="26"/>
                <w:szCs w:val="26"/>
                <w:lang w:val="es-ES"/>
              </w:rPr>
              <w:t>s</w:t>
            </w:r>
            <w:r w:rsidR="00D375E0" w:rsidRPr="002634BA">
              <w:rPr>
                <w:sz w:val="26"/>
                <w:szCs w:val="26"/>
                <w:lang w:val="es-ES"/>
              </w:rPr>
              <w:t xml:space="preserve"> </w:t>
            </w:r>
          </w:p>
          <w:p w14:paraId="01E62A83" w14:textId="4577CDD2" w:rsidR="00FE57F6" w:rsidRPr="00986768" w:rsidRDefault="004861AF" w:rsidP="00C4421B">
            <w:pPr>
              <w:spacing w:after="160"/>
              <w:rPr>
                <w:i/>
                <w:iCs/>
                <w:sz w:val="22"/>
                <w:szCs w:val="22"/>
                <w:lang w:val="es-ES"/>
              </w:rPr>
            </w:pPr>
            <w:r w:rsidRPr="00986768">
              <w:rPr>
                <w:i/>
                <w:iCs/>
                <w:sz w:val="22"/>
                <w:szCs w:val="22"/>
                <w:lang w:val="es-ES"/>
              </w:rPr>
              <w:t xml:space="preserve">Documentos </w:t>
            </w:r>
            <w:hyperlink r:id="rId6" w:history="1">
              <w:proofErr w:type="spellStart"/>
              <w:r w:rsidRPr="00986768">
                <w:rPr>
                  <w:rStyle w:val="Hyperlink"/>
                  <w:rFonts w:eastAsia="Times New Roman" w:cs="Times New Roman"/>
                  <w:i/>
                  <w:iCs/>
                  <w:sz w:val="22"/>
                  <w:lang w:val="es-ES"/>
                </w:rPr>
                <w:t>C25</w:t>
              </w:r>
              <w:proofErr w:type="spellEnd"/>
              <w:r w:rsidRPr="00986768">
                <w:rPr>
                  <w:rStyle w:val="Hyperlink"/>
                  <w:rFonts w:eastAsia="Times New Roman" w:cs="Times New Roman"/>
                  <w:i/>
                  <w:iCs/>
                  <w:sz w:val="22"/>
                  <w:lang w:val="es-ES"/>
                </w:rPr>
                <w:t>/10</w:t>
              </w:r>
            </w:hyperlink>
            <w:r w:rsidRPr="00986768">
              <w:rPr>
                <w:i/>
                <w:iCs/>
                <w:sz w:val="22"/>
                <w:szCs w:val="22"/>
                <w:lang w:val="es-ES"/>
              </w:rPr>
              <w:t xml:space="preserve"> y </w:t>
            </w:r>
            <w:hyperlink r:id="rId7" w:history="1">
              <w:proofErr w:type="spellStart"/>
              <w:r w:rsidRPr="00986768">
                <w:rPr>
                  <w:rStyle w:val="Hyperlink"/>
                  <w:rFonts w:eastAsia="Times New Roman" w:cs="Times New Roman"/>
                  <w:i/>
                  <w:iCs/>
                  <w:sz w:val="22"/>
                  <w:lang w:val="es-ES"/>
                </w:rPr>
                <w:t>C25</w:t>
              </w:r>
              <w:proofErr w:type="spellEnd"/>
              <w:r w:rsidRPr="00986768">
                <w:rPr>
                  <w:rStyle w:val="Hyperlink"/>
                  <w:rFonts w:eastAsia="Times New Roman" w:cs="Times New Roman"/>
                  <w:i/>
                  <w:iCs/>
                  <w:sz w:val="22"/>
                  <w:lang w:val="es-ES"/>
                </w:rPr>
                <w:t>/64</w:t>
              </w:r>
            </w:hyperlink>
            <w:r w:rsidRPr="00986768">
              <w:rPr>
                <w:i/>
                <w:iCs/>
                <w:sz w:val="22"/>
                <w:szCs w:val="22"/>
                <w:lang w:val="es-ES"/>
              </w:rPr>
              <w:t xml:space="preserve">; Acuerdo </w:t>
            </w:r>
            <w:hyperlink r:id="rId8" w:history="1">
              <w:r w:rsidRPr="00986768">
                <w:rPr>
                  <w:rStyle w:val="Hyperlink"/>
                  <w:rFonts w:eastAsia="Times New Roman" w:cs="Times New Roman"/>
                  <w:i/>
                  <w:iCs/>
                  <w:sz w:val="22"/>
                  <w:lang w:val="es-ES"/>
                </w:rPr>
                <w:t>535 (modificado en 2014)</w:t>
              </w:r>
            </w:hyperlink>
            <w:r w:rsidRPr="00986768">
              <w:rPr>
                <w:i/>
                <w:iCs/>
                <w:sz w:val="22"/>
                <w:szCs w:val="22"/>
                <w:lang w:val="es-ES"/>
              </w:rPr>
              <w:t xml:space="preserve"> del Consejo; </w:t>
            </w:r>
            <w:r w:rsidR="00610EFC">
              <w:rPr>
                <w:i/>
                <w:iCs/>
                <w:sz w:val="22"/>
                <w:szCs w:val="22"/>
                <w:lang w:val="es-ES"/>
              </w:rPr>
              <w:br/>
            </w:r>
            <w:r w:rsidRPr="00986768">
              <w:rPr>
                <w:i/>
                <w:iCs/>
                <w:sz w:val="22"/>
                <w:szCs w:val="22"/>
                <w:lang w:val="es-ES"/>
              </w:rPr>
              <w:t xml:space="preserve">Resolución </w:t>
            </w:r>
            <w:hyperlink r:id="rId9" w:history="1">
              <w:r w:rsidRPr="00986768">
                <w:rPr>
                  <w:rStyle w:val="Hyperlink"/>
                  <w:rFonts w:eastAsia="Times New Roman" w:cs="Times New Roman"/>
                  <w:i/>
                  <w:iCs/>
                  <w:sz w:val="22"/>
                  <w:lang w:val="es-ES"/>
                </w:rPr>
                <w:t>91 (Rev. Guadalajara, 2010)</w:t>
              </w:r>
            </w:hyperlink>
            <w:r w:rsidRPr="00986768">
              <w:rPr>
                <w:i/>
                <w:iCs/>
                <w:sz w:val="22"/>
                <w:szCs w:val="22"/>
                <w:lang w:val="es-ES"/>
              </w:rPr>
              <w:t xml:space="preserve"> de la Conferencia de Plenipotenciarios</w:t>
            </w:r>
          </w:p>
        </w:tc>
      </w:tr>
      <w:bookmarkEnd w:id="0"/>
    </w:tbl>
    <w:p w14:paraId="024DA28E" w14:textId="77777777" w:rsidR="00093EEB" w:rsidRPr="002634BA" w:rsidRDefault="00093EEB">
      <w:pPr>
        <w:rPr>
          <w:lang w:val="es-ES"/>
        </w:rPr>
      </w:pPr>
    </w:p>
    <w:p w14:paraId="7761C76C" w14:textId="77777777" w:rsidR="001559F5" w:rsidRPr="002634BA"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2634BA">
        <w:rPr>
          <w:lang w:val="es-ES"/>
        </w:rPr>
        <w:br w:type="page"/>
      </w:r>
    </w:p>
    <w:p w14:paraId="7D2C7005" w14:textId="5A3D1F34" w:rsidR="00927F93" w:rsidRPr="002634BA" w:rsidRDefault="00D366C3" w:rsidP="00D366C3">
      <w:pPr>
        <w:pStyle w:val="Heading1"/>
        <w:rPr>
          <w:lang w:val="es-ES"/>
        </w:rPr>
      </w:pPr>
      <w:r w:rsidRPr="002634BA">
        <w:rPr>
          <w:lang w:val="es-ES"/>
        </w:rPr>
        <w:lastRenderedPageBreak/>
        <w:t>1</w:t>
      </w:r>
      <w:r w:rsidRPr="002634BA">
        <w:rPr>
          <w:lang w:val="es-ES"/>
        </w:rPr>
        <w:tab/>
        <w:t>Resumen de la situación actual</w:t>
      </w:r>
    </w:p>
    <w:p w14:paraId="29BBB189" w14:textId="25E80042" w:rsidR="00D366C3" w:rsidRPr="002634BA" w:rsidRDefault="00D366C3" w:rsidP="00986768">
      <w:pPr>
        <w:jc w:val="both"/>
        <w:rPr>
          <w:lang w:val="es-ES"/>
        </w:rPr>
      </w:pPr>
      <w:r w:rsidRPr="002634BA">
        <w:rPr>
          <w:lang w:val="es-ES"/>
        </w:rPr>
        <w:t xml:space="preserve">En la reunión de enero de 2026 del GTC-RHF, la Secretaría presentó el </w:t>
      </w:r>
      <w:r w:rsidR="00986768" w:rsidRPr="002634BA">
        <w:rPr>
          <w:lang w:val="es-ES"/>
        </w:rPr>
        <w:t>Documento</w:t>
      </w:r>
      <w:r w:rsidR="00986768">
        <w:rPr>
          <w:lang w:val="es-ES"/>
        </w:rPr>
        <w:t> </w:t>
      </w:r>
      <w:proofErr w:type="spellStart"/>
      <w:r>
        <w:fldChar w:fldCharType="begin"/>
      </w:r>
      <w:r w:rsidRPr="006D1843">
        <w:rPr>
          <w:lang w:val="es-ES"/>
        </w:rPr>
        <w:instrText>HYPERLINK "https://www.itu.int/md/S26-CWGFHR22-C-0002/es"</w:instrText>
      </w:r>
      <w:r>
        <w:fldChar w:fldCharType="separate"/>
      </w:r>
      <w:r w:rsidRPr="002634BA">
        <w:rPr>
          <w:rStyle w:val="Hyperlink"/>
          <w:rFonts w:eastAsia="Times New Roman" w:cs="Times New Roman"/>
          <w:szCs w:val="20"/>
          <w:lang w:val="es-ES"/>
        </w:rPr>
        <w:t>CWG</w:t>
      </w:r>
      <w:proofErr w:type="spellEnd"/>
      <w:r w:rsidR="006D48A1" w:rsidRPr="002634BA">
        <w:rPr>
          <w:rStyle w:val="Hyperlink"/>
          <w:rFonts w:eastAsia="Times New Roman" w:cs="Times New Roman"/>
          <w:szCs w:val="20"/>
          <w:lang w:val="es-ES"/>
        </w:rPr>
        <w:noBreakHyphen/>
      </w:r>
      <w:proofErr w:type="spellStart"/>
      <w:r w:rsidRPr="002634BA">
        <w:rPr>
          <w:rStyle w:val="Hyperlink"/>
          <w:rFonts w:eastAsia="Times New Roman" w:cs="Times New Roman"/>
          <w:szCs w:val="20"/>
          <w:lang w:val="es-ES"/>
        </w:rPr>
        <w:t>FHR</w:t>
      </w:r>
      <w:proofErr w:type="spellEnd"/>
      <w:r w:rsidR="006D48A1" w:rsidRPr="002634BA">
        <w:rPr>
          <w:rStyle w:val="Hyperlink"/>
          <w:rFonts w:eastAsia="Times New Roman" w:cs="Times New Roman"/>
          <w:szCs w:val="20"/>
          <w:lang w:val="es-ES"/>
        </w:rPr>
        <w:noBreakHyphen/>
      </w:r>
      <w:r w:rsidRPr="002634BA">
        <w:rPr>
          <w:rStyle w:val="Hyperlink"/>
          <w:rFonts w:eastAsia="Times New Roman" w:cs="Times New Roman"/>
          <w:szCs w:val="20"/>
          <w:lang w:val="es-ES"/>
        </w:rPr>
        <w:t>22/2</w:t>
      </w:r>
      <w:r>
        <w:fldChar w:fldCharType="end"/>
      </w:r>
      <w:r w:rsidRPr="002634BA">
        <w:rPr>
          <w:lang w:val="es-ES"/>
        </w:rPr>
        <w:t>, que establece varios principios para la revisión de la metodología de recuperación de costes asociados a la notificación de redes de satélites (SNF). Estas propuestas se debatieron pormenorizadamente en la reunión. En el presente documento la Secretaría aborda las cuestiones planteadas y presenta un documento revisado que tiene en cuenta las deliberaciones del GTC-RHF.</w:t>
      </w:r>
    </w:p>
    <w:p w14:paraId="20968EB1" w14:textId="77777777" w:rsidR="00D366C3" w:rsidRPr="002634BA" w:rsidRDefault="00D366C3" w:rsidP="00986768">
      <w:pPr>
        <w:jc w:val="both"/>
        <w:rPr>
          <w:lang w:val="es-ES"/>
        </w:rPr>
      </w:pPr>
      <w:r w:rsidRPr="002634BA">
        <w:rPr>
          <w:lang w:val="es-ES"/>
        </w:rPr>
        <w:t>El objetivo general es establecer un modelo transparente, equitativo y financieramente sostenible que ajuste las contribuciones a la utilización y los beneficios reales, suprima la falta de financiación estructural y proporcione a la Oficina de Radiocomunicaciones (BR) los recursos estables necesarios para modernizar los sistemas, reducir los atrasos y cumplir su mandato de forma eficiente y oportuna.</w:t>
      </w:r>
    </w:p>
    <w:p w14:paraId="75E2EEEB" w14:textId="4AECDF70" w:rsidR="00D366C3" w:rsidRPr="002634BA" w:rsidRDefault="00D366C3" w:rsidP="00986768">
      <w:pPr>
        <w:jc w:val="both"/>
        <w:rPr>
          <w:lang w:val="es-ES"/>
        </w:rPr>
      </w:pPr>
      <w:r w:rsidRPr="002634BA">
        <w:rPr>
          <w:lang w:val="es-ES"/>
        </w:rPr>
        <w:t>En el anexo que figura a continuación se ofrece un resumen detallado de las preguntas y preocupaciones planteadas en dicha reunión, así como las respuestas de la Secretaría.</w:t>
      </w:r>
    </w:p>
    <w:p w14:paraId="39B44E9B" w14:textId="01FD1FE7" w:rsidR="004861AF" w:rsidRPr="002634BA" w:rsidRDefault="006D48A1" w:rsidP="00D366C3">
      <w:pPr>
        <w:pStyle w:val="Heading1"/>
        <w:rPr>
          <w:lang w:val="es-ES"/>
        </w:rPr>
      </w:pPr>
      <w:r w:rsidRPr="002634BA">
        <w:rPr>
          <w:lang w:val="es-ES"/>
        </w:rPr>
        <w:t>2</w:t>
      </w:r>
      <w:r w:rsidR="00D366C3" w:rsidRPr="002634BA">
        <w:rPr>
          <w:lang w:val="es-ES"/>
        </w:rPr>
        <w:tab/>
        <w:t>Propuesta de metodología para la fijación de tarifas de SNF</w:t>
      </w:r>
    </w:p>
    <w:p w14:paraId="711BFC2A" w14:textId="0401B1B2" w:rsidR="004861AF" w:rsidRPr="002634BA" w:rsidRDefault="00D366C3" w:rsidP="00D366C3">
      <w:pPr>
        <w:pStyle w:val="Heading2"/>
        <w:rPr>
          <w:lang w:val="es-ES"/>
        </w:rPr>
      </w:pPr>
      <w:r w:rsidRPr="002634BA">
        <w:rPr>
          <w:lang w:val="es-ES"/>
        </w:rPr>
        <w:t>2.1</w:t>
      </w:r>
      <w:r w:rsidRPr="002634BA">
        <w:rPr>
          <w:lang w:val="es-ES"/>
        </w:rPr>
        <w:tab/>
        <w:t>Resumen de la metodología</w:t>
      </w:r>
    </w:p>
    <w:p w14:paraId="45FD8D04" w14:textId="1D8344B7" w:rsidR="004861AF" w:rsidRPr="002634BA" w:rsidRDefault="00CA095B" w:rsidP="00986768">
      <w:pPr>
        <w:jc w:val="both"/>
        <w:rPr>
          <w:lang w:val="es-ES"/>
        </w:rPr>
      </w:pPr>
      <w:r w:rsidRPr="002634BA">
        <w:rPr>
          <w:lang w:val="es-ES"/>
        </w:rPr>
        <w:t>Por lo general, la recuperación de los costes en todo servicio requiere tener en cuenta las etapas clave siguientes:</w:t>
      </w:r>
    </w:p>
    <w:p w14:paraId="03B8BFF4" w14:textId="77777777" w:rsidR="00CA095B" w:rsidRPr="002634BA" w:rsidRDefault="00CA095B" w:rsidP="00986768">
      <w:pPr>
        <w:pStyle w:val="enumlev1"/>
        <w:jc w:val="both"/>
        <w:rPr>
          <w:lang w:val="es-ES"/>
        </w:rPr>
      </w:pPr>
      <w:r w:rsidRPr="002634BA">
        <w:rPr>
          <w:lang w:val="es-ES"/>
        </w:rPr>
        <w:t>i)</w:t>
      </w:r>
      <w:r w:rsidRPr="002634BA">
        <w:rPr>
          <w:lang w:val="es-ES"/>
        </w:rPr>
        <w:tab/>
        <w:t>Establecimiento de los principios para la recuperación de costes</w:t>
      </w:r>
    </w:p>
    <w:p w14:paraId="61A8A385" w14:textId="3267B88F" w:rsidR="00CA095B" w:rsidRPr="002634BA" w:rsidRDefault="00CA095B" w:rsidP="00986768">
      <w:pPr>
        <w:pStyle w:val="enumlev1"/>
        <w:jc w:val="both"/>
        <w:rPr>
          <w:lang w:val="es-ES"/>
        </w:rPr>
      </w:pPr>
      <w:r w:rsidRPr="002634BA">
        <w:rPr>
          <w:lang w:val="es-ES"/>
        </w:rPr>
        <w:t>ii)</w:t>
      </w:r>
      <w:r w:rsidRPr="002634BA">
        <w:rPr>
          <w:lang w:val="es-ES"/>
        </w:rPr>
        <w:tab/>
        <w:t>Determinación de los elementos de los costes susceptibles de ser objeto de recuperación</w:t>
      </w:r>
    </w:p>
    <w:p w14:paraId="1D9601C8" w14:textId="77777777" w:rsidR="00CA095B" w:rsidRPr="002634BA" w:rsidRDefault="00CA095B" w:rsidP="00986768">
      <w:pPr>
        <w:pStyle w:val="enumlev1"/>
        <w:jc w:val="both"/>
        <w:rPr>
          <w:lang w:val="es-ES"/>
        </w:rPr>
      </w:pPr>
      <w:r w:rsidRPr="002634BA">
        <w:rPr>
          <w:lang w:val="es-ES"/>
        </w:rPr>
        <w:t>iii)</w:t>
      </w:r>
      <w:r w:rsidRPr="002634BA">
        <w:rPr>
          <w:lang w:val="es-ES"/>
        </w:rPr>
        <w:tab/>
        <w:t>Cálculo de los costes pertinentes mediante estimaciones del tiempo empleado por el personal, entre otros recursos</w:t>
      </w:r>
    </w:p>
    <w:p w14:paraId="1ECF0EAE" w14:textId="77777777" w:rsidR="00CA095B" w:rsidRPr="002634BA" w:rsidRDefault="00CA095B" w:rsidP="00986768">
      <w:pPr>
        <w:pStyle w:val="enumlev1"/>
        <w:jc w:val="both"/>
        <w:rPr>
          <w:lang w:val="es-ES"/>
        </w:rPr>
      </w:pPr>
      <w:r w:rsidRPr="002634BA">
        <w:rPr>
          <w:lang w:val="es-ES"/>
        </w:rPr>
        <w:t>iv)</w:t>
      </w:r>
      <w:r w:rsidRPr="002634BA">
        <w:rPr>
          <w:lang w:val="es-ES"/>
        </w:rPr>
        <w:tab/>
        <w:t>Establecimiento y aplicación de una metodología de atribución de costes</w:t>
      </w:r>
    </w:p>
    <w:p w14:paraId="0872E575" w14:textId="77777777" w:rsidR="00CA095B" w:rsidRPr="002634BA" w:rsidRDefault="00CA095B" w:rsidP="00986768">
      <w:pPr>
        <w:pStyle w:val="enumlev1"/>
        <w:jc w:val="both"/>
        <w:rPr>
          <w:lang w:val="es-ES"/>
        </w:rPr>
      </w:pPr>
      <w:r w:rsidRPr="002634BA">
        <w:rPr>
          <w:lang w:val="es-ES"/>
        </w:rPr>
        <w:t>v)</w:t>
      </w:r>
      <w:r w:rsidRPr="002634BA">
        <w:rPr>
          <w:lang w:val="es-ES"/>
        </w:rPr>
        <w:tab/>
        <w:t>Previsión de la demanda para determinar los grados de servicio por los que se recaudarán tarifas</w:t>
      </w:r>
    </w:p>
    <w:p w14:paraId="3AD96E7B" w14:textId="77777777" w:rsidR="00CA095B" w:rsidRPr="002634BA" w:rsidRDefault="00CA095B" w:rsidP="00986768">
      <w:pPr>
        <w:pStyle w:val="enumlev1"/>
        <w:jc w:val="both"/>
        <w:rPr>
          <w:lang w:val="es-ES"/>
        </w:rPr>
      </w:pPr>
      <w:r w:rsidRPr="002634BA">
        <w:rPr>
          <w:lang w:val="es-ES"/>
        </w:rPr>
        <w:t>vi)</w:t>
      </w:r>
      <w:r w:rsidRPr="002634BA">
        <w:rPr>
          <w:lang w:val="es-ES"/>
        </w:rPr>
        <w:tab/>
        <w:t>Establecimiento y aprobación de las tarifas</w:t>
      </w:r>
    </w:p>
    <w:p w14:paraId="47675D57" w14:textId="42702845" w:rsidR="004861AF" w:rsidRPr="002634BA" w:rsidRDefault="00CA095B" w:rsidP="00986768">
      <w:pPr>
        <w:pStyle w:val="enumlev1"/>
        <w:jc w:val="both"/>
        <w:rPr>
          <w:lang w:val="es-ES"/>
        </w:rPr>
      </w:pPr>
      <w:r w:rsidRPr="002634BA">
        <w:rPr>
          <w:lang w:val="es-ES"/>
        </w:rPr>
        <w:t>vii)</w:t>
      </w:r>
      <w:r w:rsidRPr="002634BA">
        <w:rPr>
          <w:lang w:val="es-ES"/>
        </w:rPr>
        <w:tab/>
        <w:t>Revisión y evaluación periódicas.</w:t>
      </w:r>
    </w:p>
    <w:p w14:paraId="0C5C165C" w14:textId="694CA67F" w:rsidR="004861AF" w:rsidRPr="002634BA" w:rsidRDefault="00CA095B" w:rsidP="00986768">
      <w:pPr>
        <w:jc w:val="both"/>
        <w:rPr>
          <w:lang w:val="es-ES"/>
        </w:rPr>
      </w:pPr>
      <w:r w:rsidRPr="002634BA">
        <w:rPr>
          <w:lang w:val="es-ES"/>
        </w:rPr>
        <w:t>Cada una de estas etapas se analiza con mayor detalle en las subsecciones siguientes.</w:t>
      </w:r>
    </w:p>
    <w:p w14:paraId="7CB8FB9C" w14:textId="72B75781" w:rsidR="004861AF" w:rsidRPr="002634BA" w:rsidRDefault="00CA095B" w:rsidP="00CA095B">
      <w:pPr>
        <w:pStyle w:val="Heading2"/>
        <w:rPr>
          <w:lang w:val="es-ES"/>
        </w:rPr>
      </w:pPr>
      <w:r w:rsidRPr="002634BA">
        <w:rPr>
          <w:lang w:val="es-ES"/>
        </w:rPr>
        <w:t>2.2</w:t>
      </w:r>
      <w:r w:rsidRPr="002634BA">
        <w:rPr>
          <w:lang w:val="es-ES"/>
        </w:rPr>
        <w:tab/>
        <w:t>Principios de recuperación de costes</w:t>
      </w:r>
    </w:p>
    <w:p w14:paraId="22FA61A3" w14:textId="0808C4DB" w:rsidR="004861AF" w:rsidRPr="002634BA" w:rsidRDefault="00CA095B" w:rsidP="00986768">
      <w:pPr>
        <w:jc w:val="both"/>
        <w:rPr>
          <w:lang w:val="es-ES"/>
        </w:rPr>
      </w:pPr>
      <w:r w:rsidRPr="002634BA">
        <w:rPr>
          <w:lang w:val="es-ES"/>
        </w:rPr>
        <w:t>Los principios de recuperación de los costes de los productos y servicios de la UIT se establecen en el marco de la Resolución 91 (Rev. Guadalajara, 2010). Habida cuenta de esos principios, sigue habiendo falta de claridad sobre las siguientes cuestiones, que el Consejo debe abordar a fin de garantizar un marco sólido relativo a las tarifas de SNF.</w:t>
      </w:r>
    </w:p>
    <w:p w14:paraId="2B26AEFF" w14:textId="32D8A5A5" w:rsidR="004861AF" w:rsidRPr="002634BA" w:rsidRDefault="00CA095B" w:rsidP="00CA095B">
      <w:pPr>
        <w:pStyle w:val="Headingb"/>
        <w:rPr>
          <w:lang w:val="es-ES"/>
        </w:rPr>
      </w:pPr>
      <w:r w:rsidRPr="002634BA">
        <w:rPr>
          <w:lang w:val="es-ES"/>
        </w:rPr>
        <w:t>Recuperación íntegra de costes</w:t>
      </w:r>
    </w:p>
    <w:p w14:paraId="1D66E761" w14:textId="66BD81BC" w:rsidR="00CA095B" w:rsidRPr="002634BA" w:rsidRDefault="00CA095B" w:rsidP="00986768">
      <w:pPr>
        <w:jc w:val="both"/>
        <w:rPr>
          <w:lang w:val="es-ES"/>
        </w:rPr>
      </w:pPr>
      <w:r w:rsidRPr="002634BA">
        <w:rPr>
          <w:lang w:val="es-ES"/>
        </w:rPr>
        <w:t xml:space="preserve">De conformidad con la Resolución 91, </w:t>
      </w:r>
      <w:r w:rsidRPr="002634BA">
        <w:rPr>
          <w:i/>
          <w:iCs/>
          <w:lang w:val="es-ES"/>
        </w:rPr>
        <w:t xml:space="preserve">resuelve </w:t>
      </w:r>
      <w:r w:rsidRPr="002634BA">
        <w:rPr>
          <w:lang w:val="es-ES"/>
        </w:rPr>
        <w:t>4</w:t>
      </w:r>
      <w:r w:rsidR="006D48A1" w:rsidRPr="002634BA">
        <w:rPr>
          <w:i/>
          <w:iCs/>
          <w:lang w:val="es-ES"/>
        </w:rPr>
        <w:t>,</w:t>
      </w:r>
      <w:r w:rsidRPr="002634BA">
        <w:rPr>
          <w:lang w:val="es-ES"/>
        </w:rPr>
        <w:t xml:space="preserve"> i), los costes directos e indirectos de la tramitación de SNF deben sufragarse mediante las tarifas de dichas SNF. Esto debe incluir todos los costes asociados a la tramitación de las notificaciones.</w:t>
      </w:r>
    </w:p>
    <w:p w14:paraId="5336C41D" w14:textId="0FC733DB" w:rsidR="004861AF" w:rsidRPr="002634BA" w:rsidRDefault="00CA095B" w:rsidP="00986768">
      <w:pPr>
        <w:jc w:val="both"/>
        <w:rPr>
          <w:lang w:val="es-ES"/>
        </w:rPr>
      </w:pPr>
      <w:r w:rsidRPr="002634BA">
        <w:rPr>
          <w:lang w:val="es-ES"/>
        </w:rPr>
        <w:lastRenderedPageBreak/>
        <w:t>La Secretaría propone que esto preconiza claramente que el principio de la recuperación íntegra de costes debe aplicarse a todos los cálculos de costes de SNF, siempre que se garantice que la atribución de todo coste indirecto se realice con arreglo a una metodología de asignación coherente y transparente.</w:t>
      </w:r>
    </w:p>
    <w:p w14:paraId="7D215210" w14:textId="2E46CFED" w:rsidR="004861AF" w:rsidRPr="002634BA" w:rsidRDefault="00CA095B" w:rsidP="00CA095B">
      <w:pPr>
        <w:pStyle w:val="Headingb"/>
        <w:rPr>
          <w:lang w:val="es-ES"/>
        </w:rPr>
      </w:pPr>
      <w:r w:rsidRPr="002634BA">
        <w:rPr>
          <w:lang w:val="es-ES"/>
        </w:rPr>
        <w:t>Tratamiento de notificaciones gratuitas</w:t>
      </w:r>
    </w:p>
    <w:p w14:paraId="0FFFCF64" w14:textId="4A81763C" w:rsidR="00CA095B" w:rsidRPr="002634BA" w:rsidRDefault="00CA095B" w:rsidP="00986768">
      <w:pPr>
        <w:jc w:val="both"/>
        <w:rPr>
          <w:lang w:val="es-ES"/>
        </w:rPr>
      </w:pPr>
      <w:r w:rsidRPr="002634BA">
        <w:rPr>
          <w:lang w:val="es-ES"/>
        </w:rPr>
        <w:t xml:space="preserve">En virtud de la Resolución 91, se permite proporcionar gratuitamente a todos los Estados miembros un grado adecuado de productos y servicios sujetos a la recuperación de costes, si bien no está claro si el marco actual en cuanto a gratuidad de notificaciones cumple plenamente con </w:t>
      </w:r>
      <w:r w:rsidRPr="002634BA">
        <w:rPr>
          <w:i/>
          <w:iCs/>
          <w:lang w:val="es-ES"/>
        </w:rPr>
        <w:t>los resuelves</w:t>
      </w:r>
      <w:r w:rsidRPr="002634BA">
        <w:rPr>
          <w:lang w:val="es-ES"/>
        </w:rPr>
        <w:t xml:space="preserve"> 3</w:t>
      </w:r>
      <w:r w:rsidR="001D34E4" w:rsidRPr="002634BA">
        <w:rPr>
          <w:lang w:val="es-ES"/>
        </w:rPr>
        <w:t>,</w:t>
      </w:r>
      <w:r w:rsidRPr="002634BA">
        <w:rPr>
          <w:lang w:val="es-ES"/>
        </w:rPr>
        <w:t xml:space="preserve"> ii) y 4</w:t>
      </w:r>
      <w:r w:rsidR="001D34E4" w:rsidRPr="002634BA">
        <w:rPr>
          <w:lang w:val="es-ES"/>
        </w:rPr>
        <w:t>,</w:t>
      </w:r>
      <w:r w:rsidRPr="002634BA">
        <w:rPr>
          <w:lang w:val="es-ES"/>
        </w:rPr>
        <w:t xml:space="preserve"> vii).</w:t>
      </w:r>
    </w:p>
    <w:p w14:paraId="63C3DB02" w14:textId="3688750E" w:rsidR="00CA095B" w:rsidRPr="002634BA" w:rsidRDefault="00CA095B" w:rsidP="00986768">
      <w:pPr>
        <w:jc w:val="both"/>
        <w:rPr>
          <w:lang w:val="es-ES"/>
        </w:rPr>
      </w:pPr>
      <w:r w:rsidRPr="002634BA">
        <w:rPr>
          <w:lang w:val="es-ES"/>
        </w:rPr>
        <w:t xml:space="preserve">Este requisito se aplica al amparo de lo establecido en el Acuerdo 482 del Consejo en materia de </w:t>
      </w:r>
      <w:r w:rsidR="00A362BE">
        <w:rPr>
          <w:lang w:val="es-ES"/>
        </w:rPr>
        <w:t>"</w:t>
      </w:r>
      <w:r w:rsidRPr="002634BA">
        <w:rPr>
          <w:lang w:val="es-ES"/>
        </w:rPr>
        <w:t>notificaciones gratuitas</w:t>
      </w:r>
      <w:r w:rsidR="00A362BE">
        <w:rPr>
          <w:lang w:val="es-ES"/>
        </w:rPr>
        <w:t>"</w:t>
      </w:r>
      <w:r w:rsidRPr="002634BA">
        <w:rPr>
          <w:lang w:val="es-ES"/>
        </w:rPr>
        <w:t xml:space="preserve">. Éstas constituyen un beneficio para todos los Estados miembros que permite una notificación gratuita por Estado Miembro y año, y cada Estado Miembro puede determinar qué redes de satélites se benefician de ese derecho gratuito. Un Estado Miembro que posea varias notificaciones (por lo general, Estados Miembros de gran tamaño y desarrollados) puede seleccionar cuál de esas notificaciones es la más compleja (la más costosa), a fin de maximizar el beneficio del derecho de notificación gratuita con arreglo a un grado desproporcionado con respecto a las administraciones que presentan notificaciones con menos frecuencia. Un Estado Miembro con una sola notificación anual solo puede aprovecharse del citado beneficio para dicha notificación. Cabe destacar que ello no tiene debidamente en cuenta el nivel variable de uso de la SNF por algunos Estados Miembros (a diferencia de lo establecido en la Resolución 91, </w:t>
      </w:r>
      <w:r w:rsidRPr="002634BA">
        <w:rPr>
          <w:i/>
          <w:iCs/>
          <w:lang w:val="es-ES"/>
        </w:rPr>
        <w:t>resuelve</w:t>
      </w:r>
      <w:r w:rsidRPr="002634BA">
        <w:rPr>
          <w:lang w:val="es-ES"/>
        </w:rPr>
        <w:t xml:space="preserve"> 3</w:t>
      </w:r>
      <w:r w:rsidR="001D34E4" w:rsidRPr="002634BA">
        <w:rPr>
          <w:lang w:val="es-ES"/>
        </w:rPr>
        <w:t>,</w:t>
      </w:r>
      <w:r w:rsidRPr="002634BA">
        <w:rPr>
          <w:lang w:val="es-ES"/>
        </w:rPr>
        <w:t xml:space="preserve"> ii)), y propicia una utilización discriminatoria del servicio contrario al principio de </w:t>
      </w:r>
      <w:r w:rsidR="00A362BE">
        <w:rPr>
          <w:lang w:val="es-ES"/>
        </w:rPr>
        <w:t>"</w:t>
      </w:r>
      <w:r w:rsidRPr="002634BA">
        <w:rPr>
          <w:lang w:val="es-ES"/>
        </w:rPr>
        <w:t>nivel adecuado</w:t>
      </w:r>
      <w:r w:rsidR="00A362BE">
        <w:rPr>
          <w:lang w:val="es-ES"/>
        </w:rPr>
        <w:t>"</w:t>
      </w:r>
      <w:r w:rsidRPr="002634BA">
        <w:rPr>
          <w:lang w:val="es-ES"/>
        </w:rPr>
        <w:t xml:space="preserve"> establecido en la Resolución 91, </w:t>
      </w:r>
      <w:r w:rsidRPr="002634BA">
        <w:rPr>
          <w:i/>
          <w:iCs/>
          <w:lang w:val="es-ES"/>
        </w:rPr>
        <w:t>resoluciones</w:t>
      </w:r>
      <w:r w:rsidRPr="002634BA">
        <w:rPr>
          <w:lang w:val="es-ES"/>
        </w:rPr>
        <w:t xml:space="preserve"> 4</w:t>
      </w:r>
      <w:r w:rsidR="001D34E4" w:rsidRPr="002634BA">
        <w:rPr>
          <w:lang w:val="es-ES"/>
        </w:rPr>
        <w:t>,</w:t>
      </w:r>
      <w:r w:rsidRPr="002634BA">
        <w:rPr>
          <w:lang w:val="es-ES"/>
        </w:rPr>
        <w:t xml:space="preserve"> vii).</w:t>
      </w:r>
    </w:p>
    <w:p w14:paraId="6BB5D7F5" w14:textId="50909F8E" w:rsidR="00CA095B" w:rsidRPr="002634BA" w:rsidRDefault="00CA095B" w:rsidP="00986768">
      <w:pPr>
        <w:jc w:val="both"/>
        <w:rPr>
          <w:lang w:val="es-ES"/>
        </w:rPr>
      </w:pPr>
      <w:r w:rsidRPr="002634BA">
        <w:rPr>
          <w:lang w:val="es-ES"/>
        </w:rPr>
        <w:t xml:space="preserve">El régimen de derechos gratuitos, en su uniformidad, tampoco tiene en cuenta las necesidades especiales de los países en desarrollo, al amparo de la Resolución 91, </w:t>
      </w:r>
      <w:r w:rsidRPr="002634BA">
        <w:rPr>
          <w:i/>
          <w:iCs/>
          <w:lang w:val="es-ES"/>
        </w:rPr>
        <w:t>resuelve</w:t>
      </w:r>
      <w:r w:rsidRPr="002634BA">
        <w:rPr>
          <w:lang w:val="es-ES"/>
        </w:rPr>
        <w:t xml:space="preserve"> 4</w:t>
      </w:r>
      <w:r w:rsidR="001D34E4" w:rsidRPr="002634BA">
        <w:rPr>
          <w:lang w:val="es-ES"/>
        </w:rPr>
        <w:t>,</w:t>
      </w:r>
      <w:r w:rsidRPr="002634BA">
        <w:rPr>
          <w:lang w:val="es-ES"/>
        </w:rPr>
        <w:t xml:space="preserve"> vi). Esos países no reciben ninguna consideración especial y, en ocasiones, utilizan sus derechos gratuitos en acuerdos de beneficios compartidos con grandes proveedores de redes de satélite comerciales multinacionales, cuya sede se encuentra en países desarrollados.</w:t>
      </w:r>
    </w:p>
    <w:p w14:paraId="3A2AB1FD" w14:textId="77777777" w:rsidR="00CA095B" w:rsidRPr="002634BA" w:rsidRDefault="00CA095B" w:rsidP="00986768">
      <w:pPr>
        <w:jc w:val="both"/>
        <w:rPr>
          <w:lang w:val="es-ES"/>
        </w:rPr>
      </w:pPr>
      <w:r w:rsidRPr="002634BA">
        <w:rPr>
          <w:lang w:val="es-ES"/>
        </w:rPr>
        <w:t xml:space="preserve">Algunas delegaciones señalaron en las reuniones del GTC-RHF celebradas en enero de 2026 que los costes directos e indirectos de la Secretaría derivados de la tramitación de las notificaciones de redes de satélite a las que se aplica el derecho gratuito deberían financiarse con cargo al presupuesto ordinario de la UIT, y no mediante la metodología de recuperación de costes. Actualmente, puesto que los costes totales en que ha incurrido la Secretaría para la tramitación de SNF no se han recuperado en los últimos cinco años (con arreglo a una cuantía superior al coste de las notificaciones gratuitas), el coste de las notificaciones gratuitas se financia íntegramente mediante las contribuciones asignadas de los Miembros de la UIT; sin embargo, la Secretaría sostiene que ello es incompatible con la Resolución 91 de la PP. </w:t>
      </w:r>
    </w:p>
    <w:p w14:paraId="12FB049D" w14:textId="77777777" w:rsidR="00CA095B" w:rsidRPr="002634BA" w:rsidRDefault="00CA095B" w:rsidP="00986768">
      <w:pPr>
        <w:jc w:val="both"/>
        <w:rPr>
          <w:lang w:val="es-ES"/>
        </w:rPr>
      </w:pPr>
      <w:r w:rsidRPr="002634BA">
        <w:rPr>
          <w:lang w:val="es-ES"/>
        </w:rPr>
        <w:t xml:space="preserve">Una interpretación conjunta de la Resolución 91 de la PP y del Acuerdo 482 del Consejo pone de manifiesto que el servicio SNF forma parte del régimen de recuperación de costes de la UIT y que las normas de aplicación detalladas del Consejo deben aplicarse de manera coherente con respecto a ese marco de nivel superior. Pese a que el Acuerdo 482 concede a cada Estado Miembro un derecho anual limitado a una notificación gratuita, dicho derecho debe entenderse, en opinión de la Secretaría, como una característica del modelo de tarificación y no como una base para excluir los costes relacionados del cálculo global de la recuperación de costes SNF. Sobre esa base, la Secretaría entiende que estas disposiciones preconizan que los </w:t>
      </w:r>
      <w:r w:rsidRPr="002634BA">
        <w:rPr>
          <w:lang w:val="es-ES"/>
        </w:rPr>
        <w:lastRenderedPageBreak/>
        <w:t>costes de los derechos gratuitos, al ser costes incurridos en la tramitación de SNF sujetos a recuperación de costes, deben incluirse en los costes totales recuperados de SNF.</w:t>
      </w:r>
    </w:p>
    <w:p w14:paraId="42ECBC5F" w14:textId="77777777" w:rsidR="00CA095B" w:rsidRPr="002634BA" w:rsidRDefault="00CA095B" w:rsidP="00986768">
      <w:pPr>
        <w:jc w:val="both"/>
        <w:rPr>
          <w:lang w:val="es-ES"/>
        </w:rPr>
      </w:pPr>
      <w:r w:rsidRPr="002634BA">
        <w:rPr>
          <w:lang w:val="es-ES"/>
        </w:rPr>
        <w:t>Habida cuenta de ello, la Secretaría recomienda que el Consejo considere:</w:t>
      </w:r>
    </w:p>
    <w:p w14:paraId="0F037157" w14:textId="1741555C" w:rsidR="00CA095B" w:rsidRPr="002634BA" w:rsidRDefault="00CA095B" w:rsidP="00986768">
      <w:pPr>
        <w:pStyle w:val="enumlev1"/>
        <w:jc w:val="both"/>
        <w:rPr>
          <w:lang w:val="es-ES"/>
        </w:rPr>
      </w:pPr>
      <w:r w:rsidRPr="002634BA">
        <w:rPr>
          <w:lang w:val="es-ES"/>
        </w:rPr>
        <w:t>–</w:t>
      </w:r>
      <w:r w:rsidRPr="002634BA">
        <w:rPr>
          <w:lang w:val="es-ES"/>
        </w:rPr>
        <w:tab/>
        <w:t>examinar el Acuerdo 482 para evitar la posibilidad de que los Estados Miembros seleccionen la red de satélites específica a la que se aplicará su derecho gratuito y, en su lugar, aplicar el derecho gratuito a la presentación menos costosa del año. Las repercusiones de esta propuesta para 2024 habrían conllevado un aumento de los ingresos de 989</w:t>
      </w:r>
      <w:r w:rsidR="003B2C11" w:rsidRPr="002634BA">
        <w:rPr>
          <w:lang w:val="es-ES"/>
        </w:rPr>
        <w:t> </w:t>
      </w:r>
      <w:r w:rsidRPr="002634BA">
        <w:rPr>
          <w:lang w:val="es-ES"/>
        </w:rPr>
        <w:t xml:space="preserve">166 </w:t>
      </w:r>
      <w:r w:rsidR="003B2C11" w:rsidRPr="002634BA">
        <w:rPr>
          <w:lang w:val="es-ES"/>
        </w:rPr>
        <w:t>francos suizos,</w:t>
      </w:r>
      <w:r w:rsidRPr="002634BA">
        <w:rPr>
          <w:lang w:val="es-ES"/>
        </w:rPr>
        <w:t xml:space="preserve"> o </w:t>
      </w:r>
    </w:p>
    <w:p w14:paraId="121FCE81" w14:textId="25A8B38E" w:rsidR="00CA095B" w:rsidRPr="002634BA" w:rsidRDefault="00CA095B" w:rsidP="00986768">
      <w:pPr>
        <w:pStyle w:val="enumlev1"/>
        <w:jc w:val="both"/>
        <w:rPr>
          <w:lang w:val="es-ES"/>
        </w:rPr>
      </w:pPr>
      <w:r w:rsidRPr="002634BA">
        <w:rPr>
          <w:lang w:val="es-ES"/>
        </w:rPr>
        <w:t>–</w:t>
      </w:r>
      <w:r w:rsidRPr="002634BA">
        <w:rPr>
          <w:lang w:val="es-ES"/>
        </w:rPr>
        <w:tab/>
        <w:t>modificar el Acuerdo 482 para restringir el derecho gratuito a los PMA, los PEID, los PDSL y los países con economías en transición. La repercusión de esta propuesta para</w:t>
      </w:r>
      <w:r w:rsidR="003B2C11" w:rsidRPr="002634BA">
        <w:rPr>
          <w:lang w:val="es-ES"/>
        </w:rPr>
        <w:t> </w:t>
      </w:r>
      <w:r w:rsidRPr="002634BA">
        <w:rPr>
          <w:lang w:val="es-ES"/>
        </w:rPr>
        <w:t>2024 habría conllevado un aumento de los ingresos procedentes de la SNF de aproximadamente 772</w:t>
      </w:r>
      <w:r w:rsidR="003B2C11" w:rsidRPr="002634BA">
        <w:rPr>
          <w:lang w:val="es-ES"/>
        </w:rPr>
        <w:t> </w:t>
      </w:r>
      <w:r w:rsidRPr="002634BA">
        <w:rPr>
          <w:lang w:val="es-ES"/>
        </w:rPr>
        <w:t xml:space="preserve">000 </w:t>
      </w:r>
      <w:r w:rsidR="003B2C11" w:rsidRPr="002634BA">
        <w:rPr>
          <w:lang w:val="es-ES"/>
        </w:rPr>
        <w:t>francos suizos</w:t>
      </w:r>
      <w:r w:rsidRPr="002634BA">
        <w:rPr>
          <w:lang w:val="es-ES"/>
        </w:rPr>
        <w:t>.</w:t>
      </w:r>
    </w:p>
    <w:p w14:paraId="6941F1AB" w14:textId="77777777" w:rsidR="00CA095B" w:rsidRPr="002634BA" w:rsidRDefault="00CA095B" w:rsidP="00986768">
      <w:pPr>
        <w:jc w:val="both"/>
        <w:rPr>
          <w:lang w:val="es-ES"/>
        </w:rPr>
      </w:pPr>
      <w:r w:rsidRPr="002634BA">
        <w:rPr>
          <w:lang w:val="es-ES"/>
        </w:rPr>
        <w:t>En cualquier caso, la Secretaría considera que, sobre la base de las disposiciones de la Resolución 91 de la PP, los gastos de la Secretaría relacionados con los derechos gratuitos deben seguir incluyéndose en el cálculo de los costes directos o indirectos que deben recuperarse de las tarifas de SNF.</w:t>
      </w:r>
    </w:p>
    <w:p w14:paraId="21E11FEA" w14:textId="77777777" w:rsidR="00CA095B" w:rsidRPr="002634BA" w:rsidRDefault="00CA095B" w:rsidP="00986768">
      <w:pPr>
        <w:pStyle w:val="Heading2"/>
        <w:jc w:val="both"/>
        <w:rPr>
          <w:lang w:val="es-ES"/>
        </w:rPr>
      </w:pPr>
      <w:r w:rsidRPr="002634BA">
        <w:rPr>
          <w:lang w:val="es-ES"/>
        </w:rPr>
        <w:t>2.3</w:t>
      </w:r>
      <w:r w:rsidRPr="002634BA">
        <w:rPr>
          <w:lang w:val="es-ES"/>
        </w:rPr>
        <w:tab/>
        <w:t>Determinación de las partidas de costes que deben recuperarse</w:t>
      </w:r>
    </w:p>
    <w:p w14:paraId="549211F9" w14:textId="77777777" w:rsidR="00CA095B" w:rsidRPr="002634BA" w:rsidRDefault="00CA095B" w:rsidP="00986768">
      <w:pPr>
        <w:jc w:val="both"/>
        <w:rPr>
          <w:lang w:val="es-ES"/>
        </w:rPr>
      </w:pPr>
      <w:r w:rsidRPr="002634BA">
        <w:rPr>
          <w:spacing w:val="-2"/>
          <w:lang w:val="es-ES"/>
        </w:rPr>
        <w:t>Las partidas de costes que pueden recuperarse y los principios específicos aplicados para determinar la atribución de costes se detallan en las categorías siguientes.</w:t>
      </w:r>
    </w:p>
    <w:p w14:paraId="02C85F9E" w14:textId="77777777" w:rsidR="00CA095B" w:rsidRPr="002634BA" w:rsidRDefault="00CA095B" w:rsidP="00986768">
      <w:pPr>
        <w:pStyle w:val="Headingb"/>
        <w:jc w:val="both"/>
        <w:rPr>
          <w:lang w:val="es-ES"/>
        </w:rPr>
      </w:pPr>
      <w:r w:rsidRPr="002634BA">
        <w:rPr>
          <w:lang w:val="es-ES"/>
        </w:rPr>
        <w:t>Costes directos</w:t>
      </w:r>
    </w:p>
    <w:p w14:paraId="5C08E1ED" w14:textId="77777777" w:rsidR="00CA095B" w:rsidRPr="002634BA" w:rsidRDefault="00CA095B" w:rsidP="00986768">
      <w:pPr>
        <w:jc w:val="both"/>
        <w:rPr>
          <w:lang w:val="es-ES"/>
        </w:rPr>
      </w:pPr>
      <w:r w:rsidRPr="002634BA">
        <w:rPr>
          <w:lang w:val="es-ES"/>
        </w:rPr>
        <w:t xml:space="preserve">Los costes directos representan los recursos que son atribuibles de forma clara y directa a la tramitación de SNF. Estos incluyen gastos de personal de la Oficina de Radiocomunicaciones (BR) responsable del examen técnico, actividades de coordinación, la tramitación reglamentaria y el apoyo operacional conexo. Estos costes son íntegramente atribuibles a las actividades de SNF y, por lo tanto, constituyen el elemento fundamental del modelo de recuperación de costes. Esto se muestra en los cuadros siguientes. </w:t>
      </w:r>
    </w:p>
    <w:p w14:paraId="5BD01D69" w14:textId="7F6CBC8E" w:rsidR="00CA095B" w:rsidRPr="002634BA" w:rsidRDefault="00D10B4E" w:rsidP="00564BAF">
      <w:pPr>
        <w:pStyle w:val="Figure"/>
        <w:rPr>
          <w:lang w:val="es-ES"/>
        </w:rPr>
      </w:pPr>
      <w:r w:rsidRPr="002634BA">
        <w:rPr>
          <w:noProof/>
          <w:lang w:val="es-ES"/>
        </w:rPr>
        <w:drawing>
          <wp:inline distT="0" distB="0" distL="0" distR="0" wp14:anchorId="7CE1124E" wp14:editId="1DAFE18E">
            <wp:extent cx="4803775" cy="32524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3775" cy="3252470"/>
                    </a:xfrm>
                    <a:prstGeom prst="rect">
                      <a:avLst/>
                    </a:prstGeom>
                    <a:noFill/>
                    <a:ln>
                      <a:noFill/>
                    </a:ln>
                  </pic:spPr>
                </pic:pic>
              </a:graphicData>
            </a:graphic>
          </wp:inline>
        </w:drawing>
      </w:r>
    </w:p>
    <w:p w14:paraId="5A052D98" w14:textId="77777777" w:rsidR="00CA095B" w:rsidRPr="002634BA" w:rsidRDefault="00CA095B" w:rsidP="00CA095B">
      <w:pPr>
        <w:pStyle w:val="Headingb"/>
        <w:rPr>
          <w:lang w:val="es-ES"/>
        </w:rPr>
      </w:pPr>
      <w:r w:rsidRPr="002634BA">
        <w:rPr>
          <w:lang w:val="es-ES"/>
        </w:rPr>
        <w:lastRenderedPageBreak/>
        <w:t>Sistemas de base de SNF y capacidad de modernización</w:t>
      </w:r>
    </w:p>
    <w:p w14:paraId="13B30201" w14:textId="4FEE6974" w:rsidR="00CA095B" w:rsidRPr="002634BA" w:rsidRDefault="00CA095B" w:rsidP="00986768">
      <w:pPr>
        <w:pStyle w:val="enumlev1"/>
        <w:jc w:val="both"/>
        <w:rPr>
          <w:spacing w:val="-3"/>
          <w:lang w:val="es-ES"/>
        </w:rPr>
      </w:pPr>
      <w:r w:rsidRPr="002634BA">
        <w:rPr>
          <w:spacing w:val="-3"/>
          <w:lang w:val="es-ES"/>
        </w:rPr>
        <w:tab/>
        <w:t xml:space="preserve">En la reunión de 2025 del Consejo se aprobó la atribución de 0,5 millones de francos suizos anuales, procedentes de las tarifas de SNF recaudadas, al Fondo de Capital de las TIC para el desarrollo de software de la BR durante el </w:t>
      </w:r>
      <w:r w:rsidR="00A362BE">
        <w:rPr>
          <w:spacing w:val="-3"/>
          <w:lang w:val="es-ES"/>
        </w:rPr>
        <w:t>periodo</w:t>
      </w:r>
      <w:r w:rsidRPr="002634BA">
        <w:rPr>
          <w:spacing w:val="-3"/>
          <w:lang w:val="es-ES"/>
        </w:rPr>
        <w:t xml:space="preserve"> 2026-2027.</w:t>
      </w:r>
    </w:p>
    <w:p w14:paraId="55609569" w14:textId="6BB154F5" w:rsidR="00CA095B" w:rsidRPr="002634BA" w:rsidRDefault="00CA095B" w:rsidP="00986768">
      <w:pPr>
        <w:pStyle w:val="enumlev1"/>
        <w:jc w:val="both"/>
        <w:rPr>
          <w:lang w:val="es-ES"/>
        </w:rPr>
      </w:pPr>
      <w:r w:rsidRPr="002634BA">
        <w:rPr>
          <w:lang w:val="es-ES"/>
        </w:rPr>
        <w:tab/>
        <w:t>Si bien esta propuesta de inversión representa una etapa importante, no abarca plenamente las necesidades para el desarrollo y la mejora ininterrumpidos de los sistemas relacionados con la notificación de redes de satélite. En consecuencia, se ha incluido una financiación de capital continuada de 500</w:t>
      </w:r>
      <w:r w:rsidR="00D10B4E" w:rsidRPr="002634BA">
        <w:rPr>
          <w:lang w:val="es-ES"/>
        </w:rPr>
        <w:t> </w:t>
      </w:r>
      <w:r w:rsidRPr="002634BA">
        <w:rPr>
          <w:lang w:val="es-ES"/>
        </w:rPr>
        <w:t xml:space="preserve">000 </w:t>
      </w:r>
      <w:r w:rsidR="00D10B4E" w:rsidRPr="002634BA">
        <w:rPr>
          <w:lang w:val="es-ES"/>
        </w:rPr>
        <w:t>francos suizos</w:t>
      </w:r>
      <w:r w:rsidRPr="002634BA">
        <w:rPr>
          <w:lang w:val="es-ES"/>
        </w:rPr>
        <w:t xml:space="preserve"> anuales para garantizar la prestación de funcionalidades esenciales a tenor de la evolución constante de las necesidades operacionales y reglamentarias relacionadas con la tramitación de SNF.</w:t>
      </w:r>
    </w:p>
    <w:p w14:paraId="7550CE0F" w14:textId="77777777" w:rsidR="00CA095B" w:rsidRPr="002634BA" w:rsidRDefault="00CA095B" w:rsidP="00986768">
      <w:pPr>
        <w:jc w:val="both"/>
        <w:rPr>
          <w:lang w:val="es-ES"/>
        </w:rPr>
      </w:pPr>
      <w:r w:rsidRPr="002634BA">
        <w:rPr>
          <w:lang w:val="es-ES"/>
        </w:rPr>
        <w:t xml:space="preserve">La UIT también incurre en gastos en los departamentos DSI, FRMD y C&amp;P, que son directamente atribuibles a la tramitación de SNF. Entre ellos se incluyen: </w:t>
      </w:r>
    </w:p>
    <w:p w14:paraId="37FE0B63" w14:textId="23F212C0" w:rsidR="00CA095B" w:rsidRPr="002634BA" w:rsidRDefault="00D10B4E" w:rsidP="00D10B4E">
      <w:pPr>
        <w:pStyle w:val="Figure"/>
        <w:rPr>
          <w:lang w:val="es-ES"/>
        </w:rPr>
      </w:pPr>
      <w:r w:rsidRPr="002634BA">
        <w:rPr>
          <w:noProof/>
          <w:lang w:val="es-ES"/>
        </w:rPr>
        <w:drawing>
          <wp:inline distT="0" distB="0" distL="0" distR="0" wp14:anchorId="4A3174EA" wp14:editId="14B0E01B">
            <wp:extent cx="5185458" cy="26685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8129" cy="2680179"/>
                    </a:xfrm>
                    <a:prstGeom prst="rect">
                      <a:avLst/>
                    </a:prstGeom>
                    <a:noFill/>
                    <a:ln>
                      <a:noFill/>
                    </a:ln>
                  </pic:spPr>
                </pic:pic>
              </a:graphicData>
            </a:graphic>
          </wp:inline>
        </w:drawing>
      </w:r>
    </w:p>
    <w:p w14:paraId="2807AB36" w14:textId="77777777" w:rsidR="00CA095B" w:rsidRPr="002634BA" w:rsidRDefault="00CA095B" w:rsidP="00CA095B">
      <w:pPr>
        <w:pStyle w:val="Headingb"/>
        <w:rPr>
          <w:lang w:val="es-ES"/>
        </w:rPr>
      </w:pPr>
      <w:r w:rsidRPr="002634BA">
        <w:rPr>
          <w:lang w:val="es-ES"/>
        </w:rPr>
        <w:t>Costes indirectos</w:t>
      </w:r>
    </w:p>
    <w:p w14:paraId="493FECB7" w14:textId="77777777" w:rsidR="00CA095B" w:rsidRPr="00986768" w:rsidRDefault="00CA095B" w:rsidP="00986768">
      <w:pPr>
        <w:jc w:val="both"/>
        <w:rPr>
          <w:spacing w:val="-2"/>
          <w:lang w:val="es-ES"/>
        </w:rPr>
      </w:pPr>
      <w:r w:rsidRPr="00986768">
        <w:rPr>
          <w:spacing w:val="-2"/>
          <w:lang w:val="es-ES"/>
        </w:rPr>
        <w:t>Además de los costes directos, las actividades de SNF vienen determinadas por un conjunto de servicios institucionales que facilitan el funcionamiento de la organización en su conjunto. Con objeto de garantizar que se refleje adecuadamente el coste total de la prestación de servicios de SNF, las partes pertinentes de esos servicios de apoyo se atribuyen a SNF sobre la base de factores prácticos y mensurables que reflejan la utilización real para el procesamiento de SNF.</w:t>
      </w:r>
    </w:p>
    <w:p w14:paraId="346907DD" w14:textId="77777777" w:rsidR="00CA095B" w:rsidRPr="002634BA" w:rsidRDefault="00CA095B" w:rsidP="00986768">
      <w:pPr>
        <w:jc w:val="both"/>
        <w:rPr>
          <w:lang w:val="es-ES"/>
        </w:rPr>
      </w:pPr>
      <w:r w:rsidRPr="002634BA">
        <w:rPr>
          <w:lang w:val="es-ES"/>
        </w:rPr>
        <w:t>Las bases de atribución se han determinado mediante consultas con los departamentos de servicios pertinentes y están diseñadas para armonizar la transparencia, la viabilidad operacional y la disponibilidad de datos.</w:t>
      </w:r>
    </w:p>
    <w:p w14:paraId="3C5F8BE4" w14:textId="77777777" w:rsidR="00CA095B" w:rsidRPr="002634BA" w:rsidRDefault="00CA095B" w:rsidP="00986768">
      <w:pPr>
        <w:jc w:val="both"/>
        <w:rPr>
          <w:lang w:val="es-ES"/>
        </w:rPr>
      </w:pPr>
      <w:r w:rsidRPr="002634BA">
        <w:rPr>
          <w:lang w:val="es-ES"/>
        </w:rPr>
        <w:t>A continuación se sintetizan las principales atribuciones de servicios de apoyo:</w:t>
      </w:r>
    </w:p>
    <w:p w14:paraId="3886852B" w14:textId="77777777" w:rsidR="00CA095B" w:rsidRPr="002634BA" w:rsidRDefault="00CA095B" w:rsidP="00986768">
      <w:pPr>
        <w:pStyle w:val="enumlev1"/>
        <w:jc w:val="both"/>
        <w:rPr>
          <w:b/>
          <w:bCs/>
          <w:lang w:val="es-ES"/>
        </w:rPr>
      </w:pPr>
      <w:r w:rsidRPr="002634BA">
        <w:rPr>
          <w:b/>
          <w:bCs/>
          <w:lang w:val="es-ES"/>
        </w:rPr>
        <w:t>–</w:t>
      </w:r>
      <w:r w:rsidRPr="002634BA">
        <w:rPr>
          <w:b/>
          <w:bCs/>
          <w:lang w:val="es-ES"/>
        </w:rPr>
        <w:tab/>
        <w:t>Alta dirección</w:t>
      </w:r>
    </w:p>
    <w:p w14:paraId="1BAF8635" w14:textId="77777777" w:rsidR="00CA095B" w:rsidRPr="002634BA" w:rsidRDefault="00CA095B" w:rsidP="00986768">
      <w:pPr>
        <w:pStyle w:val="enumlev1"/>
        <w:jc w:val="both"/>
        <w:rPr>
          <w:lang w:val="es-ES"/>
        </w:rPr>
      </w:pPr>
      <w:r w:rsidRPr="002634BA">
        <w:rPr>
          <w:lang w:val="es-ES"/>
        </w:rPr>
        <w:tab/>
        <w:t>Se incluye una proporción limitada del tiempo de la alta dirección en los costes de SNF para reflejar la toma de decisiones estratégicas y operacionales de alto nivel, así como las responsabilidades necesarias en cuanto a participación y supervisión de los miembros asumidas por la Secretaria General y el Secretario General Adjunto en relación con las notificaciones de redes de satélites.</w:t>
      </w:r>
    </w:p>
    <w:p w14:paraId="37BC72F3" w14:textId="3639936B" w:rsidR="00CA095B" w:rsidRPr="002634BA" w:rsidRDefault="00CA095B" w:rsidP="00986768">
      <w:pPr>
        <w:pStyle w:val="enumlev1"/>
        <w:jc w:val="both"/>
        <w:rPr>
          <w:lang w:val="es-ES"/>
        </w:rPr>
      </w:pPr>
      <w:r w:rsidRPr="002634BA">
        <w:rPr>
          <w:lang w:val="es-ES"/>
        </w:rPr>
        <w:lastRenderedPageBreak/>
        <w:tab/>
        <w:t xml:space="preserve">A efectos del modelo de cálculo de costes, esa contribución se ha estimado de forma cautelar en un 2 % (18,1 mil </w:t>
      </w:r>
      <w:r w:rsidR="00DF0ECF" w:rsidRPr="002634BA">
        <w:rPr>
          <w:lang w:val="es-ES"/>
        </w:rPr>
        <w:t>francos suizos</w:t>
      </w:r>
      <w:r w:rsidRPr="002634BA">
        <w:rPr>
          <w:lang w:val="es-ES"/>
        </w:rPr>
        <w:t>) del tiempo de los altos directivos, reflejando únicamente aquellas actividades directamente atribuibles a actividades de SNF. Los costes asociados se prorratean con arreglo a los principios aplicables a otros grupos de costes indirectos, a fin de garantizar la coherencia y la proporcionalidad en el marco de la metodología general.</w:t>
      </w:r>
    </w:p>
    <w:p w14:paraId="5392A9FF" w14:textId="77777777" w:rsidR="00CA095B" w:rsidRPr="002634BA" w:rsidRDefault="00CA095B" w:rsidP="00986768">
      <w:pPr>
        <w:pStyle w:val="enumlev1"/>
        <w:jc w:val="both"/>
        <w:rPr>
          <w:b/>
          <w:bCs/>
          <w:lang w:val="es-ES"/>
        </w:rPr>
      </w:pPr>
      <w:r w:rsidRPr="002634BA">
        <w:rPr>
          <w:b/>
          <w:bCs/>
          <w:lang w:val="es-ES"/>
        </w:rPr>
        <w:t>–</w:t>
      </w:r>
      <w:r w:rsidRPr="002634BA">
        <w:rPr>
          <w:b/>
          <w:bCs/>
          <w:lang w:val="es-ES"/>
        </w:rPr>
        <w:tab/>
        <w:t>Departamento de Servicios de Información (DSI)</w:t>
      </w:r>
    </w:p>
    <w:p w14:paraId="3C906DAF" w14:textId="77777777" w:rsidR="00CA095B" w:rsidRPr="002634BA" w:rsidRDefault="00CA095B" w:rsidP="00986768">
      <w:pPr>
        <w:pStyle w:val="enumlev1"/>
        <w:jc w:val="both"/>
        <w:rPr>
          <w:spacing w:val="-3"/>
          <w:lang w:val="es-ES"/>
        </w:rPr>
      </w:pPr>
      <w:r w:rsidRPr="002634BA">
        <w:rPr>
          <w:spacing w:val="-3"/>
          <w:lang w:val="es-ES"/>
        </w:rPr>
        <w:tab/>
        <w:t>El DSI proporciona la infraestructura de TI, servicios de ciberseguridad y sistemas institucionales, así como apoyo técnico a los miembros del personal de SNF. Estos costes se atribuyen en gran medida en función de dichos miembros de personal, con respecto al número total de miembros del personal de la UIT, lo que refleja el uso general de la infraestructura de TI por el personal de toda la Unión.</w:t>
      </w:r>
    </w:p>
    <w:p w14:paraId="0BCCA872" w14:textId="71D91E2E" w:rsidR="00CA095B" w:rsidRPr="002634BA" w:rsidRDefault="00985D60" w:rsidP="00CA095B">
      <w:pPr>
        <w:pStyle w:val="Figure"/>
        <w:rPr>
          <w:rFonts w:asciiTheme="minorHAnsi" w:hAnsiTheme="minorHAnsi" w:cstheme="minorHAnsi"/>
          <w:lang w:val="es-ES"/>
        </w:rPr>
      </w:pPr>
      <w:r w:rsidRPr="002634BA">
        <w:rPr>
          <w:noProof/>
          <w:lang w:val="es-ES"/>
        </w:rPr>
        <w:drawing>
          <wp:inline distT="0" distB="0" distL="0" distR="0" wp14:anchorId="6C50059D" wp14:editId="3A3DD9CB">
            <wp:extent cx="5092700" cy="12966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2700" cy="1296670"/>
                    </a:xfrm>
                    <a:prstGeom prst="rect">
                      <a:avLst/>
                    </a:prstGeom>
                    <a:noFill/>
                    <a:ln>
                      <a:noFill/>
                    </a:ln>
                  </pic:spPr>
                </pic:pic>
              </a:graphicData>
            </a:graphic>
          </wp:inline>
        </w:drawing>
      </w:r>
    </w:p>
    <w:p w14:paraId="4566D709" w14:textId="77777777" w:rsidR="00CA095B" w:rsidRPr="002634BA" w:rsidRDefault="00CA095B" w:rsidP="00CA095B">
      <w:pPr>
        <w:pStyle w:val="enumlev1"/>
        <w:rPr>
          <w:b/>
          <w:bCs/>
          <w:lang w:val="es-ES"/>
        </w:rPr>
      </w:pPr>
      <w:r w:rsidRPr="002634BA">
        <w:rPr>
          <w:b/>
          <w:bCs/>
          <w:lang w:val="es-ES"/>
        </w:rPr>
        <w:t>–</w:t>
      </w:r>
      <w:r w:rsidRPr="002634BA">
        <w:rPr>
          <w:b/>
          <w:bCs/>
          <w:lang w:val="es-ES"/>
        </w:rPr>
        <w:tab/>
        <w:t>Gestión de instalaciones</w:t>
      </w:r>
    </w:p>
    <w:p w14:paraId="155441E6" w14:textId="77777777" w:rsidR="00CA095B" w:rsidRPr="002634BA" w:rsidRDefault="00CA095B" w:rsidP="00986768">
      <w:pPr>
        <w:pStyle w:val="enumlev1"/>
        <w:jc w:val="both"/>
        <w:rPr>
          <w:rFonts w:asciiTheme="minorHAnsi" w:hAnsiTheme="minorHAnsi" w:cstheme="minorHAnsi"/>
          <w:lang w:val="es-ES"/>
        </w:rPr>
      </w:pPr>
      <w:r w:rsidRPr="002634BA">
        <w:rPr>
          <w:rFonts w:asciiTheme="minorHAnsi" w:hAnsiTheme="minorHAnsi" w:cstheme="minorHAnsi"/>
          <w:lang w:val="es-ES"/>
        </w:rPr>
        <w:tab/>
        <w:t>Los costes de instalaciones incluyen la ocupación de edificios, el mantenimiento de los espacios de trabajo, los servicios públicos y otros servicios relacionados con las instalaciones que utiliza el personal de SNF. Esos costes se atribuyen en función del espacio de oficina ocupado por el personal de SNF (medido en metros cuadrados) con respecto al espacio total de oficinas de la ITU, lo que ofrece una representación práctica del uso de recursos de las instalaciones.</w:t>
      </w:r>
    </w:p>
    <w:p w14:paraId="5C70CEEC" w14:textId="2AB37F43" w:rsidR="00CA095B" w:rsidRPr="0022433B" w:rsidRDefault="0022433B" w:rsidP="0022433B">
      <w:pPr>
        <w:pStyle w:val="Figure"/>
      </w:pPr>
      <w:r w:rsidRPr="0022433B">
        <w:rPr>
          <w:noProof/>
        </w:rPr>
        <w:drawing>
          <wp:inline distT="0" distB="0" distL="0" distR="0" wp14:anchorId="7659891A" wp14:editId="165A8BD7">
            <wp:extent cx="4057015" cy="873760"/>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015" cy="873760"/>
                    </a:xfrm>
                    <a:prstGeom prst="rect">
                      <a:avLst/>
                    </a:prstGeom>
                    <a:noFill/>
                    <a:ln>
                      <a:noFill/>
                    </a:ln>
                  </pic:spPr>
                </pic:pic>
              </a:graphicData>
            </a:graphic>
          </wp:inline>
        </w:drawing>
      </w:r>
    </w:p>
    <w:p w14:paraId="6EBF20AD" w14:textId="77777777" w:rsidR="00CA095B" w:rsidRPr="002634BA" w:rsidRDefault="00CA095B" w:rsidP="00BC7FC8">
      <w:pPr>
        <w:pStyle w:val="enumlev1"/>
        <w:rPr>
          <w:b/>
          <w:bCs/>
          <w:lang w:val="es-ES"/>
        </w:rPr>
      </w:pPr>
      <w:r w:rsidRPr="002634BA">
        <w:rPr>
          <w:b/>
          <w:bCs/>
          <w:lang w:val="es-ES"/>
        </w:rPr>
        <w:t>–</w:t>
      </w:r>
      <w:r w:rsidRPr="002634BA">
        <w:rPr>
          <w:b/>
          <w:bCs/>
          <w:lang w:val="es-ES"/>
        </w:rPr>
        <w:tab/>
        <w:t>Departamento de Gestión de Recursos Financieros (FRMD)</w:t>
      </w:r>
    </w:p>
    <w:p w14:paraId="35559119" w14:textId="77777777" w:rsidR="00CA095B" w:rsidRPr="002634BA" w:rsidRDefault="00CA095B" w:rsidP="00986768">
      <w:pPr>
        <w:pStyle w:val="enumlev1"/>
        <w:jc w:val="both"/>
        <w:rPr>
          <w:lang w:val="es-ES"/>
        </w:rPr>
      </w:pPr>
      <w:r w:rsidRPr="002634BA">
        <w:rPr>
          <w:lang w:val="es-ES"/>
        </w:rPr>
        <w:tab/>
        <w:t xml:space="preserve">Además de los costes directos del FRMD relacionados con las actividades de SNF anteriormente mencionadas, cabe citar otros costes indirectos que se indican a continuación, a saber, la gestión de activos y otras funciones de apoyo financiero. </w:t>
      </w:r>
    </w:p>
    <w:p w14:paraId="2EAC367D" w14:textId="1C40C682" w:rsidR="00CA095B" w:rsidRPr="00076737" w:rsidRDefault="00076737" w:rsidP="00076737">
      <w:pPr>
        <w:pStyle w:val="Figure"/>
      </w:pPr>
      <w:r w:rsidRPr="00076737">
        <w:rPr>
          <w:noProof/>
        </w:rPr>
        <w:drawing>
          <wp:inline distT="0" distB="0" distL="0" distR="0" wp14:anchorId="22DB6B86" wp14:editId="404D27AB">
            <wp:extent cx="5760085" cy="1470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1470025"/>
                    </a:xfrm>
                    <a:prstGeom prst="rect">
                      <a:avLst/>
                    </a:prstGeom>
                    <a:noFill/>
                    <a:ln>
                      <a:noFill/>
                    </a:ln>
                  </pic:spPr>
                </pic:pic>
              </a:graphicData>
            </a:graphic>
          </wp:inline>
        </w:drawing>
      </w:r>
    </w:p>
    <w:p w14:paraId="1FB31B0D" w14:textId="77777777" w:rsidR="00CA095B" w:rsidRPr="002634BA" w:rsidRDefault="00CA095B" w:rsidP="00CA095B">
      <w:pPr>
        <w:pStyle w:val="enumlev1"/>
        <w:rPr>
          <w:b/>
          <w:bCs/>
          <w:lang w:val="es-ES"/>
        </w:rPr>
      </w:pPr>
      <w:r w:rsidRPr="002634BA">
        <w:rPr>
          <w:b/>
          <w:bCs/>
          <w:lang w:val="es-ES"/>
        </w:rPr>
        <w:lastRenderedPageBreak/>
        <w:t>–</w:t>
      </w:r>
      <w:r w:rsidRPr="002634BA">
        <w:rPr>
          <w:b/>
          <w:bCs/>
          <w:lang w:val="es-ES"/>
        </w:rPr>
        <w:tab/>
        <w:t>Gestión de Recursos Humanos (HRMD), Asuntos Jurídicos (JUR) y Supervisión (OU)</w:t>
      </w:r>
    </w:p>
    <w:p w14:paraId="352179B2" w14:textId="77777777" w:rsidR="00CA095B" w:rsidRPr="002634BA" w:rsidRDefault="00CA095B" w:rsidP="00986768">
      <w:pPr>
        <w:pStyle w:val="enumlev1"/>
        <w:jc w:val="both"/>
        <w:rPr>
          <w:lang w:val="es-ES"/>
        </w:rPr>
      </w:pPr>
      <w:r w:rsidRPr="002634BA">
        <w:rPr>
          <w:lang w:val="es-ES"/>
        </w:rPr>
        <w:tab/>
        <w:t>Las funciones de Recursos Humanos (HRMD), Asuntos Jurídicos y Supervisión que prestan apoyo a las actividades de SNF, en particular contratación, gestión de contratos y nóminas, capacitación del personal, revisión jurídica, conformidad, auditoría y apoyo a la gobernanza, se incluyen en los fondos de costes indirectos. Estos servicios se atribuyen mediante la misma metodología de prorrateo que se aplica a otros servicios de apoyo institucional, a saber, en función del número de miembros del personal encargado de la SNF con respecto al número total de miembros de personal de la UIT.</w:t>
      </w:r>
    </w:p>
    <w:p w14:paraId="60466F70" w14:textId="3B25AAD7" w:rsidR="00CA095B" w:rsidRPr="002634BA" w:rsidRDefault="00076737" w:rsidP="00CA095B">
      <w:pPr>
        <w:pStyle w:val="Figure"/>
        <w:rPr>
          <w:rFonts w:asciiTheme="minorHAnsi" w:hAnsiTheme="minorHAnsi" w:cstheme="minorHAnsi"/>
          <w:lang w:val="es-ES"/>
        </w:rPr>
      </w:pPr>
      <w:r w:rsidRPr="00076737">
        <w:rPr>
          <w:noProof/>
        </w:rPr>
        <w:drawing>
          <wp:inline distT="0" distB="0" distL="0" distR="0" wp14:anchorId="02EE05B2" wp14:editId="68B321D4">
            <wp:extent cx="5081270" cy="129667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1270" cy="1296670"/>
                    </a:xfrm>
                    <a:prstGeom prst="rect">
                      <a:avLst/>
                    </a:prstGeom>
                    <a:noFill/>
                    <a:ln>
                      <a:noFill/>
                    </a:ln>
                  </pic:spPr>
                </pic:pic>
              </a:graphicData>
            </a:graphic>
          </wp:inline>
        </w:drawing>
      </w:r>
    </w:p>
    <w:p w14:paraId="092E0A5C" w14:textId="0FFE2C0B" w:rsidR="00CA095B" w:rsidRPr="002634BA" w:rsidRDefault="00FE1C0E" w:rsidP="00CA095B">
      <w:pPr>
        <w:pStyle w:val="Figure"/>
        <w:rPr>
          <w:lang w:val="es-ES"/>
        </w:rPr>
      </w:pPr>
      <w:r w:rsidRPr="00FE1C0E">
        <w:rPr>
          <w:noProof/>
        </w:rPr>
        <w:drawing>
          <wp:inline distT="0" distB="0" distL="0" distR="0" wp14:anchorId="18F06FC1" wp14:editId="065F459C">
            <wp:extent cx="5081270" cy="129667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1270" cy="1296670"/>
                    </a:xfrm>
                    <a:prstGeom prst="rect">
                      <a:avLst/>
                    </a:prstGeom>
                    <a:noFill/>
                    <a:ln>
                      <a:noFill/>
                    </a:ln>
                  </pic:spPr>
                </pic:pic>
              </a:graphicData>
            </a:graphic>
          </wp:inline>
        </w:drawing>
      </w:r>
    </w:p>
    <w:p w14:paraId="465029C3" w14:textId="3F96154D" w:rsidR="00CA095B" w:rsidRPr="002634BA" w:rsidRDefault="00FE1C0E" w:rsidP="00CA095B">
      <w:pPr>
        <w:pStyle w:val="Figure"/>
        <w:rPr>
          <w:lang w:val="es-ES"/>
        </w:rPr>
      </w:pPr>
      <w:r w:rsidRPr="00FE1C0E">
        <w:rPr>
          <w:noProof/>
        </w:rPr>
        <w:drawing>
          <wp:inline distT="0" distB="0" distL="0" distR="0" wp14:anchorId="386C010B" wp14:editId="72D71037">
            <wp:extent cx="5081270" cy="129667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1270" cy="1296670"/>
                    </a:xfrm>
                    <a:prstGeom prst="rect">
                      <a:avLst/>
                    </a:prstGeom>
                    <a:noFill/>
                    <a:ln>
                      <a:noFill/>
                    </a:ln>
                  </pic:spPr>
                </pic:pic>
              </a:graphicData>
            </a:graphic>
          </wp:inline>
        </w:drawing>
      </w:r>
    </w:p>
    <w:p w14:paraId="0C5EFC7A" w14:textId="77777777" w:rsidR="00CA095B" w:rsidRPr="002634BA" w:rsidRDefault="00CA095B" w:rsidP="00CA095B">
      <w:pPr>
        <w:pStyle w:val="enumlev1"/>
        <w:rPr>
          <w:b/>
          <w:bCs/>
          <w:lang w:val="es-ES"/>
        </w:rPr>
      </w:pPr>
      <w:r w:rsidRPr="002634BA">
        <w:rPr>
          <w:b/>
          <w:bCs/>
          <w:lang w:val="es-ES"/>
        </w:rPr>
        <w:t>–</w:t>
      </w:r>
      <w:r w:rsidRPr="002634BA">
        <w:rPr>
          <w:b/>
          <w:bCs/>
          <w:lang w:val="es-ES"/>
        </w:rPr>
        <w:tab/>
        <w:t>Financiación del pasivo del ASHI</w:t>
      </w:r>
    </w:p>
    <w:p w14:paraId="3308979B" w14:textId="77777777" w:rsidR="00CA095B" w:rsidRPr="002634BA" w:rsidRDefault="00CA095B" w:rsidP="00986768">
      <w:pPr>
        <w:pStyle w:val="enumlev1"/>
        <w:jc w:val="both"/>
        <w:rPr>
          <w:lang w:val="es-ES"/>
        </w:rPr>
      </w:pPr>
      <w:r w:rsidRPr="002634BA">
        <w:rPr>
          <w:lang w:val="es-ES"/>
        </w:rPr>
        <w:tab/>
        <w:t>La proporción del pasivo del ASHI se basa en la proporción entre el número de miembros del personal encargado de la SNF y el número total de miembros del personal de la Unión.</w:t>
      </w:r>
    </w:p>
    <w:p w14:paraId="6BACF37E" w14:textId="77777777" w:rsidR="00CA095B" w:rsidRPr="002634BA" w:rsidRDefault="00CA095B" w:rsidP="00CA095B">
      <w:pPr>
        <w:pStyle w:val="Heading2"/>
        <w:rPr>
          <w:lang w:val="es-ES"/>
        </w:rPr>
      </w:pPr>
      <w:r w:rsidRPr="002634BA">
        <w:rPr>
          <w:lang w:val="es-ES"/>
        </w:rPr>
        <w:t>2.4</w:t>
      </w:r>
      <w:r w:rsidRPr="002634BA">
        <w:rPr>
          <w:lang w:val="es-ES"/>
        </w:rPr>
        <w:tab/>
        <w:t>Aplicación previa de la metodología de atribución de costes propuesta</w:t>
      </w:r>
    </w:p>
    <w:p w14:paraId="65060EF9" w14:textId="0F815DE1" w:rsidR="00CA095B" w:rsidRPr="002634BA" w:rsidRDefault="00CA095B" w:rsidP="00986768">
      <w:pPr>
        <w:jc w:val="both"/>
        <w:rPr>
          <w:lang w:val="es-ES"/>
        </w:rPr>
      </w:pPr>
      <w:r w:rsidRPr="002634BA">
        <w:rPr>
          <w:lang w:val="es-ES"/>
        </w:rPr>
        <w:t>Los resultados de los análisis expuestos en las secciones anteriores se resumen en el cuadro que figura a continuación. Los costes totales generales de SNF se estiman en 15</w:t>
      </w:r>
      <w:r w:rsidR="00CB2B38">
        <w:rPr>
          <w:lang w:val="es-ES"/>
        </w:rPr>
        <w:t> </w:t>
      </w:r>
      <w:r w:rsidRPr="002634BA">
        <w:rPr>
          <w:lang w:val="es-ES"/>
        </w:rPr>
        <w:t>753</w:t>
      </w:r>
      <w:r w:rsidR="00CB2B38">
        <w:rPr>
          <w:lang w:val="es-ES"/>
        </w:rPr>
        <w:t> </w:t>
      </w:r>
      <w:r w:rsidRPr="002634BA">
        <w:rPr>
          <w:lang w:val="es-ES"/>
        </w:rPr>
        <w:t>700</w:t>
      </w:r>
      <w:r w:rsidR="00CB2B38">
        <w:rPr>
          <w:lang w:val="es-ES"/>
        </w:rPr>
        <w:t xml:space="preserve"> de francos suizos</w:t>
      </w:r>
      <w:r w:rsidRPr="002634BA">
        <w:rPr>
          <w:lang w:val="es-ES"/>
        </w:rPr>
        <w:t>, de los cuales los costes directos ascienden a 12 735 900 CHF y los costes indirectos totales a 3</w:t>
      </w:r>
      <w:r w:rsidR="00CB2B38">
        <w:rPr>
          <w:lang w:val="es-ES"/>
        </w:rPr>
        <w:t> </w:t>
      </w:r>
      <w:r w:rsidRPr="002634BA">
        <w:rPr>
          <w:lang w:val="es-ES"/>
        </w:rPr>
        <w:t>017</w:t>
      </w:r>
      <w:r w:rsidR="00CB2B38">
        <w:rPr>
          <w:lang w:val="es-ES"/>
        </w:rPr>
        <w:t> </w:t>
      </w:r>
      <w:r w:rsidRPr="002634BA">
        <w:rPr>
          <w:lang w:val="es-ES"/>
        </w:rPr>
        <w:t xml:space="preserve">800 </w:t>
      </w:r>
      <w:r w:rsidR="00CB2B38">
        <w:rPr>
          <w:lang w:val="es-ES"/>
        </w:rPr>
        <w:t>de francos suizos</w:t>
      </w:r>
      <w:r w:rsidRPr="002634BA">
        <w:rPr>
          <w:lang w:val="es-ES"/>
        </w:rPr>
        <w:t>.</w:t>
      </w:r>
    </w:p>
    <w:p w14:paraId="34795D5F" w14:textId="7D001ED8" w:rsidR="00CA095B" w:rsidRPr="002634BA" w:rsidRDefault="00391804" w:rsidP="00CA095B">
      <w:pPr>
        <w:pStyle w:val="Figure"/>
        <w:rPr>
          <w:lang w:val="es-ES"/>
        </w:rPr>
      </w:pPr>
      <w:r w:rsidRPr="00391804">
        <w:rPr>
          <w:noProof/>
        </w:rPr>
        <w:lastRenderedPageBreak/>
        <w:drawing>
          <wp:inline distT="0" distB="0" distL="0" distR="0" wp14:anchorId="4AB053A6" wp14:editId="773A51A3">
            <wp:extent cx="5943739" cy="2448000"/>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739" cy="2448000"/>
                    </a:xfrm>
                    <a:prstGeom prst="rect">
                      <a:avLst/>
                    </a:prstGeom>
                    <a:noFill/>
                    <a:ln>
                      <a:noFill/>
                    </a:ln>
                  </pic:spPr>
                </pic:pic>
              </a:graphicData>
            </a:graphic>
          </wp:inline>
        </w:drawing>
      </w:r>
    </w:p>
    <w:p w14:paraId="2EFFC31B" w14:textId="632CAA9A" w:rsidR="00CA095B" w:rsidRPr="002634BA" w:rsidRDefault="00CA095B" w:rsidP="00986768">
      <w:pPr>
        <w:jc w:val="both"/>
        <w:rPr>
          <w:lang w:val="es-ES"/>
        </w:rPr>
      </w:pPr>
      <w:r w:rsidRPr="002634BA">
        <w:rPr>
          <w:lang w:val="es-ES"/>
        </w:rPr>
        <w:t xml:space="preserve">Cabe señalar que, sobre la base de lo anterior, los costes indirectos representan el 23,7 % de los costes totales, lo que concuerda con los valores de referencia de organizaciones análogas recopilados por la Secretaría en el </w:t>
      </w:r>
      <w:r w:rsidR="004F2C29" w:rsidRPr="002634BA">
        <w:rPr>
          <w:lang w:val="es-ES"/>
        </w:rPr>
        <w:t xml:space="preserve">Documento </w:t>
      </w:r>
      <w:r w:rsidRPr="002634BA">
        <w:rPr>
          <w:lang w:val="es-ES"/>
        </w:rPr>
        <w:t>GTC-RHF-22/2.</w:t>
      </w:r>
    </w:p>
    <w:p w14:paraId="24ECA220" w14:textId="77777777" w:rsidR="00CA095B" w:rsidRPr="002634BA" w:rsidRDefault="00CA095B" w:rsidP="00CA095B">
      <w:pPr>
        <w:pStyle w:val="Heading2"/>
        <w:rPr>
          <w:lang w:val="es-ES"/>
        </w:rPr>
      </w:pPr>
      <w:r w:rsidRPr="002634BA">
        <w:rPr>
          <w:lang w:val="es-ES"/>
        </w:rPr>
        <w:t>2.5</w:t>
      </w:r>
      <w:r w:rsidRPr="002634BA">
        <w:rPr>
          <w:lang w:val="es-ES"/>
        </w:rPr>
        <w:tab/>
        <w:t>Previsión de la demanda para estimar el volumen de servicios tarificados</w:t>
      </w:r>
    </w:p>
    <w:p w14:paraId="25146BC3" w14:textId="77777777" w:rsidR="00CA095B" w:rsidRPr="002634BA" w:rsidRDefault="00CA095B" w:rsidP="00986768">
      <w:pPr>
        <w:jc w:val="both"/>
        <w:rPr>
          <w:lang w:val="es-ES"/>
        </w:rPr>
      </w:pPr>
      <w:r w:rsidRPr="002634BA">
        <w:rPr>
          <w:lang w:val="es-ES"/>
        </w:rPr>
        <w:t>Con objeto de facilitar la aplicación del Acuerdo 482, la Secretaría mejorará la previsión de la demanda mediante el análisis de tendencias históricas de presentación de notificaciones, el aumento previsto de las notificaciones de constelaciones y la distribución de actividades entre los Estados Miembros. La previsión también deberá tener en cuenta los factores de complejidad que influyen en el esfuerzo de tramitación y la capacidad operacional prevista de la BR. Esto garantizará que el cálculo de las tarifas se base en una estimación realista del volumen y el carácter de las notificaciones a las que se aplicará la recuperación de costes.</w:t>
      </w:r>
    </w:p>
    <w:p w14:paraId="1B76CBEB" w14:textId="77777777" w:rsidR="00CA095B" w:rsidRPr="002634BA" w:rsidRDefault="00CA095B" w:rsidP="00CA095B">
      <w:pPr>
        <w:pStyle w:val="Heading2"/>
        <w:rPr>
          <w:lang w:val="es-ES"/>
        </w:rPr>
      </w:pPr>
      <w:r w:rsidRPr="002634BA">
        <w:rPr>
          <w:lang w:val="es-ES"/>
        </w:rPr>
        <w:t>2.6</w:t>
      </w:r>
      <w:r w:rsidRPr="002634BA">
        <w:rPr>
          <w:lang w:val="es-ES"/>
        </w:rPr>
        <w:tab/>
        <w:t>Fijación de tarifas</w:t>
      </w:r>
    </w:p>
    <w:p w14:paraId="3779B310" w14:textId="77777777" w:rsidR="00CA095B" w:rsidRPr="002634BA" w:rsidRDefault="00CA095B" w:rsidP="00986768">
      <w:pPr>
        <w:jc w:val="both"/>
        <w:rPr>
          <w:lang w:val="es-ES"/>
        </w:rPr>
      </w:pPr>
      <w:r w:rsidRPr="002634BA">
        <w:rPr>
          <w:lang w:val="es-ES"/>
        </w:rPr>
        <w:t>De conformidad con el Acuerdo 482 y los principios de recuperación de costes al amparo de la Resolución 91, las tarifas se determinarán mediante la aplicación de la recuperación íntegra de costes a la demanda prevista. En modelos de cálculo de costes como el de costes por actividad, costes totales directos o indirectos, y costes de capital, se atribuirán a cada categoría de notificaciones a tenor de las necesidades de recursos previstas. El baremo tarifario incorporará el coste de la tramitación de derechos gratuitos y se presentará de forma transparente para que los Miembros estén informados de la manera en que los costes y la demanda dan lugar a los niveles de tarifas propuestos.</w:t>
      </w:r>
    </w:p>
    <w:p w14:paraId="52D74B99" w14:textId="77777777" w:rsidR="00CA095B" w:rsidRPr="002634BA" w:rsidRDefault="00CA095B" w:rsidP="00CA095B">
      <w:pPr>
        <w:pStyle w:val="Heading2"/>
        <w:rPr>
          <w:lang w:val="es-ES"/>
        </w:rPr>
      </w:pPr>
      <w:r w:rsidRPr="002634BA">
        <w:rPr>
          <w:lang w:val="es-ES"/>
        </w:rPr>
        <w:t>2.7</w:t>
      </w:r>
      <w:r w:rsidRPr="002634BA">
        <w:rPr>
          <w:lang w:val="es-ES"/>
        </w:rPr>
        <w:tab/>
        <w:t xml:space="preserve">Revisión y evaluación periódicas </w:t>
      </w:r>
    </w:p>
    <w:p w14:paraId="287BFDCE" w14:textId="77777777" w:rsidR="00CA095B" w:rsidRPr="002634BA" w:rsidRDefault="00CA095B" w:rsidP="00CA095B">
      <w:pPr>
        <w:pStyle w:val="Headingb"/>
        <w:rPr>
          <w:lang w:val="es-ES"/>
        </w:rPr>
      </w:pPr>
      <w:r w:rsidRPr="002634BA">
        <w:rPr>
          <w:lang w:val="es-ES"/>
        </w:rPr>
        <w:t>Modificación de los costes de la UIT</w:t>
      </w:r>
    </w:p>
    <w:p w14:paraId="37C49DC8" w14:textId="77777777" w:rsidR="00CA095B" w:rsidRPr="002634BA" w:rsidRDefault="00CA095B" w:rsidP="00986768">
      <w:pPr>
        <w:jc w:val="both"/>
        <w:rPr>
          <w:lang w:val="es-ES"/>
        </w:rPr>
      </w:pPr>
      <w:r w:rsidRPr="002634BA">
        <w:rPr>
          <w:lang w:val="es-ES"/>
        </w:rPr>
        <w:t xml:space="preserve">La Secretaría propone que la metodología y las tarifas se revisen al menos cada dos años, con una revisión cuatrienal en consonancia con las decisiones de la CMR, a fin de tener en cuenta la modificación de los costes de la UIT, en particular el aumento de los gastos de personal, la modernización tecnológica o la evolución de los requisitos reglamentarios susceptibles de afectar directamente a los costes subyacentes asociados a la tramitación de SNF. Puesto que estos costes fluctúan, es primordial contar con una metodología tarifaria sólida y transparente que pueda adaptarse en consecuencia, al tiempo que se vela por que las tarifas sigan siendo </w:t>
      </w:r>
      <w:r w:rsidRPr="002634BA">
        <w:rPr>
          <w:lang w:val="es-ES"/>
        </w:rPr>
        <w:lastRenderedPageBreak/>
        <w:t xml:space="preserve">justificables para las partes interesadas. El establecimiento de un proceso claro para revisar y actualizar periódicamente dicha metodología permitirá a la Secretaría mantener la coherencia, la equidad y la rendición de cuentas en cuanto a fijación de tarifas. Ese enfoque favorece la armonización con los parámetros normativos reconocidos y reitera la validez de los principios de recuperación de costes que subyacen a la estructura tarifaria de SNF. </w:t>
      </w:r>
    </w:p>
    <w:p w14:paraId="0CE5C23F" w14:textId="77777777" w:rsidR="00CA095B" w:rsidRPr="002634BA" w:rsidRDefault="00CA095B" w:rsidP="00CA095B">
      <w:pPr>
        <w:pStyle w:val="Headingb"/>
        <w:rPr>
          <w:lang w:val="es-ES"/>
        </w:rPr>
      </w:pPr>
      <w:r w:rsidRPr="002634BA">
        <w:rPr>
          <w:lang w:val="es-ES"/>
        </w:rPr>
        <w:t>Fluctuación de ingresos</w:t>
      </w:r>
    </w:p>
    <w:p w14:paraId="6559B464" w14:textId="0F3AC822" w:rsidR="00CA095B" w:rsidRPr="002634BA" w:rsidRDefault="00CA095B" w:rsidP="00986768">
      <w:pPr>
        <w:jc w:val="both"/>
        <w:rPr>
          <w:lang w:val="es-ES"/>
        </w:rPr>
      </w:pPr>
      <w:r w:rsidRPr="002634BA">
        <w:rPr>
          <w:lang w:val="es-ES"/>
        </w:rPr>
        <w:t xml:space="preserve">La fluctuación interanual de la cantidad de SNF a lo largo de los últimos años constituye otro reto fundamental para la UIT, lo que ha dado lugar a niveles de ingresos impredecibles que ponen en peligro la estabilidad financiera de la UIT. En la reunión del GTC-RHF celebrada en enero de 2026, la Secretaría presentó una propuesta de mecanismo de ajuste al alza o a la baja para hacer frente a la fluctuación de ingresos. Dicho mecanismo se basaría en una revisión para comparar los costes totales reales asociados a la tramitación de SNF con los ingresos totales por tarifas de SNF recaudados durante ese </w:t>
      </w:r>
      <w:r w:rsidR="00A362BE">
        <w:rPr>
          <w:lang w:val="es-ES"/>
        </w:rPr>
        <w:t>periodo</w:t>
      </w:r>
      <w:r w:rsidRPr="002634BA">
        <w:rPr>
          <w:lang w:val="es-ES"/>
        </w:rPr>
        <w:t>. Si se identifica un superávit o un déficit, esto es, si los ingresos tarifarios superan al gasto regulatorio real, o son inferiores al mismo, se llevaría a cabo un análisis para justificar la variación. Habida cuenta de la complejidad de dicho modelo de ajuste al alza o a la baja, esta propuesta no se considera un método para gestionar déficits o superávits. La metodología anteriormente mencionada y la revisión tarifaria bianual deberían ser suficientes para armonizar los ingresos, el presupuesto y los costes conexos en el futuro.</w:t>
      </w:r>
    </w:p>
    <w:p w14:paraId="3D6A4170" w14:textId="77777777" w:rsidR="00CA095B" w:rsidRPr="002634BA" w:rsidRDefault="00CA095B" w:rsidP="00CA095B">
      <w:pPr>
        <w:pStyle w:val="Heading1"/>
        <w:rPr>
          <w:lang w:val="es-ES"/>
        </w:rPr>
      </w:pPr>
      <w:r w:rsidRPr="002634BA">
        <w:rPr>
          <w:lang w:val="es-ES"/>
        </w:rPr>
        <w:t>3</w:t>
      </w:r>
      <w:r w:rsidRPr="002634BA">
        <w:rPr>
          <w:lang w:val="es-ES"/>
        </w:rPr>
        <w:tab/>
        <w:t>Plazos de aplicación</w:t>
      </w:r>
    </w:p>
    <w:p w14:paraId="305D28C0" w14:textId="77777777" w:rsidR="00CA095B" w:rsidRPr="002634BA" w:rsidRDefault="00CA095B" w:rsidP="007A3F78">
      <w:pPr>
        <w:keepNext/>
        <w:keepLines/>
        <w:rPr>
          <w:lang w:val="es-ES"/>
        </w:rPr>
      </w:pPr>
      <w:r w:rsidRPr="002634BA">
        <w:rPr>
          <w:lang w:val="es-ES"/>
        </w:rPr>
        <w:t xml:space="preserve">Se prevé que la metodología propuesta entre en vigor en 2028, tras el plazo de aumento tarifario temporal aprobado en el marco de la reunión de 2025 del Consejo. A raíz de ello, la revisión y aprobación definitiva de una metodología revisada y de las nuevas tarifas definitivas de SNF deberán ser aprobadas por el Consejo de 2027. </w:t>
      </w:r>
    </w:p>
    <w:p w14:paraId="00F11709" w14:textId="2FAC2695" w:rsidR="00CA095B" w:rsidRPr="002634BA" w:rsidRDefault="00CA095B" w:rsidP="00CA095B">
      <w:pPr>
        <w:pStyle w:val="Normalaftertitle"/>
        <w:spacing w:before="2400"/>
        <w:rPr>
          <w:lang w:val="es-ES"/>
        </w:rPr>
      </w:pPr>
      <w:r w:rsidRPr="002634BA">
        <w:rPr>
          <w:b/>
          <w:bCs/>
          <w:lang w:val="es-ES"/>
        </w:rPr>
        <w:t>Anexo:</w:t>
      </w:r>
      <w:r w:rsidRPr="002634BA">
        <w:rPr>
          <w:lang w:val="es-ES"/>
        </w:rPr>
        <w:t xml:space="preserve"> 1</w:t>
      </w:r>
    </w:p>
    <w:p w14:paraId="42D51C67" w14:textId="77777777" w:rsidR="00CA095B" w:rsidRPr="002634BA" w:rsidRDefault="00CA095B" w:rsidP="00CA095B">
      <w:pPr>
        <w:rPr>
          <w:lang w:val="es-ES"/>
        </w:rPr>
        <w:sectPr w:rsidR="00CA095B" w:rsidRPr="002634BA" w:rsidSect="00C538FC">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pPr>
    </w:p>
    <w:p w14:paraId="7A50FCCA" w14:textId="7F88B38D" w:rsidR="00CA095B" w:rsidRPr="002634BA" w:rsidRDefault="00934D0C" w:rsidP="00986768">
      <w:pPr>
        <w:pStyle w:val="AnnexNo"/>
        <w:spacing w:before="0"/>
        <w:rPr>
          <w:lang w:val="es-ES"/>
        </w:rPr>
      </w:pPr>
      <w:r w:rsidRPr="002634BA">
        <w:rPr>
          <w:lang w:val="es-ES"/>
        </w:rPr>
        <w:lastRenderedPageBreak/>
        <w:t>anexo 1</w:t>
      </w:r>
    </w:p>
    <w:p w14:paraId="3A5D2B0C" w14:textId="0F2C9EE5" w:rsidR="00934D0C" w:rsidRPr="002634BA" w:rsidRDefault="00934D0C" w:rsidP="00934D0C">
      <w:pPr>
        <w:pStyle w:val="Annextitle"/>
        <w:rPr>
          <w:lang w:val="es-ES"/>
        </w:rPr>
      </w:pPr>
      <w:r w:rsidRPr="002634BA">
        <w:rPr>
          <w:lang w:val="es-ES"/>
        </w:rPr>
        <w:t>Respuestas de la Secretaría a las observaciones formuladas en la reunión de diciembre 2025 del GTC-RHF</w:t>
      </w:r>
    </w:p>
    <w:tbl>
      <w:tblPr>
        <w:tblStyle w:val="TableGrid"/>
        <w:tblW w:w="14742" w:type="dxa"/>
        <w:jc w:val="center"/>
        <w:tblLayout w:type="fixed"/>
        <w:tblCellMar>
          <w:left w:w="57" w:type="dxa"/>
          <w:right w:w="57" w:type="dxa"/>
        </w:tblCellMar>
        <w:tblLook w:val="04A0" w:firstRow="1" w:lastRow="0" w:firstColumn="1" w:lastColumn="0" w:noHBand="0" w:noVBand="1"/>
      </w:tblPr>
      <w:tblGrid>
        <w:gridCol w:w="1838"/>
        <w:gridCol w:w="4394"/>
        <w:gridCol w:w="4678"/>
        <w:gridCol w:w="3832"/>
      </w:tblGrid>
      <w:tr w:rsidR="00934D0C" w:rsidRPr="002634BA" w14:paraId="51720C29" w14:textId="77777777" w:rsidTr="005E4E8F">
        <w:trPr>
          <w:tblHeader/>
          <w:jc w:val="center"/>
        </w:trPr>
        <w:tc>
          <w:tcPr>
            <w:tcW w:w="1838" w:type="dxa"/>
          </w:tcPr>
          <w:p w14:paraId="38508F0E" w14:textId="77777777" w:rsidR="00934D0C" w:rsidRPr="002634BA" w:rsidRDefault="00934D0C" w:rsidP="00847E0E">
            <w:pPr>
              <w:pStyle w:val="Tablehead"/>
              <w:keepNext w:val="0"/>
              <w:keepLines w:val="0"/>
              <w:rPr>
                <w:lang w:val="es-ES"/>
              </w:rPr>
            </w:pPr>
            <w:r w:rsidRPr="002634BA">
              <w:rPr>
                <w:lang w:val="es-ES"/>
              </w:rPr>
              <w:t>Categoría</w:t>
            </w:r>
          </w:p>
        </w:tc>
        <w:tc>
          <w:tcPr>
            <w:tcW w:w="4394" w:type="dxa"/>
          </w:tcPr>
          <w:p w14:paraId="058CE40E" w14:textId="77777777" w:rsidR="00934D0C" w:rsidRPr="002634BA" w:rsidRDefault="00934D0C" w:rsidP="00847E0E">
            <w:pPr>
              <w:pStyle w:val="Tablehead"/>
              <w:keepNext w:val="0"/>
              <w:keepLines w:val="0"/>
              <w:rPr>
                <w:lang w:val="es-ES"/>
              </w:rPr>
            </w:pPr>
            <w:r w:rsidRPr="002634BA">
              <w:rPr>
                <w:lang w:val="es-ES"/>
              </w:rPr>
              <w:t>Inquietud</w:t>
            </w:r>
          </w:p>
        </w:tc>
        <w:tc>
          <w:tcPr>
            <w:tcW w:w="4678" w:type="dxa"/>
          </w:tcPr>
          <w:p w14:paraId="0915AA02" w14:textId="77777777" w:rsidR="00934D0C" w:rsidRPr="002634BA" w:rsidRDefault="00934D0C" w:rsidP="00847E0E">
            <w:pPr>
              <w:pStyle w:val="Tablehead"/>
              <w:keepNext w:val="0"/>
              <w:keepLines w:val="0"/>
              <w:rPr>
                <w:lang w:val="es-ES"/>
              </w:rPr>
            </w:pPr>
            <w:r w:rsidRPr="002634BA">
              <w:rPr>
                <w:lang w:val="es-ES"/>
              </w:rPr>
              <w:t>Respuesta de la Secretaría</w:t>
            </w:r>
          </w:p>
        </w:tc>
        <w:tc>
          <w:tcPr>
            <w:tcW w:w="3832" w:type="dxa"/>
          </w:tcPr>
          <w:p w14:paraId="1F27B5B1" w14:textId="77777777" w:rsidR="00934D0C" w:rsidRPr="002634BA" w:rsidRDefault="00934D0C" w:rsidP="00847E0E">
            <w:pPr>
              <w:pStyle w:val="Tablehead"/>
              <w:keepNext w:val="0"/>
              <w:keepLines w:val="0"/>
              <w:rPr>
                <w:lang w:val="es-ES"/>
              </w:rPr>
            </w:pPr>
            <w:r w:rsidRPr="002634BA">
              <w:rPr>
                <w:lang w:val="es-ES"/>
              </w:rPr>
              <w:t>Propuesta</w:t>
            </w:r>
          </w:p>
        </w:tc>
      </w:tr>
      <w:tr w:rsidR="00934D0C" w:rsidRPr="00610EFC" w14:paraId="6BA848C7" w14:textId="77777777" w:rsidTr="005E4E8F">
        <w:trPr>
          <w:jc w:val="center"/>
        </w:trPr>
        <w:tc>
          <w:tcPr>
            <w:tcW w:w="1838" w:type="dxa"/>
            <w:vMerge w:val="restart"/>
            <w:vAlign w:val="center"/>
          </w:tcPr>
          <w:p w14:paraId="1F4957F7" w14:textId="77777777" w:rsidR="00934D0C" w:rsidRPr="002634BA" w:rsidRDefault="00934D0C" w:rsidP="00847E0E">
            <w:pPr>
              <w:pStyle w:val="Tabletext"/>
              <w:rPr>
                <w:lang w:val="es-ES"/>
              </w:rPr>
            </w:pPr>
            <w:r w:rsidRPr="002634BA">
              <w:rPr>
                <w:lang w:val="es-ES"/>
              </w:rPr>
              <w:t>Definiciones y metodología de los costes</w:t>
            </w:r>
          </w:p>
        </w:tc>
        <w:tc>
          <w:tcPr>
            <w:tcW w:w="4394" w:type="dxa"/>
          </w:tcPr>
          <w:p w14:paraId="5BC054C1" w14:textId="77777777" w:rsidR="00934D0C" w:rsidRPr="002634BA" w:rsidRDefault="00934D0C" w:rsidP="00847E0E">
            <w:pPr>
              <w:pStyle w:val="Tabletext"/>
              <w:rPr>
                <w:lang w:val="es-ES"/>
              </w:rPr>
            </w:pPr>
            <w:r w:rsidRPr="002634BA">
              <w:rPr>
                <w:lang w:val="es-ES"/>
              </w:rPr>
              <w:t>Falta de definiciones y metodología claras en materia de recuperación de costes.</w:t>
            </w:r>
          </w:p>
          <w:p w14:paraId="7C804886" w14:textId="77777777" w:rsidR="00934D0C" w:rsidRPr="002634BA" w:rsidRDefault="00934D0C" w:rsidP="00847E0E">
            <w:pPr>
              <w:pStyle w:val="Tabletext"/>
              <w:rPr>
                <w:lang w:val="es-ES"/>
              </w:rPr>
            </w:pPr>
            <w:r w:rsidRPr="002634BA">
              <w:rPr>
                <w:lang w:val="es-ES"/>
              </w:rPr>
              <w:t xml:space="preserve">Una de las principales inquietudes más habituales fue la falta de fórmulas claras, auditadas y transparentes para determinar el modelo de recuperación de costes de SNF. </w:t>
            </w:r>
          </w:p>
          <w:p w14:paraId="606B49C5" w14:textId="77777777" w:rsidR="00934D0C" w:rsidRPr="002634BA" w:rsidRDefault="00934D0C" w:rsidP="00847E0E">
            <w:pPr>
              <w:pStyle w:val="Tabletext"/>
              <w:rPr>
                <w:lang w:val="es-ES"/>
              </w:rPr>
            </w:pPr>
            <w:r w:rsidRPr="002634BA">
              <w:rPr>
                <w:lang w:val="es-ES"/>
              </w:rPr>
              <w:t>Los delegados señalaron que, para tomar una decisión, sería necesario un desglose de los elementos de costes, en particular la forma de identificarlos y asignarlos con carácter anual.</w:t>
            </w:r>
          </w:p>
        </w:tc>
        <w:tc>
          <w:tcPr>
            <w:tcW w:w="4678" w:type="dxa"/>
          </w:tcPr>
          <w:p w14:paraId="0EF9E59C" w14:textId="79D4255F" w:rsidR="00934D0C" w:rsidRPr="002634BA" w:rsidRDefault="00934D0C" w:rsidP="00847E0E">
            <w:pPr>
              <w:pStyle w:val="Tabletext"/>
              <w:rPr>
                <w:lang w:val="es-ES"/>
              </w:rPr>
            </w:pPr>
            <w:r w:rsidRPr="002634BA">
              <w:rPr>
                <w:lang w:val="es-ES"/>
              </w:rPr>
              <w:t xml:space="preserve">A raíz de las observaciones de los miembros, en las que se señalaba que un modelo de cálculo de costes ABC era ampliamente aceptable, la Secretaría ha aplicado los principios que figuran en el </w:t>
            </w:r>
            <w:r w:rsidR="004F2C29" w:rsidRPr="002634BA">
              <w:rPr>
                <w:lang w:val="es-ES"/>
              </w:rPr>
              <w:t xml:space="preserve">Documento </w:t>
            </w:r>
            <w:proofErr w:type="spellStart"/>
            <w:r w:rsidRPr="002634BA">
              <w:rPr>
                <w:lang w:val="es-ES"/>
              </w:rPr>
              <w:t>CWG</w:t>
            </w:r>
            <w:proofErr w:type="spellEnd"/>
            <w:r w:rsidRPr="002634BA">
              <w:rPr>
                <w:lang w:val="es-ES"/>
              </w:rPr>
              <w:t>-</w:t>
            </w:r>
            <w:proofErr w:type="spellStart"/>
            <w:r w:rsidRPr="002634BA">
              <w:rPr>
                <w:lang w:val="es-ES"/>
              </w:rPr>
              <w:t>FHR</w:t>
            </w:r>
            <w:proofErr w:type="spellEnd"/>
            <w:r w:rsidRPr="002634BA">
              <w:rPr>
                <w:lang w:val="es-ES"/>
              </w:rPr>
              <w:t>-22/2 y ha elaborado para el Consejo un desglose detallado de los costes reales para su consideración.</w:t>
            </w:r>
          </w:p>
        </w:tc>
        <w:tc>
          <w:tcPr>
            <w:tcW w:w="3832" w:type="dxa"/>
          </w:tcPr>
          <w:p w14:paraId="23EA3963" w14:textId="77777777" w:rsidR="00934D0C" w:rsidRPr="002634BA" w:rsidRDefault="00934D0C" w:rsidP="00847E0E">
            <w:pPr>
              <w:pStyle w:val="Tabletext"/>
              <w:rPr>
                <w:lang w:val="es-ES"/>
              </w:rPr>
            </w:pPr>
            <w:r w:rsidRPr="002634BA">
              <w:rPr>
                <w:lang w:val="es-ES"/>
              </w:rPr>
              <w:t>En el presente documento del Consejo se proporciona información pormenorizada sobre la forma en que se aplicará la metodología, incluida la identificación de todos los componentes de los costes y la manera de abordarlos.</w:t>
            </w:r>
          </w:p>
        </w:tc>
      </w:tr>
      <w:tr w:rsidR="00934D0C" w:rsidRPr="00610EFC" w14:paraId="2C0FFAD4" w14:textId="77777777" w:rsidTr="005E4E8F">
        <w:trPr>
          <w:jc w:val="center"/>
        </w:trPr>
        <w:tc>
          <w:tcPr>
            <w:tcW w:w="1838" w:type="dxa"/>
            <w:vMerge/>
          </w:tcPr>
          <w:p w14:paraId="31FCF4E0" w14:textId="77777777" w:rsidR="00934D0C" w:rsidRPr="002634BA" w:rsidRDefault="00934D0C" w:rsidP="00847E0E">
            <w:pPr>
              <w:pStyle w:val="Tabletext"/>
              <w:rPr>
                <w:lang w:val="es-ES"/>
              </w:rPr>
            </w:pPr>
          </w:p>
        </w:tc>
        <w:tc>
          <w:tcPr>
            <w:tcW w:w="4394" w:type="dxa"/>
          </w:tcPr>
          <w:p w14:paraId="504B1582" w14:textId="77777777" w:rsidR="00934D0C" w:rsidRPr="002634BA" w:rsidRDefault="00934D0C" w:rsidP="00847E0E">
            <w:pPr>
              <w:pStyle w:val="Tabletext"/>
              <w:rPr>
                <w:lang w:val="es-ES"/>
              </w:rPr>
            </w:pPr>
            <w:r w:rsidRPr="002634BA">
              <w:rPr>
                <w:lang w:val="es-ES"/>
              </w:rPr>
              <w:t>Los delegados señalaron que la asignación de costes indirectos de recursos humanos no estaba claramente definida ni explicada.</w:t>
            </w:r>
          </w:p>
          <w:p w14:paraId="6B84F7C9" w14:textId="77777777" w:rsidR="00934D0C" w:rsidRPr="002634BA" w:rsidRDefault="00934D0C" w:rsidP="00847E0E">
            <w:pPr>
              <w:pStyle w:val="Tabletext"/>
              <w:rPr>
                <w:lang w:val="es-ES"/>
              </w:rPr>
            </w:pPr>
            <w:r w:rsidRPr="002634BA">
              <w:rPr>
                <w:lang w:val="es-ES"/>
              </w:rPr>
              <w:t>También subrayaron la necesidad de demostrar claramente la relación entre los gastos generales y la realización de SNF antes de su inclusión.</w:t>
            </w:r>
          </w:p>
        </w:tc>
        <w:tc>
          <w:tcPr>
            <w:tcW w:w="4678" w:type="dxa"/>
          </w:tcPr>
          <w:p w14:paraId="6722D8DF" w14:textId="77777777" w:rsidR="00934D0C" w:rsidRPr="002634BA" w:rsidRDefault="00934D0C" w:rsidP="00847E0E">
            <w:pPr>
              <w:pStyle w:val="Tabletext"/>
              <w:rPr>
                <w:lang w:val="es-ES"/>
              </w:rPr>
            </w:pPr>
            <w:r w:rsidRPr="002634BA">
              <w:rPr>
                <w:lang w:val="es-ES"/>
              </w:rPr>
              <w:t xml:space="preserve">La finalidad de los recursos de gestión de recursos humanos y los recursos financieros, entre otros recursos administrativos, es administrar y facilitar los procesos necesarios para que los miembros del personal de la UIT directamente relacionados con la prestación de los productos requeridos por los Miembros puedan desempeñar su labor. </w:t>
            </w:r>
          </w:p>
          <w:p w14:paraId="3EE6D0C8" w14:textId="77777777" w:rsidR="00934D0C" w:rsidRPr="002634BA" w:rsidRDefault="00934D0C" w:rsidP="00847E0E">
            <w:pPr>
              <w:pStyle w:val="Tabletext"/>
              <w:rPr>
                <w:lang w:val="es-ES"/>
              </w:rPr>
            </w:pPr>
            <w:r w:rsidRPr="002634BA">
              <w:rPr>
                <w:lang w:val="es-ES"/>
              </w:rPr>
              <w:t xml:space="preserve">Cada recurso de personal directo es contratado y remunerado, y tiene acceso a recursos sobre cuestiones tales como determinar y poner a disposición prestaciones, y gestionar otras tareas auxiliares relacionadas con su empleo y necesarias para el mismo. </w:t>
            </w:r>
          </w:p>
          <w:p w14:paraId="37E46678" w14:textId="77777777" w:rsidR="00934D0C" w:rsidRPr="002634BA" w:rsidRDefault="00934D0C" w:rsidP="00847E0E">
            <w:pPr>
              <w:pStyle w:val="Tabletext"/>
              <w:rPr>
                <w:lang w:val="es-ES"/>
              </w:rPr>
            </w:pPr>
            <w:r w:rsidRPr="002634BA">
              <w:rPr>
                <w:lang w:val="es-ES"/>
              </w:rPr>
              <w:t xml:space="preserve">Esa labor administrativa es impulsada directamente por cada miembro del personal o </w:t>
            </w:r>
            <w:r w:rsidRPr="002634BA">
              <w:rPr>
                <w:lang w:val="es-ES"/>
              </w:rPr>
              <w:lastRenderedPageBreak/>
              <w:t xml:space="preserve">por las transacciones iniciadas a raíz del trabajo realizado en la organización. </w:t>
            </w:r>
          </w:p>
          <w:p w14:paraId="503BCCF4" w14:textId="77777777" w:rsidR="00934D0C" w:rsidRPr="002634BA" w:rsidRDefault="00934D0C" w:rsidP="00847E0E">
            <w:pPr>
              <w:pStyle w:val="Tabletext"/>
              <w:rPr>
                <w:lang w:val="es-ES"/>
              </w:rPr>
            </w:pPr>
            <w:r w:rsidRPr="002634BA">
              <w:rPr>
                <w:lang w:val="es-ES"/>
              </w:rPr>
              <w:t>Los costes indirectos se determinan en función del factor más adecuado, que en este caso es el número total de miembros del personal asignado a tareas de SNF con respecto al número total de miembros de personal de la Unión.</w:t>
            </w:r>
          </w:p>
        </w:tc>
        <w:tc>
          <w:tcPr>
            <w:tcW w:w="3832" w:type="dxa"/>
          </w:tcPr>
          <w:p w14:paraId="213291CC" w14:textId="77777777" w:rsidR="00934D0C" w:rsidRPr="002634BA" w:rsidRDefault="00934D0C" w:rsidP="00847E0E">
            <w:pPr>
              <w:pStyle w:val="Tabletext"/>
              <w:rPr>
                <w:lang w:val="es-ES"/>
              </w:rPr>
            </w:pPr>
          </w:p>
        </w:tc>
      </w:tr>
      <w:tr w:rsidR="00934D0C" w:rsidRPr="00610EFC" w14:paraId="6070F277" w14:textId="77777777" w:rsidTr="005E4E8F">
        <w:trPr>
          <w:jc w:val="center"/>
        </w:trPr>
        <w:tc>
          <w:tcPr>
            <w:tcW w:w="1838" w:type="dxa"/>
          </w:tcPr>
          <w:p w14:paraId="7C1667EF" w14:textId="00FC8E96" w:rsidR="00934D0C" w:rsidRPr="002634BA" w:rsidRDefault="00934D0C" w:rsidP="00847E0E">
            <w:pPr>
              <w:pStyle w:val="Tabletext"/>
              <w:rPr>
                <w:lang w:val="es-ES"/>
              </w:rPr>
            </w:pPr>
            <w:r w:rsidRPr="002634BA">
              <w:rPr>
                <w:lang w:val="es-ES"/>
              </w:rPr>
              <w:t>Tramitación de costes directos, indirectos y de</w:t>
            </w:r>
            <w:r w:rsidR="005E4E8F">
              <w:rPr>
                <w:lang w:val="es-ES"/>
              </w:rPr>
              <w:t> </w:t>
            </w:r>
            <w:r w:rsidRPr="002634BA">
              <w:rPr>
                <w:lang w:val="es-ES"/>
              </w:rPr>
              <w:t>capital</w:t>
            </w:r>
          </w:p>
        </w:tc>
        <w:tc>
          <w:tcPr>
            <w:tcW w:w="4394" w:type="dxa"/>
          </w:tcPr>
          <w:p w14:paraId="029E42A0" w14:textId="42E1533E" w:rsidR="00934D0C" w:rsidRPr="002634BA" w:rsidRDefault="00934D0C" w:rsidP="00847E0E">
            <w:pPr>
              <w:pStyle w:val="Tabletext"/>
              <w:rPr>
                <w:lang w:val="es-ES"/>
              </w:rPr>
            </w:pPr>
            <w:r w:rsidRPr="002634BA">
              <w:rPr>
                <w:lang w:val="es-ES"/>
              </w:rPr>
              <w:t>Algunos delegados subrayaron que todos los costes directos e indirectos deben recuperarse mediante el procedimiento de recuperación de costes, de conformidad con la Res</w:t>
            </w:r>
            <w:r w:rsidR="004129FB">
              <w:rPr>
                <w:lang w:val="es-ES"/>
              </w:rPr>
              <w:t>olución</w:t>
            </w:r>
            <w:r w:rsidRPr="002634BA">
              <w:rPr>
                <w:lang w:val="es-ES"/>
              </w:rPr>
              <w:t xml:space="preserve"> 91.</w:t>
            </w:r>
          </w:p>
        </w:tc>
        <w:tc>
          <w:tcPr>
            <w:tcW w:w="4678" w:type="dxa"/>
          </w:tcPr>
          <w:p w14:paraId="0C6E9EEA" w14:textId="65B33781" w:rsidR="00934D0C" w:rsidRPr="002634BA" w:rsidRDefault="00934D0C" w:rsidP="00847E0E">
            <w:pPr>
              <w:pStyle w:val="Tabletext"/>
              <w:rPr>
                <w:lang w:val="es-ES"/>
              </w:rPr>
            </w:pPr>
            <w:r w:rsidRPr="002634BA">
              <w:rPr>
                <w:lang w:val="es-ES"/>
              </w:rPr>
              <w:t>La Secretaría considera que las disposiciones de la Res</w:t>
            </w:r>
            <w:r w:rsidR="00905543">
              <w:rPr>
                <w:lang w:val="es-ES"/>
              </w:rPr>
              <w:t>olución</w:t>
            </w:r>
            <w:r w:rsidRPr="002634BA">
              <w:rPr>
                <w:lang w:val="es-ES"/>
              </w:rPr>
              <w:t xml:space="preserve"> 91 son claras y que requieren claramente la recuperación íntegra, tanto de los costes directos como de los indirectos. A falta de una modificación de la Resolución en el marco de una Conferencia de Plenipotenciarios, la Secretaría no puede aplicar un modelo que no cumpla este requisito. </w:t>
            </w:r>
          </w:p>
        </w:tc>
        <w:tc>
          <w:tcPr>
            <w:tcW w:w="3832" w:type="dxa"/>
          </w:tcPr>
          <w:p w14:paraId="0AD31FA0" w14:textId="77777777" w:rsidR="00934D0C" w:rsidRPr="002634BA" w:rsidRDefault="00934D0C" w:rsidP="00847E0E">
            <w:pPr>
              <w:pStyle w:val="Tabletext"/>
              <w:rPr>
                <w:lang w:val="es-ES"/>
              </w:rPr>
            </w:pPr>
            <w:r w:rsidRPr="002634BA">
              <w:rPr>
                <w:lang w:val="es-ES"/>
              </w:rPr>
              <w:t>La Secretaría ha propuesto una metodología que prevé la recuperación íntegra de costes basada en las disposiciones de la Res. 91.</w:t>
            </w:r>
          </w:p>
        </w:tc>
      </w:tr>
      <w:tr w:rsidR="00934D0C" w:rsidRPr="00610EFC" w14:paraId="2A9D0B7B" w14:textId="77777777" w:rsidTr="005E4E8F">
        <w:trPr>
          <w:jc w:val="center"/>
        </w:trPr>
        <w:tc>
          <w:tcPr>
            <w:tcW w:w="1838" w:type="dxa"/>
          </w:tcPr>
          <w:p w14:paraId="68129666" w14:textId="77777777" w:rsidR="00934D0C" w:rsidRPr="002634BA" w:rsidRDefault="00934D0C" w:rsidP="00847E0E">
            <w:pPr>
              <w:pStyle w:val="Tabletext"/>
              <w:rPr>
                <w:lang w:val="es-ES"/>
              </w:rPr>
            </w:pPr>
          </w:p>
        </w:tc>
        <w:tc>
          <w:tcPr>
            <w:tcW w:w="4394" w:type="dxa"/>
          </w:tcPr>
          <w:p w14:paraId="2C20B1D4" w14:textId="77777777" w:rsidR="00934D0C" w:rsidRPr="002634BA" w:rsidRDefault="00934D0C" w:rsidP="00847E0E">
            <w:pPr>
              <w:pStyle w:val="Tabletext"/>
              <w:rPr>
                <w:lang w:val="es-ES"/>
              </w:rPr>
            </w:pPr>
            <w:r w:rsidRPr="002634BA">
              <w:rPr>
                <w:lang w:val="es-ES"/>
              </w:rPr>
              <w:t xml:space="preserve">Los gastos de capital (en particular, la amortización de los sistemas de </w:t>
            </w:r>
            <w:r w:rsidRPr="005E4E8F">
              <w:rPr>
                <w:i/>
                <w:iCs/>
                <w:lang w:val="es-ES"/>
              </w:rPr>
              <w:t>software</w:t>
            </w:r>
            <w:r w:rsidRPr="002634BA">
              <w:rPr>
                <w:lang w:val="es-ES"/>
              </w:rPr>
              <w:t xml:space="preserve">) fueron especialmente controvertidos. Los delegados manifestaron que los costes de capital no se mencionan en la Resolución 91 y, por lo tanto, no deberían incluirse. </w:t>
            </w:r>
          </w:p>
        </w:tc>
        <w:tc>
          <w:tcPr>
            <w:tcW w:w="4678" w:type="dxa"/>
          </w:tcPr>
          <w:p w14:paraId="7D52E5A2" w14:textId="4AD4816C" w:rsidR="00934D0C" w:rsidRPr="002634BA" w:rsidRDefault="00934D0C" w:rsidP="00847E0E">
            <w:pPr>
              <w:pStyle w:val="Tabletext"/>
              <w:rPr>
                <w:lang w:val="es-ES"/>
              </w:rPr>
            </w:pPr>
            <w:r w:rsidRPr="002634BA">
              <w:rPr>
                <w:lang w:val="es-ES"/>
              </w:rPr>
              <w:t xml:space="preserve">Los términos </w:t>
            </w:r>
            <w:r w:rsidR="005E4E8F">
              <w:rPr>
                <w:lang w:val="es-ES"/>
              </w:rPr>
              <w:t>"</w:t>
            </w:r>
            <w:r w:rsidRPr="002634BA">
              <w:rPr>
                <w:lang w:val="es-ES"/>
              </w:rPr>
              <w:t>gastos de capital</w:t>
            </w:r>
            <w:r w:rsidR="005E4E8F">
              <w:rPr>
                <w:lang w:val="es-ES"/>
              </w:rPr>
              <w:t>"</w:t>
            </w:r>
            <w:r w:rsidRPr="002634BA">
              <w:rPr>
                <w:lang w:val="es-ES"/>
              </w:rPr>
              <w:t xml:space="preserve"> y </w:t>
            </w:r>
            <w:r w:rsidR="005E4E8F">
              <w:rPr>
                <w:lang w:val="es-ES"/>
              </w:rPr>
              <w:t>"</w:t>
            </w:r>
            <w:r w:rsidRPr="002634BA">
              <w:rPr>
                <w:lang w:val="es-ES"/>
              </w:rPr>
              <w:t>gastos operacionales</w:t>
            </w:r>
            <w:r w:rsidR="005E4E8F">
              <w:rPr>
                <w:lang w:val="es-ES"/>
              </w:rPr>
              <w:t>"</w:t>
            </w:r>
            <w:r w:rsidRPr="002634BA">
              <w:rPr>
                <w:lang w:val="es-ES"/>
              </w:rPr>
              <w:t xml:space="preserve"> se basan en principios contables relacionados con la forma en que se contabilizan los costes. Los gastos de capital se refieren al coste de los activos que se utilizan durante varios años y se contabilizan a lo largo de varios años (en función de la vida útil del activo adquirido) y repercuten en el balance de la organización, al tiempo que los gastos operacionales se contabilizan inmediatamente al producirse y repercuten en la cuenta de resultados. Los costes de capital generan un gasto por amortización en la cuenta de resultados. </w:t>
            </w:r>
          </w:p>
          <w:p w14:paraId="70406CF6" w14:textId="3919148F" w:rsidR="00934D0C" w:rsidRPr="002634BA" w:rsidRDefault="00934D0C" w:rsidP="00847E0E">
            <w:pPr>
              <w:pStyle w:val="Tabletext"/>
              <w:rPr>
                <w:lang w:val="es-ES"/>
              </w:rPr>
            </w:pPr>
            <w:r w:rsidRPr="002634BA">
              <w:rPr>
                <w:lang w:val="es-ES"/>
              </w:rPr>
              <w:t xml:space="preserve">Los términos </w:t>
            </w:r>
            <w:r w:rsidR="00A362BE">
              <w:rPr>
                <w:lang w:val="es-ES"/>
              </w:rPr>
              <w:t>"</w:t>
            </w:r>
            <w:r w:rsidRPr="002634BA">
              <w:rPr>
                <w:lang w:val="es-ES"/>
              </w:rPr>
              <w:t>directo</w:t>
            </w:r>
            <w:r w:rsidR="00A362BE">
              <w:rPr>
                <w:lang w:val="es-ES"/>
              </w:rPr>
              <w:t>"</w:t>
            </w:r>
            <w:r w:rsidRPr="002634BA">
              <w:rPr>
                <w:lang w:val="es-ES"/>
              </w:rPr>
              <w:t xml:space="preserve"> e </w:t>
            </w:r>
            <w:r w:rsidR="00A362BE">
              <w:rPr>
                <w:lang w:val="es-ES"/>
              </w:rPr>
              <w:t>"</w:t>
            </w:r>
            <w:r w:rsidRPr="002634BA">
              <w:rPr>
                <w:lang w:val="es-ES"/>
              </w:rPr>
              <w:t>indirecto</w:t>
            </w:r>
            <w:r w:rsidR="00A362BE">
              <w:rPr>
                <w:lang w:val="es-ES"/>
              </w:rPr>
              <w:t>"</w:t>
            </w:r>
            <w:r w:rsidRPr="002634BA">
              <w:rPr>
                <w:lang w:val="es-ES"/>
              </w:rPr>
              <w:t xml:space="preserve"> se refieren a la finalidad del gasto. Si el gasto se destina directamente a la prestación de servicios SNF, se </w:t>
            </w:r>
            <w:r w:rsidRPr="002634BA">
              <w:rPr>
                <w:lang w:val="es-ES"/>
              </w:rPr>
              <w:lastRenderedPageBreak/>
              <w:t xml:space="preserve">trata de un coste directo, ya sea un gasto de capital (a largo plazo) u operacional (a corto plazo). Análogamente, si el gasto puede atribuirse a SNF de forma indirecta (mediante apoyo a un gasto directo), se trata de un coste indirecto, ya sea de capital u operacional. </w:t>
            </w:r>
          </w:p>
          <w:p w14:paraId="72A115F8" w14:textId="77777777" w:rsidR="00934D0C" w:rsidRPr="002634BA" w:rsidRDefault="00934D0C" w:rsidP="00847E0E">
            <w:pPr>
              <w:pStyle w:val="Tabletext"/>
              <w:rPr>
                <w:lang w:val="es-ES"/>
              </w:rPr>
            </w:pPr>
            <w:r w:rsidRPr="002634BA">
              <w:rPr>
                <w:lang w:val="es-ES"/>
              </w:rPr>
              <w:t>En consecuencia, tanto los costes directos como los indirectos pueden incluir costes de capital u operacionales.</w:t>
            </w:r>
          </w:p>
          <w:p w14:paraId="28D4CDFF" w14:textId="77777777" w:rsidR="00934D0C" w:rsidRPr="002634BA" w:rsidRDefault="00934D0C" w:rsidP="00847E0E">
            <w:pPr>
              <w:pStyle w:val="Tabletext"/>
              <w:rPr>
                <w:lang w:val="es-ES"/>
              </w:rPr>
            </w:pPr>
            <w:r w:rsidRPr="002634BA">
              <w:rPr>
                <w:lang w:val="es-ES"/>
              </w:rPr>
              <w:t>Tomando como ejemplo la amortización de los sistemas de software, se trata de un gasto de capital que sería directo si el software se adquiriera específicamente con el único fin de procesar SNF, mientras que el coste anualizado del software de ciberseguridad adquirido para el conjunto de la ITU podría incluirse como gasto indirecto.</w:t>
            </w:r>
          </w:p>
        </w:tc>
        <w:tc>
          <w:tcPr>
            <w:tcW w:w="3832" w:type="dxa"/>
          </w:tcPr>
          <w:p w14:paraId="06EF6FB4" w14:textId="77777777" w:rsidR="00934D0C" w:rsidRPr="002634BA" w:rsidRDefault="00934D0C" w:rsidP="00847E0E">
            <w:pPr>
              <w:pStyle w:val="Tabletext"/>
              <w:rPr>
                <w:lang w:val="es-ES"/>
              </w:rPr>
            </w:pPr>
            <w:r w:rsidRPr="002634BA">
              <w:rPr>
                <w:lang w:val="es-ES"/>
              </w:rPr>
              <w:lastRenderedPageBreak/>
              <w:t>Tanto los gastos operacionales como los de capital se incluirán como costes directos e indirectos en función de la finalidad del gasto, siempre que la partida de costes guarde relación adecuada con servicios SNF.</w:t>
            </w:r>
          </w:p>
        </w:tc>
      </w:tr>
      <w:tr w:rsidR="00934D0C" w:rsidRPr="00610EFC" w14:paraId="6E5C638B" w14:textId="77777777" w:rsidTr="005E4E8F">
        <w:trPr>
          <w:jc w:val="center"/>
        </w:trPr>
        <w:tc>
          <w:tcPr>
            <w:tcW w:w="1838" w:type="dxa"/>
          </w:tcPr>
          <w:p w14:paraId="65CE4546" w14:textId="77777777" w:rsidR="00934D0C" w:rsidRPr="002634BA" w:rsidRDefault="00934D0C" w:rsidP="00847E0E">
            <w:pPr>
              <w:pStyle w:val="Tabletext"/>
              <w:rPr>
                <w:lang w:val="es-ES"/>
              </w:rPr>
            </w:pPr>
            <w:r w:rsidRPr="002634BA">
              <w:rPr>
                <w:lang w:val="es-ES"/>
              </w:rPr>
              <w:t>Derechos de notificación gratuita</w:t>
            </w:r>
          </w:p>
        </w:tc>
        <w:tc>
          <w:tcPr>
            <w:tcW w:w="4394" w:type="dxa"/>
          </w:tcPr>
          <w:p w14:paraId="3544753B" w14:textId="77777777" w:rsidR="00934D0C" w:rsidRPr="002634BA" w:rsidRDefault="00934D0C" w:rsidP="00847E0E">
            <w:pPr>
              <w:pStyle w:val="Tabletext"/>
              <w:rPr>
                <w:lang w:val="es-ES"/>
              </w:rPr>
            </w:pPr>
            <w:r w:rsidRPr="002634BA">
              <w:rPr>
                <w:lang w:val="es-ES"/>
              </w:rPr>
              <w:t>Muchos delegados manifestaron que los derechos de notificación gratuita constituyen una cuestión constitucional de base y deben ser financiados mediante unidades contributivas, no mediante recuperación de costes.</w:t>
            </w:r>
          </w:p>
          <w:p w14:paraId="1E523A5E" w14:textId="6D5DCA52" w:rsidR="00934D0C" w:rsidRPr="002634BA" w:rsidRDefault="00934D0C" w:rsidP="00847E0E">
            <w:pPr>
              <w:pStyle w:val="Tabletext"/>
              <w:rPr>
                <w:lang w:val="es-ES"/>
              </w:rPr>
            </w:pPr>
            <w:r w:rsidRPr="002634BA">
              <w:rPr>
                <w:lang w:val="es-ES"/>
              </w:rPr>
              <w:t>Otros señalaron que las notificaciones gratuitas deberían financiarse mediante la recuperación de costes, de conformidad con la Res</w:t>
            </w:r>
            <w:r w:rsidR="004129FB">
              <w:rPr>
                <w:lang w:val="es-ES"/>
              </w:rPr>
              <w:t>olución </w:t>
            </w:r>
            <w:r w:rsidRPr="002634BA">
              <w:rPr>
                <w:lang w:val="es-ES"/>
              </w:rPr>
              <w:t>91.</w:t>
            </w:r>
          </w:p>
          <w:p w14:paraId="5395EB22" w14:textId="77777777" w:rsidR="00934D0C" w:rsidRPr="002634BA" w:rsidRDefault="00934D0C" w:rsidP="00847E0E">
            <w:pPr>
              <w:pStyle w:val="Tabletext"/>
              <w:rPr>
                <w:lang w:val="es-ES"/>
              </w:rPr>
            </w:pPr>
            <w:r w:rsidRPr="002634BA">
              <w:rPr>
                <w:lang w:val="es-ES"/>
              </w:rPr>
              <w:t xml:space="preserve">Los delegados debatieron las preocupaciones sobre el uso indebido de los derechos de notificación gratuita. </w:t>
            </w:r>
          </w:p>
          <w:p w14:paraId="396A6007" w14:textId="77777777" w:rsidR="00934D0C" w:rsidRPr="002634BA" w:rsidRDefault="00934D0C" w:rsidP="00847E0E">
            <w:pPr>
              <w:pStyle w:val="Tabletext"/>
              <w:rPr>
                <w:lang w:val="es-ES"/>
              </w:rPr>
            </w:pPr>
            <w:r w:rsidRPr="002634BA">
              <w:rPr>
                <w:lang w:val="es-ES"/>
              </w:rPr>
              <w:lastRenderedPageBreak/>
              <w:t>Algunos de ellos señalaron que un pequeño número de grandes empresas multinacionales se benefician indirectamente de dichos derechos de notificación gratuita.</w:t>
            </w:r>
          </w:p>
          <w:p w14:paraId="40F2BCDE" w14:textId="77777777" w:rsidR="00934D0C" w:rsidRPr="002634BA" w:rsidRDefault="00934D0C" w:rsidP="00847E0E">
            <w:pPr>
              <w:pStyle w:val="Tabletext"/>
              <w:rPr>
                <w:lang w:val="es-ES"/>
              </w:rPr>
            </w:pPr>
            <w:r w:rsidRPr="002634BA">
              <w:rPr>
                <w:lang w:val="es-ES"/>
              </w:rPr>
              <w:t>Se hizo un llamamiento para evitar abusos y armonizar las solicitudes de gratuidad con los principios de acceso equitativo.</w:t>
            </w:r>
          </w:p>
          <w:p w14:paraId="3B445FB3" w14:textId="0B104F40" w:rsidR="00934D0C" w:rsidRPr="002634BA" w:rsidRDefault="00934D0C" w:rsidP="00847E0E">
            <w:pPr>
              <w:pStyle w:val="Tabletext"/>
              <w:rPr>
                <w:lang w:val="es-ES"/>
              </w:rPr>
            </w:pPr>
            <w:r w:rsidRPr="002634BA">
              <w:rPr>
                <w:lang w:val="es-ES"/>
              </w:rPr>
              <w:t xml:space="preserve">Algunos delegados manifestaron que las solicitudes gratuitas deben ser </w:t>
            </w:r>
            <w:r w:rsidR="00905543">
              <w:rPr>
                <w:lang w:val="es-ES"/>
              </w:rPr>
              <w:t xml:space="preserve">de </w:t>
            </w:r>
            <w:r w:rsidRPr="002634BA">
              <w:rPr>
                <w:lang w:val="es-ES"/>
              </w:rPr>
              <w:t>utilidad para los países en desarrollo, en particular los PMA, los PDSL y los PEID.</w:t>
            </w:r>
          </w:p>
          <w:p w14:paraId="491821B4" w14:textId="77777777" w:rsidR="00934D0C" w:rsidRPr="002634BA" w:rsidRDefault="00934D0C" w:rsidP="00847E0E">
            <w:pPr>
              <w:pStyle w:val="Tabletext"/>
              <w:rPr>
                <w:lang w:val="es-ES"/>
              </w:rPr>
            </w:pPr>
            <w:r w:rsidRPr="002634BA">
              <w:rPr>
                <w:lang w:val="es-ES"/>
              </w:rPr>
              <w:t>Por último, otros delegados propusieron que las iniciativas regionales sobre satélites tuvieran derecho a notificaciones gratuitas.</w:t>
            </w:r>
          </w:p>
        </w:tc>
        <w:tc>
          <w:tcPr>
            <w:tcW w:w="4678" w:type="dxa"/>
          </w:tcPr>
          <w:p w14:paraId="3DD1E1C3" w14:textId="1EE400FB" w:rsidR="00934D0C" w:rsidRPr="002634BA" w:rsidRDefault="00934D0C" w:rsidP="00847E0E">
            <w:pPr>
              <w:pStyle w:val="Tabletext"/>
              <w:rPr>
                <w:lang w:val="es-ES"/>
              </w:rPr>
            </w:pPr>
            <w:r w:rsidRPr="002634BA">
              <w:rPr>
                <w:lang w:val="es-ES"/>
              </w:rPr>
              <w:lastRenderedPageBreak/>
              <w:t>El derecho a notificaciones gratuitas radica en los principios establecidos al amparo de la Res</w:t>
            </w:r>
            <w:r w:rsidR="00905543">
              <w:rPr>
                <w:lang w:val="es-ES"/>
              </w:rPr>
              <w:t>olución </w:t>
            </w:r>
            <w:r w:rsidRPr="002634BA">
              <w:rPr>
                <w:lang w:val="es-ES"/>
              </w:rPr>
              <w:t xml:space="preserve">91, a fin de proporcionar acceso equitativo a todos los Estados miembros. </w:t>
            </w:r>
          </w:p>
          <w:p w14:paraId="37CEDAD8" w14:textId="77777777" w:rsidR="00934D0C" w:rsidRPr="002634BA" w:rsidRDefault="00934D0C" w:rsidP="00847E0E">
            <w:pPr>
              <w:pStyle w:val="Tabletext"/>
              <w:rPr>
                <w:lang w:val="es-ES"/>
              </w:rPr>
            </w:pPr>
            <w:r w:rsidRPr="002634BA">
              <w:rPr>
                <w:lang w:val="es-ES"/>
              </w:rPr>
              <w:t xml:space="preserve">Por lo general, el acceso equitativo se garantiza mediante disposiciones específicas para aquellos miembros que se encuentran en situación desfavorable. No obstante, con arreglo al derecho a notificación gratuita, todos los Estados miembros pueden presentar solicitudes de gratuidad, independientemente de que dichos Estados miembros dispongan de los medios para abonar las tarifas que conllevan los costes recuperados o no. Además, la Secretaría ha </w:t>
            </w:r>
            <w:r w:rsidRPr="002634BA">
              <w:rPr>
                <w:lang w:val="es-ES"/>
              </w:rPr>
              <w:lastRenderedPageBreak/>
              <w:t xml:space="preserve">señalado que las notificaciones gratuitas se han aplicado a menudo a solicitudes más complejas, lo que, en consecuencia, determina en gran medida el grado en que se han recuperado los costes íntegros. </w:t>
            </w:r>
          </w:p>
          <w:p w14:paraId="15AE649E" w14:textId="77777777" w:rsidR="00934D0C" w:rsidRPr="002634BA" w:rsidRDefault="00934D0C" w:rsidP="00847E0E">
            <w:pPr>
              <w:pStyle w:val="Tabletext"/>
              <w:rPr>
                <w:lang w:val="es-ES"/>
              </w:rPr>
            </w:pPr>
            <w:r w:rsidRPr="002634BA">
              <w:rPr>
                <w:lang w:val="es-ES"/>
              </w:rPr>
              <w:t xml:space="preserve">Con respecto a la posible financiación de notificaciones gratuitas mediante recuperación de costes, puesto que actualmente los costes totales que sufraga la Secretaría a los efectos de tramitación de SNF no se han recuperado en los últimos cinco años (en una cuantía superior al coste de las notificaciones gratuitas), el coste de las notificaciones gratuitas se financia íntegramente mediante las contribuciones previstas de los miembros de la UIT. </w:t>
            </w:r>
          </w:p>
          <w:p w14:paraId="5E56B433" w14:textId="77777777" w:rsidR="00934D0C" w:rsidRPr="002634BA" w:rsidRDefault="00934D0C" w:rsidP="00847E0E">
            <w:pPr>
              <w:pStyle w:val="Tabletext"/>
              <w:rPr>
                <w:lang w:val="es-ES"/>
              </w:rPr>
            </w:pPr>
            <w:r w:rsidRPr="002634BA">
              <w:rPr>
                <w:lang w:val="es-ES"/>
              </w:rPr>
              <w:t xml:space="preserve">En el marco de lo establecido en la Resolución 91 de la PP y el Acuerdo 482 del Consejo, el servicio de SNF forma parte del método de recuperación de costes de la UIT y las normas de aplicación detalladas del Consejo deben interpretarse en consonancia con ese marco de nivel superior. Pese a que el Acuerdo 482 concede a cada Estado Miembro un derecho anual limitado a una notificación gratuita, ese derecho debería, en opinión de la Secretaría, entenderse como una característica del modelo de tarificación y no como una base para excluir los costes conexos del cálculo total de la recuperación de costes de SNF. Habida cuenta de ello, la Secretaría considera que los costes de los derechos de notificación gratuita </w:t>
            </w:r>
            <w:r w:rsidRPr="002634BA">
              <w:rPr>
                <w:lang w:val="es-ES"/>
              </w:rPr>
              <w:lastRenderedPageBreak/>
              <w:t>deben incluirse en los costes totales recuperados de SNF.</w:t>
            </w:r>
          </w:p>
          <w:p w14:paraId="3F4BE836" w14:textId="7B5CDE65" w:rsidR="00934D0C" w:rsidRPr="002634BA" w:rsidRDefault="00934D0C" w:rsidP="00847E0E">
            <w:pPr>
              <w:pStyle w:val="Tabletext"/>
              <w:rPr>
                <w:lang w:val="es-ES"/>
              </w:rPr>
            </w:pPr>
            <w:r w:rsidRPr="002634BA">
              <w:rPr>
                <w:lang w:val="es-ES"/>
              </w:rPr>
              <w:t>La Secretaría había propuesto dos opciones:</w:t>
            </w:r>
            <w:r w:rsidR="00A362BE">
              <w:rPr>
                <w:lang w:val="es-ES"/>
              </w:rPr>
              <w:t xml:space="preserve"> </w:t>
            </w:r>
          </w:p>
          <w:p w14:paraId="5E1837BB" w14:textId="77777777" w:rsidR="00934D0C" w:rsidRPr="002634BA" w:rsidRDefault="00934D0C" w:rsidP="00847E0E">
            <w:pPr>
              <w:pStyle w:val="Tabletext"/>
              <w:tabs>
                <w:tab w:val="clear" w:pos="284"/>
                <w:tab w:val="clear" w:pos="567"/>
                <w:tab w:val="clear" w:pos="851"/>
                <w:tab w:val="left" w:pos="431"/>
              </w:tabs>
              <w:ind w:left="431" w:hanging="431"/>
              <w:rPr>
                <w:lang w:val="es-ES"/>
              </w:rPr>
            </w:pPr>
            <w:r w:rsidRPr="002634BA">
              <w:rPr>
                <w:lang w:val="es-ES"/>
              </w:rPr>
              <w:t>1</w:t>
            </w:r>
            <w:r w:rsidRPr="002634BA">
              <w:rPr>
                <w:lang w:val="es-ES"/>
              </w:rPr>
              <w:tab/>
              <w:t xml:space="preserve">limitar la notificación a la primera que se efectúe en un año, o </w:t>
            </w:r>
          </w:p>
          <w:p w14:paraId="621EF226" w14:textId="77777777" w:rsidR="00934D0C" w:rsidRPr="002634BA" w:rsidRDefault="00934D0C" w:rsidP="00847E0E">
            <w:pPr>
              <w:pStyle w:val="Tabletext"/>
              <w:tabs>
                <w:tab w:val="clear" w:pos="284"/>
                <w:tab w:val="clear" w:pos="567"/>
                <w:tab w:val="clear" w:pos="851"/>
                <w:tab w:val="left" w:pos="431"/>
              </w:tabs>
              <w:ind w:left="431" w:hanging="431"/>
              <w:rPr>
                <w:lang w:val="es-ES"/>
              </w:rPr>
            </w:pPr>
            <w:r w:rsidRPr="002634BA">
              <w:rPr>
                <w:lang w:val="es-ES"/>
              </w:rPr>
              <w:t>2</w:t>
            </w:r>
            <w:r w:rsidRPr="002634BA">
              <w:rPr>
                <w:lang w:val="es-ES"/>
              </w:rPr>
              <w:tab/>
              <w:t xml:space="preserve">aplicar la gratuidad de una notificación a la notificación de menor coste realizada por cualquier administración en un año. </w:t>
            </w:r>
          </w:p>
          <w:p w14:paraId="583C8740" w14:textId="77777777" w:rsidR="00934D0C" w:rsidRPr="002634BA" w:rsidRDefault="00934D0C" w:rsidP="00847E0E">
            <w:pPr>
              <w:pStyle w:val="Tabletext"/>
              <w:rPr>
                <w:lang w:val="es-ES"/>
              </w:rPr>
            </w:pPr>
            <w:r w:rsidRPr="002634BA">
              <w:rPr>
                <w:lang w:val="es-ES"/>
              </w:rPr>
              <w:t>En el primer caso, se señaló que ello no tendría por qué constituir diferencia alguna, ya que las organizaciones que realizan varias notificaciones se asegurarían de prever que la de menor coste se efectúe en primer lugar.</w:t>
            </w:r>
          </w:p>
          <w:p w14:paraId="251D8E39" w14:textId="77777777" w:rsidR="00934D0C" w:rsidRPr="002634BA" w:rsidRDefault="00934D0C" w:rsidP="00847E0E">
            <w:pPr>
              <w:pStyle w:val="Tabletext"/>
              <w:rPr>
                <w:lang w:val="es-ES"/>
              </w:rPr>
            </w:pPr>
            <w:r w:rsidRPr="002634BA">
              <w:rPr>
                <w:lang w:val="es-ES"/>
              </w:rPr>
              <w:t>En cuanto a la segunda posibilidad, se señaló que ello eliminaría las ventajas asociadas a una notificación gratuita. No obstante, la Secretaría señala que ello solo limitaría las ventajas para las organizaciones más grandes que realicen varias notificaciones por año, y que, de todos modos, no habrían previsto obtener ninguna ventaja previa de ello.</w:t>
            </w:r>
          </w:p>
        </w:tc>
        <w:tc>
          <w:tcPr>
            <w:tcW w:w="3832" w:type="dxa"/>
          </w:tcPr>
          <w:p w14:paraId="79E5F0BA" w14:textId="77777777" w:rsidR="00934D0C" w:rsidRPr="002634BA" w:rsidRDefault="00934D0C" w:rsidP="00847E0E">
            <w:pPr>
              <w:pStyle w:val="Tabletext"/>
              <w:rPr>
                <w:lang w:val="es-ES"/>
              </w:rPr>
            </w:pPr>
            <w:r w:rsidRPr="002634BA">
              <w:rPr>
                <w:lang w:val="es-ES"/>
              </w:rPr>
              <w:lastRenderedPageBreak/>
              <w:t>La Secretaría propone que el Consejo considere uno de los enfoques siguientes posibles en materia de metodología para notificaciones gratuitas:</w:t>
            </w:r>
          </w:p>
          <w:p w14:paraId="05510F7A" w14:textId="77777777" w:rsidR="00934D0C" w:rsidRPr="002634BA" w:rsidRDefault="00934D0C" w:rsidP="00847E0E">
            <w:pPr>
              <w:pStyle w:val="Tabletext"/>
              <w:tabs>
                <w:tab w:val="clear" w:pos="284"/>
                <w:tab w:val="clear" w:pos="567"/>
                <w:tab w:val="clear" w:pos="851"/>
                <w:tab w:val="left" w:pos="431"/>
              </w:tabs>
              <w:ind w:left="431" w:hanging="431"/>
              <w:rPr>
                <w:lang w:val="es-ES"/>
              </w:rPr>
            </w:pPr>
            <w:r w:rsidRPr="002634BA">
              <w:rPr>
                <w:lang w:val="es-ES"/>
              </w:rPr>
              <w:t>1.</w:t>
            </w:r>
            <w:r w:rsidRPr="002634BA">
              <w:rPr>
                <w:lang w:val="es-ES"/>
              </w:rPr>
              <w:tab/>
              <w:t>Aplicar el derecho a notificación gratuita a la notificación de menor coste que efectúe una administración cada año.</w:t>
            </w:r>
          </w:p>
          <w:p w14:paraId="11CB7132" w14:textId="77777777" w:rsidR="00934D0C" w:rsidRPr="002634BA" w:rsidRDefault="00934D0C" w:rsidP="00847E0E">
            <w:pPr>
              <w:pStyle w:val="Tabletext"/>
              <w:tabs>
                <w:tab w:val="clear" w:pos="284"/>
                <w:tab w:val="clear" w:pos="567"/>
                <w:tab w:val="clear" w:pos="851"/>
                <w:tab w:val="left" w:pos="431"/>
              </w:tabs>
              <w:ind w:left="431" w:hanging="431"/>
              <w:rPr>
                <w:lang w:val="es-ES"/>
              </w:rPr>
            </w:pPr>
            <w:r w:rsidRPr="002634BA">
              <w:rPr>
                <w:lang w:val="es-ES"/>
              </w:rPr>
              <w:t>2.</w:t>
            </w:r>
            <w:r w:rsidRPr="002634BA">
              <w:rPr>
                <w:lang w:val="es-ES"/>
              </w:rPr>
              <w:tab/>
              <w:t xml:space="preserve">Limitar el derecho a notificación gratuita a los países menos adelantados (PMA), los pequeños Estados insulares en desarrollo (PEID), los países en desarrollo sin </w:t>
            </w:r>
            <w:r w:rsidRPr="002634BA">
              <w:rPr>
                <w:lang w:val="es-ES"/>
              </w:rPr>
              <w:lastRenderedPageBreak/>
              <w:t>litoral (PDSL) y los países con economías en transición.</w:t>
            </w:r>
          </w:p>
          <w:p w14:paraId="44C255A5" w14:textId="77777777" w:rsidR="00934D0C" w:rsidRPr="002634BA" w:rsidRDefault="00934D0C" w:rsidP="00847E0E">
            <w:pPr>
              <w:pStyle w:val="Tabletext"/>
              <w:rPr>
                <w:lang w:val="es-ES"/>
              </w:rPr>
            </w:pPr>
            <w:r w:rsidRPr="002634BA">
              <w:rPr>
                <w:lang w:val="es-ES"/>
              </w:rPr>
              <w:t>En cada caso, la Secretaría considera que el enfoque adecuado es incluir el coste de tramitación de derechos a notificación gratuita en los costes generales de SNF y recuperar íntegramente los costes mediante tarifas de SNF.</w:t>
            </w:r>
          </w:p>
        </w:tc>
      </w:tr>
      <w:tr w:rsidR="00934D0C" w:rsidRPr="00610EFC" w14:paraId="61B86510" w14:textId="77777777" w:rsidTr="005E4E8F">
        <w:trPr>
          <w:jc w:val="center"/>
        </w:trPr>
        <w:tc>
          <w:tcPr>
            <w:tcW w:w="1838" w:type="dxa"/>
          </w:tcPr>
          <w:p w14:paraId="6963CC12" w14:textId="77777777" w:rsidR="00934D0C" w:rsidRPr="002634BA" w:rsidRDefault="00934D0C" w:rsidP="00847E0E">
            <w:pPr>
              <w:pStyle w:val="Tabletext"/>
              <w:rPr>
                <w:sz w:val="20"/>
                <w:szCs w:val="20"/>
                <w:lang w:val="es-ES"/>
              </w:rPr>
            </w:pPr>
          </w:p>
        </w:tc>
        <w:tc>
          <w:tcPr>
            <w:tcW w:w="4394" w:type="dxa"/>
          </w:tcPr>
          <w:p w14:paraId="3498C30E" w14:textId="77777777" w:rsidR="00934D0C" w:rsidRPr="002634BA" w:rsidRDefault="00934D0C" w:rsidP="00847E0E">
            <w:pPr>
              <w:pStyle w:val="Tabletext"/>
              <w:rPr>
                <w:lang w:val="es-ES"/>
              </w:rPr>
            </w:pPr>
            <w:r w:rsidRPr="002634BA">
              <w:rPr>
                <w:lang w:val="es-ES"/>
              </w:rPr>
              <w:t>Alcance de las notificaciones gratuitas:</w:t>
            </w:r>
          </w:p>
          <w:p w14:paraId="637FB4DE" w14:textId="77777777" w:rsidR="00934D0C" w:rsidRPr="002634BA" w:rsidRDefault="00934D0C" w:rsidP="00847E0E">
            <w:pPr>
              <w:pStyle w:val="Tabletext"/>
              <w:tabs>
                <w:tab w:val="clear" w:pos="284"/>
                <w:tab w:val="clear" w:pos="567"/>
                <w:tab w:val="clear" w:pos="851"/>
                <w:tab w:val="left" w:pos="431"/>
              </w:tabs>
              <w:ind w:left="431" w:hanging="431"/>
              <w:rPr>
                <w:lang w:val="es-ES"/>
              </w:rPr>
            </w:pPr>
            <w:r w:rsidRPr="002634BA">
              <w:rPr>
                <w:lang w:val="es-ES"/>
              </w:rPr>
              <w:t>–</w:t>
            </w:r>
            <w:r w:rsidRPr="002634BA">
              <w:rPr>
                <w:lang w:val="es-ES"/>
              </w:rPr>
              <w:tab/>
              <w:t>Propuesta de limitar las notificaciones gratuitas a sistemas de satélite íntegros y excluir modificaciones.</w:t>
            </w:r>
          </w:p>
          <w:p w14:paraId="354A9F1C" w14:textId="77777777" w:rsidR="00934D0C" w:rsidRPr="002634BA" w:rsidRDefault="00934D0C" w:rsidP="00847E0E">
            <w:pPr>
              <w:pStyle w:val="Tabletext"/>
              <w:tabs>
                <w:tab w:val="clear" w:pos="284"/>
                <w:tab w:val="clear" w:pos="567"/>
                <w:tab w:val="clear" w:pos="851"/>
                <w:tab w:val="left" w:pos="431"/>
              </w:tabs>
              <w:ind w:left="431" w:hanging="431"/>
              <w:rPr>
                <w:lang w:val="es-ES"/>
              </w:rPr>
            </w:pPr>
            <w:r w:rsidRPr="002634BA">
              <w:rPr>
                <w:lang w:val="es-ES"/>
              </w:rPr>
              <w:t>–</w:t>
            </w:r>
            <w:r w:rsidRPr="002634BA">
              <w:rPr>
                <w:lang w:val="es-ES"/>
              </w:rPr>
              <w:tab/>
              <w:t>Determinar si las notificaciones no relacionadas con sistemas OSG pueden beneficiarse de esta ventaja, sobre la base de exclusiones recientes.</w:t>
            </w:r>
          </w:p>
        </w:tc>
        <w:tc>
          <w:tcPr>
            <w:tcW w:w="4678" w:type="dxa"/>
          </w:tcPr>
          <w:p w14:paraId="0AC6D5AF" w14:textId="77777777" w:rsidR="00934D0C" w:rsidRPr="002634BA" w:rsidRDefault="00934D0C" w:rsidP="00847E0E">
            <w:pPr>
              <w:pStyle w:val="Tabletext"/>
              <w:rPr>
                <w:rFonts w:eastAsia="Calibri" w:cs="Calibri"/>
                <w:spacing w:val="-3"/>
                <w:lang w:val="es-ES"/>
              </w:rPr>
            </w:pPr>
            <w:r w:rsidRPr="002634BA">
              <w:rPr>
                <w:rFonts w:eastAsia="Calibri" w:cs="Calibri"/>
                <w:spacing w:val="-3"/>
                <w:lang w:val="es-ES"/>
              </w:rPr>
              <w:t xml:space="preserve">La limitación de las notificaciones gratuitas a los sistemas de satélites íntegros y la exclusión de modificaciones podría eludirse fácilmente y, en última instancia, podría resultar contraproducente; en lugar de presentar modificaciones, se presentarían sistemas de satélites íntegros que incluyeran las modificaciones previstas, lo que eludiría la medida, al tiempo que aumentaría </w:t>
            </w:r>
            <w:r w:rsidRPr="002634BA">
              <w:rPr>
                <w:rFonts w:eastAsia="Calibri" w:cs="Calibri"/>
                <w:spacing w:val="-3"/>
                <w:lang w:val="es-ES"/>
              </w:rPr>
              <w:lastRenderedPageBreak/>
              <w:t xml:space="preserve">inútilmente la carga de trabajo de la Oficina de Radiocomunicaciones. </w:t>
            </w:r>
          </w:p>
          <w:p w14:paraId="09004C41" w14:textId="310156F8" w:rsidR="00934D0C" w:rsidRPr="002634BA" w:rsidRDefault="00934D0C" w:rsidP="00847E0E">
            <w:pPr>
              <w:pStyle w:val="Tabletext"/>
              <w:rPr>
                <w:rFonts w:eastAsia="Calibri" w:cs="Calibri"/>
                <w:lang w:val="es-ES"/>
              </w:rPr>
            </w:pPr>
            <w:r w:rsidRPr="002634BA">
              <w:rPr>
                <w:rFonts w:eastAsia="Calibri" w:cs="Calibri"/>
                <w:spacing w:val="-3"/>
                <w:lang w:val="es-ES"/>
              </w:rPr>
              <w:t>Las notificaciones de satélites no-OSG son muy diversas, y comprenden tanto pequeños proyectos académicos de aficionados como satélites científicos muy complejos o grandes constelaciones de satélites de comunicaciones. La revisión del Acuerdo</w:t>
            </w:r>
            <w:r w:rsidR="00336E94">
              <w:rPr>
                <w:rFonts w:eastAsia="Calibri" w:cs="Calibri"/>
                <w:spacing w:val="-3"/>
                <w:lang w:val="es-ES"/>
              </w:rPr>
              <w:t> </w:t>
            </w:r>
            <w:r w:rsidRPr="002634BA">
              <w:rPr>
                <w:rFonts w:eastAsia="Calibri" w:cs="Calibri"/>
                <w:spacing w:val="-3"/>
                <w:lang w:val="es-ES"/>
              </w:rPr>
              <w:t>482, adoptado por el Consejo en su reunión de 2025, excluye de la aplicación de las notificaciones gratuitas las notificaciones de satélites no-OSG grandes y complejas. Puesto que dicha exclusión entró en vigor el 1 de enero de 2026, la experiencia sobre la eficacia de la medida es aún muy limitada.</w:t>
            </w:r>
            <w:r w:rsidR="00A362BE">
              <w:rPr>
                <w:rFonts w:eastAsia="Calibri" w:cs="Calibri"/>
                <w:spacing w:val="-3"/>
                <w:lang w:val="es-ES"/>
              </w:rPr>
              <w:t xml:space="preserve"> </w:t>
            </w:r>
          </w:p>
        </w:tc>
        <w:tc>
          <w:tcPr>
            <w:tcW w:w="3832" w:type="dxa"/>
          </w:tcPr>
          <w:p w14:paraId="6B7A1D7F" w14:textId="77777777" w:rsidR="00934D0C" w:rsidRPr="002634BA" w:rsidRDefault="00934D0C" w:rsidP="00847E0E">
            <w:pPr>
              <w:pStyle w:val="Tabletext"/>
              <w:rPr>
                <w:rFonts w:eastAsia="Calibri" w:cs="Calibri"/>
                <w:lang w:val="es-ES"/>
              </w:rPr>
            </w:pPr>
            <w:r w:rsidRPr="002634BA">
              <w:rPr>
                <w:rFonts w:eastAsia="Calibri" w:cs="Calibri"/>
                <w:lang w:val="es-ES"/>
              </w:rPr>
              <w:lastRenderedPageBreak/>
              <w:t xml:space="preserve">No debería aprobarse la propuesta de limitar las notificaciones gratuitas a sistemas de satélites íntegros al tiempo que se excluyen las modificaciones. </w:t>
            </w:r>
          </w:p>
          <w:p w14:paraId="46CA80B4" w14:textId="77777777" w:rsidR="00934D0C" w:rsidRPr="002634BA" w:rsidRDefault="00934D0C" w:rsidP="00847E0E">
            <w:pPr>
              <w:pStyle w:val="Tabletext"/>
              <w:rPr>
                <w:rFonts w:eastAsia="Calibri" w:cs="Calibri"/>
                <w:lang w:val="es-ES"/>
              </w:rPr>
            </w:pPr>
            <w:r w:rsidRPr="002634BA">
              <w:rPr>
                <w:rFonts w:eastAsia="Calibri" w:cs="Calibri"/>
                <w:lang w:val="es-ES"/>
              </w:rPr>
              <w:t xml:space="preserve">En cuanto a la admisibilidad de notificaciones de satélites no-OSG, el Consejo, en su reunión de 2027, debería examinar el primer año de aplicación de los acuerdos adoptados por el Consejo </w:t>
            </w:r>
            <w:r w:rsidRPr="002634BA">
              <w:rPr>
                <w:rFonts w:eastAsia="Calibri" w:cs="Calibri"/>
                <w:lang w:val="es-ES"/>
              </w:rPr>
              <w:lastRenderedPageBreak/>
              <w:t xml:space="preserve">en 2025 y determinar si es necesaria la adopción de medidas suplementarias. </w:t>
            </w:r>
          </w:p>
        </w:tc>
      </w:tr>
      <w:tr w:rsidR="00934D0C" w:rsidRPr="00610EFC" w14:paraId="177B6B0F" w14:textId="77777777" w:rsidTr="005E4E8F">
        <w:trPr>
          <w:jc w:val="center"/>
        </w:trPr>
        <w:tc>
          <w:tcPr>
            <w:tcW w:w="1838" w:type="dxa"/>
          </w:tcPr>
          <w:p w14:paraId="7A09F153" w14:textId="77777777" w:rsidR="00934D0C" w:rsidRPr="002634BA" w:rsidRDefault="00934D0C" w:rsidP="00847E0E">
            <w:pPr>
              <w:pStyle w:val="Tabletext"/>
              <w:rPr>
                <w:lang w:val="es-ES"/>
              </w:rPr>
            </w:pPr>
            <w:r w:rsidRPr="002634BA">
              <w:rPr>
                <w:lang w:val="es-ES"/>
              </w:rPr>
              <w:lastRenderedPageBreak/>
              <w:t>Previsibilidad y estabilidad tarifaria</w:t>
            </w:r>
          </w:p>
        </w:tc>
        <w:tc>
          <w:tcPr>
            <w:tcW w:w="4394" w:type="dxa"/>
          </w:tcPr>
          <w:p w14:paraId="6A7BE72C" w14:textId="36C35762" w:rsidR="00934D0C" w:rsidRPr="002634BA" w:rsidRDefault="00934D0C" w:rsidP="00847E0E">
            <w:pPr>
              <w:pStyle w:val="Tabletext"/>
              <w:rPr>
                <w:lang w:val="es-ES"/>
              </w:rPr>
            </w:pPr>
            <w:r w:rsidRPr="002634BA">
              <w:rPr>
                <w:lang w:val="es-ES"/>
              </w:rPr>
              <w:t xml:space="preserve">Se manifestó inquietud sobre el mecanismo de </w:t>
            </w:r>
            <w:r w:rsidR="00336E94">
              <w:rPr>
                <w:lang w:val="es-ES"/>
              </w:rPr>
              <w:t>"</w:t>
            </w:r>
            <w:r w:rsidRPr="002634BA">
              <w:rPr>
                <w:lang w:val="es-ES"/>
              </w:rPr>
              <w:t>ajuste al alza y a la baja</w:t>
            </w:r>
            <w:r w:rsidR="00336E94">
              <w:rPr>
                <w:lang w:val="es-ES"/>
              </w:rPr>
              <w:t>"</w:t>
            </w:r>
            <w:r w:rsidRPr="002634BA">
              <w:rPr>
                <w:lang w:val="es-ES"/>
              </w:rPr>
              <w:t xml:space="preserve"> propuesto, debido a la percepción de una transferencia de riesgo a los operadores.</w:t>
            </w:r>
          </w:p>
          <w:p w14:paraId="2E608416" w14:textId="77777777" w:rsidR="00934D0C" w:rsidRPr="002634BA" w:rsidRDefault="00934D0C" w:rsidP="00847E0E">
            <w:pPr>
              <w:pStyle w:val="Tabletext"/>
              <w:rPr>
                <w:lang w:val="es-ES"/>
              </w:rPr>
            </w:pPr>
            <w:r w:rsidRPr="002634BA">
              <w:rPr>
                <w:lang w:val="es-ES"/>
              </w:rPr>
              <w:t>Algunos delegados solicitaron:</w:t>
            </w:r>
          </w:p>
          <w:p w14:paraId="47B8188F" w14:textId="77777777" w:rsidR="00934D0C" w:rsidRPr="002634BA" w:rsidRDefault="00934D0C" w:rsidP="00847E0E">
            <w:pPr>
              <w:pStyle w:val="Tabletext"/>
              <w:tabs>
                <w:tab w:val="clear" w:pos="284"/>
                <w:tab w:val="clear" w:pos="567"/>
                <w:tab w:val="clear" w:pos="851"/>
                <w:tab w:val="left" w:pos="431"/>
              </w:tabs>
              <w:ind w:left="431" w:hanging="431"/>
              <w:rPr>
                <w:lang w:val="es-ES"/>
              </w:rPr>
            </w:pPr>
            <w:r w:rsidRPr="002634BA">
              <w:rPr>
                <w:lang w:val="es-ES"/>
              </w:rPr>
              <w:t>–</w:t>
            </w:r>
            <w:r w:rsidRPr="002634BA">
              <w:rPr>
                <w:lang w:val="es-ES"/>
              </w:rPr>
              <w:tab/>
              <w:t>Marcos de planificación plurianuales</w:t>
            </w:r>
          </w:p>
          <w:p w14:paraId="7C92F43F" w14:textId="77777777" w:rsidR="00934D0C" w:rsidRPr="002634BA" w:rsidRDefault="00934D0C" w:rsidP="00847E0E">
            <w:pPr>
              <w:pStyle w:val="Tabletext"/>
              <w:tabs>
                <w:tab w:val="clear" w:pos="284"/>
                <w:tab w:val="clear" w:pos="567"/>
                <w:tab w:val="clear" w:pos="851"/>
                <w:tab w:val="left" w:pos="431"/>
              </w:tabs>
              <w:ind w:left="431" w:hanging="431"/>
              <w:rPr>
                <w:lang w:val="es-ES"/>
              </w:rPr>
            </w:pPr>
            <w:r w:rsidRPr="002634BA">
              <w:rPr>
                <w:lang w:val="es-ES"/>
              </w:rPr>
              <w:t>–</w:t>
            </w:r>
            <w:r w:rsidRPr="002634BA">
              <w:rPr>
                <w:lang w:val="es-ES"/>
              </w:rPr>
              <w:tab/>
              <w:t>Establecimiento de límites máximos y mínimos claros</w:t>
            </w:r>
          </w:p>
          <w:p w14:paraId="2CB10DF9" w14:textId="77777777" w:rsidR="00934D0C" w:rsidRPr="002634BA" w:rsidRDefault="00934D0C" w:rsidP="00847E0E">
            <w:pPr>
              <w:pStyle w:val="Tabletext"/>
              <w:tabs>
                <w:tab w:val="clear" w:pos="284"/>
                <w:tab w:val="clear" w:pos="567"/>
                <w:tab w:val="clear" w:pos="851"/>
                <w:tab w:val="left" w:pos="431"/>
              </w:tabs>
              <w:ind w:left="431" w:hanging="431"/>
              <w:rPr>
                <w:lang w:val="es-ES"/>
              </w:rPr>
            </w:pPr>
            <w:r w:rsidRPr="002634BA">
              <w:rPr>
                <w:lang w:val="es-ES"/>
              </w:rPr>
              <w:t>–</w:t>
            </w:r>
            <w:r w:rsidRPr="002634BA">
              <w:rPr>
                <w:lang w:val="es-ES"/>
              </w:rPr>
              <w:tab/>
              <w:t>Previsiones estables y auditables.</w:t>
            </w:r>
          </w:p>
          <w:p w14:paraId="1F71D151" w14:textId="77777777" w:rsidR="00934D0C" w:rsidRPr="002634BA" w:rsidRDefault="00934D0C" w:rsidP="00847E0E">
            <w:pPr>
              <w:pStyle w:val="Tabletext"/>
              <w:rPr>
                <w:lang w:val="es-ES"/>
              </w:rPr>
            </w:pPr>
            <w:r w:rsidRPr="002634BA">
              <w:rPr>
                <w:lang w:val="es-ES"/>
              </w:rPr>
              <w:t>Los delegados vincularon la estabilidad tarifaria a la previsibilidad de acceso comercial, en particular para los operadores OSG.</w:t>
            </w:r>
          </w:p>
        </w:tc>
        <w:tc>
          <w:tcPr>
            <w:tcW w:w="4678" w:type="dxa"/>
          </w:tcPr>
          <w:p w14:paraId="6C77CB51" w14:textId="62FBF1E6" w:rsidR="00934D0C" w:rsidRPr="002634BA" w:rsidRDefault="00934D0C" w:rsidP="00847E0E">
            <w:pPr>
              <w:pStyle w:val="Tabletext"/>
              <w:rPr>
                <w:lang w:val="es-ES"/>
              </w:rPr>
            </w:pPr>
            <w:r w:rsidRPr="002634BA">
              <w:rPr>
                <w:lang w:val="es-ES"/>
              </w:rPr>
              <w:t>Pese a que esa inquietud es comprensible, los requisitos establecidos en el marco de la Res</w:t>
            </w:r>
            <w:r w:rsidR="00336E94">
              <w:rPr>
                <w:lang w:val="es-ES"/>
              </w:rPr>
              <w:t>olución </w:t>
            </w:r>
            <w:r w:rsidRPr="002634BA">
              <w:rPr>
                <w:lang w:val="es-ES"/>
              </w:rPr>
              <w:t>91, en virtud de la cual se requiere una recuperación íntegra de costes, es necesario un mecanismo para abordar la fluctuación de los mercados. La Secretaría señala que ello beneficiaría al sector en los años en que exista una clara recuperación.</w:t>
            </w:r>
          </w:p>
          <w:p w14:paraId="4ABFD9C9" w14:textId="77777777" w:rsidR="00934D0C" w:rsidRPr="002634BA" w:rsidRDefault="00934D0C" w:rsidP="00847E0E">
            <w:pPr>
              <w:pStyle w:val="Tabletext"/>
              <w:rPr>
                <w:lang w:val="es-ES"/>
              </w:rPr>
            </w:pPr>
            <w:r w:rsidRPr="002634BA">
              <w:rPr>
                <w:lang w:val="es-ES"/>
              </w:rPr>
              <w:t>Habida cuenta del nivel de complejidad de este mecanismo y de la revisión tarifaria bienal, los ingresos y el presupuesto, la Secretaría propone descartar esta propuesta.</w:t>
            </w:r>
          </w:p>
        </w:tc>
        <w:tc>
          <w:tcPr>
            <w:tcW w:w="3832" w:type="dxa"/>
          </w:tcPr>
          <w:p w14:paraId="3D12DB7F" w14:textId="77777777" w:rsidR="00934D0C" w:rsidRPr="002634BA" w:rsidRDefault="00934D0C" w:rsidP="00847E0E">
            <w:pPr>
              <w:pStyle w:val="Tabletext"/>
              <w:rPr>
                <w:lang w:val="es-ES"/>
              </w:rPr>
            </w:pPr>
            <w:r w:rsidRPr="002634BA">
              <w:rPr>
                <w:lang w:val="es-ES"/>
              </w:rPr>
              <w:t>La Secretaría ha propuesto que la revisión se realice cada dos años, en lugar de anualmente, y que se fije un tope del 10 % para los aumentos o las disminuciones resultantes de esa revisión.</w:t>
            </w:r>
          </w:p>
        </w:tc>
      </w:tr>
      <w:tr w:rsidR="00934D0C" w:rsidRPr="00610EFC" w14:paraId="0A8552A0" w14:textId="77777777" w:rsidTr="005E4E8F">
        <w:trPr>
          <w:jc w:val="center"/>
        </w:trPr>
        <w:tc>
          <w:tcPr>
            <w:tcW w:w="1838" w:type="dxa"/>
          </w:tcPr>
          <w:p w14:paraId="74C6E2B5" w14:textId="77777777" w:rsidR="00934D0C" w:rsidRPr="002634BA" w:rsidRDefault="00934D0C" w:rsidP="00336E94">
            <w:pPr>
              <w:pStyle w:val="Tabletext"/>
              <w:keepNext/>
              <w:keepLines/>
              <w:rPr>
                <w:lang w:val="es-ES"/>
              </w:rPr>
            </w:pPr>
            <w:r w:rsidRPr="002634BA">
              <w:rPr>
                <w:lang w:val="es-ES"/>
              </w:rPr>
              <w:lastRenderedPageBreak/>
              <w:t>Necesidad de mayor transparencia y de contar con datos auditados</w:t>
            </w:r>
          </w:p>
        </w:tc>
        <w:tc>
          <w:tcPr>
            <w:tcW w:w="4394" w:type="dxa"/>
          </w:tcPr>
          <w:p w14:paraId="0CF425CE" w14:textId="77777777" w:rsidR="00934D0C" w:rsidRPr="002634BA" w:rsidRDefault="00934D0C" w:rsidP="00336E94">
            <w:pPr>
              <w:pStyle w:val="Tabletext"/>
              <w:keepNext/>
              <w:keepLines/>
              <w:rPr>
                <w:lang w:val="es-ES"/>
              </w:rPr>
            </w:pPr>
            <w:r w:rsidRPr="002634BA">
              <w:rPr>
                <w:lang w:val="es-ES"/>
              </w:rPr>
              <w:t>Las propuestas de la Secretaría deben basarse en datos operacionales auditados de la BR</w:t>
            </w:r>
          </w:p>
        </w:tc>
        <w:tc>
          <w:tcPr>
            <w:tcW w:w="4678" w:type="dxa"/>
          </w:tcPr>
          <w:p w14:paraId="0D5B009E" w14:textId="77777777" w:rsidR="00934D0C" w:rsidRPr="002634BA" w:rsidRDefault="00934D0C" w:rsidP="00336E94">
            <w:pPr>
              <w:pStyle w:val="Tabletext"/>
              <w:keepNext/>
              <w:keepLines/>
              <w:rPr>
                <w:lang w:val="es-ES"/>
              </w:rPr>
            </w:pPr>
            <w:r w:rsidRPr="002634BA">
              <w:rPr>
                <w:lang w:val="es-ES"/>
              </w:rPr>
              <w:t>Las propuestas se basan en los estados financieros de la UIT, en particular datos de recursos humanos, que son auditados, aunque la UIT utiliza la información más reciente disponible y, en consecuencia, susceptible de no haber sido auditada previamente. La utilización de datos de estados financieros auditados conllevaría la utilización de datos financieros de los dos años anteriores, lo que no se ajustaría a información de mercado actualizada.</w:t>
            </w:r>
          </w:p>
        </w:tc>
        <w:tc>
          <w:tcPr>
            <w:tcW w:w="3832" w:type="dxa"/>
          </w:tcPr>
          <w:p w14:paraId="77336A63" w14:textId="77777777" w:rsidR="00934D0C" w:rsidRPr="002634BA" w:rsidRDefault="00934D0C" w:rsidP="00336E94">
            <w:pPr>
              <w:pStyle w:val="Tabletext"/>
              <w:keepNext/>
              <w:keepLines/>
              <w:rPr>
                <w:sz w:val="20"/>
                <w:szCs w:val="20"/>
                <w:lang w:val="es-ES"/>
              </w:rPr>
            </w:pPr>
          </w:p>
        </w:tc>
      </w:tr>
      <w:tr w:rsidR="00934D0C" w:rsidRPr="00610EFC" w14:paraId="78D9A91A" w14:textId="77777777" w:rsidTr="005E4E8F">
        <w:trPr>
          <w:jc w:val="center"/>
        </w:trPr>
        <w:tc>
          <w:tcPr>
            <w:tcW w:w="1838" w:type="dxa"/>
          </w:tcPr>
          <w:p w14:paraId="37BF84F0" w14:textId="77777777" w:rsidR="00934D0C" w:rsidRPr="002634BA" w:rsidRDefault="00934D0C" w:rsidP="00847E0E">
            <w:pPr>
              <w:pStyle w:val="Tabletext"/>
              <w:rPr>
                <w:lang w:val="es-ES"/>
              </w:rPr>
            </w:pPr>
          </w:p>
        </w:tc>
        <w:tc>
          <w:tcPr>
            <w:tcW w:w="4394" w:type="dxa"/>
          </w:tcPr>
          <w:p w14:paraId="495BC999" w14:textId="77777777" w:rsidR="00934D0C" w:rsidRPr="002634BA" w:rsidRDefault="00934D0C" w:rsidP="00847E0E">
            <w:pPr>
              <w:pStyle w:val="Tabletext"/>
              <w:rPr>
                <w:lang w:val="es-ES"/>
              </w:rPr>
            </w:pPr>
            <w:r w:rsidRPr="002634BA">
              <w:rPr>
                <w:lang w:val="es-ES"/>
              </w:rPr>
              <w:t>¿Cómo se medirán y comunicarán las mejoras de eficiencia?</w:t>
            </w:r>
          </w:p>
        </w:tc>
        <w:tc>
          <w:tcPr>
            <w:tcW w:w="4678" w:type="dxa"/>
          </w:tcPr>
          <w:p w14:paraId="6151C753" w14:textId="77777777" w:rsidR="00934D0C" w:rsidRPr="002634BA" w:rsidRDefault="00934D0C" w:rsidP="00847E0E">
            <w:pPr>
              <w:pStyle w:val="Tabletext"/>
              <w:rPr>
                <w:lang w:val="es-ES"/>
              </w:rPr>
            </w:pPr>
            <w:r w:rsidRPr="002634BA">
              <w:rPr>
                <w:lang w:val="es-ES"/>
              </w:rPr>
              <w:t>Las mejoras de eficiencia conllevarán menores costes para lograr mejores resultados, lo que se reflejará en los informes operacionales elaborados por la BR y presentados anualmente al GAR.</w:t>
            </w:r>
          </w:p>
        </w:tc>
        <w:tc>
          <w:tcPr>
            <w:tcW w:w="3832" w:type="dxa"/>
          </w:tcPr>
          <w:p w14:paraId="1958A5B4" w14:textId="77777777" w:rsidR="00934D0C" w:rsidRPr="002634BA" w:rsidRDefault="00934D0C" w:rsidP="00847E0E">
            <w:pPr>
              <w:pStyle w:val="Tabletext"/>
              <w:rPr>
                <w:sz w:val="20"/>
                <w:szCs w:val="20"/>
                <w:lang w:val="es-ES"/>
              </w:rPr>
            </w:pPr>
          </w:p>
        </w:tc>
      </w:tr>
      <w:tr w:rsidR="00934D0C" w:rsidRPr="00610EFC" w14:paraId="2591577F" w14:textId="77777777" w:rsidTr="005E4E8F">
        <w:trPr>
          <w:jc w:val="center"/>
        </w:trPr>
        <w:tc>
          <w:tcPr>
            <w:tcW w:w="1838" w:type="dxa"/>
          </w:tcPr>
          <w:p w14:paraId="51394BEC" w14:textId="77777777" w:rsidR="00934D0C" w:rsidRPr="002634BA" w:rsidRDefault="00934D0C" w:rsidP="00847E0E">
            <w:pPr>
              <w:pStyle w:val="Tabletext"/>
              <w:rPr>
                <w:lang w:val="es-ES"/>
              </w:rPr>
            </w:pPr>
          </w:p>
        </w:tc>
        <w:tc>
          <w:tcPr>
            <w:tcW w:w="4394" w:type="dxa"/>
          </w:tcPr>
          <w:p w14:paraId="1E2271C8" w14:textId="77777777" w:rsidR="00934D0C" w:rsidRPr="002634BA" w:rsidRDefault="00934D0C" w:rsidP="00847E0E">
            <w:pPr>
              <w:pStyle w:val="Tabletext"/>
              <w:rPr>
                <w:lang w:val="es-ES"/>
              </w:rPr>
            </w:pPr>
            <w:r w:rsidRPr="002634BA">
              <w:rPr>
                <w:lang w:val="es-ES"/>
              </w:rPr>
              <w:t>¿Cómo garantizará la Secretaría que la recuperación de costes no constituya una recuperación presupuestaria?</w:t>
            </w:r>
          </w:p>
        </w:tc>
        <w:tc>
          <w:tcPr>
            <w:tcW w:w="4678" w:type="dxa"/>
          </w:tcPr>
          <w:p w14:paraId="2A73BF5A" w14:textId="77777777" w:rsidR="00934D0C" w:rsidRPr="002634BA" w:rsidRDefault="00934D0C" w:rsidP="00847E0E">
            <w:pPr>
              <w:pStyle w:val="Tabletext"/>
              <w:rPr>
                <w:lang w:val="es-ES"/>
              </w:rPr>
            </w:pPr>
            <w:r w:rsidRPr="002634BA">
              <w:rPr>
                <w:lang w:val="es-ES"/>
              </w:rPr>
              <w:t xml:space="preserve">La recuperación de costes conlleva, por sí misma, una recuperación presupuestaria parcial. El objetivo de la recuperación de costes es que la parte de los ingresos que cubre los costes de SNF (incluidos en el presupuesto de la UIT) no supere los gastos que conlleva para la UIT la tramitación de SNF. </w:t>
            </w:r>
          </w:p>
        </w:tc>
        <w:tc>
          <w:tcPr>
            <w:tcW w:w="3832" w:type="dxa"/>
          </w:tcPr>
          <w:p w14:paraId="3580B44A" w14:textId="77777777" w:rsidR="00934D0C" w:rsidRPr="002634BA" w:rsidRDefault="00934D0C" w:rsidP="00847E0E">
            <w:pPr>
              <w:pStyle w:val="Tabletext"/>
              <w:rPr>
                <w:lang w:val="es-ES"/>
              </w:rPr>
            </w:pPr>
          </w:p>
        </w:tc>
      </w:tr>
      <w:tr w:rsidR="00934D0C" w:rsidRPr="00610EFC" w14:paraId="344510DB" w14:textId="77777777" w:rsidTr="005E4E8F">
        <w:trPr>
          <w:jc w:val="center"/>
        </w:trPr>
        <w:tc>
          <w:tcPr>
            <w:tcW w:w="1838" w:type="dxa"/>
          </w:tcPr>
          <w:p w14:paraId="53D66A18" w14:textId="77777777" w:rsidR="00934D0C" w:rsidRPr="002634BA" w:rsidRDefault="00934D0C" w:rsidP="00847E0E">
            <w:pPr>
              <w:pStyle w:val="Tabletext"/>
              <w:rPr>
                <w:sz w:val="20"/>
                <w:szCs w:val="20"/>
                <w:lang w:val="es-ES"/>
              </w:rPr>
            </w:pPr>
          </w:p>
        </w:tc>
        <w:tc>
          <w:tcPr>
            <w:tcW w:w="4394" w:type="dxa"/>
          </w:tcPr>
          <w:p w14:paraId="63B0F515" w14:textId="77777777" w:rsidR="00934D0C" w:rsidRPr="002634BA" w:rsidRDefault="00934D0C" w:rsidP="00847E0E">
            <w:pPr>
              <w:pStyle w:val="Tabletext"/>
              <w:rPr>
                <w:lang w:val="es-ES"/>
              </w:rPr>
            </w:pPr>
            <w:r w:rsidRPr="002634BA">
              <w:rPr>
                <w:lang w:val="es-ES"/>
              </w:rPr>
              <w:t>Los delegados solicitaron datos estadísticos anuales sobre:</w:t>
            </w:r>
          </w:p>
          <w:p w14:paraId="16B702B8" w14:textId="77777777" w:rsidR="00934D0C" w:rsidRPr="002634BA" w:rsidRDefault="00934D0C" w:rsidP="00847E0E">
            <w:pPr>
              <w:pStyle w:val="Tabletext"/>
              <w:tabs>
                <w:tab w:val="clear" w:pos="284"/>
                <w:tab w:val="clear" w:pos="567"/>
                <w:tab w:val="clear" w:pos="851"/>
                <w:tab w:val="left" w:pos="431"/>
              </w:tabs>
              <w:ind w:left="431" w:hanging="431"/>
              <w:rPr>
                <w:lang w:val="es-ES"/>
              </w:rPr>
            </w:pPr>
            <w:r w:rsidRPr="002634BA">
              <w:rPr>
                <w:lang w:val="es-ES"/>
              </w:rPr>
              <w:t>–</w:t>
            </w:r>
            <w:r w:rsidRPr="002634BA">
              <w:rPr>
                <w:lang w:val="es-ES"/>
              </w:rPr>
              <w:tab/>
              <w:t>Aplicación de los derechos gratuitos</w:t>
            </w:r>
          </w:p>
          <w:p w14:paraId="05F00964" w14:textId="77777777" w:rsidR="00934D0C" w:rsidRPr="002634BA" w:rsidRDefault="00934D0C" w:rsidP="00847E0E">
            <w:pPr>
              <w:pStyle w:val="Tabletext"/>
              <w:tabs>
                <w:tab w:val="clear" w:pos="284"/>
                <w:tab w:val="clear" w:pos="567"/>
                <w:tab w:val="clear" w:pos="851"/>
                <w:tab w:val="left" w:pos="431"/>
              </w:tabs>
              <w:ind w:left="431" w:hanging="431"/>
              <w:rPr>
                <w:lang w:val="es-ES"/>
              </w:rPr>
            </w:pPr>
            <w:r w:rsidRPr="002634BA">
              <w:rPr>
                <w:lang w:val="es-ES"/>
              </w:rPr>
              <w:t>–</w:t>
            </w:r>
            <w:r w:rsidRPr="002634BA">
              <w:rPr>
                <w:lang w:val="es-ES"/>
              </w:rPr>
              <w:tab/>
              <w:t>Las repercusiones financieras de las notificaciones relativas a grandes constelaciones</w:t>
            </w:r>
          </w:p>
          <w:p w14:paraId="64A4EBD0" w14:textId="77777777" w:rsidR="00934D0C" w:rsidRPr="002634BA" w:rsidRDefault="00934D0C" w:rsidP="00847E0E">
            <w:pPr>
              <w:pStyle w:val="Tabletext"/>
              <w:tabs>
                <w:tab w:val="clear" w:pos="284"/>
                <w:tab w:val="clear" w:pos="567"/>
                <w:tab w:val="clear" w:pos="851"/>
                <w:tab w:val="left" w:pos="431"/>
              </w:tabs>
              <w:ind w:left="431" w:hanging="431"/>
              <w:rPr>
                <w:lang w:val="es-ES"/>
              </w:rPr>
            </w:pPr>
            <w:r w:rsidRPr="002634BA">
              <w:rPr>
                <w:lang w:val="es-ES"/>
              </w:rPr>
              <w:t>–</w:t>
            </w:r>
            <w:r w:rsidRPr="002634BA">
              <w:rPr>
                <w:lang w:val="es-ES"/>
              </w:rPr>
              <w:tab/>
              <w:t>Valores de referencia sobre eficiencia y mejoras de los flujos de trabajo</w:t>
            </w:r>
          </w:p>
        </w:tc>
        <w:tc>
          <w:tcPr>
            <w:tcW w:w="4678" w:type="dxa"/>
          </w:tcPr>
          <w:p w14:paraId="25F76407" w14:textId="77777777" w:rsidR="00934D0C" w:rsidRPr="002634BA" w:rsidRDefault="00934D0C" w:rsidP="00847E0E">
            <w:pPr>
              <w:pStyle w:val="Tabletext"/>
              <w:rPr>
                <w:b/>
                <w:bCs/>
                <w:lang w:val="es-ES"/>
              </w:rPr>
            </w:pPr>
            <w:r w:rsidRPr="002634BA">
              <w:rPr>
                <w:b/>
                <w:bCs/>
                <w:lang w:val="es-ES"/>
              </w:rPr>
              <w:t>Aplicación de derechos gratuitos</w:t>
            </w:r>
          </w:p>
          <w:tbl>
            <w:tblPr>
              <w:tblW w:w="4370" w:type="dxa"/>
              <w:jc w:val="center"/>
              <w:tblLayout w:type="fixed"/>
              <w:tblCellMar>
                <w:left w:w="28" w:type="dxa"/>
                <w:right w:w="28" w:type="dxa"/>
              </w:tblCellMar>
              <w:tblLook w:val="04A0" w:firstRow="1" w:lastRow="0" w:firstColumn="1" w:lastColumn="0" w:noHBand="0" w:noVBand="1"/>
            </w:tblPr>
            <w:tblGrid>
              <w:gridCol w:w="1119"/>
              <w:gridCol w:w="1134"/>
              <w:gridCol w:w="866"/>
              <w:gridCol w:w="1251"/>
            </w:tblGrid>
            <w:tr w:rsidR="00934D0C" w:rsidRPr="00610EFC" w14:paraId="2C223DD4" w14:textId="77777777" w:rsidTr="00336E94">
              <w:trPr>
                <w:jc w:val="center"/>
              </w:trPr>
              <w:tc>
                <w:tcPr>
                  <w:tcW w:w="1119" w:type="dxa"/>
                  <w:tcBorders>
                    <w:top w:val="single" w:sz="4" w:space="0" w:color="auto"/>
                    <w:left w:val="single" w:sz="4" w:space="0" w:color="auto"/>
                    <w:bottom w:val="single" w:sz="4" w:space="0" w:color="auto"/>
                    <w:right w:val="single" w:sz="4" w:space="0" w:color="auto"/>
                  </w:tcBorders>
                  <w:noWrap/>
                  <w:hideMark/>
                </w:tcPr>
                <w:p w14:paraId="1EC535BD" w14:textId="77777777" w:rsidR="00934D0C" w:rsidRPr="002634BA" w:rsidRDefault="00934D0C" w:rsidP="00847E0E">
                  <w:pPr>
                    <w:pStyle w:val="Tabletext"/>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Notificaciones gratuitas</w:t>
                  </w:r>
                </w:p>
              </w:tc>
              <w:tc>
                <w:tcPr>
                  <w:tcW w:w="1134" w:type="dxa"/>
                  <w:tcBorders>
                    <w:top w:val="single" w:sz="4" w:space="0" w:color="auto"/>
                    <w:left w:val="nil"/>
                    <w:bottom w:val="single" w:sz="4" w:space="0" w:color="auto"/>
                    <w:right w:val="single" w:sz="4" w:space="0" w:color="auto"/>
                  </w:tcBorders>
                  <w:noWrap/>
                  <w:hideMark/>
                </w:tcPr>
                <w:p w14:paraId="0EAB5B4C" w14:textId="77777777" w:rsidR="00934D0C" w:rsidRPr="002634BA" w:rsidRDefault="00934D0C" w:rsidP="00847E0E">
                  <w:pPr>
                    <w:pStyle w:val="Tabletext"/>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Cuantía (CHF)</w:t>
                  </w:r>
                </w:p>
              </w:tc>
              <w:tc>
                <w:tcPr>
                  <w:tcW w:w="866" w:type="dxa"/>
                  <w:tcBorders>
                    <w:top w:val="single" w:sz="4" w:space="0" w:color="auto"/>
                    <w:left w:val="nil"/>
                    <w:bottom w:val="single" w:sz="4" w:space="0" w:color="auto"/>
                    <w:right w:val="single" w:sz="4" w:space="0" w:color="auto"/>
                  </w:tcBorders>
                  <w:noWrap/>
                  <w:hideMark/>
                </w:tcPr>
                <w:p w14:paraId="5EDA1899" w14:textId="77777777" w:rsidR="00934D0C" w:rsidRPr="002634BA" w:rsidRDefault="00934D0C" w:rsidP="00847E0E">
                  <w:pPr>
                    <w:pStyle w:val="Tabletext"/>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Cantidad</w:t>
                  </w:r>
                </w:p>
              </w:tc>
              <w:tc>
                <w:tcPr>
                  <w:tcW w:w="1251" w:type="dxa"/>
                  <w:tcBorders>
                    <w:top w:val="single" w:sz="4" w:space="0" w:color="auto"/>
                    <w:left w:val="nil"/>
                    <w:bottom w:val="single" w:sz="4" w:space="0" w:color="auto"/>
                    <w:right w:val="single" w:sz="4" w:space="0" w:color="auto"/>
                  </w:tcBorders>
                  <w:noWrap/>
                  <w:hideMark/>
                </w:tcPr>
                <w:p w14:paraId="6FEE82F1" w14:textId="77777777" w:rsidR="00934D0C" w:rsidRPr="002634BA" w:rsidRDefault="00934D0C" w:rsidP="00847E0E">
                  <w:pPr>
                    <w:pStyle w:val="Tabletext"/>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Valor promedio de las notificaciones gratuitas (CHF)</w:t>
                  </w:r>
                </w:p>
              </w:tc>
            </w:tr>
            <w:tr w:rsidR="00934D0C" w:rsidRPr="00610EFC" w14:paraId="4431586C" w14:textId="77777777" w:rsidTr="00336E94">
              <w:trPr>
                <w:jc w:val="center"/>
              </w:trPr>
              <w:tc>
                <w:tcPr>
                  <w:tcW w:w="1119" w:type="dxa"/>
                  <w:tcBorders>
                    <w:top w:val="nil"/>
                    <w:left w:val="single" w:sz="4" w:space="0" w:color="auto"/>
                    <w:bottom w:val="single" w:sz="4" w:space="0" w:color="auto"/>
                    <w:right w:val="single" w:sz="4" w:space="0" w:color="auto"/>
                  </w:tcBorders>
                  <w:noWrap/>
                  <w:vAlign w:val="center"/>
                  <w:hideMark/>
                </w:tcPr>
                <w:p w14:paraId="38AAC59C" w14:textId="77777777" w:rsidR="00934D0C" w:rsidRPr="002634BA" w:rsidRDefault="00934D0C" w:rsidP="00847E0E">
                  <w:pPr>
                    <w:pStyle w:val="Tabletext"/>
                    <w:jc w:val="center"/>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2022</w:t>
                  </w:r>
                </w:p>
              </w:tc>
              <w:tc>
                <w:tcPr>
                  <w:tcW w:w="1134" w:type="dxa"/>
                  <w:tcBorders>
                    <w:top w:val="nil"/>
                    <w:left w:val="nil"/>
                    <w:bottom w:val="single" w:sz="4" w:space="0" w:color="auto"/>
                    <w:right w:val="single" w:sz="4" w:space="0" w:color="auto"/>
                  </w:tcBorders>
                  <w:noWrap/>
                  <w:vAlign w:val="center"/>
                  <w:hideMark/>
                </w:tcPr>
                <w:p w14:paraId="0A6BB21D" w14:textId="07A07349" w:rsidR="00934D0C" w:rsidRPr="002634BA" w:rsidRDefault="00934D0C" w:rsidP="00847E0E">
                  <w:pPr>
                    <w:pStyle w:val="Tabletext"/>
                    <w:jc w:val="center"/>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1</w:t>
                  </w:r>
                  <w:r w:rsidR="00A362BE">
                    <w:rPr>
                      <w:rFonts w:asciiTheme="minorHAnsi" w:hAnsiTheme="minorHAnsi" w:cstheme="minorHAnsi"/>
                      <w:color w:val="000000"/>
                      <w:sz w:val="18"/>
                      <w:szCs w:val="18"/>
                      <w:lang w:val="es-ES" w:eastAsia="en-GB"/>
                    </w:rPr>
                    <w:t xml:space="preserve"> </w:t>
                  </w:r>
                  <w:r w:rsidRPr="002634BA">
                    <w:rPr>
                      <w:rFonts w:asciiTheme="minorHAnsi" w:hAnsiTheme="minorHAnsi" w:cstheme="minorHAnsi"/>
                      <w:color w:val="000000"/>
                      <w:sz w:val="18"/>
                      <w:szCs w:val="18"/>
                      <w:lang w:val="es-ES" w:eastAsia="en-GB"/>
                    </w:rPr>
                    <w:t>40</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149</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00</w:t>
                  </w:r>
                </w:p>
              </w:tc>
              <w:tc>
                <w:tcPr>
                  <w:tcW w:w="866" w:type="dxa"/>
                  <w:tcBorders>
                    <w:top w:val="nil"/>
                    <w:left w:val="nil"/>
                    <w:bottom w:val="single" w:sz="4" w:space="0" w:color="auto"/>
                    <w:right w:val="single" w:sz="4" w:space="0" w:color="auto"/>
                  </w:tcBorders>
                  <w:noWrap/>
                  <w:vAlign w:val="center"/>
                  <w:hideMark/>
                </w:tcPr>
                <w:p w14:paraId="609CBE1A" w14:textId="77777777" w:rsidR="00934D0C" w:rsidRPr="002634BA" w:rsidRDefault="00934D0C" w:rsidP="00847E0E">
                  <w:pPr>
                    <w:pStyle w:val="Tabletext"/>
                    <w:jc w:val="center"/>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34</w:t>
                  </w:r>
                </w:p>
              </w:tc>
              <w:tc>
                <w:tcPr>
                  <w:tcW w:w="1251" w:type="dxa"/>
                  <w:tcBorders>
                    <w:top w:val="nil"/>
                    <w:left w:val="nil"/>
                    <w:bottom w:val="single" w:sz="4" w:space="0" w:color="auto"/>
                    <w:right w:val="single" w:sz="4" w:space="0" w:color="auto"/>
                  </w:tcBorders>
                  <w:noWrap/>
                  <w:vAlign w:val="center"/>
                  <w:hideMark/>
                </w:tcPr>
                <w:p w14:paraId="7835D4CB" w14:textId="62124513" w:rsidR="00934D0C" w:rsidRPr="002634BA" w:rsidRDefault="00934D0C" w:rsidP="00847E0E">
                  <w:pPr>
                    <w:pStyle w:val="Tabletext"/>
                    <w:jc w:val="center"/>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30</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59</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62</w:t>
                  </w:r>
                </w:p>
              </w:tc>
            </w:tr>
            <w:tr w:rsidR="00934D0C" w:rsidRPr="00610EFC" w14:paraId="50B3D3B7" w14:textId="77777777" w:rsidTr="00336E94">
              <w:trPr>
                <w:jc w:val="center"/>
              </w:trPr>
              <w:tc>
                <w:tcPr>
                  <w:tcW w:w="1119" w:type="dxa"/>
                  <w:tcBorders>
                    <w:top w:val="nil"/>
                    <w:left w:val="single" w:sz="4" w:space="0" w:color="auto"/>
                    <w:bottom w:val="single" w:sz="4" w:space="0" w:color="auto"/>
                    <w:right w:val="single" w:sz="4" w:space="0" w:color="auto"/>
                  </w:tcBorders>
                  <w:noWrap/>
                  <w:vAlign w:val="center"/>
                  <w:hideMark/>
                </w:tcPr>
                <w:p w14:paraId="3419F7A2" w14:textId="77777777" w:rsidR="00934D0C" w:rsidRPr="002634BA" w:rsidRDefault="00934D0C" w:rsidP="00847E0E">
                  <w:pPr>
                    <w:pStyle w:val="Tabletext"/>
                    <w:jc w:val="center"/>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2023</w:t>
                  </w:r>
                </w:p>
              </w:tc>
              <w:tc>
                <w:tcPr>
                  <w:tcW w:w="1134" w:type="dxa"/>
                  <w:tcBorders>
                    <w:top w:val="nil"/>
                    <w:left w:val="nil"/>
                    <w:bottom w:val="single" w:sz="4" w:space="0" w:color="auto"/>
                    <w:right w:val="single" w:sz="4" w:space="0" w:color="auto"/>
                  </w:tcBorders>
                  <w:noWrap/>
                  <w:vAlign w:val="center"/>
                  <w:hideMark/>
                </w:tcPr>
                <w:p w14:paraId="633DD7DE" w14:textId="0CDD64B5" w:rsidR="00934D0C" w:rsidRPr="002634BA" w:rsidRDefault="00934D0C" w:rsidP="00847E0E">
                  <w:pPr>
                    <w:pStyle w:val="Tabletext"/>
                    <w:jc w:val="center"/>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1</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371</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521</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 xml:space="preserve">00 </w:t>
                  </w:r>
                </w:p>
              </w:tc>
              <w:tc>
                <w:tcPr>
                  <w:tcW w:w="866" w:type="dxa"/>
                  <w:tcBorders>
                    <w:top w:val="nil"/>
                    <w:left w:val="nil"/>
                    <w:bottom w:val="single" w:sz="4" w:space="0" w:color="auto"/>
                    <w:right w:val="single" w:sz="4" w:space="0" w:color="auto"/>
                  </w:tcBorders>
                  <w:noWrap/>
                  <w:vAlign w:val="center"/>
                  <w:hideMark/>
                </w:tcPr>
                <w:p w14:paraId="568F4D91" w14:textId="77777777" w:rsidR="00934D0C" w:rsidRPr="002634BA" w:rsidRDefault="00934D0C" w:rsidP="00847E0E">
                  <w:pPr>
                    <w:pStyle w:val="Tabletext"/>
                    <w:jc w:val="center"/>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45</w:t>
                  </w:r>
                </w:p>
              </w:tc>
              <w:tc>
                <w:tcPr>
                  <w:tcW w:w="1251" w:type="dxa"/>
                  <w:tcBorders>
                    <w:top w:val="nil"/>
                    <w:left w:val="nil"/>
                    <w:bottom w:val="single" w:sz="4" w:space="0" w:color="auto"/>
                    <w:right w:val="single" w:sz="4" w:space="0" w:color="auto"/>
                  </w:tcBorders>
                  <w:noWrap/>
                  <w:vAlign w:val="center"/>
                  <w:hideMark/>
                </w:tcPr>
                <w:p w14:paraId="529F9F6C" w14:textId="09CF12E9" w:rsidR="00934D0C" w:rsidRPr="002634BA" w:rsidRDefault="00934D0C" w:rsidP="00847E0E">
                  <w:pPr>
                    <w:pStyle w:val="Tabletext"/>
                    <w:jc w:val="center"/>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30</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478</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 xml:space="preserve">24 </w:t>
                  </w:r>
                </w:p>
              </w:tc>
            </w:tr>
            <w:tr w:rsidR="00934D0C" w:rsidRPr="00610EFC" w14:paraId="7E56960D" w14:textId="77777777" w:rsidTr="00336E94">
              <w:trPr>
                <w:jc w:val="center"/>
              </w:trPr>
              <w:tc>
                <w:tcPr>
                  <w:tcW w:w="1119" w:type="dxa"/>
                  <w:tcBorders>
                    <w:top w:val="nil"/>
                    <w:left w:val="single" w:sz="4" w:space="0" w:color="auto"/>
                    <w:bottom w:val="single" w:sz="4" w:space="0" w:color="auto"/>
                    <w:right w:val="single" w:sz="4" w:space="0" w:color="auto"/>
                  </w:tcBorders>
                  <w:noWrap/>
                  <w:vAlign w:val="center"/>
                  <w:hideMark/>
                </w:tcPr>
                <w:p w14:paraId="1DCDF963" w14:textId="77777777" w:rsidR="00934D0C" w:rsidRPr="002634BA" w:rsidRDefault="00934D0C" w:rsidP="00847E0E">
                  <w:pPr>
                    <w:pStyle w:val="Tabletext"/>
                    <w:jc w:val="center"/>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2024</w:t>
                  </w:r>
                </w:p>
              </w:tc>
              <w:tc>
                <w:tcPr>
                  <w:tcW w:w="1134" w:type="dxa"/>
                  <w:tcBorders>
                    <w:top w:val="nil"/>
                    <w:left w:val="nil"/>
                    <w:bottom w:val="single" w:sz="4" w:space="0" w:color="auto"/>
                    <w:right w:val="single" w:sz="4" w:space="0" w:color="auto"/>
                  </w:tcBorders>
                  <w:noWrap/>
                  <w:vAlign w:val="center"/>
                  <w:hideMark/>
                </w:tcPr>
                <w:p w14:paraId="01E4FFA5" w14:textId="3E669F31" w:rsidR="00934D0C" w:rsidRPr="002634BA" w:rsidRDefault="00934D0C" w:rsidP="00847E0E">
                  <w:pPr>
                    <w:pStyle w:val="Tabletext"/>
                    <w:jc w:val="center"/>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1</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209</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753</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 xml:space="preserve">00 </w:t>
                  </w:r>
                </w:p>
              </w:tc>
              <w:tc>
                <w:tcPr>
                  <w:tcW w:w="866" w:type="dxa"/>
                  <w:tcBorders>
                    <w:top w:val="nil"/>
                    <w:left w:val="nil"/>
                    <w:bottom w:val="single" w:sz="4" w:space="0" w:color="auto"/>
                    <w:right w:val="single" w:sz="4" w:space="0" w:color="auto"/>
                  </w:tcBorders>
                  <w:noWrap/>
                  <w:vAlign w:val="center"/>
                  <w:hideMark/>
                </w:tcPr>
                <w:p w14:paraId="493004A7" w14:textId="77777777" w:rsidR="00934D0C" w:rsidRPr="002634BA" w:rsidRDefault="00934D0C" w:rsidP="00847E0E">
                  <w:pPr>
                    <w:pStyle w:val="Tabletext"/>
                    <w:jc w:val="center"/>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39</w:t>
                  </w:r>
                </w:p>
              </w:tc>
              <w:tc>
                <w:tcPr>
                  <w:tcW w:w="1251" w:type="dxa"/>
                  <w:tcBorders>
                    <w:top w:val="nil"/>
                    <w:left w:val="nil"/>
                    <w:bottom w:val="single" w:sz="4" w:space="0" w:color="auto"/>
                    <w:right w:val="single" w:sz="4" w:space="0" w:color="auto"/>
                  </w:tcBorders>
                  <w:noWrap/>
                  <w:vAlign w:val="center"/>
                  <w:hideMark/>
                </w:tcPr>
                <w:p w14:paraId="522F5ED9" w14:textId="41BA61B8" w:rsidR="00934D0C" w:rsidRPr="002634BA" w:rsidRDefault="00934D0C" w:rsidP="00847E0E">
                  <w:pPr>
                    <w:pStyle w:val="Tabletext"/>
                    <w:jc w:val="center"/>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31</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019</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 xml:space="preserve">31 </w:t>
                  </w:r>
                </w:p>
              </w:tc>
            </w:tr>
            <w:tr w:rsidR="00934D0C" w:rsidRPr="00610EFC" w14:paraId="59105AF0" w14:textId="77777777" w:rsidTr="00336E94">
              <w:trPr>
                <w:jc w:val="center"/>
              </w:trPr>
              <w:tc>
                <w:tcPr>
                  <w:tcW w:w="1119" w:type="dxa"/>
                  <w:tcBorders>
                    <w:top w:val="nil"/>
                    <w:left w:val="single" w:sz="4" w:space="0" w:color="auto"/>
                    <w:bottom w:val="single" w:sz="4" w:space="0" w:color="auto"/>
                    <w:right w:val="single" w:sz="4" w:space="0" w:color="auto"/>
                  </w:tcBorders>
                  <w:noWrap/>
                  <w:vAlign w:val="center"/>
                  <w:hideMark/>
                </w:tcPr>
                <w:p w14:paraId="5AC76E27" w14:textId="77777777" w:rsidR="00934D0C" w:rsidRPr="002634BA" w:rsidRDefault="00934D0C" w:rsidP="00847E0E">
                  <w:pPr>
                    <w:pStyle w:val="Tabletext"/>
                    <w:jc w:val="center"/>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2025</w:t>
                  </w:r>
                </w:p>
              </w:tc>
              <w:tc>
                <w:tcPr>
                  <w:tcW w:w="1134" w:type="dxa"/>
                  <w:tcBorders>
                    <w:top w:val="nil"/>
                    <w:left w:val="nil"/>
                    <w:bottom w:val="single" w:sz="4" w:space="0" w:color="auto"/>
                    <w:right w:val="single" w:sz="4" w:space="0" w:color="auto"/>
                  </w:tcBorders>
                  <w:noWrap/>
                  <w:vAlign w:val="center"/>
                  <w:hideMark/>
                </w:tcPr>
                <w:p w14:paraId="2FD9AAB5" w14:textId="3B16388F" w:rsidR="00934D0C" w:rsidRPr="002634BA" w:rsidRDefault="00934D0C" w:rsidP="00847E0E">
                  <w:pPr>
                    <w:pStyle w:val="Tabletext"/>
                    <w:jc w:val="center"/>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1</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838</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756</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 xml:space="preserve">00 </w:t>
                  </w:r>
                </w:p>
              </w:tc>
              <w:tc>
                <w:tcPr>
                  <w:tcW w:w="866" w:type="dxa"/>
                  <w:tcBorders>
                    <w:top w:val="nil"/>
                    <w:left w:val="nil"/>
                    <w:bottom w:val="single" w:sz="4" w:space="0" w:color="auto"/>
                    <w:right w:val="single" w:sz="4" w:space="0" w:color="auto"/>
                  </w:tcBorders>
                  <w:noWrap/>
                  <w:vAlign w:val="center"/>
                  <w:hideMark/>
                </w:tcPr>
                <w:p w14:paraId="4C76A1BE" w14:textId="77777777" w:rsidR="00934D0C" w:rsidRPr="002634BA" w:rsidRDefault="00934D0C" w:rsidP="00847E0E">
                  <w:pPr>
                    <w:pStyle w:val="Tabletext"/>
                    <w:jc w:val="center"/>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53</w:t>
                  </w:r>
                </w:p>
              </w:tc>
              <w:tc>
                <w:tcPr>
                  <w:tcW w:w="1251" w:type="dxa"/>
                  <w:tcBorders>
                    <w:top w:val="nil"/>
                    <w:left w:val="nil"/>
                    <w:bottom w:val="single" w:sz="4" w:space="0" w:color="auto"/>
                    <w:right w:val="single" w:sz="4" w:space="0" w:color="auto"/>
                  </w:tcBorders>
                  <w:noWrap/>
                  <w:vAlign w:val="center"/>
                  <w:hideMark/>
                </w:tcPr>
                <w:p w14:paraId="7E27D481" w14:textId="21D748E8" w:rsidR="00934D0C" w:rsidRPr="002634BA" w:rsidRDefault="00934D0C" w:rsidP="00847E0E">
                  <w:pPr>
                    <w:pStyle w:val="Tabletext"/>
                    <w:jc w:val="center"/>
                    <w:rPr>
                      <w:rFonts w:asciiTheme="minorHAnsi" w:hAnsiTheme="minorHAnsi" w:cstheme="minorHAnsi"/>
                      <w:color w:val="000000"/>
                      <w:sz w:val="18"/>
                      <w:szCs w:val="18"/>
                      <w:lang w:val="es-ES" w:eastAsia="en-GB"/>
                    </w:rPr>
                  </w:pPr>
                  <w:r w:rsidRPr="002634BA">
                    <w:rPr>
                      <w:rFonts w:asciiTheme="minorHAnsi" w:hAnsiTheme="minorHAnsi" w:cstheme="minorHAnsi"/>
                      <w:color w:val="000000"/>
                      <w:sz w:val="18"/>
                      <w:szCs w:val="18"/>
                      <w:lang w:val="es-ES" w:eastAsia="en-GB"/>
                    </w:rPr>
                    <w:t>34</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693</w:t>
                  </w:r>
                  <w:r w:rsidR="00847E0E" w:rsidRPr="002634BA">
                    <w:rPr>
                      <w:rFonts w:asciiTheme="minorHAnsi" w:hAnsiTheme="minorHAnsi" w:cstheme="minorHAnsi"/>
                      <w:color w:val="000000"/>
                      <w:sz w:val="18"/>
                      <w:szCs w:val="18"/>
                      <w:lang w:val="es-ES" w:eastAsia="en-GB"/>
                    </w:rPr>
                    <w:t> </w:t>
                  </w:r>
                  <w:r w:rsidRPr="002634BA">
                    <w:rPr>
                      <w:rFonts w:asciiTheme="minorHAnsi" w:hAnsiTheme="minorHAnsi" w:cstheme="minorHAnsi"/>
                      <w:color w:val="000000"/>
                      <w:sz w:val="18"/>
                      <w:szCs w:val="18"/>
                      <w:lang w:val="es-ES" w:eastAsia="en-GB"/>
                    </w:rPr>
                    <w:t xml:space="preserve">51 </w:t>
                  </w:r>
                </w:p>
              </w:tc>
            </w:tr>
          </w:tbl>
          <w:p w14:paraId="637D8F9D" w14:textId="77777777" w:rsidR="00934D0C" w:rsidRPr="002634BA" w:rsidRDefault="00934D0C" w:rsidP="00847E0E">
            <w:pPr>
              <w:pStyle w:val="Tabletext"/>
              <w:rPr>
                <w:lang w:val="es-ES"/>
              </w:rPr>
            </w:pPr>
            <w:r w:rsidRPr="002634BA">
              <w:rPr>
                <w:lang w:val="es-ES"/>
              </w:rPr>
              <w:lastRenderedPageBreak/>
              <w:t>El valor promedio de las notificaciones gratuitas se ha mantenido relativamente estable en los últimos cuatro años y puede utilizarse como base para evaluar la repercusión presupuestaria del aumento del número de países que solicitan el derecho a la gratuidad (que probablemente aumentará junto con el aumento de la cantidad de países que presentan notificaciones).</w:t>
            </w:r>
          </w:p>
          <w:p w14:paraId="62FB5F7C" w14:textId="77777777" w:rsidR="00934D0C" w:rsidRPr="002634BA" w:rsidRDefault="00934D0C" w:rsidP="00847E0E">
            <w:pPr>
              <w:pStyle w:val="Tabletext"/>
              <w:rPr>
                <w:b/>
                <w:bCs/>
                <w:lang w:val="es-ES"/>
              </w:rPr>
            </w:pPr>
            <w:r w:rsidRPr="002634BA">
              <w:rPr>
                <w:b/>
                <w:bCs/>
                <w:lang w:val="es-ES"/>
              </w:rPr>
              <w:t>Repercusiones financieras de las notificaciones relativas a grandes constelaciones</w:t>
            </w:r>
          </w:p>
          <w:p w14:paraId="608B1600" w14:textId="5F30A450" w:rsidR="00934D0C" w:rsidRPr="002634BA" w:rsidRDefault="00934D0C" w:rsidP="00847E0E">
            <w:pPr>
              <w:pStyle w:val="Tabletext"/>
              <w:rPr>
                <w:lang w:val="es-ES"/>
              </w:rPr>
            </w:pPr>
            <w:r w:rsidRPr="002634BA">
              <w:rPr>
                <w:lang w:val="es-ES"/>
              </w:rPr>
              <w:t>Antes de la entrada en vigor el 1 enero de</w:t>
            </w:r>
            <w:r w:rsidR="00847E0E" w:rsidRPr="002634BA">
              <w:rPr>
                <w:lang w:val="es-ES"/>
              </w:rPr>
              <w:t> </w:t>
            </w:r>
            <w:r w:rsidRPr="002634BA">
              <w:rPr>
                <w:lang w:val="es-ES"/>
              </w:rPr>
              <w:t>2026 de la versión de 2025 del Acuerdo 482, las grandes constelaciones correspondían a notificaciones no</w:t>
            </w:r>
            <w:r w:rsidR="001E0EE6">
              <w:rPr>
                <w:lang w:val="es-ES"/>
              </w:rPr>
              <w:noBreakHyphen/>
            </w:r>
            <w:r w:rsidRPr="002634BA">
              <w:rPr>
                <w:lang w:val="es-ES"/>
              </w:rPr>
              <w:t>GSO de más de 75</w:t>
            </w:r>
            <w:r w:rsidR="00847E0E" w:rsidRPr="002634BA">
              <w:rPr>
                <w:lang w:val="es-ES"/>
              </w:rPr>
              <w:t> </w:t>
            </w:r>
            <w:r w:rsidRPr="002634BA">
              <w:rPr>
                <w:lang w:val="es-ES"/>
              </w:rPr>
              <w:t>000 unidades. Como se informó al Grupo de Expertos sobre el Acuerdo</w:t>
            </w:r>
            <w:r w:rsidR="001E0EE6">
              <w:rPr>
                <w:lang w:val="es-ES"/>
              </w:rPr>
              <w:t> </w:t>
            </w:r>
            <w:r w:rsidRPr="002634BA">
              <w:rPr>
                <w:lang w:val="es-ES"/>
              </w:rPr>
              <w:t>482, la cantidad de esos sistemas de satélite era pequeña (</w:t>
            </w:r>
            <w:r w:rsidR="001E0EE6">
              <w:rPr>
                <w:lang w:val="es-ES"/>
              </w:rPr>
              <w:t>tres</w:t>
            </w:r>
            <w:r w:rsidRPr="002634BA">
              <w:rPr>
                <w:lang w:val="es-ES"/>
              </w:rPr>
              <w:t xml:space="preserve"> notificaciones recibidas en</w:t>
            </w:r>
            <w:r w:rsidR="001E0EE6">
              <w:rPr>
                <w:lang w:val="es-ES"/>
              </w:rPr>
              <w:t> </w:t>
            </w:r>
            <w:r w:rsidRPr="002634BA">
              <w:rPr>
                <w:lang w:val="es-ES"/>
              </w:rPr>
              <w:t xml:space="preserve">2021, </w:t>
            </w:r>
            <w:r w:rsidR="001E0EE6">
              <w:rPr>
                <w:lang w:val="es-ES"/>
              </w:rPr>
              <w:t>una</w:t>
            </w:r>
            <w:r w:rsidRPr="002634BA">
              <w:rPr>
                <w:lang w:val="es-ES"/>
              </w:rPr>
              <w:t xml:space="preserve"> en 2022, </w:t>
            </w:r>
            <w:r w:rsidR="001E0EE6">
              <w:rPr>
                <w:lang w:val="es-ES"/>
              </w:rPr>
              <w:t>seis</w:t>
            </w:r>
            <w:r w:rsidRPr="002634BA">
              <w:rPr>
                <w:lang w:val="es-ES"/>
              </w:rPr>
              <w:t xml:space="preserve"> en 2023 y </w:t>
            </w:r>
            <w:r w:rsidR="001E0EE6">
              <w:rPr>
                <w:lang w:val="es-ES"/>
              </w:rPr>
              <w:t>dos</w:t>
            </w:r>
            <w:r w:rsidRPr="002634BA">
              <w:rPr>
                <w:lang w:val="es-ES"/>
              </w:rPr>
              <w:t xml:space="preserve"> en 2024), lo que subestimaba la cantidad de notificaciones que requerían una mayor carga de trabajo. Ello llevó al Grupo de Expertos a proponer una nueva fórmula para el cálculo de unidades, que el Consejo aprobó en 2025. Puesto que esa metodología se aplica únicamente desde el 1 de enero de 2026, se necesita más tiempo para determinar si refleja adecuadamente la carga de trabajo de tramitación.</w:t>
            </w:r>
          </w:p>
          <w:p w14:paraId="52D7E4CD" w14:textId="77777777" w:rsidR="00934D0C" w:rsidRPr="002634BA" w:rsidRDefault="00934D0C" w:rsidP="001E0EE6">
            <w:pPr>
              <w:pStyle w:val="Tabletext"/>
              <w:keepNext/>
              <w:keepLines/>
              <w:rPr>
                <w:b/>
                <w:bCs/>
                <w:lang w:val="es-ES"/>
              </w:rPr>
            </w:pPr>
            <w:r w:rsidRPr="002634BA">
              <w:rPr>
                <w:b/>
                <w:bCs/>
                <w:lang w:val="es-ES"/>
              </w:rPr>
              <w:lastRenderedPageBreak/>
              <w:t>Valores de referencia sobre eficiencia y mejoras de los flujos de trabajo</w:t>
            </w:r>
          </w:p>
          <w:p w14:paraId="3F716E67" w14:textId="77777777" w:rsidR="00934D0C" w:rsidRPr="002634BA" w:rsidRDefault="00934D0C" w:rsidP="001E0EE6">
            <w:pPr>
              <w:pStyle w:val="Tabletext"/>
              <w:keepNext/>
              <w:keepLines/>
              <w:rPr>
                <w:lang w:val="es-ES"/>
              </w:rPr>
            </w:pPr>
            <w:r w:rsidRPr="002634BA">
              <w:rPr>
                <w:lang w:val="es-ES"/>
              </w:rPr>
              <w:t>Los indicadores fundamentales de rendimiento sobre tramitación de redes de satélites se comunican periódicamente a la Junta del Reglamento de Radiocomunicaciones y anualmente al Grupo Asesor de Radiocomunicaciones de la Conferencia Mundial de Radiocomunicaciones. La mayoría de esos indicadores están en consonancia con los requisitos reglamentarios establecidos en el Reglamento de Radiocomunicaciones, susceptibles de modificarse únicamente en el marco de la Conferencia Mundial de Radiocomunicaciones pertinente.</w:t>
            </w:r>
          </w:p>
          <w:p w14:paraId="7DA54EC4" w14:textId="77777777" w:rsidR="00934D0C" w:rsidRPr="002634BA" w:rsidRDefault="00934D0C" w:rsidP="00847E0E">
            <w:pPr>
              <w:pStyle w:val="Tabletext"/>
              <w:rPr>
                <w:lang w:val="es-ES"/>
              </w:rPr>
            </w:pPr>
            <w:r w:rsidRPr="002634BA">
              <w:rPr>
                <w:lang w:val="es-ES"/>
              </w:rPr>
              <w:t>De forma análoga, las mejoras en los flujos de trabajo mediante una mayor automatización se comunican anualmente al Grupo Asesor de Radiocomunicaciones. Puesto que dichos flujos de trabajo se basan en la aplicación de los procedimientos reglamentarios que figuran en el Reglamento de Radiocomunicaciones, toda mejora que no corresponda a un aumento del grado automatización requiere su modificación en el marco de una Conferencia Mundial de Radiocomunicaciones.</w:t>
            </w:r>
          </w:p>
        </w:tc>
        <w:tc>
          <w:tcPr>
            <w:tcW w:w="3832" w:type="dxa"/>
          </w:tcPr>
          <w:p w14:paraId="49CB9DE1" w14:textId="77777777" w:rsidR="00934D0C" w:rsidRPr="002634BA" w:rsidRDefault="00934D0C" w:rsidP="00847E0E">
            <w:pPr>
              <w:pStyle w:val="Tabletext"/>
              <w:rPr>
                <w:sz w:val="20"/>
                <w:szCs w:val="20"/>
                <w:lang w:val="es-ES"/>
              </w:rPr>
            </w:pPr>
            <w:r w:rsidRPr="002634BA">
              <w:rPr>
                <w:sz w:val="20"/>
                <w:szCs w:val="20"/>
                <w:lang w:val="es-ES"/>
              </w:rPr>
              <w:lastRenderedPageBreak/>
              <w:t xml:space="preserve">La Secretaría abordará en su informe anual al Consejo sobre la aplicación del Acuerdo 482 toda inquietud que pueda surgir a raíz del aumento de los derechos gratuitos, incluida la nueva metodología de cálculo de unidades. </w:t>
            </w:r>
          </w:p>
          <w:p w14:paraId="23749123" w14:textId="77777777" w:rsidR="00934D0C" w:rsidRPr="002634BA" w:rsidRDefault="00934D0C" w:rsidP="00847E0E">
            <w:pPr>
              <w:pStyle w:val="Tabletext"/>
              <w:rPr>
                <w:sz w:val="20"/>
                <w:szCs w:val="20"/>
                <w:lang w:val="es-ES"/>
              </w:rPr>
            </w:pPr>
          </w:p>
          <w:p w14:paraId="49F0C1BB" w14:textId="77777777" w:rsidR="00934D0C" w:rsidRPr="002634BA" w:rsidRDefault="00934D0C" w:rsidP="00847E0E">
            <w:pPr>
              <w:pStyle w:val="Tabletext"/>
              <w:rPr>
                <w:sz w:val="20"/>
                <w:szCs w:val="20"/>
                <w:lang w:val="es-ES"/>
              </w:rPr>
            </w:pPr>
            <w:r w:rsidRPr="002634BA">
              <w:rPr>
                <w:sz w:val="20"/>
                <w:szCs w:val="20"/>
                <w:lang w:val="es-ES"/>
              </w:rPr>
              <w:t xml:space="preserve">En cuanto a las mejoras en los flujos de trabajo que vayan más allá de una mayor automatización, el Director de la Oficina de Radiocomunicaciones informará de las </w:t>
            </w:r>
            <w:r w:rsidRPr="002634BA">
              <w:rPr>
                <w:sz w:val="20"/>
                <w:szCs w:val="20"/>
                <w:lang w:val="es-ES"/>
              </w:rPr>
              <w:lastRenderedPageBreak/>
              <w:t>cuestiones identificadas, y de las propuestas para abordarlas, a la próxima Conferencia Mundial de Radiocomunicaciones competente o a la Junta del Reglamento de Radiocomunicaciones.</w:t>
            </w:r>
          </w:p>
        </w:tc>
      </w:tr>
      <w:tr w:rsidR="00934D0C" w:rsidRPr="00610EFC" w14:paraId="4887C0FA" w14:textId="77777777" w:rsidTr="005E4E8F">
        <w:trPr>
          <w:jc w:val="center"/>
        </w:trPr>
        <w:tc>
          <w:tcPr>
            <w:tcW w:w="1838" w:type="dxa"/>
          </w:tcPr>
          <w:p w14:paraId="58A466F1" w14:textId="77777777" w:rsidR="00934D0C" w:rsidRPr="002634BA" w:rsidRDefault="00934D0C" w:rsidP="001E0EE6">
            <w:pPr>
              <w:pStyle w:val="Tabletext"/>
              <w:keepNext/>
              <w:keepLines/>
              <w:rPr>
                <w:sz w:val="20"/>
                <w:szCs w:val="20"/>
                <w:lang w:val="es-ES"/>
              </w:rPr>
            </w:pPr>
          </w:p>
        </w:tc>
        <w:tc>
          <w:tcPr>
            <w:tcW w:w="4394" w:type="dxa"/>
          </w:tcPr>
          <w:p w14:paraId="360E0D09" w14:textId="77777777" w:rsidR="00934D0C" w:rsidRPr="002634BA" w:rsidRDefault="00934D0C" w:rsidP="001E0EE6">
            <w:pPr>
              <w:pStyle w:val="Tabletext"/>
              <w:keepNext/>
              <w:keepLines/>
              <w:rPr>
                <w:lang w:val="es-ES"/>
              </w:rPr>
            </w:pPr>
            <w:r w:rsidRPr="002634BA">
              <w:rPr>
                <w:lang w:val="es-ES"/>
              </w:rPr>
              <w:t>Una opinión generalizada es que las tarifas de SNF deben financiar directamente las actividades de la BR, y no la Secretaría General.</w:t>
            </w:r>
          </w:p>
        </w:tc>
        <w:tc>
          <w:tcPr>
            <w:tcW w:w="4678" w:type="dxa"/>
          </w:tcPr>
          <w:p w14:paraId="5416D1CF" w14:textId="50FF9149" w:rsidR="00934D0C" w:rsidRPr="002634BA" w:rsidRDefault="00934D0C" w:rsidP="001E0EE6">
            <w:pPr>
              <w:pStyle w:val="Tabletext"/>
              <w:keepNext/>
              <w:keepLines/>
              <w:rPr>
                <w:spacing w:val="-2"/>
                <w:lang w:val="es-ES"/>
              </w:rPr>
            </w:pPr>
            <w:r w:rsidRPr="002634BA">
              <w:rPr>
                <w:spacing w:val="-2"/>
                <w:lang w:val="es-ES"/>
              </w:rPr>
              <w:t>El presupuesto ordinario de la UIT es común para toda la Unión y, en consecuencia, todos los fondos de dicho presupuesto ordinario recaudados por la UIT financian el conjunto de la UIT. En el presupuesto ordinario de la Unión (2025), los costes directos anuales de la BR ascienden a 30</w:t>
            </w:r>
            <w:r w:rsidR="007A2C38">
              <w:rPr>
                <w:spacing w:val="-2"/>
                <w:lang w:val="es-ES"/>
              </w:rPr>
              <w:t> </w:t>
            </w:r>
            <w:r w:rsidRPr="002634BA">
              <w:rPr>
                <w:spacing w:val="-2"/>
                <w:lang w:val="es-ES"/>
              </w:rPr>
              <w:t>145</w:t>
            </w:r>
            <w:r w:rsidR="007A2C38">
              <w:rPr>
                <w:spacing w:val="-2"/>
                <w:lang w:val="es-ES"/>
              </w:rPr>
              <w:t> </w:t>
            </w:r>
            <w:r w:rsidRPr="002634BA">
              <w:rPr>
                <w:spacing w:val="-2"/>
                <w:lang w:val="es-ES"/>
              </w:rPr>
              <w:t>millones de francos suizos. De esa suma, solo 8</w:t>
            </w:r>
            <w:r w:rsidR="007A2C38">
              <w:rPr>
                <w:spacing w:val="-2"/>
                <w:lang w:val="es-ES"/>
              </w:rPr>
              <w:t>,</w:t>
            </w:r>
            <w:r w:rsidRPr="002634BA">
              <w:rPr>
                <w:spacing w:val="-2"/>
                <w:lang w:val="es-ES"/>
              </w:rPr>
              <w:t>7 millones de francos suizos se recuperan de las tarifas de SNF, al tiempo que otros 6,6 millones de francos suizos se recaudan a través de los Miembros de Sector del UIT-R. En consecuencia, cada año las contribuciones previstas de los Estados Miembros de la Unión aportan 14</w:t>
            </w:r>
            <w:r w:rsidR="007A2C38">
              <w:rPr>
                <w:spacing w:val="-2"/>
                <w:lang w:val="es-ES"/>
              </w:rPr>
              <w:t> </w:t>
            </w:r>
            <w:r w:rsidRPr="002634BA">
              <w:rPr>
                <w:spacing w:val="-2"/>
                <w:lang w:val="es-ES"/>
              </w:rPr>
              <w:t>845 millones de francos suizos para financiar los gastos directos de la BR.</w:t>
            </w:r>
          </w:p>
          <w:p w14:paraId="0A7BCD3E" w14:textId="77777777" w:rsidR="00934D0C" w:rsidRPr="002634BA" w:rsidRDefault="00934D0C" w:rsidP="001E0EE6">
            <w:pPr>
              <w:pStyle w:val="Tabletext"/>
              <w:keepNext/>
              <w:keepLines/>
              <w:rPr>
                <w:lang w:val="es-ES"/>
              </w:rPr>
            </w:pPr>
            <w:r w:rsidRPr="002634BA">
              <w:rPr>
                <w:spacing w:val="-2"/>
                <w:lang w:val="es-ES"/>
              </w:rPr>
              <w:t xml:space="preserve">Las actividades de SNF y el resto de la labor de la BR también generan gastos en la Secretaría General (servicios de DSI, gestión de instalaciones, servicios de conferencias y publicaciones, recursos humanos, servicios relacionados con el presupuesto y finanzas, entre otros) que se atribuyen para sufragar una serie de gastos administrativos y generales de la BR. Pese a que la Secretaría sume esos gastos, son atribuibles a la labor de la BR. </w:t>
            </w:r>
          </w:p>
        </w:tc>
        <w:tc>
          <w:tcPr>
            <w:tcW w:w="3832" w:type="dxa"/>
          </w:tcPr>
          <w:p w14:paraId="4A7D6B3C" w14:textId="77777777" w:rsidR="00934D0C" w:rsidRPr="002634BA" w:rsidRDefault="00934D0C" w:rsidP="001E0EE6">
            <w:pPr>
              <w:pStyle w:val="Tabletext"/>
              <w:keepNext/>
              <w:keepLines/>
              <w:rPr>
                <w:sz w:val="20"/>
                <w:szCs w:val="20"/>
                <w:lang w:val="es-ES"/>
              </w:rPr>
            </w:pPr>
          </w:p>
        </w:tc>
      </w:tr>
    </w:tbl>
    <w:p w14:paraId="20EF3841" w14:textId="77777777" w:rsidR="00F92BED" w:rsidRPr="002634BA" w:rsidRDefault="00F92BED" w:rsidP="0032202E">
      <w:pPr>
        <w:pStyle w:val="Reasons"/>
        <w:rPr>
          <w:lang w:val="es-ES"/>
        </w:rPr>
      </w:pPr>
    </w:p>
    <w:p w14:paraId="144DD9CD" w14:textId="77777777" w:rsidR="00F92BED" w:rsidRPr="002634BA" w:rsidRDefault="00F92BED" w:rsidP="00F92BED">
      <w:pPr>
        <w:jc w:val="center"/>
        <w:rPr>
          <w:lang w:val="es-ES"/>
        </w:rPr>
      </w:pPr>
      <w:r w:rsidRPr="002634BA">
        <w:rPr>
          <w:lang w:val="es-ES"/>
        </w:rPr>
        <w:t>______________</w:t>
      </w:r>
    </w:p>
    <w:sectPr w:rsidR="00F92BED" w:rsidRPr="002634BA" w:rsidSect="00986768">
      <w:headerReference w:type="first" r:id="rId22"/>
      <w:footerReference w:type="first" r:id="rId23"/>
      <w:pgSz w:w="16834" w:h="11907" w:orient="landscape"/>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4B6F" w14:textId="77777777" w:rsidR="002F4954" w:rsidRDefault="002F4954">
      <w:r>
        <w:separator/>
      </w:r>
    </w:p>
  </w:endnote>
  <w:endnote w:type="continuationSeparator" w:id="0">
    <w:p w14:paraId="22876726" w14:textId="77777777" w:rsidR="002F4954" w:rsidRDefault="002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3913BE6D" w14:textId="77777777" w:rsidTr="00E31DCE">
      <w:trPr>
        <w:jc w:val="center"/>
      </w:trPr>
      <w:tc>
        <w:tcPr>
          <w:tcW w:w="1803" w:type="dxa"/>
          <w:vAlign w:val="center"/>
        </w:tcPr>
        <w:p w14:paraId="18334AED" w14:textId="5BF721D2" w:rsidR="003273A4" w:rsidRDefault="002946E2" w:rsidP="003273A4">
          <w:pPr>
            <w:pStyle w:val="Header"/>
            <w:jc w:val="left"/>
            <w:rPr>
              <w:noProof/>
            </w:rPr>
          </w:pPr>
          <w:r>
            <w:rPr>
              <w:noProof/>
            </w:rPr>
            <w:t xml:space="preserve">gDoc </w:t>
          </w:r>
          <w:r w:rsidR="004861AF" w:rsidRPr="004861AF">
            <w:rPr>
              <w:noProof/>
            </w:rPr>
            <w:t>2600741</w:t>
          </w:r>
          <w:r w:rsidR="004861AF">
            <w:rPr>
              <w:noProof/>
            </w:rPr>
            <w:t>S</w:t>
          </w:r>
        </w:p>
      </w:tc>
      <w:tc>
        <w:tcPr>
          <w:tcW w:w="8261" w:type="dxa"/>
        </w:tcPr>
        <w:p w14:paraId="02CE22A5" w14:textId="27C52E3B"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4861AF">
            <w:rPr>
              <w:bCs/>
            </w:rPr>
            <w:t>19</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581CDEF4" w14:textId="77777777" w:rsidR="00163B1B" w:rsidRDefault="00163B1B" w:rsidP="006D1843">
    <w:pP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2234CBB6" w14:textId="77777777" w:rsidTr="00E31DCE">
      <w:trPr>
        <w:jc w:val="center"/>
      </w:trPr>
      <w:tc>
        <w:tcPr>
          <w:tcW w:w="1803" w:type="dxa"/>
          <w:vAlign w:val="center"/>
        </w:tcPr>
        <w:p w14:paraId="756FD868"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5ECE0F7B" w14:textId="29CEAB3A"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4861AF">
            <w:rPr>
              <w:bCs/>
            </w:rPr>
            <w:t>19</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7EDF9A76" w14:textId="77777777" w:rsidR="00163B1B" w:rsidRDefault="00163B1B" w:rsidP="006D1843">
    <w:pP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CA095B" w:rsidRPr="00784011" w14:paraId="063BA707" w14:textId="77777777" w:rsidTr="00E31DCE">
      <w:trPr>
        <w:jc w:val="center"/>
      </w:trPr>
      <w:tc>
        <w:tcPr>
          <w:tcW w:w="1803" w:type="dxa"/>
          <w:vAlign w:val="center"/>
        </w:tcPr>
        <w:p w14:paraId="76A4713A" w14:textId="77777777" w:rsidR="00CA095B" w:rsidRPr="002946E2" w:rsidRDefault="00CA095B" w:rsidP="00F24B71">
          <w:pPr>
            <w:pStyle w:val="Header"/>
            <w:jc w:val="left"/>
            <w:rPr>
              <w:noProof/>
            </w:rPr>
          </w:pPr>
          <w:hyperlink r:id="rId1" w:anchor="/es" w:history="1">
            <w:r>
              <w:rPr>
                <w:rStyle w:val="Hyperlink"/>
                <w:noProof/>
              </w:rPr>
              <w:t>council.itu.int/2026</w:t>
            </w:r>
          </w:hyperlink>
          <w:r w:rsidRPr="002946E2">
            <w:rPr>
              <w:noProof/>
            </w:rPr>
            <w:t xml:space="preserve"> </w:t>
          </w:r>
        </w:p>
      </w:tc>
      <w:tc>
        <w:tcPr>
          <w:tcW w:w="8261" w:type="dxa"/>
        </w:tcPr>
        <w:p w14:paraId="1D98B3EF" w14:textId="77777777" w:rsidR="00CA095B" w:rsidRPr="00E06FD5" w:rsidRDefault="00CA095B"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19</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01A4D0E1" w14:textId="77777777" w:rsidR="00CA095B" w:rsidRDefault="00CA095B" w:rsidP="00CA09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94C31" w14:textId="77777777" w:rsidR="002F4954" w:rsidRDefault="002F4954">
      <w:r>
        <w:t>____________________</w:t>
      </w:r>
    </w:p>
  </w:footnote>
  <w:footnote w:type="continuationSeparator" w:id="0">
    <w:p w14:paraId="323AFE44" w14:textId="77777777" w:rsidR="002F4954" w:rsidRDefault="002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98A8" w14:textId="77777777" w:rsidR="001559F5" w:rsidRPr="00B1560D" w:rsidRDefault="00B1560D" w:rsidP="00B1560D">
    <w:pPr>
      <w:pStyle w:val="Header"/>
    </w:pPr>
    <w:r>
      <w:rPr>
        <w:noProof/>
      </w:rPr>
      <w:drawing>
        <wp:inline distT="0" distB="0" distL="0" distR="0" wp14:anchorId="204A08CD" wp14:editId="53406BD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37C9" w14:textId="2AEE0721" w:rsidR="00CA095B" w:rsidRPr="00B1560D" w:rsidRDefault="00CA095B" w:rsidP="00B15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54"/>
    <w:rsid w:val="000007D1"/>
    <w:rsid w:val="0006007D"/>
    <w:rsid w:val="00076737"/>
    <w:rsid w:val="00093EEB"/>
    <w:rsid w:val="000B0D00"/>
    <w:rsid w:val="000B7C15"/>
    <w:rsid w:val="000D1D0F"/>
    <w:rsid w:val="000E3F07"/>
    <w:rsid w:val="000F5290"/>
    <w:rsid w:val="000F5A95"/>
    <w:rsid w:val="0010165C"/>
    <w:rsid w:val="001366BB"/>
    <w:rsid w:val="00146BFB"/>
    <w:rsid w:val="001559F5"/>
    <w:rsid w:val="00157AC4"/>
    <w:rsid w:val="0016169C"/>
    <w:rsid w:val="00163B1B"/>
    <w:rsid w:val="00164624"/>
    <w:rsid w:val="001958F5"/>
    <w:rsid w:val="001B6E2B"/>
    <w:rsid w:val="001D34E4"/>
    <w:rsid w:val="001E0EE6"/>
    <w:rsid w:val="001F14A2"/>
    <w:rsid w:val="0022433B"/>
    <w:rsid w:val="002634BA"/>
    <w:rsid w:val="00277DEA"/>
    <w:rsid w:val="002801AA"/>
    <w:rsid w:val="002946E2"/>
    <w:rsid w:val="002C3F32"/>
    <w:rsid w:val="002C4676"/>
    <w:rsid w:val="002C70B0"/>
    <w:rsid w:val="002F3CC4"/>
    <w:rsid w:val="002F4954"/>
    <w:rsid w:val="003032E2"/>
    <w:rsid w:val="0031104E"/>
    <w:rsid w:val="0031300A"/>
    <w:rsid w:val="003273A4"/>
    <w:rsid w:val="00336E94"/>
    <w:rsid w:val="0034796E"/>
    <w:rsid w:val="00391804"/>
    <w:rsid w:val="003B2C11"/>
    <w:rsid w:val="004129FB"/>
    <w:rsid w:val="00451EE0"/>
    <w:rsid w:val="004571B0"/>
    <w:rsid w:val="00464AEE"/>
    <w:rsid w:val="00465C35"/>
    <w:rsid w:val="00473962"/>
    <w:rsid w:val="004861AF"/>
    <w:rsid w:val="004B5D49"/>
    <w:rsid w:val="004D3A3C"/>
    <w:rsid w:val="004F2C29"/>
    <w:rsid w:val="00513630"/>
    <w:rsid w:val="00560125"/>
    <w:rsid w:val="00564BAF"/>
    <w:rsid w:val="005743E8"/>
    <w:rsid w:val="00585553"/>
    <w:rsid w:val="005B34D9"/>
    <w:rsid w:val="005D0CCF"/>
    <w:rsid w:val="005E4E8F"/>
    <w:rsid w:val="005F0915"/>
    <w:rsid w:val="005F3BCB"/>
    <w:rsid w:val="005F410F"/>
    <w:rsid w:val="0060149A"/>
    <w:rsid w:val="00601924"/>
    <w:rsid w:val="00610EFC"/>
    <w:rsid w:val="006447EA"/>
    <w:rsid w:val="0064481D"/>
    <w:rsid w:val="0064731F"/>
    <w:rsid w:val="00664572"/>
    <w:rsid w:val="00666D09"/>
    <w:rsid w:val="00670579"/>
    <w:rsid w:val="006710F6"/>
    <w:rsid w:val="00677A97"/>
    <w:rsid w:val="006C1B56"/>
    <w:rsid w:val="006D1843"/>
    <w:rsid w:val="006D4761"/>
    <w:rsid w:val="006D48A1"/>
    <w:rsid w:val="006F2DEF"/>
    <w:rsid w:val="00726872"/>
    <w:rsid w:val="00760F1C"/>
    <w:rsid w:val="007657F0"/>
    <w:rsid w:val="0077110E"/>
    <w:rsid w:val="0077252D"/>
    <w:rsid w:val="007955DA"/>
    <w:rsid w:val="007A2C38"/>
    <w:rsid w:val="007A3F78"/>
    <w:rsid w:val="007B2B42"/>
    <w:rsid w:val="007E5DD3"/>
    <w:rsid w:val="007F350B"/>
    <w:rsid w:val="0080073F"/>
    <w:rsid w:val="00820BE4"/>
    <w:rsid w:val="008451E8"/>
    <w:rsid w:val="0084546D"/>
    <w:rsid w:val="00847E0E"/>
    <w:rsid w:val="008F6ABC"/>
    <w:rsid w:val="00905543"/>
    <w:rsid w:val="00913B9C"/>
    <w:rsid w:val="00927F93"/>
    <w:rsid w:val="00934D0C"/>
    <w:rsid w:val="00956E77"/>
    <w:rsid w:val="00982C2A"/>
    <w:rsid w:val="00985D60"/>
    <w:rsid w:val="00986768"/>
    <w:rsid w:val="009A338E"/>
    <w:rsid w:val="009A76A8"/>
    <w:rsid w:val="009D73E9"/>
    <w:rsid w:val="009F4811"/>
    <w:rsid w:val="00A01F4F"/>
    <w:rsid w:val="00A109AF"/>
    <w:rsid w:val="00A362BE"/>
    <w:rsid w:val="00A94438"/>
    <w:rsid w:val="00AA390C"/>
    <w:rsid w:val="00AD5A4D"/>
    <w:rsid w:val="00AF0EAC"/>
    <w:rsid w:val="00B0200A"/>
    <w:rsid w:val="00B060DF"/>
    <w:rsid w:val="00B1560D"/>
    <w:rsid w:val="00B574DB"/>
    <w:rsid w:val="00B826C2"/>
    <w:rsid w:val="00B8298E"/>
    <w:rsid w:val="00BB6FD8"/>
    <w:rsid w:val="00BC7FC8"/>
    <w:rsid w:val="00BD0723"/>
    <w:rsid w:val="00BD2518"/>
    <w:rsid w:val="00BF1D1C"/>
    <w:rsid w:val="00C20C59"/>
    <w:rsid w:val="00C2727F"/>
    <w:rsid w:val="00C4421B"/>
    <w:rsid w:val="00C538FC"/>
    <w:rsid w:val="00C55B1F"/>
    <w:rsid w:val="00CA095B"/>
    <w:rsid w:val="00CB2B38"/>
    <w:rsid w:val="00CC1FAF"/>
    <w:rsid w:val="00CF1A67"/>
    <w:rsid w:val="00D10B4E"/>
    <w:rsid w:val="00D2750E"/>
    <w:rsid w:val="00D366C3"/>
    <w:rsid w:val="00D375E0"/>
    <w:rsid w:val="00D50A36"/>
    <w:rsid w:val="00D62446"/>
    <w:rsid w:val="00DA4EA2"/>
    <w:rsid w:val="00DC3D3E"/>
    <w:rsid w:val="00DE2C90"/>
    <w:rsid w:val="00DE3B24"/>
    <w:rsid w:val="00DE7376"/>
    <w:rsid w:val="00DF0ECF"/>
    <w:rsid w:val="00E06947"/>
    <w:rsid w:val="00E11319"/>
    <w:rsid w:val="00E212DB"/>
    <w:rsid w:val="00E21444"/>
    <w:rsid w:val="00E34072"/>
    <w:rsid w:val="00E3592D"/>
    <w:rsid w:val="00E50D76"/>
    <w:rsid w:val="00E8018B"/>
    <w:rsid w:val="00E92DE8"/>
    <w:rsid w:val="00EB1212"/>
    <w:rsid w:val="00ED65AB"/>
    <w:rsid w:val="00F12850"/>
    <w:rsid w:val="00F24B71"/>
    <w:rsid w:val="00F33BF4"/>
    <w:rsid w:val="00F62307"/>
    <w:rsid w:val="00F7105E"/>
    <w:rsid w:val="00F75F57"/>
    <w:rsid w:val="00F82FEE"/>
    <w:rsid w:val="00F85E5C"/>
    <w:rsid w:val="00F92BED"/>
    <w:rsid w:val="00FD57D3"/>
    <w:rsid w:val="00FE1C0E"/>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5BD0C9"/>
  <w15:docId w15:val="{573430D2-5678-4377-A037-35468566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qFormat/>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1366BB"/>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styleId="CommentReference">
    <w:name w:val="annotation reference"/>
    <w:basedOn w:val="DefaultParagraphFont"/>
    <w:semiHidden/>
    <w:unhideWhenUsed/>
    <w:rsid w:val="002634BA"/>
    <w:rPr>
      <w:sz w:val="16"/>
      <w:szCs w:val="16"/>
    </w:rPr>
  </w:style>
  <w:style w:type="paragraph" w:styleId="CommentText">
    <w:name w:val="annotation text"/>
    <w:basedOn w:val="Normal"/>
    <w:link w:val="CommentTextChar"/>
    <w:semiHidden/>
    <w:unhideWhenUsed/>
    <w:rsid w:val="002634BA"/>
    <w:rPr>
      <w:sz w:val="20"/>
    </w:rPr>
  </w:style>
  <w:style w:type="character" w:customStyle="1" w:styleId="CommentTextChar">
    <w:name w:val="Comment Text Char"/>
    <w:basedOn w:val="DefaultParagraphFont"/>
    <w:link w:val="CommentText"/>
    <w:semiHidden/>
    <w:rsid w:val="002634BA"/>
    <w:rPr>
      <w:rFonts w:ascii="Calibri" w:hAnsi="Calibri"/>
      <w:lang w:val="fr-FR" w:eastAsia="en-US"/>
    </w:rPr>
  </w:style>
  <w:style w:type="paragraph" w:styleId="CommentSubject">
    <w:name w:val="annotation subject"/>
    <w:basedOn w:val="CommentText"/>
    <w:next w:val="CommentText"/>
    <w:link w:val="CommentSubjectChar"/>
    <w:semiHidden/>
    <w:unhideWhenUsed/>
    <w:rsid w:val="002634BA"/>
    <w:rPr>
      <w:b/>
      <w:bCs/>
    </w:rPr>
  </w:style>
  <w:style w:type="character" w:customStyle="1" w:styleId="CommentSubjectChar">
    <w:name w:val="Comment Subject Char"/>
    <w:basedOn w:val="CommentTextChar"/>
    <w:link w:val="CommentSubject"/>
    <w:semiHidden/>
    <w:rsid w:val="002634BA"/>
    <w:rPr>
      <w:rFonts w:ascii="Calibri" w:hAnsi="Calibri"/>
      <w:b/>
      <w:bCs/>
      <w:lang w:val="fr-FR" w:eastAsia="en-US"/>
    </w:rPr>
  </w:style>
  <w:style w:type="paragraph" w:styleId="Revision">
    <w:name w:val="Revision"/>
    <w:hidden/>
    <w:uiPriority w:val="99"/>
    <w:semiHidden/>
    <w:rsid w:val="00982C2A"/>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91-S.pdf"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www.itu.int/md/S25-CL-C-0064/es" TargetMode="Externa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emf"/><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itu.int/md/S25-CL-C-0010/es" TargetMode="Externa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emf"/><Relationship Id="rId23"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tu.int/en/council/Documents/basic-texts-2023/RES-091-S.pdf" TargetMode="External"/><Relationship Id="rId14" Type="http://schemas.openxmlformats.org/officeDocument/2006/relationships/image" Target="media/image5.emf"/><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9</TotalTime>
  <Pages>20</Pages>
  <Words>6213</Words>
  <Characters>34010</Characters>
  <Application>Microsoft Office Word</Application>
  <DocSecurity>0</DocSecurity>
  <Lines>809</Lines>
  <Paragraphs>238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Proyecto de metodología sobre notificaciones de redes de satélite</vt:lpstr>
    </vt:vector>
  </TitlesOfParts>
  <Manager>Secretaría General - Pool</Manager>
  <Company>International Telecommunication Union</Company>
  <LinksUpToDate>false</LinksUpToDate>
  <CharactersWithSpaces>39985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metodología sobre notificaciones de redes de satélite</dc:title>
  <dc:subject>Consejo 2026 de la UIT</dc:subject>
  <cp:keywords>C26; C2026; Council 2026; PP26</cp:keywords>
  <dc:description/>
  <cp:lastPrinted>2006-03-24T09:51:00Z</cp:lastPrinted>
  <dcterms:created xsi:type="dcterms:W3CDTF">2026-04-08T16:24:00Z</dcterms:created>
  <dcterms:modified xsi:type="dcterms:W3CDTF">2026-04-09T08:13:00Z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