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F00A" w14:textId="77777777" w:rsidR="0060451F" w:rsidRPr="00952C32" w:rsidRDefault="0060451F"/>
    <w:tbl>
      <w:tblPr>
        <w:tblpPr w:leftFromText="180" w:rightFromText="180" w:vertAnchor="text" w:tblpY="1"/>
        <w:tblOverlap w:val="never"/>
        <w:tblW w:w="9214" w:type="dxa"/>
        <w:tblLayout w:type="fixed"/>
        <w:tblLook w:val="0000" w:firstRow="0" w:lastRow="0" w:firstColumn="0" w:lastColumn="0" w:noHBand="0" w:noVBand="0"/>
      </w:tblPr>
      <w:tblGrid>
        <w:gridCol w:w="3969"/>
        <w:gridCol w:w="5245"/>
      </w:tblGrid>
      <w:tr w:rsidR="00796BD3" w:rsidRPr="004C7931" w14:paraId="2E3ADD46" w14:textId="77777777" w:rsidTr="003238C1">
        <w:trPr>
          <w:cantSplit/>
          <w:trHeight w:val="23"/>
        </w:trPr>
        <w:tc>
          <w:tcPr>
            <w:tcW w:w="3969" w:type="dxa"/>
            <w:vMerge w:val="restart"/>
            <w:tcMar>
              <w:left w:w="0" w:type="dxa"/>
            </w:tcMar>
          </w:tcPr>
          <w:p w14:paraId="2D726D10" w14:textId="03C40C32" w:rsidR="00796BD3" w:rsidRPr="004C7931" w:rsidRDefault="0033025A" w:rsidP="003238C1">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4C7931">
              <w:rPr>
                <w:b/>
                <w:lang w:val="ru-RU"/>
              </w:rPr>
              <w:t>Пункт повестки дня:</w:t>
            </w:r>
            <w:r w:rsidR="00170F0D" w:rsidRPr="004C7931">
              <w:rPr>
                <w:b/>
                <w:lang w:val="ru-RU"/>
              </w:rPr>
              <w:t xml:space="preserve"> ADM 1</w:t>
            </w:r>
          </w:p>
        </w:tc>
        <w:tc>
          <w:tcPr>
            <w:tcW w:w="5245" w:type="dxa"/>
          </w:tcPr>
          <w:p w14:paraId="19CED129" w14:textId="730D5421" w:rsidR="00796BD3" w:rsidRPr="004C7931" w:rsidRDefault="0033025A" w:rsidP="00F213A2">
            <w:pPr>
              <w:tabs>
                <w:tab w:val="left" w:pos="851"/>
              </w:tabs>
              <w:spacing w:before="0" w:line="240" w:lineRule="atLeast"/>
              <w:jc w:val="right"/>
              <w:rPr>
                <w:b/>
                <w:lang w:val="ru-RU"/>
              </w:rPr>
            </w:pPr>
            <w:r w:rsidRPr="004C7931">
              <w:rPr>
                <w:b/>
                <w:lang w:val="ru-RU"/>
              </w:rPr>
              <w:t xml:space="preserve">Документ </w:t>
            </w:r>
            <w:r w:rsidR="00796BD3" w:rsidRPr="004C7931">
              <w:rPr>
                <w:b/>
                <w:lang w:val="ru-RU"/>
              </w:rPr>
              <w:t>C2</w:t>
            </w:r>
            <w:r w:rsidR="00BE00DD" w:rsidRPr="004C7931">
              <w:rPr>
                <w:b/>
                <w:lang w:val="ru-RU"/>
              </w:rPr>
              <w:t>6</w:t>
            </w:r>
            <w:r w:rsidR="00796BD3" w:rsidRPr="004C7931">
              <w:rPr>
                <w:b/>
                <w:lang w:val="ru-RU"/>
              </w:rPr>
              <w:t>/</w:t>
            </w:r>
            <w:r w:rsidR="00170F0D" w:rsidRPr="004C7931">
              <w:rPr>
                <w:b/>
                <w:lang w:val="ru-RU"/>
              </w:rPr>
              <w:t>19</w:t>
            </w:r>
            <w:r w:rsidR="00796BD3" w:rsidRPr="004C7931">
              <w:rPr>
                <w:b/>
                <w:lang w:val="ru-RU"/>
              </w:rPr>
              <w:t>-R</w:t>
            </w:r>
          </w:p>
        </w:tc>
      </w:tr>
      <w:tr w:rsidR="00796BD3" w:rsidRPr="004C7931" w14:paraId="64EA3F23" w14:textId="77777777" w:rsidTr="003238C1">
        <w:trPr>
          <w:cantSplit/>
        </w:trPr>
        <w:tc>
          <w:tcPr>
            <w:tcW w:w="3969" w:type="dxa"/>
            <w:vMerge/>
          </w:tcPr>
          <w:p w14:paraId="234795EE" w14:textId="77777777" w:rsidR="00796BD3" w:rsidRPr="004C7931" w:rsidRDefault="00796BD3" w:rsidP="00F213A2">
            <w:pPr>
              <w:tabs>
                <w:tab w:val="left" w:pos="851"/>
              </w:tabs>
              <w:spacing w:line="240" w:lineRule="atLeast"/>
              <w:rPr>
                <w:b/>
                <w:lang w:val="ru-RU"/>
              </w:rPr>
            </w:pPr>
            <w:bookmarkStart w:id="3" w:name="ddate" w:colFirst="1" w:colLast="1"/>
            <w:bookmarkEnd w:id="0"/>
            <w:bookmarkEnd w:id="1"/>
          </w:p>
        </w:tc>
        <w:tc>
          <w:tcPr>
            <w:tcW w:w="5245" w:type="dxa"/>
          </w:tcPr>
          <w:p w14:paraId="0C4F9A97" w14:textId="5A165C66" w:rsidR="00796BD3" w:rsidRPr="004C7931" w:rsidRDefault="00170F0D" w:rsidP="00F213A2">
            <w:pPr>
              <w:tabs>
                <w:tab w:val="left" w:pos="851"/>
              </w:tabs>
              <w:spacing w:before="0"/>
              <w:jc w:val="right"/>
              <w:rPr>
                <w:b/>
                <w:lang w:val="ru-RU"/>
              </w:rPr>
            </w:pPr>
            <w:r w:rsidRPr="004C7931">
              <w:rPr>
                <w:b/>
                <w:lang w:val="ru-RU"/>
              </w:rPr>
              <w:t>19 марта 2026 г</w:t>
            </w:r>
            <w:r w:rsidR="00DD092F" w:rsidRPr="004C7931">
              <w:rPr>
                <w:b/>
                <w:lang w:val="ru-RU"/>
              </w:rPr>
              <w:t>ода</w:t>
            </w:r>
          </w:p>
        </w:tc>
      </w:tr>
      <w:tr w:rsidR="00796BD3" w:rsidRPr="004C7931" w14:paraId="0D23EFCC" w14:textId="77777777" w:rsidTr="003238C1">
        <w:trPr>
          <w:cantSplit/>
          <w:trHeight w:val="23"/>
        </w:trPr>
        <w:tc>
          <w:tcPr>
            <w:tcW w:w="3969" w:type="dxa"/>
            <w:vMerge/>
          </w:tcPr>
          <w:p w14:paraId="098508F8" w14:textId="77777777" w:rsidR="00796BD3" w:rsidRPr="004C7931" w:rsidRDefault="00796BD3" w:rsidP="00F213A2">
            <w:pPr>
              <w:tabs>
                <w:tab w:val="left" w:pos="851"/>
              </w:tabs>
              <w:spacing w:line="240" w:lineRule="atLeast"/>
              <w:rPr>
                <w:b/>
                <w:lang w:val="ru-RU"/>
              </w:rPr>
            </w:pPr>
            <w:bookmarkStart w:id="4" w:name="dorlang" w:colFirst="1" w:colLast="1"/>
            <w:bookmarkEnd w:id="3"/>
          </w:p>
        </w:tc>
        <w:tc>
          <w:tcPr>
            <w:tcW w:w="5245" w:type="dxa"/>
          </w:tcPr>
          <w:p w14:paraId="4FB5D11C" w14:textId="77777777" w:rsidR="00796BD3" w:rsidRPr="004C7931" w:rsidRDefault="0033025A" w:rsidP="00F213A2">
            <w:pPr>
              <w:tabs>
                <w:tab w:val="left" w:pos="851"/>
              </w:tabs>
              <w:spacing w:before="0" w:line="240" w:lineRule="atLeast"/>
              <w:jc w:val="right"/>
              <w:rPr>
                <w:b/>
                <w:lang w:val="ru-RU"/>
              </w:rPr>
            </w:pPr>
            <w:r w:rsidRPr="004C7931">
              <w:rPr>
                <w:b/>
                <w:lang w:val="ru-RU"/>
              </w:rPr>
              <w:t>Оригинал: английский</w:t>
            </w:r>
          </w:p>
        </w:tc>
      </w:tr>
      <w:tr w:rsidR="00796BD3" w:rsidRPr="004C7931" w14:paraId="7E39E7B7" w14:textId="77777777" w:rsidTr="003238C1">
        <w:trPr>
          <w:cantSplit/>
          <w:trHeight w:val="23"/>
        </w:trPr>
        <w:tc>
          <w:tcPr>
            <w:tcW w:w="3969" w:type="dxa"/>
          </w:tcPr>
          <w:p w14:paraId="36B329AB" w14:textId="77777777" w:rsidR="00796BD3" w:rsidRPr="004C7931" w:rsidRDefault="00796BD3" w:rsidP="00F213A2">
            <w:pPr>
              <w:tabs>
                <w:tab w:val="left" w:pos="851"/>
              </w:tabs>
              <w:spacing w:line="240" w:lineRule="atLeast"/>
              <w:rPr>
                <w:b/>
                <w:lang w:val="ru-RU"/>
              </w:rPr>
            </w:pPr>
          </w:p>
        </w:tc>
        <w:tc>
          <w:tcPr>
            <w:tcW w:w="5245" w:type="dxa"/>
          </w:tcPr>
          <w:p w14:paraId="125266AE" w14:textId="77777777" w:rsidR="00796BD3" w:rsidRPr="004C7931" w:rsidRDefault="00796BD3" w:rsidP="00F213A2">
            <w:pPr>
              <w:tabs>
                <w:tab w:val="left" w:pos="851"/>
              </w:tabs>
              <w:spacing w:before="0" w:line="240" w:lineRule="atLeast"/>
              <w:jc w:val="right"/>
              <w:rPr>
                <w:b/>
                <w:lang w:val="ru-RU"/>
              </w:rPr>
            </w:pPr>
          </w:p>
        </w:tc>
      </w:tr>
      <w:tr w:rsidR="00796BD3" w:rsidRPr="004C7931" w14:paraId="2C6F8B4B" w14:textId="77777777" w:rsidTr="003238C1">
        <w:trPr>
          <w:cantSplit/>
        </w:trPr>
        <w:tc>
          <w:tcPr>
            <w:tcW w:w="9214" w:type="dxa"/>
            <w:gridSpan w:val="2"/>
            <w:tcMar>
              <w:left w:w="0" w:type="dxa"/>
            </w:tcMar>
          </w:tcPr>
          <w:p w14:paraId="0E7B54C4" w14:textId="77777777" w:rsidR="00796BD3" w:rsidRPr="004C7931" w:rsidRDefault="0033025A" w:rsidP="00F213A2">
            <w:pPr>
              <w:pStyle w:val="Source"/>
              <w:framePr w:hSpace="0" w:wrap="auto" w:vAnchor="margin" w:hAnchor="text" w:xAlign="left" w:yAlign="inline"/>
              <w:suppressOverlap w:val="0"/>
            </w:pPr>
            <w:bookmarkStart w:id="5" w:name="dsource" w:colFirst="0" w:colLast="0"/>
            <w:bookmarkEnd w:id="4"/>
            <w:r w:rsidRPr="004C7931">
              <w:t>Отчет Генерального секретаря</w:t>
            </w:r>
          </w:p>
        </w:tc>
      </w:tr>
      <w:tr w:rsidR="00796BD3" w:rsidRPr="00DF306E" w14:paraId="73B3721B" w14:textId="77777777" w:rsidTr="003238C1">
        <w:trPr>
          <w:cantSplit/>
        </w:trPr>
        <w:tc>
          <w:tcPr>
            <w:tcW w:w="9214" w:type="dxa"/>
            <w:gridSpan w:val="2"/>
            <w:tcMar>
              <w:left w:w="0" w:type="dxa"/>
            </w:tcMar>
          </w:tcPr>
          <w:p w14:paraId="4E3F768A" w14:textId="40EF2ABC" w:rsidR="00796BD3" w:rsidRPr="00FB0249" w:rsidRDefault="008308A1" w:rsidP="00F213A2">
            <w:pPr>
              <w:pStyle w:val="Subtitle"/>
              <w:framePr w:hSpace="0" w:wrap="auto" w:xAlign="left" w:yAlign="inline"/>
              <w:suppressOverlap w:val="0"/>
              <w:rPr>
                <w:sz w:val="32"/>
              </w:rPr>
            </w:pPr>
            <w:bookmarkStart w:id="6" w:name="dtitle1" w:colFirst="0" w:colLast="0"/>
            <w:bookmarkEnd w:id="5"/>
            <w:r w:rsidRPr="00FB0249">
              <w:rPr>
                <w:sz w:val="32"/>
              </w:rPr>
              <w:t xml:space="preserve">ЗАЯВКИ НА РЕГИСТРАЦИЮ </w:t>
            </w:r>
            <w:r w:rsidR="00E0167B" w:rsidRPr="00FB0249">
              <w:rPr>
                <w:sz w:val="32"/>
              </w:rPr>
              <w:t xml:space="preserve">СПУТНИКОВЫХ </w:t>
            </w:r>
            <w:r w:rsidR="00102F89" w:rsidRPr="00FB0249">
              <w:rPr>
                <w:sz w:val="32"/>
              </w:rPr>
              <w:br/>
            </w:r>
            <w:r w:rsidR="00E0167B" w:rsidRPr="00FB0249">
              <w:rPr>
                <w:sz w:val="32"/>
              </w:rPr>
              <w:t xml:space="preserve">СЕТЕЙ </w:t>
            </w:r>
            <w:r w:rsidR="00FB0249" w:rsidRPr="00FB0249">
              <w:rPr>
                <w:rFonts w:cs="Calibri"/>
                <w:sz w:val="32"/>
              </w:rPr>
              <w:t>−</w:t>
            </w:r>
            <w:r w:rsidR="00E0167B" w:rsidRPr="00FB0249">
              <w:rPr>
                <w:sz w:val="32"/>
              </w:rPr>
              <w:t xml:space="preserve"> ПРОЕКТ МЕТОДИКИ</w:t>
            </w:r>
          </w:p>
        </w:tc>
      </w:tr>
      <w:tr w:rsidR="00796BD3" w:rsidRPr="0046395E" w14:paraId="76DBCA83" w14:textId="77777777" w:rsidTr="003238C1">
        <w:trPr>
          <w:cantSplit/>
        </w:trPr>
        <w:tc>
          <w:tcPr>
            <w:tcW w:w="9214" w:type="dxa"/>
            <w:gridSpan w:val="2"/>
            <w:tcBorders>
              <w:top w:val="single" w:sz="4" w:space="0" w:color="auto"/>
              <w:bottom w:val="single" w:sz="4" w:space="0" w:color="auto"/>
            </w:tcBorders>
            <w:tcMar>
              <w:left w:w="0" w:type="dxa"/>
            </w:tcMar>
          </w:tcPr>
          <w:p w14:paraId="462D7E2E" w14:textId="77777777" w:rsidR="00796BD3" w:rsidRPr="004C7931" w:rsidRDefault="0033025A" w:rsidP="00F213A2">
            <w:pPr>
              <w:spacing w:before="160"/>
              <w:rPr>
                <w:b/>
                <w:bCs/>
                <w:sz w:val="24"/>
                <w:szCs w:val="24"/>
                <w:lang w:val="ru-RU"/>
              </w:rPr>
            </w:pPr>
            <w:r w:rsidRPr="004C7931">
              <w:rPr>
                <w:b/>
                <w:bCs/>
                <w:sz w:val="24"/>
                <w:szCs w:val="24"/>
                <w:lang w:val="ru-RU"/>
              </w:rPr>
              <w:t>Назначение</w:t>
            </w:r>
          </w:p>
          <w:p w14:paraId="62A4F0AF" w14:textId="38BACB89" w:rsidR="00E0167B" w:rsidRPr="004C7931" w:rsidRDefault="00E0167B" w:rsidP="00F213A2">
            <w:pPr>
              <w:rPr>
                <w:szCs w:val="22"/>
                <w:lang w:val="ru-RU"/>
              </w:rPr>
            </w:pPr>
            <w:r w:rsidRPr="004C7931">
              <w:rPr>
                <w:lang w:val="ru-RU"/>
              </w:rPr>
              <w:t xml:space="preserve">В настоящем документе излагается предлагаемая </w:t>
            </w:r>
            <w:r w:rsidR="00B117BD" w:rsidRPr="004C7931">
              <w:rPr>
                <w:lang w:val="ru-RU"/>
              </w:rPr>
              <w:t>С</w:t>
            </w:r>
            <w:r w:rsidRPr="004C7931">
              <w:rPr>
                <w:lang w:val="ru-RU"/>
              </w:rPr>
              <w:t xml:space="preserve">екретариатом методика возмещения затрат на обработку заявок на регистрацию спутниковых сетей (SNF). На недавних собраниях Совета и Рабочей группы Совета по финансовым и людским ресурсам (РГС-ФЛР) </w:t>
            </w:r>
            <w:r w:rsidR="001335B0" w:rsidRPr="004C7931">
              <w:rPr>
                <w:lang w:val="ru-RU"/>
              </w:rPr>
              <w:t>Секретариат</w:t>
            </w:r>
            <w:r w:rsidRPr="004C7931">
              <w:rPr>
                <w:lang w:val="ru-RU"/>
              </w:rPr>
              <w:t xml:space="preserve"> сообщил делегатам, что с 2021</w:t>
            </w:r>
            <w:r w:rsidR="00102F89" w:rsidRPr="004C7931">
              <w:rPr>
                <w:lang w:val="ru-RU"/>
              </w:rPr>
              <w:t> </w:t>
            </w:r>
            <w:r w:rsidRPr="004C7931">
              <w:rPr>
                <w:lang w:val="ru-RU"/>
              </w:rPr>
              <w:t xml:space="preserve">года доходы, получаемые в виде сборов за SNF на основе действующей методики, не могут полностью покрывать затраты на работу, проделанную </w:t>
            </w:r>
            <w:r w:rsidR="001335B0" w:rsidRPr="004C7931">
              <w:rPr>
                <w:lang w:val="ru-RU"/>
              </w:rPr>
              <w:t>Секретариат</w:t>
            </w:r>
            <w:r w:rsidRPr="004C7931">
              <w:rPr>
                <w:lang w:val="ru-RU"/>
              </w:rPr>
              <w:t>ом по</w:t>
            </w:r>
            <w:r w:rsidR="00102F89" w:rsidRPr="004C7931">
              <w:rPr>
                <w:lang w:val="ru-RU"/>
              </w:rPr>
              <w:t> </w:t>
            </w:r>
            <w:r w:rsidRPr="004C7931">
              <w:rPr>
                <w:lang w:val="ru-RU"/>
              </w:rPr>
              <w:t>обработке SNF. Такая ситуация является результатом значительного увеличения объема и сложности заявок при отсутствии соответствующего и пропорционального увеличения взимаемых сборов. Поэтому в последние годы расходы на обработку SNF субсидируются из</w:t>
            </w:r>
            <w:r w:rsidR="00102F89" w:rsidRPr="004C7931">
              <w:rPr>
                <w:lang w:val="ru-RU"/>
              </w:rPr>
              <w:t> </w:t>
            </w:r>
            <w:r w:rsidRPr="004C7931">
              <w:rPr>
                <w:lang w:val="ru-RU"/>
              </w:rPr>
              <w:t>регулярного бюджета МСЭ, что противоречит намерению Резолюции 91 (Пересм. Бухарест, 2022</w:t>
            </w:r>
            <w:r w:rsidR="008308A1" w:rsidRPr="004C7931">
              <w:rPr>
                <w:lang w:val="ru-RU"/>
              </w:rPr>
              <w:t> </w:t>
            </w:r>
            <w:r w:rsidRPr="004C7931">
              <w:rPr>
                <w:lang w:val="ru-RU"/>
              </w:rPr>
              <w:t>г.) Полномочной конференции.</w:t>
            </w:r>
          </w:p>
          <w:p w14:paraId="6CB260A2" w14:textId="79A323FE" w:rsidR="00E0167B" w:rsidRPr="004C7931" w:rsidRDefault="00E0167B" w:rsidP="00F213A2">
            <w:pPr>
              <w:rPr>
                <w:szCs w:val="22"/>
                <w:lang w:val="ru-RU"/>
              </w:rPr>
            </w:pPr>
            <w:r w:rsidRPr="004C7931">
              <w:rPr>
                <w:lang w:val="ru-RU"/>
              </w:rPr>
              <w:t xml:space="preserve">После того как </w:t>
            </w:r>
            <w:r w:rsidR="001335B0" w:rsidRPr="004C7931">
              <w:rPr>
                <w:lang w:val="ru-RU"/>
              </w:rPr>
              <w:t>Секретариат</w:t>
            </w:r>
            <w:r w:rsidRPr="004C7931">
              <w:rPr>
                <w:lang w:val="ru-RU"/>
              </w:rPr>
              <w:t xml:space="preserve"> попытался продемонстрировать это несоответствие, делегаты выразили </w:t>
            </w:r>
            <w:r w:rsidR="0062279D" w:rsidRPr="004C7931">
              <w:rPr>
                <w:lang w:val="ru-RU"/>
              </w:rPr>
              <w:t xml:space="preserve">обеспокоенность в связи с тем, что </w:t>
            </w:r>
            <w:r w:rsidRPr="004C7931">
              <w:rPr>
                <w:lang w:val="ru-RU"/>
              </w:rPr>
              <w:t xml:space="preserve">для обоснования затрат </w:t>
            </w:r>
            <w:r w:rsidR="00B117BD" w:rsidRPr="004C7931">
              <w:rPr>
                <w:lang w:val="ru-RU"/>
              </w:rPr>
              <w:t>касательно</w:t>
            </w:r>
            <w:r w:rsidRPr="004C7931">
              <w:rPr>
                <w:lang w:val="ru-RU"/>
              </w:rPr>
              <w:t xml:space="preserve"> включенных в</w:t>
            </w:r>
            <w:r w:rsidR="00102F89" w:rsidRPr="004C7931">
              <w:rPr>
                <w:lang w:val="ru-RU"/>
              </w:rPr>
              <w:t> </w:t>
            </w:r>
            <w:r w:rsidRPr="004C7931">
              <w:rPr>
                <w:lang w:val="ru-RU"/>
              </w:rPr>
              <w:t>них элементов прямых и косвенных затрат и для принятия решений на основе данных</w:t>
            </w:r>
            <w:r w:rsidR="0062279D" w:rsidRPr="004C7931">
              <w:rPr>
                <w:lang w:val="ru-RU"/>
              </w:rPr>
              <w:t xml:space="preserve"> необходимо предоставить более подробную информацию</w:t>
            </w:r>
            <w:r w:rsidRPr="004C7931">
              <w:rPr>
                <w:lang w:val="ru-RU"/>
              </w:rPr>
              <w:t xml:space="preserve">. В 2025 году Совет произвел промежуточное повышение платы за SNF, что обеспечило дополнительный доход для частичного покрытия дисбаланса на двухлетний период, а </w:t>
            </w:r>
            <w:r w:rsidR="001335B0" w:rsidRPr="004C7931">
              <w:rPr>
                <w:lang w:val="ru-RU"/>
              </w:rPr>
              <w:t>Секретариат</w:t>
            </w:r>
            <w:r w:rsidRPr="004C7931">
              <w:rPr>
                <w:lang w:val="ru-RU"/>
              </w:rPr>
              <w:t>у под руководством РГС</w:t>
            </w:r>
            <w:r w:rsidR="00102F89" w:rsidRPr="004C7931">
              <w:rPr>
                <w:lang w:val="ru-RU"/>
              </w:rPr>
              <w:noBreakHyphen/>
            </w:r>
            <w:r w:rsidRPr="004C7931">
              <w:rPr>
                <w:lang w:val="ru-RU"/>
              </w:rPr>
              <w:t xml:space="preserve">ФЛР было поручено представить предложения по пересмотренной </w:t>
            </w:r>
            <w:r w:rsidR="0062279D" w:rsidRPr="004C7931">
              <w:rPr>
                <w:lang w:val="ru-RU"/>
              </w:rPr>
              <w:t>системе</w:t>
            </w:r>
            <w:r w:rsidRPr="004C7931">
              <w:rPr>
                <w:lang w:val="ru-RU"/>
              </w:rPr>
              <w:t>.</w:t>
            </w:r>
          </w:p>
          <w:p w14:paraId="5A4E74AA" w14:textId="37D26780" w:rsidR="00796BD3" w:rsidRPr="004C7931" w:rsidRDefault="00E0167B" w:rsidP="00F213A2">
            <w:pPr>
              <w:rPr>
                <w:lang w:val="ru-RU"/>
              </w:rPr>
            </w:pPr>
            <w:r w:rsidRPr="004C7931">
              <w:rPr>
                <w:lang w:val="ru-RU"/>
              </w:rPr>
              <w:t xml:space="preserve">Предложение, содержащееся в настоящем документе, направлено на то, чтобы учесть </w:t>
            </w:r>
            <w:r w:rsidR="00922FC8" w:rsidRPr="004C7931">
              <w:rPr>
                <w:lang w:val="ru-RU"/>
              </w:rPr>
              <w:t>результаты недавних обсуждений</w:t>
            </w:r>
            <w:r w:rsidRPr="004C7931">
              <w:rPr>
                <w:lang w:val="ru-RU"/>
              </w:rPr>
              <w:t xml:space="preserve"> и снять обеспокоенность делегатов, предложив модель затрат по видам деятельности, которая обеспечит более точную методику расчета затрат в</w:t>
            </w:r>
            <w:r w:rsidR="00102F89" w:rsidRPr="004C7931">
              <w:rPr>
                <w:lang w:val="ru-RU"/>
              </w:rPr>
              <w:t> </w:t>
            </w:r>
            <w:r w:rsidRPr="004C7931">
              <w:rPr>
                <w:lang w:val="ru-RU"/>
              </w:rPr>
              <w:t>МСЭ,</w:t>
            </w:r>
            <w:r w:rsidR="00102F89" w:rsidRPr="004C7931">
              <w:rPr>
                <w:lang w:val="ru-RU"/>
              </w:rPr>
              <w:t> </w:t>
            </w:r>
            <w:r w:rsidRPr="004C7931">
              <w:rPr>
                <w:lang w:val="ru-RU"/>
              </w:rPr>
              <w:t xml:space="preserve">и приведение </w:t>
            </w:r>
            <w:r w:rsidR="000E40D3" w:rsidRPr="004C7931">
              <w:rPr>
                <w:lang w:val="ru-RU"/>
              </w:rPr>
              <w:t>объема сборов за</w:t>
            </w:r>
            <w:r w:rsidRPr="004C7931">
              <w:rPr>
                <w:lang w:val="ru-RU"/>
              </w:rPr>
              <w:t xml:space="preserve"> SNF в соответствие с этими затратами </w:t>
            </w:r>
            <w:r w:rsidR="000E40D3" w:rsidRPr="004C7931">
              <w:rPr>
                <w:lang w:val="ru-RU"/>
              </w:rPr>
              <w:t xml:space="preserve">на основании </w:t>
            </w:r>
            <w:r w:rsidRPr="004C7931">
              <w:rPr>
                <w:lang w:val="ru-RU"/>
              </w:rPr>
              <w:t>принципов причинн</w:t>
            </w:r>
            <w:r w:rsidR="000E40D3" w:rsidRPr="004C7931">
              <w:rPr>
                <w:lang w:val="ru-RU"/>
              </w:rPr>
              <w:t>ой обусловленности</w:t>
            </w:r>
            <w:r w:rsidRPr="004C7931">
              <w:rPr>
                <w:lang w:val="ru-RU"/>
              </w:rPr>
              <w:t xml:space="preserve"> затрат.</w:t>
            </w:r>
          </w:p>
          <w:p w14:paraId="0EDE8251" w14:textId="77777777" w:rsidR="00796BD3" w:rsidRPr="004C7931" w:rsidRDefault="0033025A" w:rsidP="00F213A2">
            <w:pPr>
              <w:spacing w:before="160"/>
              <w:rPr>
                <w:b/>
                <w:bCs/>
                <w:sz w:val="24"/>
                <w:szCs w:val="24"/>
                <w:lang w:val="ru-RU"/>
              </w:rPr>
            </w:pPr>
            <w:r w:rsidRPr="004C7931">
              <w:rPr>
                <w:b/>
                <w:bCs/>
                <w:sz w:val="24"/>
                <w:szCs w:val="24"/>
                <w:lang w:val="ru-RU"/>
              </w:rPr>
              <w:t>Необходимые действия Совета</w:t>
            </w:r>
          </w:p>
          <w:p w14:paraId="093A07C4" w14:textId="6D1814D5" w:rsidR="00796BD3" w:rsidRPr="004C7931" w:rsidRDefault="00F87C2C" w:rsidP="00F213A2">
            <w:pPr>
              <w:rPr>
                <w:lang w:val="ru-RU"/>
              </w:rPr>
            </w:pPr>
            <w:r w:rsidRPr="004C7931">
              <w:rPr>
                <w:lang w:val="ru-RU"/>
              </w:rPr>
              <w:t xml:space="preserve">Совету предлагается </w:t>
            </w:r>
            <w:r w:rsidRPr="004C7931">
              <w:rPr>
                <w:b/>
                <w:bCs/>
                <w:lang w:val="ru-RU"/>
              </w:rPr>
              <w:t>рассмотреть</w:t>
            </w:r>
            <w:r w:rsidRPr="004C7931">
              <w:rPr>
                <w:lang w:val="ru-RU"/>
              </w:rPr>
              <w:t xml:space="preserve"> и </w:t>
            </w:r>
            <w:r w:rsidRPr="004C7931">
              <w:rPr>
                <w:b/>
                <w:bCs/>
                <w:lang w:val="ru-RU"/>
              </w:rPr>
              <w:t>одобрить</w:t>
            </w:r>
            <w:r w:rsidRPr="004C7931">
              <w:rPr>
                <w:lang w:val="ru-RU"/>
              </w:rPr>
              <w:t xml:space="preserve"> предлагаемую методику, изложенную в</w:t>
            </w:r>
            <w:r w:rsidR="00102F89" w:rsidRPr="004C7931">
              <w:rPr>
                <w:lang w:val="ru-RU"/>
              </w:rPr>
              <w:t> </w:t>
            </w:r>
            <w:r w:rsidRPr="004C7931">
              <w:rPr>
                <w:lang w:val="ru-RU"/>
              </w:rPr>
              <w:t>настоящем документе</w:t>
            </w:r>
            <w:r w:rsidR="00102F89" w:rsidRPr="004C7931">
              <w:rPr>
                <w:lang w:val="ru-RU"/>
              </w:rPr>
              <w:t>.</w:t>
            </w:r>
          </w:p>
          <w:p w14:paraId="12488F5F" w14:textId="77777777" w:rsidR="00796BD3" w:rsidRPr="004C7931" w:rsidRDefault="0033025A" w:rsidP="00F213A2">
            <w:pPr>
              <w:spacing w:before="160"/>
              <w:rPr>
                <w:b/>
                <w:bCs/>
                <w:sz w:val="24"/>
                <w:szCs w:val="24"/>
                <w:lang w:val="ru-RU"/>
              </w:rPr>
            </w:pPr>
            <w:r w:rsidRPr="004C7931">
              <w:rPr>
                <w:b/>
                <w:bCs/>
                <w:sz w:val="24"/>
                <w:szCs w:val="24"/>
                <w:lang w:val="ru-RU"/>
              </w:rPr>
              <w:t>Соответствующая увязка со Стратегическим планом</w:t>
            </w:r>
          </w:p>
          <w:p w14:paraId="04B0E697" w14:textId="26F76396" w:rsidR="00796BD3" w:rsidRPr="004C7931" w:rsidRDefault="00F87C2C" w:rsidP="00F213A2">
            <w:pPr>
              <w:rPr>
                <w:lang w:val="ru-RU"/>
              </w:rPr>
            </w:pPr>
            <w:r w:rsidRPr="004C7931">
              <w:rPr>
                <w:lang w:val="ru-RU"/>
              </w:rPr>
              <w:t>Универсальная возможность установления соединений; спектр для космических и наземных служб; разработка и применение административных регламентов МСЭ; распределение ресурсов и управление ими.</w:t>
            </w:r>
          </w:p>
          <w:p w14:paraId="7BB43DB1" w14:textId="4CAFA516" w:rsidR="00102F89" w:rsidRPr="004C7931" w:rsidRDefault="00102F89" w:rsidP="00F213A2">
            <w:pPr>
              <w:rPr>
                <w:lang w:val="ru-RU"/>
              </w:rPr>
            </w:pPr>
          </w:p>
          <w:p w14:paraId="118ACF61" w14:textId="77777777" w:rsidR="00796BD3" w:rsidRPr="004C7931" w:rsidRDefault="0033025A" w:rsidP="00F213A2">
            <w:pPr>
              <w:keepLines/>
              <w:spacing w:before="160"/>
              <w:rPr>
                <w:b/>
                <w:bCs/>
                <w:sz w:val="24"/>
                <w:szCs w:val="24"/>
                <w:lang w:val="ru-RU"/>
              </w:rPr>
            </w:pPr>
            <w:r w:rsidRPr="004C7931">
              <w:rPr>
                <w:b/>
                <w:bCs/>
                <w:sz w:val="24"/>
                <w:szCs w:val="24"/>
                <w:lang w:val="ru-RU"/>
              </w:rPr>
              <w:lastRenderedPageBreak/>
              <w:t>Финансовые последствия</w:t>
            </w:r>
          </w:p>
          <w:p w14:paraId="15426946" w14:textId="2C77ECA4" w:rsidR="00345D2A" w:rsidRPr="004C7931" w:rsidRDefault="00F87C2C" w:rsidP="00F213A2">
            <w:pPr>
              <w:keepLines/>
              <w:rPr>
                <w:szCs w:val="22"/>
                <w:lang w:val="ru-RU"/>
              </w:rPr>
            </w:pPr>
            <w:r w:rsidRPr="004C7931">
              <w:rPr>
                <w:lang w:val="ru-RU"/>
              </w:rPr>
              <w:t>Общ</w:t>
            </w:r>
            <w:r w:rsidR="000E40D3" w:rsidRPr="004C7931">
              <w:rPr>
                <w:lang w:val="ru-RU"/>
              </w:rPr>
              <w:t xml:space="preserve">ая сумма затрат </w:t>
            </w:r>
            <w:r w:rsidRPr="004C7931">
              <w:rPr>
                <w:lang w:val="ru-RU"/>
              </w:rPr>
              <w:t>на SNF оцениваются в размере 15</w:t>
            </w:r>
            <w:r w:rsidR="00102F89" w:rsidRPr="004C7931">
              <w:rPr>
                <w:lang w:val="ru-RU"/>
              </w:rPr>
              <w:t> </w:t>
            </w:r>
            <w:r w:rsidRPr="004C7931">
              <w:rPr>
                <w:lang w:val="ru-RU"/>
              </w:rPr>
              <w:t>753</w:t>
            </w:r>
            <w:r w:rsidR="00102F89" w:rsidRPr="004C7931">
              <w:rPr>
                <w:lang w:val="ru-RU"/>
              </w:rPr>
              <w:t> </w:t>
            </w:r>
            <w:r w:rsidRPr="004C7931">
              <w:rPr>
                <w:lang w:val="ru-RU"/>
              </w:rPr>
              <w:t>700</w:t>
            </w:r>
            <w:r w:rsidR="00102F89" w:rsidRPr="004C7931">
              <w:rPr>
                <w:lang w:val="ru-RU"/>
              </w:rPr>
              <w:t> </w:t>
            </w:r>
            <w:r w:rsidRPr="004C7931">
              <w:rPr>
                <w:lang w:val="ru-RU"/>
              </w:rPr>
              <w:t>швейцарских франков, из</w:t>
            </w:r>
            <w:r w:rsidR="00102F89" w:rsidRPr="004C7931">
              <w:rPr>
                <w:lang w:val="ru-RU"/>
              </w:rPr>
              <w:t> </w:t>
            </w:r>
            <w:r w:rsidRPr="004C7931">
              <w:rPr>
                <w:lang w:val="ru-RU"/>
              </w:rPr>
              <w:t>которых прямые затраты составляют 12</w:t>
            </w:r>
            <w:r w:rsidR="00102F89" w:rsidRPr="004C7931">
              <w:rPr>
                <w:lang w:val="ru-RU"/>
              </w:rPr>
              <w:t> </w:t>
            </w:r>
            <w:r w:rsidRPr="004C7931">
              <w:rPr>
                <w:lang w:val="ru-RU"/>
              </w:rPr>
              <w:t>735</w:t>
            </w:r>
            <w:r w:rsidR="00102F89" w:rsidRPr="004C7931">
              <w:rPr>
                <w:lang w:val="ru-RU"/>
              </w:rPr>
              <w:t> </w:t>
            </w:r>
            <w:r w:rsidRPr="004C7931">
              <w:rPr>
                <w:lang w:val="ru-RU"/>
              </w:rPr>
              <w:t>900</w:t>
            </w:r>
            <w:r w:rsidR="00102F89" w:rsidRPr="004C7931">
              <w:rPr>
                <w:lang w:val="ru-RU"/>
              </w:rPr>
              <w:t> </w:t>
            </w:r>
            <w:r w:rsidRPr="004C7931">
              <w:rPr>
                <w:lang w:val="ru-RU"/>
              </w:rPr>
              <w:t xml:space="preserve">швейцарских франков, а </w:t>
            </w:r>
            <w:r w:rsidR="000E40D3" w:rsidRPr="004C7931">
              <w:rPr>
                <w:lang w:val="ru-RU"/>
              </w:rPr>
              <w:t>общая сумма</w:t>
            </w:r>
            <w:r w:rsidRPr="004C7931">
              <w:rPr>
                <w:lang w:val="ru-RU"/>
              </w:rPr>
              <w:t xml:space="preserve"> косвенны</w:t>
            </w:r>
            <w:r w:rsidR="000E40D3" w:rsidRPr="004C7931">
              <w:rPr>
                <w:lang w:val="ru-RU"/>
              </w:rPr>
              <w:t>х</w:t>
            </w:r>
            <w:r w:rsidRPr="004C7931">
              <w:rPr>
                <w:lang w:val="ru-RU"/>
              </w:rPr>
              <w:t xml:space="preserve"> затрат – 3</w:t>
            </w:r>
            <w:r w:rsidR="00102F89" w:rsidRPr="004C7931">
              <w:rPr>
                <w:lang w:val="ru-RU"/>
              </w:rPr>
              <w:t> </w:t>
            </w:r>
            <w:r w:rsidRPr="004C7931">
              <w:rPr>
                <w:lang w:val="ru-RU"/>
              </w:rPr>
              <w:t>017</w:t>
            </w:r>
            <w:r w:rsidR="00102F89" w:rsidRPr="004C7931">
              <w:rPr>
                <w:lang w:val="ru-RU"/>
              </w:rPr>
              <w:t> </w:t>
            </w:r>
            <w:r w:rsidRPr="004C7931">
              <w:rPr>
                <w:lang w:val="ru-RU"/>
              </w:rPr>
              <w:t>800</w:t>
            </w:r>
            <w:r w:rsidR="00102F89" w:rsidRPr="004C7931">
              <w:rPr>
                <w:lang w:val="ru-RU"/>
              </w:rPr>
              <w:t> </w:t>
            </w:r>
            <w:r w:rsidRPr="004C7931">
              <w:rPr>
                <w:lang w:val="ru-RU"/>
              </w:rPr>
              <w:t>швейцарских франков (подробная информация о них представлена в настоящем документе).</w:t>
            </w:r>
          </w:p>
          <w:p w14:paraId="2FCD5C47" w14:textId="77777777" w:rsidR="00796BD3" w:rsidRPr="004C7931" w:rsidRDefault="00796BD3" w:rsidP="00F213A2">
            <w:pPr>
              <w:spacing w:before="160"/>
              <w:rPr>
                <w:caps/>
                <w:sz w:val="20"/>
                <w:szCs w:val="18"/>
                <w:lang w:val="ru-RU"/>
              </w:rPr>
            </w:pPr>
            <w:r w:rsidRPr="004C7931">
              <w:rPr>
                <w:sz w:val="20"/>
                <w:szCs w:val="18"/>
                <w:lang w:val="ru-RU"/>
              </w:rPr>
              <w:t>__________________</w:t>
            </w:r>
          </w:p>
          <w:p w14:paraId="7459CBF5" w14:textId="77777777" w:rsidR="00796BD3" w:rsidRPr="004C7931" w:rsidRDefault="0033025A" w:rsidP="00F213A2">
            <w:pPr>
              <w:spacing w:before="160"/>
              <w:rPr>
                <w:b/>
                <w:bCs/>
                <w:sz w:val="26"/>
                <w:szCs w:val="26"/>
                <w:lang w:val="ru-RU"/>
              </w:rPr>
            </w:pPr>
            <w:r w:rsidRPr="004C7931">
              <w:rPr>
                <w:b/>
                <w:bCs/>
                <w:sz w:val="24"/>
                <w:szCs w:val="24"/>
                <w:lang w:val="ru-RU"/>
              </w:rPr>
              <w:t>Справочные материалы</w:t>
            </w:r>
          </w:p>
          <w:p w14:paraId="33F270BD" w14:textId="73CADC06" w:rsidR="00796BD3" w:rsidRPr="004C7931" w:rsidRDefault="00F87C2C" w:rsidP="00F213A2">
            <w:pPr>
              <w:rPr>
                <w:i/>
                <w:iCs/>
                <w:lang w:val="ru-RU"/>
              </w:rPr>
            </w:pPr>
            <w:r w:rsidRPr="004C7931">
              <w:rPr>
                <w:i/>
                <w:iCs/>
                <w:color w:val="000000"/>
                <w:lang w:val="ru-RU"/>
              </w:rPr>
              <w:t xml:space="preserve">Документы </w:t>
            </w:r>
            <w:hyperlink r:id="rId8">
              <w:r w:rsidR="00170F0D" w:rsidRPr="004C7931">
                <w:rPr>
                  <w:rStyle w:val="Hyperlink"/>
                  <w:i/>
                  <w:iCs/>
                  <w:szCs w:val="22"/>
                  <w:lang w:val="ru-RU"/>
                </w:rPr>
                <w:t>C25/10</w:t>
              </w:r>
            </w:hyperlink>
            <w:r w:rsidR="00170F0D" w:rsidRPr="004C7931">
              <w:rPr>
                <w:i/>
                <w:iCs/>
                <w:szCs w:val="22"/>
                <w:lang w:val="ru-RU"/>
              </w:rPr>
              <w:t xml:space="preserve"> и </w:t>
            </w:r>
            <w:hyperlink r:id="rId9">
              <w:r w:rsidR="00170F0D" w:rsidRPr="004C7931">
                <w:rPr>
                  <w:rStyle w:val="Hyperlink"/>
                  <w:i/>
                  <w:iCs/>
                  <w:szCs w:val="22"/>
                  <w:lang w:val="ru-RU"/>
                </w:rPr>
                <w:t>C25/64</w:t>
              </w:r>
            </w:hyperlink>
            <w:r w:rsidRPr="004C7931">
              <w:rPr>
                <w:i/>
                <w:iCs/>
                <w:color w:val="000000"/>
                <w:lang w:val="ru-RU"/>
              </w:rPr>
              <w:t>;</w:t>
            </w:r>
            <w:r w:rsidRPr="004C7931">
              <w:rPr>
                <w:color w:val="000000"/>
                <w:lang w:val="ru-RU"/>
              </w:rPr>
              <w:t xml:space="preserve"> </w:t>
            </w:r>
            <w:r w:rsidRPr="004C7931">
              <w:rPr>
                <w:i/>
                <w:iCs/>
                <w:color w:val="000000"/>
                <w:lang w:val="ru-RU"/>
              </w:rPr>
              <w:t xml:space="preserve">Решение </w:t>
            </w:r>
            <w:hyperlink r:id="rId10" w:history="1">
              <w:r w:rsidRPr="0046395E">
                <w:rPr>
                  <w:rStyle w:val="Hyperlink"/>
                  <w:i/>
                  <w:iCs/>
                  <w:lang w:val="ru-RU"/>
                </w:rPr>
                <w:t>535 (Изм., 2014 г.)</w:t>
              </w:r>
            </w:hyperlink>
            <w:r w:rsidRPr="004C7931">
              <w:rPr>
                <w:i/>
                <w:iCs/>
                <w:color w:val="000000"/>
                <w:lang w:val="ru-RU"/>
              </w:rPr>
              <w:t xml:space="preserve"> Совета</w:t>
            </w:r>
            <w:r w:rsidR="000E40D3" w:rsidRPr="004C7931">
              <w:rPr>
                <w:i/>
                <w:iCs/>
                <w:color w:val="000000"/>
                <w:lang w:val="ru-RU"/>
              </w:rPr>
              <w:t>;</w:t>
            </w:r>
            <w:r w:rsidRPr="004C7931">
              <w:rPr>
                <w:color w:val="000000"/>
                <w:lang w:val="ru-RU"/>
              </w:rPr>
              <w:t xml:space="preserve"> </w:t>
            </w:r>
            <w:r w:rsidRPr="004C7931">
              <w:rPr>
                <w:i/>
                <w:iCs/>
                <w:color w:val="000000"/>
                <w:lang w:val="ru-RU"/>
              </w:rPr>
              <w:t>Резолюция</w:t>
            </w:r>
            <w:r w:rsidR="00102F89" w:rsidRPr="004C7931">
              <w:rPr>
                <w:i/>
                <w:iCs/>
                <w:color w:val="000000"/>
                <w:lang w:val="ru-RU"/>
              </w:rPr>
              <w:t> </w:t>
            </w:r>
            <w:hyperlink r:id="rId11" w:history="1">
              <w:r w:rsidRPr="004C7931">
                <w:rPr>
                  <w:rStyle w:val="Hyperlink"/>
                  <w:i/>
                  <w:iCs/>
                  <w:lang w:val="ru-RU"/>
                </w:rPr>
                <w:t>91</w:t>
              </w:r>
              <w:r w:rsidR="00102F89" w:rsidRPr="004C7931">
                <w:rPr>
                  <w:rStyle w:val="Hyperlink"/>
                  <w:i/>
                  <w:iCs/>
                  <w:lang w:val="ru-RU"/>
                </w:rPr>
                <w:t> </w:t>
              </w:r>
              <w:r w:rsidRPr="004C7931">
                <w:rPr>
                  <w:rStyle w:val="Hyperlink"/>
                  <w:i/>
                  <w:iCs/>
                  <w:lang w:val="ru-RU"/>
                </w:rPr>
                <w:t>(Пересм.</w:t>
              </w:r>
              <w:r w:rsidR="00102F89" w:rsidRPr="004C7931">
                <w:rPr>
                  <w:rStyle w:val="Hyperlink"/>
                  <w:i/>
                  <w:iCs/>
                  <w:lang w:val="ru-RU"/>
                </w:rPr>
                <w:t> </w:t>
              </w:r>
              <w:r w:rsidRPr="004C7931">
                <w:rPr>
                  <w:rStyle w:val="Hyperlink"/>
                  <w:i/>
                  <w:iCs/>
                  <w:lang w:val="ru-RU"/>
                </w:rPr>
                <w:t>Гвадалахара, 2010 г.)</w:t>
              </w:r>
            </w:hyperlink>
            <w:r w:rsidRPr="004C7931">
              <w:rPr>
                <w:i/>
                <w:iCs/>
                <w:color w:val="000000"/>
                <w:lang w:val="ru-RU"/>
              </w:rPr>
              <w:t xml:space="preserve"> Полномочной конференции</w:t>
            </w:r>
          </w:p>
        </w:tc>
      </w:tr>
      <w:bookmarkEnd w:id="2"/>
      <w:bookmarkEnd w:id="6"/>
    </w:tbl>
    <w:p w14:paraId="1BBBE7C4" w14:textId="77777777" w:rsidR="00D17718" w:rsidRPr="004C7931" w:rsidRDefault="00D17718">
      <w:pPr>
        <w:tabs>
          <w:tab w:val="clear" w:pos="794"/>
          <w:tab w:val="clear" w:pos="1191"/>
          <w:tab w:val="clear" w:pos="1588"/>
          <w:tab w:val="clear" w:pos="1985"/>
        </w:tabs>
        <w:overflowPunct/>
        <w:autoSpaceDE/>
        <w:autoSpaceDN/>
        <w:adjustRightInd/>
        <w:spacing w:before="0"/>
        <w:textAlignment w:val="auto"/>
        <w:rPr>
          <w:lang w:val="ru-RU"/>
        </w:rPr>
      </w:pPr>
    </w:p>
    <w:p w14:paraId="12B7192E" w14:textId="77777777" w:rsidR="00165D06" w:rsidRPr="004C7931" w:rsidRDefault="00165D06">
      <w:pPr>
        <w:tabs>
          <w:tab w:val="clear" w:pos="794"/>
          <w:tab w:val="clear" w:pos="1191"/>
          <w:tab w:val="clear" w:pos="1588"/>
          <w:tab w:val="clear" w:pos="1985"/>
        </w:tabs>
        <w:overflowPunct/>
        <w:autoSpaceDE/>
        <w:autoSpaceDN/>
        <w:adjustRightInd/>
        <w:spacing w:before="0"/>
        <w:textAlignment w:val="auto"/>
        <w:rPr>
          <w:lang w:val="ru-RU"/>
        </w:rPr>
      </w:pPr>
      <w:r w:rsidRPr="004C7931">
        <w:rPr>
          <w:lang w:val="ru-RU"/>
        </w:rPr>
        <w:br w:type="page"/>
      </w:r>
    </w:p>
    <w:p w14:paraId="0FEF7816" w14:textId="77777777" w:rsidR="00F87C2C" w:rsidRPr="004C7931" w:rsidRDefault="00F87C2C" w:rsidP="00102F89">
      <w:pPr>
        <w:pStyle w:val="Heading1"/>
        <w:rPr>
          <w:lang w:val="ru-RU"/>
        </w:rPr>
      </w:pPr>
      <w:r w:rsidRPr="004C7931">
        <w:rPr>
          <w:lang w:val="ru-RU"/>
        </w:rPr>
        <w:lastRenderedPageBreak/>
        <w:t>1</w:t>
      </w:r>
      <w:r w:rsidRPr="004C7931">
        <w:rPr>
          <w:lang w:val="ru-RU"/>
        </w:rPr>
        <w:tab/>
        <w:t>Краткое изложение текущей ситуации</w:t>
      </w:r>
    </w:p>
    <w:p w14:paraId="70DEA374" w14:textId="1D5DBBD4" w:rsidR="00F87C2C" w:rsidRPr="004C7931" w:rsidRDefault="00F87C2C" w:rsidP="00102F89">
      <w:pPr>
        <w:rPr>
          <w:spacing w:val="-2"/>
          <w:lang w:val="ru-RU"/>
        </w:rPr>
      </w:pPr>
      <w:r w:rsidRPr="004C7931">
        <w:rPr>
          <w:lang w:val="ru-RU"/>
        </w:rPr>
        <w:t>На собрании РГС</w:t>
      </w:r>
      <w:r w:rsidR="00F67D69" w:rsidRPr="004C7931">
        <w:rPr>
          <w:lang w:val="ru-RU"/>
        </w:rPr>
        <w:noBreakHyphen/>
      </w:r>
      <w:r w:rsidRPr="004C7931">
        <w:rPr>
          <w:lang w:val="ru-RU"/>
        </w:rPr>
        <w:t>ФЛР в январе 2026</w:t>
      </w:r>
      <w:r w:rsidR="00F67D69" w:rsidRPr="004C7931">
        <w:rPr>
          <w:lang w:val="ru-RU"/>
        </w:rPr>
        <w:t> </w:t>
      </w:r>
      <w:r w:rsidRPr="004C7931">
        <w:rPr>
          <w:lang w:val="ru-RU"/>
        </w:rPr>
        <w:t xml:space="preserve">года Секретариат представил Документ </w:t>
      </w:r>
      <w:hyperlink r:id="rId12">
        <w:r w:rsidR="00170F0D" w:rsidRPr="004C7931">
          <w:rPr>
            <w:rStyle w:val="Hyperlink"/>
            <w:spacing w:val="-2"/>
            <w:lang w:val="ru-RU"/>
          </w:rPr>
          <w:t>CWG-FHR-22/2</w:t>
        </w:r>
      </w:hyperlink>
      <w:r w:rsidRPr="004C7931">
        <w:rPr>
          <w:lang w:val="ru-RU"/>
        </w:rPr>
        <w:t>, в</w:t>
      </w:r>
      <w:r w:rsidR="00F67D69" w:rsidRPr="004C7931">
        <w:rPr>
          <w:lang w:val="ru-RU"/>
        </w:rPr>
        <w:t> </w:t>
      </w:r>
      <w:r w:rsidRPr="004C7931">
        <w:rPr>
          <w:lang w:val="ru-RU"/>
        </w:rPr>
        <w:t xml:space="preserve">котором изложены различные принципы пересмотра методики возмещения затрат, связанных с обработкой заявок на регистрацию спутниковых сетей (SNF). Эти предложения были подробно рассмотрены на собрании. В настоящем документе </w:t>
      </w:r>
      <w:r w:rsidR="001335B0" w:rsidRPr="004C7931">
        <w:rPr>
          <w:lang w:val="ru-RU"/>
        </w:rPr>
        <w:t>Секретариат</w:t>
      </w:r>
      <w:r w:rsidRPr="004C7931">
        <w:rPr>
          <w:lang w:val="ru-RU"/>
        </w:rPr>
        <w:t xml:space="preserve"> дает ответы на</w:t>
      </w:r>
      <w:r w:rsidR="006D3933" w:rsidRPr="004C7931">
        <w:rPr>
          <w:lang w:val="ru-RU"/>
        </w:rPr>
        <w:t> </w:t>
      </w:r>
      <w:r w:rsidRPr="004C7931">
        <w:rPr>
          <w:lang w:val="ru-RU"/>
        </w:rPr>
        <w:t>поднятые вопросы и представляет пересмотренный документ, в котором учтены результаты обсуждений в</w:t>
      </w:r>
      <w:r w:rsidR="00F67D69" w:rsidRPr="004C7931">
        <w:rPr>
          <w:lang w:val="ru-RU"/>
        </w:rPr>
        <w:t> </w:t>
      </w:r>
      <w:r w:rsidRPr="004C7931">
        <w:rPr>
          <w:lang w:val="ru-RU"/>
        </w:rPr>
        <w:t>РГС</w:t>
      </w:r>
      <w:r w:rsidR="00F67D69" w:rsidRPr="004C7931">
        <w:rPr>
          <w:lang w:val="ru-RU"/>
        </w:rPr>
        <w:noBreakHyphen/>
      </w:r>
      <w:r w:rsidRPr="004C7931">
        <w:rPr>
          <w:lang w:val="ru-RU"/>
        </w:rPr>
        <w:t>ФЛР.</w:t>
      </w:r>
      <w:hyperlink r:id="rId13"/>
    </w:p>
    <w:p w14:paraId="28319393" w14:textId="77777777" w:rsidR="00F87C2C" w:rsidRPr="004C7931" w:rsidRDefault="00F87C2C" w:rsidP="00102F89">
      <w:pPr>
        <w:rPr>
          <w:lang w:val="ru-RU"/>
        </w:rPr>
      </w:pPr>
      <w:r w:rsidRPr="004C7931">
        <w:rPr>
          <w:lang w:val="ru-RU"/>
        </w:rPr>
        <w:t>Общей задачей является создание прозрачной, справедливой и финансово устойчивой модели, которая позволяет увязать взносы с фактическим использованием и выгодами, устранить структурное недофинансирование и обеспечивает БР стабильными ресурсами, необходимыми для модернизации систем, сокращения накопившегося объема невыполненной работы и эффективного и своевременного выполнения мандата.</w:t>
      </w:r>
    </w:p>
    <w:p w14:paraId="10F7409A" w14:textId="5A28A52B" w:rsidR="00F87C2C" w:rsidRPr="004C7931" w:rsidRDefault="00F87C2C" w:rsidP="00102F89">
      <w:pPr>
        <w:rPr>
          <w:lang w:val="ru-RU"/>
        </w:rPr>
      </w:pPr>
      <w:r w:rsidRPr="004C7931">
        <w:rPr>
          <w:lang w:val="ru-RU"/>
        </w:rPr>
        <w:t>Подробный краткий отчет о вопросах и проблемах, поднятых на этом собрании, вместе с</w:t>
      </w:r>
      <w:r w:rsidR="006D3933" w:rsidRPr="004C7931">
        <w:rPr>
          <w:lang w:val="ru-RU"/>
        </w:rPr>
        <w:t> </w:t>
      </w:r>
      <w:r w:rsidRPr="004C7931">
        <w:rPr>
          <w:lang w:val="ru-RU"/>
        </w:rPr>
        <w:t>ответами Секретариата приводится в Приложении, ниже.</w:t>
      </w:r>
    </w:p>
    <w:p w14:paraId="78761162" w14:textId="2BF39183" w:rsidR="00F87C2C" w:rsidRPr="004C7931" w:rsidRDefault="00F87C2C" w:rsidP="00F87C2C">
      <w:pPr>
        <w:pStyle w:val="Heading1"/>
        <w:rPr>
          <w:lang w:val="ru-RU"/>
        </w:rPr>
      </w:pPr>
      <w:r w:rsidRPr="004C7931">
        <w:rPr>
          <w:lang w:val="ru-RU"/>
        </w:rPr>
        <w:t>2</w:t>
      </w:r>
      <w:r w:rsidRPr="004C7931">
        <w:rPr>
          <w:lang w:val="ru-RU"/>
        </w:rPr>
        <w:tab/>
        <w:t xml:space="preserve">Предлагаемая методика расчета </w:t>
      </w:r>
      <w:r w:rsidR="001F2C8D" w:rsidRPr="004C7931">
        <w:rPr>
          <w:lang w:val="ru-RU"/>
        </w:rPr>
        <w:t>размера сборов</w:t>
      </w:r>
      <w:r w:rsidRPr="004C7931">
        <w:rPr>
          <w:lang w:val="ru-RU"/>
        </w:rPr>
        <w:t xml:space="preserve"> за SNF</w:t>
      </w:r>
    </w:p>
    <w:p w14:paraId="6485DAB4" w14:textId="55A42204" w:rsidR="00F87C2C" w:rsidRPr="004C7931" w:rsidRDefault="00F87C2C" w:rsidP="00F67D69">
      <w:pPr>
        <w:pStyle w:val="Heading2"/>
        <w:rPr>
          <w:lang w:val="ru-RU"/>
        </w:rPr>
      </w:pPr>
      <w:r w:rsidRPr="004C7931">
        <w:rPr>
          <w:lang w:val="ru-RU"/>
        </w:rPr>
        <w:t>2.1</w:t>
      </w:r>
      <w:r w:rsidRPr="004C7931">
        <w:rPr>
          <w:lang w:val="ru-RU"/>
        </w:rPr>
        <w:tab/>
        <w:t xml:space="preserve">Обзор </w:t>
      </w:r>
      <w:r w:rsidR="001F2C8D" w:rsidRPr="004C7931">
        <w:rPr>
          <w:lang w:val="ru-RU"/>
        </w:rPr>
        <w:t>методики</w:t>
      </w:r>
    </w:p>
    <w:p w14:paraId="7E242033" w14:textId="77777777" w:rsidR="00F87C2C" w:rsidRPr="004C7931" w:rsidRDefault="00F87C2C" w:rsidP="00F67D69">
      <w:pPr>
        <w:rPr>
          <w:spacing w:val="-2"/>
          <w:lang w:val="ru-RU"/>
        </w:rPr>
      </w:pPr>
      <w:r w:rsidRPr="004C7931">
        <w:rPr>
          <w:lang w:val="ru-RU"/>
        </w:rPr>
        <w:t>Как правило, возмещение затрат на любую услугу требует рассмотрения следующих ключевых этапов:</w:t>
      </w:r>
    </w:p>
    <w:p w14:paraId="4AF44B8C" w14:textId="57338CB8" w:rsidR="00F87C2C" w:rsidRPr="004C7931" w:rsidRDefault="00F87C2C" w:rsidP="00F67D69">
      <w:pPr>
        <w:pStyle w:val="enumlev1"/>
        <w:rPr>
          <w:lang w:val="ru-RU"/>
        </w:rPr>
      </w:pPr>
      <w:r w:rsidRPr="004C7931">
        <w:rPr>
          <w:lang w:val="ru-RU"/>
        </w:rPr>
        <w:t>i)</w:t>
      </w:r>
      <w:r w:rsidRPr="004C7931">
        <w:rPr>
          <w:lang w:val="ru-RU"/>
        </w:rPr>
        <w:tab/>
      </w:r>
      <w:r w:rsidR="006E0AF2" w:rsidRPr="004C7931">
        <w:rPr>
          <w:lang w:val="ru-RU"/>
        </w:rPr>
        <w:t>у</w:t>
      </w:r>
      <w:r w:rsidRPr="004C7931">
        <w:rPr>
          <w:lang w:val="ru-RU"/>
        </w:rPr>
        <w:t xml:space="preserve">становление принципов возмещения </w:t>
      </w:r>
      <w:r w:rsidR="00A576D6" w:rsidRPr="004C7931">
        <w:rPr>
          <w:lang w:val="ru-RU"/>
        </w:rPr>
        <w:t>затрат</w:t>
      </w:r>
      <w:r w:rsidR="006E0AF2" w:rsidRPr="004C7931">
        <w:rPr>
          <w:lang w:val="ru-RU"/>
        </w:rPr>
        <w:t>;</w:t>
      </w:r>
    </w:p>
    <w:p w14:paraId="19031FD7" w14:textId="5697CFBF" w:rsidR="00F87C2C" w:rsidRPr="004C7931" w:rsidRDefault="00F87C2C" w:rsidP="00F67D69">
      <w:pPr>
        <w:pStyle w:val="enumlev1"/>
        <w:rPr>
          <w:lang w:val="ru-RU"/>
        </w:rPr>
      </w:pPr>
      <w:r w:rsidRPr="004C7931">
        <w:rPr>
          <w:lang w:val="ru-RU"/>
        </w:rPr>
        <w:t>ii)</w:t>
      </w:r>
      <w:r w:rsidRPr="004C7931">
        <w:rPr>
          <w:lang w:val="ru-RU"/>
        </w:rPr>
        <w:tab/>
      </w:r>
      <w:r w:rsidR="006E0AF2" w:rsidRPr="004C7931">
        <w:rPr>
          <w:lang w:val="ru-RU"/>
        </w:rPr>
        <w:t>о</w:t>
      </w:r>
      <w:r w:rsidRPr="004C7931">
        <w:rPr>
          <w:lang w:val="ru-RU"/>
        </w:rPr>
        <w:t>пределение компонентов затрат, подлежащих возмещению</w:t>
      </w:r>
      <w:r w:rsidR="004E5AA3" w:rsidRPr="004C7931">
        <w:rPr>
          <w:lang w:val="ru-RU"/>
        </w:rPr>
        <w:t>;</w:t>
      </w:r>
    </w:p>
    <w:p w14:paraId="27E936C0" w14:textId="23AB4E0D" w:rsidR="00F87C2C" w:rsidRPr="004C7931" w:rsidRDefault="00F87C2C" w:rsidP="00F67D69">
      <w:pPr>
        <w:pStyle w:val="enumlev1"/>
        <w:rPr>
          <w:lang w:val="ru-RU"/>
        </w:rPr>
      </w:pPr>
      <w:r w:rsidRPr="004C7931">
        <w:rPr>
          <w:lang w:val="ru-RU"/>
        </w:rPr>
        <w:t>iii)</w:t>
      </w:r>
      <w:r w:rsidRPr="004C7931">
        <w:rPr>
          <w:lang w:val="ru-RU"/>
        </w:rPr>
        <w:tab/>
      </w:r>
      <w:r w:rsidR="004E5AA3" w:rsidRPr="004C7931">
        <w:rPr>
          <w:lang w:val="ru-RU"/>
        </w:rPr>
        <w:t>р</w:t>
      </w:r>
      <w:r w:rsidRPr="004C7931">
        <w:rPr>
          <w:lang w:val="ru-RU"/>
        </w:rPr>
        <w:t xml:space="preserve">асчет </w:t>
      </w:r>
      <w:r w:rsidR="004E5AA3" w:rsidRPr="004C7931">
        <w:rPr>
          <w:lang w:val="ru-RU"/>
        </w:rPr>
        <w:t xml:space="preserve">суммы </w:t>
      </w:r>
      <w:r w:rsidRPr="004C7931">
        <w:rPr>
          <w:lang w:val="ru-RU"/>
        </w:rPr>
        <w:t>соответствующих затрат с использованием оценок рабочего времени персонала и прочих ресурсов</w:t>
      </w:r>
      <w:r w:rsidR="004E5AA3" w:rsidRPr="004C7931">
        <w:rPr>
          <w:lang w:val="ru-RU"/>
        </w:rPr>
        <w:t>;</w:t>
      </w:r>
    </w:p>
    <w:p w14:paraId="38E62DB4" w14:textId="0EACB90F" w:rsidR="00F87C2C" w:rsidRPr="004C7931" w:rsidRDefault="00F87C2C" w:rsidP="00F67D69">
      <w:pPr>
        <w:pStyle w:val="enumlev1"/>
        <w:rPr>
          <w:lang w:val="ru-RU"/>
        </w:rPr>
      </w:pPr>
      <w:r w:rsidRPr="004C7931">
        <w:rPr>
          <w:lang w:val="ru-RU"/>
        </w:rPr>
        <w:t>iv)</w:t>
      </w:r>
      <w:r w:rsidRPr="004C7931">
        <w:rPr>
          <w:lang w:val="ru-RU"/>
        </w:rPr>
        <w:tab/>
      </w:r>
      <w:r w:rsidR="004E5AA3" w:rsidRPr="004C7931">
        <w:rPr>
          <w:lang w:val="ru-RU"/>
        </w:rPr>
        <w:t>с</w:t>
      </w:r>
      <w:r w:rsidRPr="004C7931">
        <w:rPr>
          <w:lang w:val="ru-RU"/>
        </w:rPr>
        <w:t xml:space="preserve">оздание и применение методики распределения </w:t>
      </w:r>
      <w:r w:rsidR="004E5AA3" w:rsidRPr="004C7931">
        <w:rPr>
          <w:lang w:val="ru-RU"/>
        </w:rPr>
        <w:t>затрат;</w:t>
      </w:r>
    </w:p>
    <w:p w14:paraId="717436F1" w14:textId="77777777" w:rsidR="00F87C2C" w:rsidRPr="004C7931" w:rsidRDefault="00F87C2C" w:rsidP="00F67D69">
      <w:pPr>
        <w:pStyle w:val="enumlev1"/>
        <w:rPr>
          <w:lang w:val="ru-RU"/>
        </w:rPr>
      </w:pPr>
      <w:r w:rsidRPr="004C7931">
        <w:rPr>
          <w:lang w:val="ru-RU"/>
        </w:rPr>
        <w:t>v)</w:t>
      </w:r>
      <w:r w:rsidRPr="004C7931">
        <w:rPr>
          <w:lang w:val="ru-RU"/>
        </w:rPr>
        <w:tab/>
        <w:t>прогнозирование спроса для оценки объемов услуг, за которые будет взиматься плата;</w:t>
      </w:r>
    </w:p>
    <w:p w14:paraId="126CB29D" w14:textId="5F7A25A5" w:rsidR="00F87C2C" w:rsidRPr="004C7931" w:rsidRDefault="00F87C2C" w:rsidP="00F67D69">
      <w:pPr>
        <w:pStyle w:val="enumlev1"/>
        <w:rPr>
          <w:lang w:val="ru-RU"/>
        </w:rPr>
      </w:pPr>
      <w:r w:rsidRPr="004C7931">
        <w:rPr>
          <w:lang w:val="ru-RU"/>
        </w:rPr>
        <w:t>vi)</w:t>
      </w:r>
      <w:r w:rsidRPr="004C7931">
        <w:rPr>
          <w:lang w:val="ru-RU"/>
        </w:rPr>
        <w:tab/>
      </w:r>
      <w:r w:rsidR="004E5AA3" w:rsidRPr="004C7931">
        <w:rPr>
          <w:lang w:val="ru-RU"/>
        </w:rPr>
        <w:t>о</w:t>
      </w:r>
      <w:r w:rsidRPr="004C7931">
        <w:rPr>
          <w:lang w:val="ru-RU"/>
        </w:rPr>
        <w:t xml:space="preserve">пределение и утверждение </w:t>
      </w:r>
      <w:r w:rsidR="004E5AA3" w:rsidRPr="004C7931">
        <w:rPr>
          <w:lang w:val="ru-RU"/>
        </w:rPr>
        <w:t xml:space="preserve">величины </w:t>
      </w:r>
      <w:r w:rsidRPr="004C7931">
        <w:rPr>
          <w:lang w:val="ru-RU"/>
        </w:rPr>
        <w:t>сборов</w:t>
      </w:r>
      <w:r w:rsidR="004E5AA3" w:rsidRPr="004C7931">
        <w:rPr>
          <w:lang w:val="ru-RU"/>
        </w:rPr>
        <w:t>;</w:t>
      </w:r>
    </w:p>
    <w:p w14:paraId="6F0CFCA3" w14:textId="38A550B8" w:rsidR="00F87C2C" w:rsidRPr="004C7931" w:rsidRDefault="00F87C2C" w:rsidP="00F67D69">
      <w:pPr>
        <w:pStyle w:val="enumlev1"/>
        <w:rPr>
          <w:lang w:val="ru-RU"/>
        </w:rPr>
      </w:pPr>
      <w:r w:rsidRPr="004C7931">
        <w:rPr>
          <w:lang w:val="ru-RU"/>
        </w:rPr>
        <w:t>vii)</w:t>
      </w:r>
      <w:r w:rsidRPr="004C7931">
        <w:rPr>
          <w:lang w:val="ru-RU"/>
        </w:rPr>
        <w:tab/>
      </w:r>
      <w:r w:rsidR="00931A03" w:rsidRPr="004C7931">
        <w:rPr>
          <w:lang w:val="ru-RU"/>
        </w:rPr>
        <w:t xml:space="preserve">регулярное рассмотрение </w:t>
      </w:r>
      <w:r w:rsidRPr="004C7931">
        <w:rPr>
          <w:lang w:val="ru-RU"/>
        </w:rPr>
        <w:t>и оценка</w:t>
      </w:r>
      <w:r w:rsidR="004E5AA3" w:rsidRPr="004C7931">
        <w:rPr>
          <w:lang w:val="ru-RU"/>
        </w:rPr>
        <w:t>.</w:t>
      </w:r>
    </w:p>
    <w:p w14:paraId="6044DD9E" w14:textId="323D74AC" w:rsidR="00F87C2C" w:rsidRPr="004C7931" w:rsidRDefault="00F87C2C" w:rsidP="00F67D69">
      <w:pPr>
        <w:rPr>
          <w:lang w:val="ru-RU"/>
        </w:rPr>
      </w:pPr>
      <w:r w:rsidRPr="004C7931">
        <w:rPr>
          <w:lang w:val="ru-RU"/>
        </w:rPr>
        <w:t>Каждый из этих этапов более подробно рассматривается в подразделах</w:t>
      </w:r>
      <w:r w:rsidR="00D45D4D">
        <w:rPr>
          <w:lang w:val="ru-RU"/>
        </w:rPr>
        <w:t>,</w:t>
      </w:r>
      <w:r w:rsidRPr="004C7931">
        <w:rPr>
          <w:lang w:val="ru-RU"/>
        </w:rPr>
        <w:t xml:space="preserve"> ниже.</w:t>
      </w:r>
    </w:p>
    <w:p w14:paraId="4CF6DF86" w14:textId="0EDF766A" w:rsidR="00F87C2C" w:rsidRPr="004C7931" w:rsidRDefault="00F87C2C" w:rsidP="00F87C2C">
      <w:pPr>
        <w:pStyle w:val="Heading2"/>
        <w:rPr>
          <w:lang w:val="ru-RU"/>
        </w:rPr>
      </w:pPr>
      <w:r w:rsidRPr="004C7931">
        <w:rPr>
          <w:lang w:val="ru-RU"/>
        </w:rPr>
        <w:t>2.2</w:t>
      </w:r>
      <w:r w:rsidRPr="004C7931">
        <w:rPr>
          <w:lang w:val="ru-RU"/>
        </w:rPr>
        <w:tab/>
        <w:t xml:space="preserve">Принципы возмещения </w:t>
      </w:r>
      <w:r w:rsidR="00A576D6" w:rsidRPr="004C7931">
        <w:rPr>
          <w:lang w:val="ru-RU"/>
        </w:rPr>
        <w:t>затрат</w:t>
      </w:r>
    </w:p>
    <w:p w14:paraId="35E9EB73" w14:textId="384A6685" w:rsidR="00F87C2C" w:rsidRPr="004C7931" w:rsidRDefault="00F87C2C" w:rsidP="00F67D69">
      <w:pPr>
        <w:rPr>
          <w:lang w:val="ru-RU"/>
        </w:rPr>
      </w:pPr>
      <w:r w:rsidRPr="004C7931">
        <w:rPr>
          <w:lang w:val="ru-RU"/>
        </w:rPr>
        <w:t>Принципы возмещения затрат на продукты и услуги МСЭ установлены в Резолюции</w:t>
      </w:r>
      <w:r w:rsidR="006D3933" w:rsidRPr="004C7931">
        <w:rPr>
          <w:lang w:val="ru-RU"/>
        </w:rPr>
        <w:t> </w:t>
      </w:r>
      <w:r w:rsidRPr="004C7931">
        <w:rPr>
          <w:lang w:val="ru-RU"/>
        </w:rPr>
        <w:t>91 (Пересм. Гвадалахара, 2010</w:t>
      </w:r>
      <w:r w:rsidR="00F67D69" w:rsidRPr="004C7931">
        <w:rPr>
          <w:lang w:val="ru-RU"/>
        </w:rPr>
        <w:t> </w:t>
      </w:r>
      <w:r w:rsidRPr="004C7931">
        <w:rPr>
          <w:lang w:val="ru-RU"/>
        </w:rPr>
        <w:t xml:space="preserve">г.). Учитывая эти принципы, по-прежнему отсутствует ясность по следующим вопросам, которые должны быть рассмотрены Советом для обеспечения надежной </w:t>
      </w:r>
      <w:r w:rsidR="00A576D6" w:rsidRPr="004C7931">
        <w:rPr>
          <w:lang w:val="ru-RU"/>
        </w:rPr>
        <w:t>системы взимания сборов за</w:t>
      </w:r>
      <w:r w:rsidRPr="004C7931">
        <w:rPr>
          <w:lang w:val="ru-RU"/>
        </w:rPr>
        <w:t xml:space="preserve"> SNF.</w:t>
      </w:r>
    </w:p>
    <w:p w14:paraId="69FA7776" w14:textId="77777777" w:rsidR="00F87C2C" w:rsidRPr="004C7931" w:rsidRDefault="00F87C2C" w:rsidP="00F67D69">
      <w:pPr>
        <w:pStyle w:val="Headingb"/>
        <w:rPr>
          <w:lang w:val="ru-RU"/>
        </w:rPr>
      </w:pPr>
      <w:r w:rsidRPr="004C7931">
        <w:rPr>
          <w:lang w:val="ru-RU"/>
        </w:rPr>
        <w:t>Полное возмещение затрат</w:t>
      </w:r>
    </w:p>
    <w:p w14:paraId="48C5DE28" w14:textId="6B5AD78D" w:rsidR="00F87C2C" w:rsidRPr="004C7931" w:rsidRDefault="00F87C2C" w:rsidP="00F67D69">
      <w:pPr>
        <w:rPr>
          <w:lang w:val="ru-RU"/>
        </w:rPr>
      </w:pPr>
      <w:r w:rsidRPr="004C7931">
        <w:rPr>
          <w:lang w:val="ru-RU"/>
        </w:rPr>
        <w:t xml:space="preserve">В соответствии с пунктом 4 i) раздела </w:t>
      </w:r>
      <w:r w:rsidRPr="004C7931">
        <w:rPr>
          <w:i/>
          <w:iCs/>
          <w:lang w:val="ru-RU"/>
        </w:rPr>
        <w:t>решает</w:t>
      </w:r>
      <w:r w:rsidRPr="004C7931">
        <w:rPr>
          <w:lang w:val="ru-RU"/>
        </w:rPr>
        <w:t xml:space="preserve"> Резолюции</w:t>
      </w:r>
      <w:r w:rsidR="00F67D69" w:rsidRPr="004C7931">
        <w:rPr>
          <w:lang w:val="ru-RU"/>
        </w:rPr>
        <w:t> </w:t>
      </w:r>
      <w:r w:rsidRPr="004C7931">
        <w:rPr>
          <w:lang w:val="ru-RU"/>
        </w:rPr>
        <w:t>91 прямые и косвенные затраты на</w:t>
      </w:r>
      <w:r w:rsidR="00F67D69" w:rsidRPr="004C7931">
        <w:rPr>
          <w:lang w:val="ru-RU"/>
        </w:rPr>
        <w:t> </w:t>
      </w:r>
      <w:r w:rsidRPr="004C7931">
        <w:rPr>
          <w:lang w:val="ru-RU"/>
        </w:rPr>
        <w:t xml:space="preserve">обработку SNF должны покрываться за счет сборов за SNF. Эта сумма должна включать все затраты, понесенные при </w:t>
      </w:r>
      <w:r w:rsidR="00A576D6" w:rsidRPr="004C7931">
        <w:rPr>
          <w:lang w:val="ru-RU"/>
        </w:rPr>
        <w:t>обработке</w:t>
      </w:r>
      <w:r w:rsidRPr="004C7931">
        <w:rPr>
          <w:lang w:val="ru-RU"/>
        </w:rPr>
        <w:t xml:space="preserve"> заявок.</w:t>
      </w:r>
    </w:p>
    <w:p w14:paraId="69E87AC5" w14:textId="2F83C0AB" w:rsidR="00F87C2C" w:rsidRPr="004C7931" w:rsidRDefault="00F87C2C" w:rsidP="00F67D69">
      <w:pPr>
        <w:rPr>
          <w:lang w:val="ru-RU"/>
        </w:rPr>
      </w:pPr>
      <w:r w:rsidRPr="004C7931">
        <w:rPr>
          <w:lang w:val="ru-RU"/>
        </w:rPr>
        <w:t>Секретариат предлагает четко установить, что ко всем расчетам затрат по SNF должен применяться принцип полного возмещения при условии обеспечения того, чтобы любые косвенные затраты распределялись с использованием согласованной и прозрачной методики распределения.</w:t>
      </w:r>
    </w:p>
    <w:p w14:paraId="16BADA65" w14:textId="77777777" w:rsidR="00F87C2C" w:rsidRPr="004C7931" w:rsidRDefault="00F87C2C" w:rsidP="00F87C2C">
      <w:pPr>
        <w:pStyle w:val="Headingb"/>
        <w:rPr>
          <w:lang w:val="ru-RU"/>
        </w:rPr>
      </w:pPr>
      <w:r w:rsidRPr="004C7931">
        <w:rPr>
          <w:lang w:val="ru-RU"/>
        </w:rPr>
        <w:lastRenderedPageBreak/>
        <w:t>Порядок предоставления бесплатных публикаций</w:t>
      </w:r>
    </w:p>
    <w:p w14:paraId="19590DB7" w14:textId="027D80D8" w:rsidR="00F87C2C" w:rsidRPr="004C7931" w:rsidRDefault="00F87C2C" w:rsidP="00F67D69">
      <w:pPr>
        <w:rPr>
          <w:lang w:val="ru-RU"/>
        </w:rPr>
      </w:pPr>
      <w:r w:rsidRPr="004C7931">
        <w:rPr>
          <w:lang w:val="ru-RU"/>
        </w:rPr>
        <w:t>Хотя Резолюция 91 допускает предоставление надлежащего уровня продуктов и услуг на</w:t>
      </w:r>
      <w:r w:rsidR="00F67D69" w:rsidRPr="004C7931">
        <w:rPr>
          <w:lang w:val="ru-RU"/>
        </w:rPr>
        <w:t> </w:t>
      </w:r>
      <w:r w:rsidRPr="004C7931">
        <w:rPr>
          <w:lang w:val="ru-RU"/>
        </w:rPr>
        <w:t xml:space="preserve">платной основе (с возмещением затрат), при этом все продукты и услуги предоставляются всем Государствам-Членам бесплатно </w:t>
      </w:r>
      <w:r w:rsidR="0046395E">
        <w:rPr>
          <w:rFonts w:cs="Calibri"/>
          <w:lang w:val="ru-RU"/>
        </w:rPr>
        <w:t>−</w:t>
      </w:r>
      <w:r w:rsidRPr="004C7931">
        <w:rPr>
          <w:lang w:val="ru-RU"/>
        </w:rPr>
        <w:t xml:space="preserve"> неясно, соответствует ли действующая система предоставления права на бесплатную публикацию пунктам 3</w:t>
      </w:r>
      <w:r w:rsidR="00F67D69" w:rsidRPr="004C7931">
        <w:rPr>
          <w:lang w:val="ru-RU"/>
        </w:rPr>
        <w:t> </w:t>
      </w:r>
      <w:r w:rsidRPr="004C7931">
        <w:rPr>
          <w:lang w:val="ru-RU"/>
        </w:rPr>
        <w:t>ii) и 4</w:t>
      </w:r>
      <w:r w:rsidR="00F67D69" w:rsidRPr="004C7931">
        <w:rPr>
          <w:lang w:val="ru-RU"/>
        </w:rPr>
        <w:t> </w:t>
      </w:r>
      <w:r w:rsidRPr="004C7931">
        <w:rPr>
          <w:lang w:val="ru-RU"/>
        </w:rPr>
        <w:t xml:space="preserve">vii) раздела </w:t>
      </w:r>
      <w:r w:rsidRPr="004C7931">
        <w:rPr>
          <w:i/>
          <w:iCs/>
          <w:lang w:val="ru-RU"/>
        </w:rPr>
        <w:t>решает</w:t>
      </w:r>
      <w:r w:rsidRPr="004C7931">
        <w:rPr>
          <w:lang w:val="ru-RU"/>
        </w:rPr>
        <w:t>.</w:t>
      </w:r>
    </w:p>
    <w:p w14:paraId="086FE1BA" w14:textId="09F9B586" w:rsidR="00F87C2C" w:rsidRPr="004C7931" w:rsidRDefault="00F87C2C" w:rsidP="00F67D69">
      <w:pPr>
        <w:rPr>
          <w:lang w:val="ru-RU"/>
        </w:rPr>
      </w:pPr>
      <w:r w:rsidRPr="004C7931">
        <w:rPr>
          <w:lang w:val="ru-RU"/>
        </w:rPr>
        <w:t xml:space="preserve">Это требование выполняется </w:t>
      </w:r>
      <w:r w:rsidR="00A45788" w:rsidRPr="004C7931">
        <w:rPr>
          <w:lang w:val="ru-RU"/>
        </w:rPr>
        <w:t xml:space="preserve">в рамках </w:t>
      </w:r>
      <w:r w:rsidRPr="004C7931">
        <w:rPr>
          <w:lang w:val="ru-RU"/>
        </w:rPr>
        <w:t>Решени</w:t>
      </w:r>
      <w:r w:rsidR="00A45788" w:rsidRPr="004C7931">
        <w:rPr>
          <w:lang w:val="ru-RU"/>
        </w:rPr>
        <w:t>я</w:t>
      </w:r>
      <w:r w:rsidR="00F67D69" w:rsidRPr="004C7931">
        <w:rPr>
          <w:lang w:val="ru-RU"/>
        </w:rPr>
        <w:t> </w:t>
      </w:r>
      <w:r w:rsidRPr="004C7931">
        <w:rPr>
          <w:lang w:val="ru-RU"/>
        </w:rPr>
        <w:t>482 Совета посредством предоставления "права</w:t>
      </w:r>
      <w:r w:rsidR="00F67D69" w:rsidRPr="004C7931">
        <w:rPr>
          <w:lang w:val="ru-RU"/>
        </w:rPr>
        <w:t> </w:t>
      </w:r>
      <w:r w:rsidRPr="004C7931">
        <w:rPr>
          <w:lang w:val="ru-RU"/>
        </w:rPr>
        <w:t>на бесплатную публикацию". Право на бесплатную публикацию – это преимущество, предусматривающее право на одну бесплатную публикацию в год для каждого Государства</w:t>
      </w:r>
      <w:r w:rsidR="00F67D69" w:rsidRPr="004C7931">
        <w:rPr>
          <w:lang w:val="ru-RU"/>
        </w:rPr>
        <w:noBreakHyphen/>
      </w:r>
      <w:r w:rsidRPr="004C7931">
        <w:rPr>
          <w:lang w:val="ru-RU"/>
        </w:rPr>
        <w:t>Члена, при этом Государство</w:t>
      </w:r>
      <w:r w:rsidR="00F67D69" w:rsidRPr="004C7931">
        <w:rPr>
          <w:lang w:val="ru-RU"/>
        </w:rPr>
        <w:noBreakHyphen/>
      </w:r>
      <w:r w:rsidRPr="004C7931">
        <w:rPr>
          <w:lang w:val="ru-RU"/>
        </w:rPr>
        <w:t>Член самостоятельно определяет в отношении каких спутниковых сетей предоставляется такое право на бесплатную публикацию. Государство</w:t>
      </w:r>
      <w:r w:rsidR="00F67D69" w:rsidRPr="004C7931">
        <w:rPr>
          <w:lang w:val="ru-RU"/>
        </w:rPr>
        <w:noBreakHyphen/>
      </w:r>
      <w:r w:rsidRPr="004C7931">
        <w:rPr>
          <w:lang w:val="ru-RU"/>
        </w:rPr>
        <w:t>Член с</w:t>
      </w:r>
      <w:r w:rsidR="00F67D69" w:rsidRPr="004C7931">
        <w:rPr>
          <w:lang w:val="ru-RU"/>
        </w:rPr>
        <w:t> </w:t>
      </w:r>
      <w:r w:rsidRPr="004C7931">
        <w:rPr>
          <w:lang w:val="ru-RU"/>
        </w:rPr>
        <w:t xml:space="preserve">несколькими заявками (как правило, крупные, развитые Государства-Члены) может выбирать, какая из их заявок является наиболее сложной (наиболее </w:t>
      </w:r>
      <w:r w:rsidR="00E44DB1" w:rsidRPr="004C7931">
        <w:rPr>
          <w:lang w:val="ru-RU"/>
        </w:rPr>
        <w:t>дорогостоящей</w:t>
      </w:r>
      <w:r w:rsidRPr="004C7931">
        <w:rPr>
          <w:lang w:val="ru-RU"/>
        </w:rPr>
        <w:t xml:space="preserve">), тем самым максимально увеличивая преимущество </w:t>
      </w:r>
      <w:r w:rsidR="00E44DB1" w:rsidRPr="004C7931">
        <w:rPr>
          <w:lang w:val="ru-RU"/>
        </w:rPr>
        <w:t xml:space="preserve">от </w:t>
      </w:r>
      <w:r w:rsidRPr="004C7931">
        <w:rPr>
          <w:lang w:val="ru-RU"/>
        </w:rPr>
        <w:t>права на бесплатную публикацию до</w:t>
      </w:r>
      <w:r w:rsidR="00F67D69" w:rsidRPr="004C7931">
        <w:rPr>
          <w:lang w:val="ru-RU"/>
        </w:rPr>
        <w:t> </w:t>
      </w:r>
      <w:r w:rsidRPr="004C7931">
        <w:rPr>
          <w:lang w:val="ru-RU"/>
        </w:rPr>
        <w:t>непропорционально высокого уровня по сравнению с администрациями, которые представляют заявки реже. Государство-Член, подавшее одну заявку в течение года, может использовать преимущество только в отношении этой заявки. Можно утверждать, что такой подход не учитывает должным образом различный уровень использования SNF несколькими Государствами</w:t>
      </w:r>
      <w:r w:rsidR="00F67D69" w:rsidRPr="004C7931">
        <w:rPr>
          <w:lang w:val="ru-RU"/>
        </w:rPr>
        <w:noBreakHyphen/>
      </w:r>
      <w:r w:rsidRPr="004C7931">
        <w:rPr>
          <w:lang w:val="ru-RU"/>
        </w:rPr>
        <w:t>Членами (в нарушение пункта 3</w:t>
      </w:r>
      <w:r w:rsidR="00F67D69" w:rsidRPr="004C7931">
        <w:rPr>
          <w:lang w:val="ru-RU"/>
        </w:rPr>
        <w:t> </w:t>
      </w:r>
      <w:r w:rsidRPr="004C7931">
        <w:rPr>
          <w:lang w:val="ru-RU"/>
        </w:rPr>
        <w:t xml:space="preserve">ii) раздела </w:t>
      </w:r>
      <w:r w:rsidRPr="004C7931">
        <w:rPr>
          <w:i/>
          <w:iCs/>
          <w:lang w:val="ru-RU"/>
        </w:rPr>
        <w:t>решает</w:t>
      </w:r>
      <w:r w:rsidRPr="004C7931">
        <w:rPr>
          <w:lang w:val="ru-RU"/>
        </w:rPr>
        <w:t xml:space="preserve"> Резолюции</w:t>
      </w:r>
      <w:r w:rsidR="00F67D69" w:rsidRPr="004C7931">
        <w:rPr>
          <w:lang w:val="ru-RU"/>
        </w:rPr>
        <w:t> </w:t>
      </w:r>
      <w:r w:rsidRPr="004C7931">
        <w:rPr>
          <w:lang w:val="ru-RU"/>
        </w:rPr>
        <w:t>91), а</w:t>
      </w:r>
      <w:r w:rsidR="006D3933" w:rsidRPr="004C7931">
        <w:rPr>
          <w:lang w:val="ru-RU"/>
        </w:rPr>
        <w:t xml:space="preserve"> </w:t>
      </w:r>
      <w:r w:rsidRPr="004C7931">
        <w:rPr>
          <w:lang w:val="ru-RU"/>
        </w:rPr>
        <w:t xml:space="preserve">обеспечивает дискриминационное использование </w:t>
      </w:r>
      <w:r w:rsidR="003175D7" w:rsidRPr="004C7931">
        <w:rPr>
          <w:lang w:val="ru-RU"/>
        </w:rPr>
        <w:t>услуг</w:t>
      </w:r>
      <w:r w:rsidRPr="004C7931">
        <w:rPr>
          <w:lang w:val="ru-RU"/>
        </w:rPr>
        <w:t xml:space="preserve"> вопреки принципу "надлежащего </w:t>
      </w:r>
      <w:r w:rsidR="003175D7" w:rsidRPr="004C7931">
        <w:rPr>
          <w:lang w:val="ru-RU"/>
        </w:rPr>
        <w:t>объема</w:t>
      </w:r>
      <w:r w:rsidRPr="004C7931">
        <w:rPr>
          <w:lang w:val="ru-RU"/>
        </w:rPr>
        <w:t>", установленному в пункте 4</w:t>
      </w:r>
      <w:r w:rsidR="00F67D69" w:rsidRPr="004C7931">
        <w:rPr>
          <w:lang w:val="ru-RU"/>
        </w:rPr>
        <w:t> </w:t>
      </w:r>
      <w:r w:rsidRPr="004C7931">
        <w:rPr>
          <w:lang w:val="ru-RU"/>
        </w:rPr>
        <w:t xml:space="preserve">vii) раздела </w:t>
      </w:r>
      <w:r w:rsidRPr="004C7931">
        <w:rPr>
          <w:i/>
          <w:iCs/>
          <w:lang w:val="ru-RU"/>
        </w:rPr>
        <w:t>решает</w:t>
      </w:r>
      <w:r w:rsidRPr="004C7931">
        <w:rPr>
          <w:lang w:val="ru-RU"/>
        </w:rPr>
        <w:t xml:space="preserve"> Резолюции</w:t>
      </w:r>
      <w:r w:rsidR="00F67D69" w:rsidRPr="004C7931">
        <w:rPr>
          <w:lang w:val="ru-RU"/>
        </w:rPr>
        <w:t> </w:t>
      </w:r>
      <w:r w:rsidRPr="004C7931">
        <w:rPr>
          <w:lang w:val="ru-RU"/>
        </w:rPr>
        <w:t>91.</w:t>
      </w:r>
    </w:p>
    <w:p w14:paraId="4733518B" w14:textId="4B3C5B43" w:rsidR="00F87C2C" w:rsidRPr="004C7931" w:rsidRDefault="00F87C2C" w:rsidP="00F67D69">
      <w:pPr>
        <w:rPr>
          <w:lang w:val="ru-RU"/>
        </w:rPr>
      </w:pPr>
      <w:r w:rsidRPr="004C7931">
        <w:rPr>
          <w:lang w:val="ru-RU"/>
        </w:rPr>
        <w:t xml:space="preserve">Режим </w:t>
      </w:r>
      <w:r w:rsidR="003175D7" w:rsidRPr="004C7931">
        <w:rPr>
          <w:lang w:val="ru-RU"/>
        </w:rPr>
        <w:t>предоставления права на</w:t>
      </w:r>
      <w:r w:rsidRPr="004C7931">
        <w:rPr>
          <w:lang w:val="ru-RU"/>
        </w:rPr>
        <w:t xml:space="preserve"> бесплатн</w:t>
      </w:r>
      <w:r w:rsidR="003175D7" w:rsidRPr="004C7931">
        <w:rPr>
          <w:lang w:val="ru-RU"/>
        </w:rPr>
        <w:t>ую</w:t>
      </w:r>
      <w:r w:rsidRPr="004C7931">
        <w:rPr>
          <w:lang w:val="ru-RU"/>
        </w:rPr>
        <w:t xml:space="preserve"> публикаци</w:t>
      </w:r>
      <w:r w:rsidR="003175D7" w:rsidRPr="004C7931">
        <w:rPr>
          <w:lang w:val="ru-RU"/>
        </w:rPr>
        <w:t>ю</w:t>
      </w:r>
      <w:r w:rsidRPr="004C7931">
        <w:rPr>
          <w:lang w:val="ru-RU"/>
        </w:rPr>
        <w:t>, в силу его единообразия, также не</w:t>
      </w:r>
      <w:r w:rsidR="0005346F" w:rsidRPr="004C7931">
        <w:rPr>
          <w:lang w:val="ru-RU"/>
        </w:rPr>
        <w:t> </w:t>
      </w:r>
      <w:r w:rsidRPr="004C7931">
        <w:rPr>
          <w:lang w:val="ru-RU"/>
        </w:rPr>
        <w:t>учитывает особые потребности развивающихся стран, как того требует пункт 4</w:t>
      </w:r>
      <w:r w:rsidR="00F67D69" w:rsidRPr="004C7931">
        <w:rPr>
          <w:lang w:val="ru-RU"/>
        </w:rPr>
        <w:t> </w:t>
      </w:r>
      <w:r w:rsidRPr="004C7931">
        <w:rPr>
          <w:lang w:val="ru-RU"/>
        </w:rPr>
        <w:t xml:space="preserve">vi) раздела </w:t>
      </w:r>
      <w:r w:rsidRPr="004C7931">
        <w:rPr>
          <w:i/>
          <w:iCs/>
          <w:lang w:val="ru-RU"/>
        </w:rPr>
        <w:t>решает</w:t>
      </w:r>
      <w:r w:rsidRPr="004C7931">
        <w:rPr>
          <w:lang w:val="ru-RU"/>
        </w:rPr>
        <w:t xml:space="preserve"> Резолюции</w:t>
      </w:r>
      <w:r w:rsidR="00F67D69" w:rsidRPr="004C7931">
        <w:rPr>
          <w:lang w:val="ru-RU"/>
        </w:rPr>
        <w:t> </w:t>
      </w:r>
      <w:r w:rsidRPr="004C7931">
        <w:rPr>
          <w:lang w:val="ru-RU"/>
        </w:rPr>
        <w:t>91. Этим странам не уделяется никакого особого внимания, и иногда они пользуются своим правом на бесплатную публикацию в рамках соглашений о совместно</w:t>
      </w:r>
      <w:r w:rsidR="003E5E7E" w:rsidRPr="004C7931">
        <w:rPr>
          <w:lang w:val="ru-RU"/>
        </w:rPr>
        <w:t>м использовании преимуществ</w:t>
      </w:r>
      <w:r w:rsidRPr="004C7931">
        <w:rPr>
          <w:lang w:val="ru-RU"/>
        </w:rPr>
        <w:t xml:space="preserve"> с крупными, многонациональными коммерческими поставщиками </w:t>
      </w:r>
      <w:r w:rsidR="003E5E7E" w:rsidRPr="004C7931">
        <w:rPr>
          <w:lang w:val="ru-RU"/>
        </w:rPr>
        <w:t xml:space="preserve">услуг </w:t>
      </w:r>
      <w:r w:rsidRPr="004C7931">
        <w:rPr>
          <w:lang w:val="ru-RU"/>
        </w:rPr>
        <w:t>спутниковых сетей, базирующимися в развитых странах.</w:t>
      </w:r>
    </w:p>
    <w:p w14:paraId="16CC2B73" w14:textId="27D2FD4F" w:rsidR="00F87C2C" w:rsidRPr="004C7931" w:rsidRDefault="00F87C2C" w:rsidP="0005346F">
      <w:pPr>
        <w:rPr>
          <w:lang w:val="ru-RU"/>
        </w:rPr>
      </w:pPr>
      <w:r w:rsidRPr="004C7931">
        <w:rPr>
          <w:lang w:val="ru-RU"/>
        </w:rPr>
        <w:t>В ходе собраний РГС</w:t>
      </w:r>
      <w:r w:rsidR="00F67D69" w:rsidRPr="004C7931">
        <w:rPr>
          <w:lang w:val="ru-RU"/>
        </w:rPr>
        <w:noBreakHyphen/>
      </w:r>
      <w:r w:rsidRPr="004C7931">
        <w:rPr>
          <w:lang w:val="ru-RU"/>
        </w:rPr>
        <w:t>ФЛР в январе 2026</w:t>
      </w:r>
      <w:r w:rsidR="00F67D69" w:rsidRPr="004C7931">
        <w:rPr>
          <w:lang w:val="ru-RU"/>
        </w:rPr>
        <w:t> </w:t>
      </w:r>
      <w:r w:rsidRPr="004C7931">
        <w:rPr>
          <w:lang w:val="ru-RU"/>
        </w:rPr>
        <w:t xml:space="preserve">года некоторые делегации утверждали, что прямые и косвенные затраты </w:t>
      </w:r>
      <w:r w:rsidR="001335B0" w:rsidRPr="004C7931">
        <w:rPr>
          <w:lang w:val="ru-RU"/>
        </w:rPr>
        <w:t>Секретариат</w:t>
      </w:r>
      <w:r w:rsidRPr="004C7931">
        <w:rPr>
          <w:lang w:val="ru-RU"/>
        </w:rPr>
        <w:t>а на обработку заявок на регистрацию спутниковых сетей, в</w:t>
      </w:r>
      <w:r w:rsidR="00F67D69" w:rsidRPr="004C7931">
        <w:rPr>
          <w:lang w:val="ru-RU"/>
        </w:rPr>
        <w:t> </w:t>
      </w:r>
      <w:r w:rsidRPr="004C7931">
        <w:rPr>
          <w:lang w:val="ru-RU"/>
        </w:rPr>
        <w:t xml:space="preserve">отношении которых применяется право на бесплатную публикацию, должны финансироваться из регулярного бюджета МСЭ, а не с использованием методики возмещения затрат. В настоящее время, поскольку общие затраты </w:t>
      </w:r>
      <w:r w:rsidR="001335B0" w:rsidRPr="004C7931">
        <w:rPr>
          <w:lang w:val="ru-RU"/>
        </w:rPr>
        <w:t>Секретариат</w:t>
      </w:r>
      <w:r w:rsidRPr="004C7931">
        <w:rPr>
          <w:lang w:val="ru-RU"/>
        </w:rPr>
        <w:t>а на обработку SNF за</w:t>
      </w:r>
      <w:r w:rsidR="0005346F" w:rsidRPr="004C7931">
        <w:rPr>
          <w:lang w:val="ru-RU"/>
        </w:rPr>
        <w:t> </w:t>
      </w:r>
      <w:r w:rsidRPr="004C7931">
        <w:rPr>
          <w:lang w:val="ru-RU"/>
        </w:rPr>
        <w:t>последние пять лет не</w:t>
      </w:r>
      <w:r w:rsidR="00F67D69" w:rsidRPr="004C7931">
        <w:rPr>
          <w:lang w:val="ru-RU"/>
        </w:rPr>
        <w:t> </w:t>
      </w:r>
      <w:r w:rsidRPr="004C7931">
        <w:rPr>
          <w:lang w:val="ru-RU"/>
        </w:rPr>
        <w:t>возмещаются (</w:t>
      </w:r>
      <w:r w:rsidR="003E5E7E" w:rsidRPr="004C7931">
        <w:rPr>
          <w:lang w:val="ru-RU"/>
        </w:rPr>
        <w:t>в объеме, превышающем сумму затрат по</w:t>
      </w:r>
      <w:r w:rsidRPr="004C7931">
        <w:rPr>
          <w:lang w:val="ru-RU"/>
        </w:rPr>
        <w:t xml:space="preserve"> заяв</w:t>
      </w:r>
      <w:r w:rsidR="003E5E7E" w:rsidRPr="004C7931">
        <w:rPr>
          <w:lang w:val="ru-RU"/>
        </w:rPr>
        <w:t>кам</w:t>
      </w:r>
      <w:r w:rsidRPr="004C7931">
        <w:rPr>
          <w:lang w:val="ru-RU"/>
        </w:rPr>
        <w:t xml:space="preserve"> с</w:t>
      </w:r>
      <w:r w:rsidR="0005346F" w:rsidRPr="004C7931">
        <w:rPr>
          <w:lang w:val="ru-RU"/>
        </w:rPr>
        <w:t> </w:t>
      </w:r>
      <w:r w:rsidRPr="004C7931">
        <w:rPr>
          <w:lang w:val="ru-RU"/>
        </w:rPr>
        <w:t xml:space="preserve">правом на бесплатную </w:t>
      </w:r>
      <w:r w:rsidR="0039588E" w:rsidRPr="004C7931">
        <w:rPr>
          <w:lang w:val="ru-RU"/>
        </w:rPr>
        <w:t>публикацию</w:t>
      </w:r>
      <w:r w:rsidRPr="004C7931">
        <w:rPr>
          <w:lang w:val="ru-RU"/>
        </w:rPr>
        <w:t xml:space="preserve">), </w:t>
      </w:r>
      <w:r w:rsidR="003E5E7E" w:rsidRPr="004C7931">
        <w:rPr>
          <w:lang w:val="ru-RU"/>
        </w:rPr>
        <w:t>затраты на заявки с</w:t>
      </w:r>
      <w:r w:rsidRPr="004C7931">
        <w:rPr>
          <w:lang w:val="ru-RU"/>
        </w:rPr>
        <w:t xml:space="preserve"> </w:t>
      </w:r>
      <w:r w:rsidR="0039588E" w:rsidRPr="004C7931">
        <w:rPr>
          <w:lang w:val="ru-RU"/>
        </w:rPr>
        <w:t xml:space="preserve">правом на </w:t>
      </w:r>
      <w:r w:rsidRPr="004C7931">
        <w:rPr>
          <w:lang w:val="ru-RU"/>
        </w:rPr>
        <w:t>бесплатн</w:t>
      </w:r>
      <w:r w:rsidR="0039588E" w:rsidRPr="004C7931">
        <w:rPr>
          <w:lang w:val="ru-RU"/>
        </w:rPr>
        <w:t xml:space="preserve">ую публикацию </w:t>
      </w:r>
      <w:r w:rsidRPr="004C7931">
        <w:rPr>
          <w:lang w:val="ru-RU"/>
        </w:rPr>
        <w:t>полностью финансиру</w:t>
      </w:r>
      <w:r w:rsidR="003E5E7E" w:rsidRPr="004C7931">
        <w:rPr>
          <w:lang w:val="ru-RU"/>
        </w:rPr>
        <w:t>ю</w:t>
      </w:r>
      <w:r w:rsidRPr="004C7931">
        <w:rPr>
          <w:lang w:val="ru-RU"/>
        </w:rPr>
        <w:t xml:space="preserve">тся за счет начисленных взносов </w:t>
      </w:r>
      <w:r w:rsidR="0039588E" w:rsidRPr="004C7931">
        <w:rPr>
          <w:lang w:val="ru-RU"/>
        </w:rPr>
        <w:t>Ч</w:t>
      </w:r>
      <w:r w:rsidRPr="004C7931">
        <w:rPr>
          <w:lang w:val="ru-RU"/>
        </w:rPr>
        <w:t>ленов МСЭ, однако</w:t>
      </w:r>
      <w:r w:rsidR="0039588E" w:rsidRPr="004C7931">
        <w:rPr>
          <w:lang w:val="ru-RU"/>
        </w:rPr>
        <w:t>, по мнению Секретариата</w:t>
      </w:r>
      <w:r w:rsidRPr="004C7931">
        <w:rPr>
          <w:lang w:val="ru-RU"/>
        </w:rPr>
        <w:t>, это не</w:t>
      </w:r>
      <w:r w:rsidR="00F67D69" w:rsidRPr="004C7931">
        <w:rPr>
          <w:lang w:val="ru-RU"/>
        </w:rPr>
        <w:t> </w:t>
      </w:r>
      <w:r w:rsidRPr="004C7931">
        <w:rPr>
          <w:lang w:val="ru-RU"/>
        </w:rPr>
        <w:t>соответствует Резолюции</w:t>
      </w:r>
      <w:r w:rsidR="00F67D69" w:rsidRPr="004C7931">
        <w:rPr>
          <w:lang w:val="ru-RU"/>
        </w:rPr>
        <w:t> </w:t>
      </w:r>
      <w:r w:rsidRPr="004C7931">
        <w:rPr>
          <w:lang w:val="ru-RU"/>
        </w:rPr>
        <w:t>91 ПК.</w:t>
      </w:r>
    </w:p>
    <w:p w14:paraId="31AB881C" w14:textId="64419323" w:rsidR="00F87C2C" w:rsidRPr="004C7931" w:rsidRDefault="00F87C2C" w:rsidP="00F67D69">
      <w:pPr>
        <w:rPr>
          <w:lang w:val="ru-RU"/>
        </w:rPr>
      </w:pPr>
      <w:r w:rsidRPr="004C7931">
        <w:rPr>
          <w:lang w:val="ru-RU"/>
        </w:rPr>
        <w:t>Совместное прочтение Резолюции</w:t>
      </w:r>
      <w:r w:rsidR="00093E5F" w:rsidRPr="004C7931">
        <w:rPr>
          <w:lang w:val="ru-RU"/>
        </w:rPr>
        <w:t> </w:t>
      </w:r>
      <w:r w:rsidRPr="004C7931">
        <w:rPr>
          <w:lang w:val="ru-RU"/>
        </w:rPr>
        <w:t>91 ПК и Решения</w:t>
      </w:r>
      <w:r w:rsidR="00093E5F" w:rsidRPr="004C7931">
        <w:rPr>
          <w:lang w:val="ru-RU"/>
        </w:rPr>
        <w:t> </w:t>
      </w:r>
      <w:r w:rsidRPr="004C7931">
        <w:rPr>
          <w:lang w:val="ru-RU"/>
        </w:rPr>
        <w:t>482 Совета показывает, что услуга SNF является частью действующего в МСЭ режима возмещения затрат и что подробные правила реализации Совета должны рассматриваться в соответствии с этой системой более высокого уровня. Хотя Решение</w:t>
      </w:r>
      <w:r w:rsidR="00093E5F" w:rsidRPr="004C7931">
        <w:rPr>
          <w:lang w:val="ru-RU"/>
        </w:rPr>
        <w:t> </w:t>
      </w:r>
      <w:r w:rsidRPr="004C7931">
        <w:rPr>
          <w:lang w:val="ru-RU"/>
        </w:rPr>
        <w:t>482 предоставляет каждому Государству</w:t>
      </w:r>
      <w:r w:rsidR="00093E5F" w:rsidRPr="004C7931">
        <w:rPr>
          <w:lang w:val="ru-RU"/>
        </w:rPr>
        <w:noBreakHyphen/>
      </w:r>
      <w:r w:rsidRPr="004C7931">
        <w:rPr>
          <w:lang w:val="ru-RU"/>
        </w:rPr>
        <w:t>Члену ограниченное право на</w:t>
      </w:r>
      <w:r w:rsidR="00093E5F" w:rsidRPr="004C7931">
        <w:rPr>
          <w:lang w:val="ru-RU"/>
        </w:rPr>
        <w:t> </w:t>
      </w:r>
      <w:r w:rsidRPr="004C7931">
        <w:rPr>
          <w:lang w:val="ru-RU"/>
        </w:rPr>
        <w:t xml:space="preserve">одну ежегодную бесплатную публикацию, по мнению </w:t>
      </w:r>
      <w:r w:rsidR="001335B0" w:rsidRPr="004C7931">
        <w:rPr>
          <w:lang w:val="ru-RU"/>
        </w:rPr>
        <w:t>Секретариат</w:t>
      </w:r>
      <w:r w:rsidRPr="004C7931">
        <w:rPr>
          <w:lang w:val="ru-RU"/>
        </w:rPr>
        <w:t xml:space="preserve">а, это право следует понимать как особенность модели начисления платы, а не как основу для исключения соответствующих затрат из общего </w:t>
      </w:r>
      <w:r w:rsidR="00A07F25" w:rsidRPr="004C7931">
        <w:rPr>
          <w:lang w:val="ru-RU"/>
        </w:rPr>
        <w:t>расчета</w:t>
      </w:r>
      <w:r w:rsidRPr="004C7931">
        <w:rPr>
          <w:lang w:val="ru-RU"/>
        </w:rPr>
        <w:t xml:space="preserve"> затрат</w:t>
      </w:r>
      <w:r w:rsidR="004D2BA8" w:rsidRPr="004C7931">
        <w:rPr>
          <w:lang w:val="ru-RU"/>
        </w:rPr>
        <w:t>, возмещаемых по линии</w:t>
      </w:r>
      <w:r w:rsidRPr="004C7931">
        <w:rPr>
          <w:lang w:val="ru-RU"/>
        </w:rPr>
        <w:t xml:space="preserve"> SNF. Исходя из</w:t>
      </w:r>
      <w:r w:rsidR="0005346F" w:rsidRPr="004C7931">
        <w:rPr>
          <w:lang w:val="ru-RU"/>
        </w:rPr>
        <w:t> </w:t>
      </w:r>
      <w:r w:rsidRPr="004C7931">
        <w:rPr>
          <w:lang w:val="ru-RU"/>
        </w:rPr>
        <w:t xml:space="preserve">этого, </w:t>
      </w:r>
      <w:r w:rsidR="001335B0" w:rsidRPr="004C7931">
        <w:rPr>
          <w:lang w:val="ru-RU"/>
        </w:rPr>
        <w:t>Секретариат</w:t>
      </w:r>
      <w:r w:rsidRPr="004C7931">
        <w:rPr>
          <w:lang w:val="ru-RU"/>
        </w:rPr>
        <w:t xml:space="preserve"> толкует данные положения как предусматривающие, что затраты</w:t>
      </w:r>
      <w:r w:rsidR="00A07F25" w:rsidRPr="004C7931">
        <w:rPr>
          <w:lang w:val="ru-RU"/>
        </w:rPr>
        <w:t>, связанные с</w:t>
      </w:r>
      <w:r w:rsidR="00093E5F" w:rsidRPr="004C7931">
        <w:rPr>
          <w:lang w:val="ru-RU"/>
        </w:rPr>
        <w:t> </w:t>
      </w:r>
      <w:r w:rsidR="00A07F25" w:rsidRPr="004C7931">
        <w:rPr>
          <w:lang w:val="ru-RU"/>
        </w:rPr>
        <w:t xml:space="preserve">правом </w:t>
      </w:r>
      <w:r w:rsidRPr="004C7931">
        <w:rPr>
          <w:lang w:val="ru-RU"/>
        </w:rPr>
        <w:t>бесплатн</w:t>
      </w:r>
      <w:r w:rsidR="00A07F25" w:rsidRPr="004C7931">
        <w:rPr>
          <w:lang w:val="ru-RU"/>
        </w:rPr>
        <w:t>ой</w:t>
      </w:r>
      <w:r w:rsidRPr="004C7931">
        <w:rPr>
          <w:lang w:val="ru-RU"/>
        </w:rPr>
        <w:t xml:space="preserve"> публикаци</w:t>
      </w:r>
      <w:r w:rsidR="00A07F25" w:rsidRPr="004C7931">
        <w:rPr>
          <w:lang w:val="ru-RU"/>
        </w:rPr>
        <w:t>и</w:t>
      </w:r>
      <w:r w:rsidRPr="004C7931">
        <w:rPr>
          <w:lang w:val="ru-RU"/>
        </w:rPr>
        <w:t>, т.</w:t>
      </w:r>
      <w:r w:rsidR="008308A1" w:rsidRPr="004C7931">
        <w:rPr>
          <w:lang w:val="ru-RU"/>
        </w:rPr>
        <w:t xml:space="preserve"> </w:t>
      </w:r>
      <w:r w:rsidRPr="004C7931">
        <w:rPr>
          <w:lang w:val="ru-RU"/>
        </w:rPr>
        <w:t>е. затраты на обработку SNF, к которым применяется принцип возмещения затрат, должны включаться в общи</w:t>
      </w:r>
      <w:r w:rsidR="00A07F25" w:rsidRPr="004C7931">
        <w:rPr>
          <w:lang w:val="ru-RU"/>
        </w:rPr>
        <w:t>й объем</w:t>
      </w:r>
      <w:r w:rsidRPr="004C7931">
        <w:rPr>
          <w:lang w:val="ru-RU"/>
        </w:rPr>
        <w:t xml:space="preserve"> затрат</w:t>
      </w:r>
      <w:r w:rsidR="00A07F25" w:rsidRPr="004C7931">
        <w:rPr>
          <w:lang w:val="ru-RU"/>
        </w:rPr>
        <w:t>, возмещаемых по</w:t>
      </w:r>
      <w:r w:rsidR="00093E5F" w:rsidRPr="004C7931">
        <w:rPr>
          <w:lang w:val="ru-RU"/>
        </w:rPr>
        <w:t> </w:t>
      </w:r>
      <w:r w:rsidR="00A07F25" w:rsidRPr="004C7931">
        <w:rPr>
          <w:lang w:val="ru-RU"/>
        </w:rPr>
        <w:t>линии</w:t>
      </w:r>
      <w:r w:rsidR="00093E5F" w:rsidRPr="004C7931">
        <w:rPr>
          <w:lang w:val="ru-RU"/>
        </w:rPr>
        <w:t> </w:t>
      </w:r>
      <w:r w:rsidRPr="004C7931">
        <w:rPr>
          <w:lang w:val="ru-RU"/>
        </w:rPr>
        <w:t>SNF.</w:t>
      </w:r>
    </w:p>
    <w:p w14:paraId="1C916FE4" w14:textId="2EA7F51B" w:rsidR="00F87C2C" w:rsidRPr="004C7931" w:rsidRDefault="00F87C2C" w:rsidP="00F67D69">
      <w:pPr>
        <w:rPr>
          <w:lang w:val="ru-RU"/>
        </w:rPr>
      </w:pPr>
      <w:r w:rsidRPr="004C7931">
        <w:rPr>
          <w:lang w:val="ru-RU"/>
        </w:rPr>
        <w:t xml:space="preserve">На основании вышеизложенного </w:t>
      </w:r>
      <w:r w:rsidR="008308A1" w:rsidRPr="004C7931">
        <w:rPr>
          <w:lang w:val="ru-RU"/>
        </w:rPr>
        <w:t>С</w:t>
      </w:r>
      <w:r w:rsidRPr="004C7931">
        <w:rPr>
          <w:lang w:val="ru-RU"/>
        </w:rPr>
        <w:t>екретариат рекомендует Совету рассмотреть</w:t>
      </w:r>
      <w:r w:rsidR="00D57973" w:rsidRPr="004C7931">
        <w:rPr>
          <w:lang w:val="ru-RU"/>
        </w:rPr>
        <w:t xml:space="preserve"> возможность</w:t>
      </w:r>
      <w:r w:rsidRPr="004C7931">
        <w:rPr>
          <w:lang w:val="ru-RU"/>
        </w:rPr>
        <w:t>:</w:t>
      </w:r>
    </w:p>
    <w:p w14:paraId="127E4FE1" w14:textId="49DFAAD4" w:rsidR="00F87C2C" w:rsidRPr="004C7931" w:rsidRDefault="00F87C2C" w:rsidP="00093E5F">
      <w:pPr>
        <w:pStyle w:val="enumlev1"/>
        <w:rPr>
          <w:lang w:val="ru-RU"/>
        </w:rPr>
      </w:pPr>
      <w:r w:rsidRPr="004C7931">
        <w:rPr>
          <w:lang w:val="ru-RU"/>
        </w:rPr>
        <w:t>–</w:t>
      </w:r>
      <w:r w:rsidRPr="004C7931">
        <w:rPr>
          <w:lang w:val="ru-RU"/>
        </w:rPr>
        <w:tab/>
        <w:t>пересмотр</w:t>
      </w:r>
      <w:r w:rsidR="00D57973" w:rsidRPr="004C7931">
        <w:rPr>
          <w:lang w:val="ru-RU"/>
        </w:rPr>
        <w:t>а</w:t>
      </w:r>
      <w:r w:rsidRPr="004C7931">
        <w:rPr>
          <w:lang w:val="ru-RU"/>
        </w:rPr>
        <w:t xml:space="preserve"> Решения</w:t>
      </w:r>
      <w:r w:rsidR="00093E5F" w:rsidRPr="004C7931">
        <w:rPr>
          <w:lang w:val="ru-RU"/>
        </w:rPr>
        <w:t> </w:t>
      </w:r>
      <w:r w:rsidRPr="004C7931">
        <w:rPr>
          <w:lang w:val="ru-RU"/>
        </w:rPr>
        <w:t>482 с целью лишить Государство</w:t>
      </w:r>
      <w:r w:rsidR="00093E5F" w:rsidRPr="004C7931">
        <w:rPr>
          <w:lang w:val="ru-RU"/>
        </w:rPr>
        <w:noBreakHyphen/>
      </w:r>
      <w:r w:rsidRPr="004C7931">
        <w:rPr>
          <w:lang w:val="ru-RU"/>
        </w:rPr>
        <w:t xml:space="preserve">Член возможности выбирать конкретную спутниковую сеть, к которой будет применяться его право на бесплатную </w:t>
      </w:r>
      <w:r w:rsidRPr="004C7931">
        <w:rPr>
          <w:lang w:val="ru-RU"/>
        </w:rPr>
        <w:lastRenderedPageBreak/>
        <w:t xml:space="preserve">публикацию, и вместо этого применять право на бесплатную публикацию к наименее дорогостоящей заявке в этом году. </w:t>
      </w:r>
      <w:r w:rsidR="00D57973" w:rsidRPr="004C7931">
        <w:rPr>
          <w:lang w:val="ru-RU"/>
        </w:rPr>
        <w:t>Реализация</w:t>
      </w:r>
      <w:r w:rsidRPr="004C7931">
        <w:rPr>
          <w:lang w:val="ru-RU"/>
        </w:rPr>
        <w:t xml:space="preserve"> этого предложения на</w:t>
      </w:r>
      <w:r w:rsidR="00093E5F" w:rsidRPr="004C7931">
        <w:rPr>
          <w:lang w:val="ru-RU"/>
        </w:rPr>
        <w:t> </w:t>
      </w:r>
      <w:r w:rsidRPr="004C7931">
        <w:rPr>
          <w:lang w:val="ru-RU"/>
        </w:rPr>
        <w:t>2024</w:t>
      </w:r>
      <w:r w:rsidR="00093E5F" w:rsidRPr="004C7931">
        <w:rPr>
          <w:lang w:val="ru-RU"/>
        </w:rPr>
        <w:t> </w:t>
      </w:r>
      <w:r w:rsidRPr="004C7931">
        <w:rPr>
          <w:lang w:val="ru-RU"/>
        </w:rPr>
        <w:t xml:space="preserve">год </w:t>
      </w:r>
      <w:r w:rsidR="00D57973" w:rsidRPr="004C7931">
        <w:rPr>
          <w:lang w:val="ru-RU"/>
        </w:rPr>
        <w:t>позволила бы увеличить</w:t>
      </w:r>
      <w:r w:rsidRPr="004C7931">
        <w:rPr>
          <w:lang w:val="ru-RU"/>
        </w:rPr>
        <w:t xml:space="preserve"> доход</w:t>
      </w:r>
      <w:r w:rsidR="00D57973" w:rsidRPr="004C7931">
        <w:rPr>
          <w:lang w:val="ru-RU"/>
        </w:rPr>
        <w:t>ы</w:t>
      </w:r>
      <w:r w:rsidRPr="004C7931">
        <w:rPr>
          <w:lang w:val="ru-RU"/>
        </w:rPr>
        <w:t xml:space="preserve"> на 989</w:t>
      </w:r>
      <w:r w:rsidR="00093E5F" w:rsidRPr="004C7931">
        <w:rPr>
          <w:lang w:val="ru-RU"/>
        </w:rPr>
        <w:t> </w:t>
      </w:r>
      <w:r w:rsidRPr="004C7931">
        <w:rPr>
          <w:lang w:val="ru-RU"/>
        </w:rPr>
        <w:t>166</w:t>
      </w:r>
      <w:r w:rsidR="00093E5F" w:rsidRPr="004C7931">
        <w:rPr>
          <w:lang w:val="ru-RU"/>
        </w:rPr>
        <w:t> </w:t>
      </w:r>
      <w:r w:rsidRPr="004C7931">
        <w:rPr>
          <w:lang w:val="ru-RU"/>
        </w:rPr>
        <w:t>швейцарских франков; или</w:t>
      </w:r>
    </w:p>
    <w:p w14:paraId="12CB1A3F" w14:textId="4B3E2940" w:rsidR="00F87C2C" w:rsidRPr="004C7931" w:rsidRDefault="00F87C2C" w:rsidP="00093E5F">
      <w:pPr>
        <w:pStyle w:val="enumlev1"/>
        <w:rPr>
          <w:lang w:val="ru-RU"/>
        </w:rPr>
      </w:pPr>
      <w:r w:rsidRPr="004C7931">
        <w:rPr>
          <w:lang w:val="ru-RU"/>
        </w:rPr>
        <w:t>–</w:t>
      </w:r>
      <w:r w:rsidRPr="004C7931">
        <w:rPr>
          <w:lang w:val="ru-RU"/>
        </w:rPr>
        <w:tab/>
        <w:t>пересмотр</w:t>
      </w:r>
      <w:r w:rsidR="00D57973" w:rsidRPr="004C7931">
        <w:rPr>
          <w:lang w:val="ru-RU"/>
        </w:rPr>
        <w:t>а</w:t>
      </w:r>
      <w:r w:rsidRPr="004C7931">
        <w:rPr>
          <w:lang w:val="ru-RU"/>
        </w:rPr>
        <w:t xml:space="preserve"> Решения</w:t>
      </w:r>
      <w:r w:rsidR="00093E5F" w:rsidRPr="004C7931">
        <w:rPr>
          <w:lang w:val="ru-RU"/>
        </w:rPr>
        <w:t> </w:t>
      </w:r>
      <w:r w:rsidRPr="004C7931">
        <w:rPr>
          <w:lang w:val="ru-RU"/>
        </w:rPr>
        <w:t xml:space="preserve">482, с тем чтобы ограничить право на бесплатную публикацию </w:t>
      </w:r>
      <w:r w:rsidR="00D57973" w:rsidRPr="004C7931">
        <w:rPr>
          <w:lang w:val="ru-RU"/>
        </w:rPr>
        <w:t xml:space="preserve">только для </w:t>
      </w:r>
      <w:r w:rsidRPr="004C7931">
        <w:rPr>
          <w:lang w:val="ru-RU"/>
        </w:rPr>
        <w:t xml:space="preserve">НРС, СИДС, ЛЛДС и стран с переходной экономикой. </w:t>
      </w:r>
      <w:r w:rsidR="00D57973" w:rsidRPr="004C7931">
        <w:rPr>
          <w:lang w:val="ru-RU"/>
        </w:rPr>
        <w:t>Реализация этого предложения на</w:t>
      </w:r>
      <w:r w:rsidR="00093E5F" w:rsidRPr="004C7931">
        <w:rPr>
          <w:lang w:val="ru-RU"/>
        </w:rPr>
        <w:t> </w:t>
      </w:r>
      <w:r w:rsidR="00D57973" w:rsidRPr="004C7931">
        <w:rPr>
          <w:lang w:val="ru-RU"/>
        </w:rPr>
        <w:t>2024</w:t>
      </w:r>
      <w:r w:rsidR="00093E5F" w:rsidRPr="004C7931">
        <w:rPr>
          <w:lang w:val="ru-RU"/>
        </w:rPr>
        <w:t> </w:t>
      </w:r>
      <w:r w:rsidR="00D57973" w:rsidRPr="004C7931">
        <w:rPr>
          <w:lang w:val="ru-RU"/>
        </w:rPr>
        <w:t>год позволила бы увеличить доходы</w:t>
      </w:r>
      <w:r w:rsidRPr="004C7931">
        <w:rPr>
          <w:lang w:val="ru-RU"/>
        </w:rPr>
        <w:t xml:space="preserve"> от SNF на</w:t>
      </w:r>
      <w:r w:rsidR="00093E5F" w:rsidRPr="004C7931">
        <w:rPr>
          <w:lang w:val="ru-RU"/>
        </w:rPr>
        <w:t> </w:t>
      </w:r>
      <w:r w:rsidRPr="004C7931">
        <w:rPr>
          <w:lang w:val="ru-RU"/>
        </w:rPr>
        <w:t>772</w:t>
      </w:r>
      <w:r w:rsidR="00093E5F" w:rsidRPr="004C7931">
        <w:rPr>
          <w:lang w:val="ru-RU"/>
        </w:rPr>
        <w:t> </w:t>
      </w:r>
      <w:r w:rsidRPr="004C7931">
        <w:rPr>
          <w:lang w:val="ru-RU"/>
        </w:rPr>
        <w:t>000</w:t>
      </w:r>
      <w:r w:rsidR="00093E5F" w:rsidRPr="004C7931">
        <w:rPr>
          <w:lang w:val="ru-RU"/>
        </w:rPr>
        <w:t> </w:t>
      </w:r>
      <w:r w:rsidRPr="004C7931">
        <w:rPr>
          <w:lang w:val="ru-RU"/>
        </w:rPr>
        <w:t>швейцарских франков</w:t>
      </w:r>
      <w:r w:rsidR="00D57973" w:rsidRPr="004C7931">
        <w:rPr>
          <w:lang w:val="ru-RU"/>
        </w:rPr>
        <w:t>.</w:t>
      </w:r>
    </w:p>
    <w:p w14:paraId="14BA9C82" w14:textId="21A665C5" w:rsidR="00F87C2C" w:rsidRPr="004C7931" w:rsidRDefault="00F87C2C" w:rsidP="00093E5F">
      <w:pPr>
        <w:rPr>
          <w:lang w:val="ru-RU"/>
        </w:rPr>
      </w:pPr>
      <w:r w:rsidRPr="004C7931">
        <w:rPr>
          <w:lang w:val="ru-RU"/>
        </w:rPr>
        <w:t>В любом случае Секретариат считает, что на основании положений Резолюции</w:t>
      </w:r>
      <w:r w:rsidR="00093E5F" w:rsidRPr="004C7931">
        <w:rPr>
          <w:lang w:val="ru-RU"/>
        </w:rPr>
        <w:t> </w:t>
      </w:r>
      <w:r w:rsidRPr="004C7931">
        <w:rPr>
          <w:lang w:val="ru-RU"/>
        </w:rPr>
        <w:t>91 ПК расходы Секретариата, связанные с правом бесплатной публикации, должны по</w:t>
      </w:r>
      <w:r w:rsidR="00093E5F" w:rsidRPr="004C7931">
        <w:rPr>
          <w:lang w:val="ru-RU"/>
        </w:rPr>
        <w:noBreakHyphen/>
      </w:r>
      <w:r w:rsidRPr="004C7931">
        <w:rPr>
          <w:lang w:val="ru-RU"/>
        </w:rPr>
        <w:t>прежнему включаться в</w:t>
      </w:r>
      <w:r w:rsidR="00093E5F" w:rsidRPr="004C7931">
        <w:rPr>
          <w:lang w:val="ru-RU"/>
        </w:rPr>
        <w:t> </w:t>
      </w:r>
      <w:r w:rsidRPr="004C7931">
        <w:rPr>
          <w:lang w:val="ru-RU"/>
        </w:rPr>
        <w:t xml:space="preserve">расчет прямых и косвенных затрат, подлежащих возмещению за счет </w:t>
      </w:r>
      <w:r w:rsidR="00047529" w:rsidRPr="004C7931">
        <w:rPr>
          <w:lang w:val="ru-RU"/>
        </w:rPr>
        <w:t>платы</w:t>
      </w:r>
      <w:r w:rsidRPr="004C7931">
        <w:rPr>
          <w:lang w:val="ru-RU"/>
        </w:rPr>
        <w:t xml:space="preserve"> за SNF.</w:t>
      </w:r>
    </w:p>
    <w:p w14:paraId="5612F4DA" w14:textId="77777777" w:rsidR="00F87C2C" w:rsidRPr="004C7931" w:rsidRDefault="00F87C2C" w:rsidP="00F87C2C">
      <w:pPr>
        <w:pStyle w:val="Heading2"/>
        <w:rPr>
          <w:lang w:val="ru-RU"/>
        </w:rPr>
      </w:pPr>
      <w:r w:rsidRPr="004C7931">
        <w:rPr>
          <w:lang w:val="ru-RU"/>
        </w:rPr>
        <w:t>2.3</w:t>
      </w:r>
      <w:r w:rsidRPr="004C7931">
        <w:rPr>
          <w:lang w:val="ru-RU"/>
        </w:rPr>
        <w:tab/>
        <w:t>Определение компонентов затрат, подлежащих возмещению</w:t>
      </w:r>
    </w:p>
    <w:p w14:paraId="30482FEE" w14:textId="77777777" w:rsidR="00F87C2C" w:rsidRPr="004C7931" w:rsidRDefault="00F87C2C" w:rsidP="00093E5F">
      <w:pPr>
        <w:rPr>
          <w:lang w:val="ru-RU"/>
        </w:rPr>
      </w:pPr>
      <w:r w:rsidRPr="004C7931">
        <w:rPr>
          <w:lang w:val="ru-RU"/>
        </w:rPr>
        <w:t>Компоненты затрат, которые подлежат возмещению, и конкретные принципы, применяемые для определения распределения затрат, подробно описываются в следующих категориях.</w:t>
      </w:r>
    </w:p>
    <w:p w14:paraId="5C63840B" w14:textId="77777777" w:rsidR="00F87C2C" w:rsidRPr="004C7931" w:rsidRDefault="00F87C2C" w:rsidP="00F87C2C">
      <w:pPr>
        <w:pStyle w:val="Headingb"/>
        <w:rPr>
          <w:lang w:val="ru-RU"/>
        </w:rPr>
      </w:pPr>
      <w:r w:rsidRPr="004C7931">
        <w:rPr>
          <w:lang w:val="ru-RU"/>
        </w:rPr>
        <w:t>Прямые затраты</w:t>
      </w:r>
    </w:p>
    <w:p w14:paraId="70CD77E1" w14:textId="78AD4D28" w:rsidR="00F87C2C" w:rsidRPr="004C7931" w:rsidRDefault="00F87C2C" w:rsidP="00093E5F">
      <w:pPr>
        <w:rPr>
          <w:lang w:val="ru-RU"/>
        </w:rPr>
      </w:pPr>
      <w:r w:rsidRPr="004C7931">
        <w:rPr>
          <w:lang w:val="ru-RU"/>
        </w:rPr>
        <w:t xml:space="preserve">Прямые затраты представляют собой </w:t>
      </w:r>
      <w:r w:rsidR="00157839" w:rsidRPr="004C7931">
        <w:rPr>
          <w:lang w:val="ru-RU"/>
        </w:rPr>
        <w:t>источники</w:t>
      </w:r>
      <w:r w:rsidRPr="004C7931">
        <w:rPr>
          <w:lang w:val="ru-RU"/>
        </w:rPr>
        <w:t>, которые четко и непосредственно относятся к</w:t>
      </w:r>
      <w:r w:rsidR="00093E5F" w:rsidRPr="004C7931">
        <w:rPr>
          <w:lang w:val="ru-RU"/>
        </w:rPr>
        <w:t> </w:t>
      </w:r>
      <w:r w:rsidRPr="004C7931">
        <w:rPr>
          <w:lang w:val="ru-RU"/>
        </w:rPr>
        <w:t xml:space="preserve">обработке SNF. К ним относятся </w:t>
      </w:r>
      <w:r w:rsidR="00157839" w:rsidRPr="004C7931">
        <w:rPr>
          <w:lang w:val="ru-RU"/>
        </w:rPr>
        <w:t>затраты</w:t>
      </w:r>
      <w:r w:rsidRPr="004C7931">
        <w:rPr>
          <w:lang w:val="ru-RU"/>
        </w:rPr>
        <w:t xml:space="preserve"> на </w:t>
      </w:r>
      <w:r w:rsidR="00157839" w:rsidRPr="004C7931">
        <w:rPr>
          <w:lang w:val="ru-RU"/>
        </w:rPr>
        <w:t xml:space="preserve">оплату труда </w:t>
      </w:r>
      <w:r w:rsidRPr="004C7931">
        <w:rPr>
          <w:lang w:val="ru-RU"/>
        </w:rPr>
        <w:t>персонал</w:t>
      </w:r>
      <w:r w:rsidR="00157839" w:rsidRPr="004C7931">
        <w:rPr>
          <w:lang w:val="ru-RU"/>
        </w:rPr>
        <w:t>а</w:t>
      </w:r>
      <w:r w:rsidRPr="004C7931">
        <w:rPr>
          <w:lang w:val="ru-RU"/>
        </w:rPr>
        <w:t xml:space="preserve"> Бюро радиосвязи (БР), отвечающ</w:t>
      </w:r>
      <w:r w:rsidR="00157839" w:rsidRPr="004C7931">
        <w:rPr>
          <w:lang w:val="ru-RU"/>
        </w:rPr>
        <w:t>его</w:t>
      </w:r>
      <w:r w:rsidRPr="004C7931">
        <w:rPr>
          <w:lang w:val="ru-RU"/>
        </w:rPr>
        <w:t xml:space="preserve"> за техническое рассмотрение, деятельность по координации, регламентарную обработку и соответствующую оперативную поддержку. Эти затраты </w:t>
      </w:r>
      <w:r w:rsidR="00821997" w:rsidRPr="004C7931">
        <w:rPr>
          <w:lang w:val="ru-RU"/>
        </w:rPr>
        <w:t>в полном объеме</w:t>
      </w:r>
      <w:r w:rsidRPr="004C7931">
        <w:rPr>
          <w:lang w:val="ru-RU"/>
        </w:rPr>
        <w:t xml:space="preserve"> относятся </w:t>
      </w:r>
      <w:r w:rsidR="00821997" w:rsidRPr="004C7931">
        <w:rPr>
          <w:lang w:val="ru-RU"/>
        </w:rPr>
        <w:t xml:space="preserve">к категории </w:t>
      </w:r>
      <w:r w:rsidR="00157839" w:rsidRPr="004C7931">
        <w:rPr>
          <w:lang w:val="ru-RU"/>
        </w:rPr>
        <w:t>деятельност</w:t>
      </w:r>
      <w:r w:rsidR="00821997" w:rsidRPr="004C7931">
        <w:rPr>
          <w:lang w:val="ru-RU"/>
        </w:rPr>
        <w:t>и</w:t>
      </w:r>
      <w:r w:rsidR="00157839" w:rsidRPr="004C7931">
        <w:rPr>
          <w:lang w:val="ru-RU"/>
        </w:rPr>
        <w:t>, связанн</w:t>
      </w:r>
      <w:r w:rsidR="00821997" w:rsidRPr="004C7931">
        <w:rPr>
          <w:lang w:val="ru-RU"/>
        </w:rPr>
        <w:t>ой с</w:t>
      </w:r>
      <w:r w:rsidRPr="004C7931">
        <w:rPr>
          <w:lang w:val="ru-RU"/>
        </w:rPr>
        <w:t xml:space="preserve"> SNF</w:t>
      </w:r>
      <w:r w:rsidR="00157839" w:rsidRPr="004C7931">
        <w:rPr>
          <w:lang w:val="ru-RU"/>
        </w:rPr>
        <w:t>,</w:t>
      </w:r>
      <w:r w:rsidRPr="004C7931">
        <w:rPr>
          <w:lang w:val="ru-RU"/>
        </w:rPr>
        <w:t xml:space="preserve"> и поэтому составляют основу модели возмещения затрат. Это показано в нижеследующих таблицах.</w:t>
      </w:r>
    </w:p>
    <w:p w14:paraId="2B75DDBC" w14:textId="24F8A261" w:rsidR="00755E2F" w:rsidRPr="004C7931" w:rsidRDefault="00755E2F" w:rsidP="003A238E">
      <w:pPr>
        <w:pStyle w:val="Figure"/>
        <w:rPr>
          <w:lang w:val="ru-RU"/>
        </w:rPr>
      </w:pPr>
      <w:r w:rsidRPr="004C7931">
        <w:rPr>
          <w:noProof/>
          <w:lang w:val="ru-RU"/>
        </w:rPr>
        <w:drawing>
          <wp:inline distT="0" distB="0" distL="0" distR="0" wp14:anchorId="60893BE9" wp14:editId="2AB2B5E3">
            <wp:extent cx="3263900" cy="3327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3900" cy="3327400"/>
                    </a:xfrm>
                    <a:prstGeom prst="rect">
                      <a:avLst/>
                    </a:prstGeom>
                    <a:noFill/>
                    <a:ln>
                      <a:noFill/>
                    </a:ln>
                  </pic:spPr>
                </pic:pic>
              </a:graphicData>
            </a:graphic>
          </wp:inline>
        </w:drawing>
      </w:r>
    </w:p>
    <w:p w14:paraId="732DD3FE" w14:textId="77777777" w:rsidR="00F87C2C" w:rsidRPr="004C7931" w:rsidRDefault="00F87C2C" w:rsidP="00F87C2C">
      <w:pPr>
        <w:pStyle w:val="Headingb"/>
        <w:rPr>
          <w:lang w:val="ru-RU"/>
        </w:rPr>
      </w:pPr>
      <w:r w:rsidRPr="004C7931">
        <w:rPr>
          <w:lang w:val="ru-RU"/>
        </w:rPr>
        <w:t>Базовые системы SNF и возможности модернизации</w:t>
      </w:r>
    </w:p>
    <w:p w14:paraId="402A99BB" w14:textId="72AF098F" w:rsidR="00F87C2C" w:rsidRPr="004C7931" w:rsidRDefault="00F87C2C" w:rsidP="00FF47EE">
      <w:pPr>
        <w:rPr>
          <w:spacing w:val="-3"/>
          <w:lang w:val="ru-RU"/>
        </w:rPr>
      </w:pPr>
      <w:r w:rsidRPr="004C7931">
        <w:rPr>
          <w:lang w:val="ru-RU"/>
        </w:rPr>
        <w:t>Совет 2025</w:t>
      </w:r>
      <w:r w:rsidR="00FF47EE" w:rsidRPr="004C7931">
        <w:rPr>
          <w:lang w:val="ru-RU"/>
        </w:rPr>
        <w:t> </w:t>
      </w:r>
      <w:r w:rsidRPr="004C7931">
        <w:rPr>
          <w:lang w:val="ru-RU"/>
        </w:rPr>
        <w:t>года утвердил выделение 0,5</w:t>
      </w:r>
      <w:r w:rsidR="00FF47EE" w:rsidRPr="004C7931">
        <w:rPr>
          <w:lang w:val="ru-RU"/>
        </w:rPr>
        <w:t> </w:t>
      </w:r>
      <w:r w:rsidRPr="004C7931">
        <w:rPr>
          <w:lang w:val="ru-RU"/>
        </w:rPr>
        <w:t>млн.</w:t>
      </w:r>
      <w:r w:rsidR="00FF47EE" w:rsidRPr="004C7931">
        <w:rPr>
          <w:lang w:val="ru-RU"/>
        </w:rPr>
        <w:t> </w:t>
      </w:r>
      <w:r w:rsidRPr="004C7931">
        <w:rPr>
          <w:lang w:val="ru-RU"/>
        </w:rPr>
        <w:t xml:space="preserve">швейцарских франков в год из сборов, </w:t>
      </w:r>
      <w:r w:rsidR="00E0025D" w:rsidRPr="004C7931">
        <w:rPr>
          <w:lang w:val="ru-RU"/>
        </w:rPr>
        <w:t>взимаемых</w:t>
      </w:r>
      <w:r w:rsidRPr="004C7931">
        <w:rPr>
          <w:lang w:val="ru-RU"/>
        </w:rPr>
        <w:t xml:space="preserve"> за SNF, </w:t>
      </w:r>
      <w:r w:rsidR="00E0025D" w:rsidRPr="004C7931">
        <w:rPr>
          <w:lang w:val="ru-RU"/>
        </w:rPr>
        <w:t xml:space="preserve">в Капитальный фонд ИКТ </w:t>
      </w:r>
      <w:r w:rsidRPr="004C7931">
        <w:rPr>
          <w:lang w:val="ru-RU"/>
        </w:rPr>
        <w:t>для разработки программного обеспечения БР в</w:t>
      </w:r>
      <w:r w:rsidR="0005346F" w:rsidRPr="004C7931">
        <w:rPr>
          <w:lang w:val="ru-RU"/>
        </w:rPr>
        <w:t> </w:t>
      </w:r>
      <w:r w:rsidRPr="004C7931">
        <w:rPr>
          <w:lang w:val="ru-RU"/>
        </w:rPr>
        <w:t>период 2026−2027</w:t>
      </w:r>
      <w:r w:rsidR="00FF47EE" w:rsidRPr="004C7931">
        <w:rPr>
          <w:lang w:val="ru-RU"/>
        </w:rPr>
        <w:t> </w:t>
      </w:r>
      <w:r w:rsidRPr="004C7931">
        <w:rPr>
          <w:lang w:val="ru-RU"/>
        </w:rPr>
        <w:t>годов.</w:t>
      </w:r>
    </w:p>
    <w:p w14:paraId="3D586856" w14:textId="7F1CBFE7" w:rsidR="00F87C2C" w:rsidRPr="004C7931" w:rsidRDefault="00F87C2C" w:rsidP="00FF47EE">
      <w:pPr>
        <w:rPr>
          <w:lang w:val="ru-RU"/>
        </w:rPr>
      </w:pPr>
      <w:r w:rsidRPr="004C7931">
        <w:rPr>
          <w:lang w:val="ru-RU"/>
        </w:rPr>
        <w:t>Хотя эти предлагаемые инвестиции представляют собой важный шаг, они не полностью покрывают потребности, связанные с дальнейшим развитием и совершенствованием систем</w:t>
      </w:r>
      <w:r w:rsidR="00027328" w:rsidRPr="004C7931">
        <w:rPr>
          <w:lang w:val="ru-RU"/>
        </w:rPr>
        <w:t xml:space="preserve">, </w:t>
      </w:r>
      <w:r w:rsidR="00027328" w:rsidRPr="004C7931">
        <w:rPr>
          <w:lang w:val="ru-RU"/>
        </w:rPr>
        <w:lastRenderedPageBreak/>
        <w:t>касающихся SNF</w:t>
      </w:r>
      <w:r w:rsidRPr="004C7931">
        <w:rPr>
          <w:lang w:val="ru-RU"/>
        </w:rPr>
        <w:t>. В связи с этим было включено постоянное финансирование капиталовложений в размере 500</w:t>
      </w:r>
      <w:r w:rsidR="00FF47EE" w:rsidRPr="004C7931">
        <w:rPr>
          <w:lang w:val="ru-RU"/>
        </w:rPr>
        <w:t> </w:t>
      </w:r>
      <w:r w:rsidRPr="004C7931">
        <w:rPr>
          <w:lang w:val="ru-RU"/>
        </w:rPr>
        <w:t>000</w:t>
      </w:r>
      <w:r w:rsidR="00FF47EE" w:rsidRPr="004C7931">
        <w:rPr>
          <w:lang w:val="ru-RU"/>
        </w:rPr>
        <w:t> </w:t>
      </w:r>
      <w:r w:rsidRPr="004C7931">
        <w:rPr>
          <w:lang w:val="ru-RU"/>
        </w:rPr>
        <w:t xml:space="preserve">швейцарских франков в год для обеспечения предоставления критически важных функций и поддержки меняющихся эксплуатационных и </w:t>
      </w:r>
      <w:r w:rsidR="00E0025D" w:rsidRPr="004C7931">
        <w:rPr>
          <w:lang w:val="ru-RU"/>
        </w:rPr>
        <w:t>регламентарных</w:t>
      </w:r>
      <w:r w:rsidRPr="004C7931">
        <w:rPr>
          <w:lang w:val="ru-RU"/>
        </w:rPr>
        <w:t xml:space="preserve"> требований, связанных с обработкой SNF.</w:t>
      </w:r>
    </w:p>
    <w:p w14:paraId="03A77713" w14:textId="7BE01B21" w:rsidR="00F87C2C" w:rsidRPr="004C7931" w:rsidRDefault="00F87C2C" w:rsidP="00FF47EE">
      <w:pPr>
        <w:rPr>
          <w:lang w:val="ru-RU"/>
        </w:rPr>
      </w:pPr>
      <w:r w:rsidRPr="004C7931">
        <w:rPr>
          <w:lang w:val="ru-RU"/>
        </w:rPr>
        <w:t>МСЭ также несет затраты в рамках ISD, FRMD и C&amp;P, которые напрямую связаны с обработкой SNF. К ним относятся:</w:t>
      </w:r>
    </w:p>
    <w:p w14:paraId="5F7DC84F" w14:textId="28C3DCD3" w:rsidR="00234155" w:rsidRPr="004C7931" w:rsidRDefault="00234155" w:rsidP="003A238E">
      <w:pPr>
        <w:pStyle w:val="Figure"/>
        <w:rPr>
          <w:lang w:val="ru-RU"/>
        </w:rPr>
      </w:pPr>
      <w:r w:rsidRPr="004C7931">
        <w:rPr>
          <w:noProof/>
          <w:lang w:val="ru-RU"/>
        </w:rPr>
        <w:drawing>
          <wp:inline distT="0" distB="0" distL="0" distR="0" wp14:anchorId="0FD1E0C1" wp14:editId="6349FEE1">
            <wp:extent cx="5010150" cy="347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0150" cy="3473450"/>
                    </a:xfrm>
                    <a:prstGeom prst="rect">
                      <a:avLst/>
                    </a:prstGeom>
                    <a:noFill/>
                    <a:ln>
                      <a:noFill/>
                    </a:ln>
                  </pic:spPr>
                </pic:pic>
              </a:graphicData>
            </a:graphic>
          </wp:inline>
        </w:drawing>
      </w:r>
    </w:p>
    <w:p w14:paraId="07D831D0" w14:textId="77777777" w:rsidR="00F87C2C" w:rsidRPr="004C7931" w:rsidRDefault="00F87C2C" w:rsidP="00F87C2C">
      <w:pPr>
        <w:pStyle w:val="Headingb"/>
        <w:rPr>
          <w:lang w:val="ru-RU"/>
        </w:rPr>
      </w:pPr>
      <w:r w:rsidRPr="004C7931">
        <w:rPr>
          <w:lang w:val="ru-RU"/>
        </w:rPr>
        <w:t>Косвенные затраты</w:t>
      </w:r>
    </w:p>
    <w:p w14:paraId="0BFBA719" w14:textId="617772E5" w:rsidR="00F87C2C" w:rsidRPr="004C7931" w:rsidRDefault="00F87C2C" w:rsidP="00F5552F">
      <w:pPr>
        <w:rPr>
          <w:lang w:val="ru-RU"/>
        </w:rPr>
      </w:pPr>
      <w:r w:rsidRPr="004C7931">
        <w:rPr>
          <w:lang w:val="ru-RU"/>
        </w:rPr>
        <w:t xml:space="preserve">Помимо прямых затрат, деятельность в отношении SNF зависит от ряда корпоративных услуг, которые поддерживают функционирование организации в целом. Для обеспечения надлежащего учета всей суммы затрат на предоставление услуг по обработке SNF соответствующие части этих вспомогательных услуг </w:t>
      </w:r>
      <w:r w:rsidR="002B65D4" w:rsidRPr="004C7931">
        <w:rPr>
          <w:lang w:val="ru-RU"/>
        </w:rPr>
        <w:t>определены в категорию</w:t>
      </w:r>
      <w:r w:rsidRPr="004C7931">
        <w:rPr>
          <w:lang w:val="ru-RU"/>
        </w:rPr>
        <w:t xml:space="preserve"> SNF на основе практичных и поддающихся измерению факторов, отражающих фактическое использование </w:t>
      </w:r>
      <w:r w:rsidR="00110314" w:rsidRPr="004C7931">
        <w:rPr>
          <w:lang w:val="ru-RU"/>
        </w:rPr>
        <w:t xml:space="preserve">услуг </w:t>
      </w:r>
      <w:r w:rsidRPr="004C7931">
        <w:rPr>
          <w:lang w:val="ru-RU"/>
        </w:rPr>
        <w:t>для обработки SNF.</w:t>
      </w:r>
    </w:p>
    <w:p w14:paraId="504615D7" w14:textId="7B782BB1" w:rsidR="00F87C2C" w:rsidRPr="004C7931" w:rsidRDefault="00F87C2C" w:rsidP="00F5552F">
      <w:pPr>
        <w:rPr>
          <w:lang w:val="ru-RU"/>
        </w:rPr>
      </w:pPr>
      <w:r w:rsidRPr="004C7931">
        <w:rPr>
          <w:lang w:val="ru-RU"/>
        </w:rPr>
        <w:t>Основ</w:t>
      </w:r>
      <w:r w:rsidR="002B65D4" w:rsidRPr="004C7931">
        <w:rPr>
          <w:lang w:val="ru-RU"/>
        </w:rPr>
        <w:t xml:space="preserve">а для определения затрат в соответствующую категорию </w:t>
      </w:r>
      <w:r w:rsidRPr="004C7931">
        <w:rPr>
          <w:lang w:val="ru-RU"/>
        </w:rPr>
        <w:t>определен</w:t>
      </w:r>
      <w:r w:rsidR="002B65D4" w:rsidRPr="004C7931">
        <w:rPr>
          <w:lang w:val="ru-RU"/>
        </w:rPr>
        <w:t>а</w:t>
      </w:r>
      <w:r w:rsidRPr="004C7931">
        <w:rPr>
          <w:lang w:val="ru-RU"/>
        </w:rPr>
        <w:t xml:space="preserve"> </w:t>
      </w:r>
      <w:r w:rsidR="00110314" w:rsidRPr="004C7931">
        <w:rPr>
          <w:lang w:val="ru-RU"/>
        </w:rPr>
        <w:t xml:space="preserve">в рамках </w:t>
      </w:r>
      <w:r w:rsidRPr="004C7931">
        <w:rPr>
          <w:lang w:val="ru-RU"/>
        </w:rPr>
        <w:t xml:space="preserve">консультаций с соответствующими </w:t>
      </w:r>
      <w:r w:rsidR="002B65D4" w:rsidRPr="004C7931">
        <w:rPr>
          <w:lang w:val="ru-RU"/>
        </w:rPr>
        <w:t>отделами</w:t>
      </w:r>
      <w:r w:rsidRPr="004C7931">
        <w:rPr>
          <w:lang w:val="ru-RU"/>
        </w:rPr>
        <w:t xml:space="preserve"> обслуживания и призваны обеспечить баланс прозрачности, практической осуществимости и доступности данных.</w:t>
      </w:r>
    </w:p>
    <w:p w14:paraId="2BC0B5F1" w14:textId="5CA084D3" w:rsidR="00F87C2C" w:rsidRPr="004C7931" w:rsidRDefault="00F87C2C" w:rsidP="00F5552F">
      <w:pPr>
        <w:rPr>
          <w:lang w:val="ru-RU"/>
        </w:rPr>
      </w:pPr>
      <w:r w:rsidRPr="004C7931">
        <w:rPr>
          <w:lang w:val="ru-RU"/>
        </w:rPr>
        <w:t xml:space="preserve">Ниже приведена сводная информация об основных </w:t>
      </w:r>
      <w:r w:rsidR="002B65D4" w:rsidRPr="004C7931">
        <w:rPr>
          <w:lang w:val="ru-RU"/>
        </w:rPr>
        <w:t>категориях, определенных в категорию</w:t>
      </w:r>
      <w:r w:rsidRPr="004C7931">
        <w:rPr>
          <w:lang w:val="ru-RU"/>
        </w:rPr>
        <w:t xml:space="preserve"> вспомогательны</w:t>
      </w:r>
      <w:r w:rsidR="002B65D4" w:rsidRPr="004C7931">
        <w:rPr>
          <w:lang w:val="ru-RU"/>
        </w:rPr>
        <w:t>х</w:t>
      </w:r>
      <w:r w:rsidRPr="004C7931">
        <w:rPr>
          <w:lang w:val="ru-RU"/>
        </w:rPr>
        <w:t xml:space="preserve"> услуг:</w:t>
      </w:r>
    </w:p>
    <w:p w14:paraId="1B10BA6A" w14:textId="77777777" w:rsidR="00F87C2C" w:rsidRPr="004C7931" w:rsidRDefault="00F87C2C" w:rsidP="00F5552F">
      <w:pPr>
        <w:pStyle w:val="enumlev1"/>
        <w:rPr>
          <w:b/>
          <w:bCs/>
          <w:lang w:val="ru-RU"/>
        </w:rPr>
      </w:pPr>
      <w:r w:rsidRPr="004C7931">
        <w:rPr>
          <w:lang w:val="ru-RU"/>
        </w:rPr>
        <w:t>–</w:t>
      </w:r>
      <w:r w:rsidRPr="004C7931">
        <w:rPr>
          <w:lang w:val="ru-RU"/>
        </w:rPr>
        <w:tab/>
      </w:r>
      <w:r w:rsidRPr="004C7931">
        <w:rPr>
          <w:b/>
          <w:bCs/>
          <w:lang w:val="ru-RU"/>
        </w:rPr>
        <w:t>Высшее руководство</w:t>
      </w:r>
    </w:p>
    <w:p w14:paraId="6BCC4281" w14:textId="10119779" w:rsidR="00F87C2C" w:rsidRPr="004C7931" w:rsidRDefault="00F87C2C" w:rsidP="00F5552F">
      <w:pPr>
        <w:pStyle w:val="enumlev1"/>
        <w:rPr>
          <w:lang w:val="ru-RU"/>
        </w:rPr>
      </w:pPr>
      <w:r w:rsidRPr="004C7931">
        <w:rPr>
          <w:lang w:val="ru-RU"/>
        </w:rPr>
        <w:tab/>
        <w:t>В структуру затрат на SNF включена ограниченная доля времени высшего руководства для отражения принятия стратегических и оперативных решений на высоком уровне, а</w:t>
      </w:r>
      <w:r w:rsidR="00F5552F" w:rsidRPr="004C7931">
        <w:rPr>
          <w:lang w:val="ru-RU"/>
        </w:rPr>
        <w:t> </w:t>
      </w:r>
      <w:r w:rsidRPr="004C7931">
        <w:rPr>
          <w:lang w:val="ru-RU"/>
        </w:rPr>
        <w:t xml:space="preserve">также необходимого участия членов и </w:t>
      </w:r>
      <w:r w:rsidR="002B65D4" w:rsidRPr="004C7931">
        <w:rPr>
          <w:lang w:val="ru-RU"/>
        </w:rPr>
        <w:t xml:space="preserve">выполнения </w:t>
      </w:r>
      <w:r w:rsidRPr="004C7931">
        <w:rPr>
          <w:lang w:val="ru-RU"/>
        </w:rPr>
        <w:t>обязанностей по надзору, которые берут на себя Генеральный секретарь и заместитель Генерального секретаря в</w:t>
      </w:r>
      <w:r w:rsidR="00F5552F" w:rsidRPr="004C7931">
        <w:rPr>
          <w:lang w:val="ru-RU"/>
        </w:rPr>
        <w:t> </w:t>
      </w:r>
      <w:r w:rsidRPr="004C7931">
        <w:rPr>
          <w:lang w:val="ru-RU"/>
        </w:rPr>
        <w:t>отношении заявок на регистрацию спутниковых сетей.</w:t>
      </w:r>
    </w:p>
    <w:p w14:paraId="16205271" w14:textId="748C5072" w:rsidR="00F87C2C" w:rsidRPr="004C7931" w:rsidRDefault="00F87C2C" w:rsidP="00F5552F">
      <w:pPr>
        <w:pStyle w:val="enumlev1"/>
        <w:rPr>
          <w:lang w:val="ru-RU"/>
        </w:rPr>
      </w:pPr>
      <w:r w:rsidRPr="004C7931">
        <w:rPr>
          <w:lang w:val="ru-RU"/>
        </w:rPr>
        <w:tab/>
        <w:t>В рамках модели расчета стоимости этот вклад был консервативно оценен в</w:t>
      </w:r>
      <w:r w:rsidR="00F5552F" w:rsidRPr="004C7931">
        <w:rPr>
          <w:lang w:val="ru-RU"/>
        </w:rPr>
        <w:t> </w:t>
      </w:r>
      <w:r w:rsidRPr="004C7931">
        <w:rPr>
          <w:lang w:val="ru-RU"/>
        </w:rPr>
        <w:t>2</w:t>
      </w:r>
      <w:r w:rsidR="00F5552F" w:rsidRPr="004C7931">
        <w:rPr>
          <w:lang w:val="ru-RU"/>
        </w:rPr>
        <w:t> </w:t>
      </w:r>
      <w:r w:rsidRPr="004C7931">
        <w:rPr>
          <w:lang w:val="ru-RU"/>
        </w:rPr>
        <w:t>процента (18,1</w:t>
      </w:r>
      <w:r w:rsidR="00F5552F" w:rsidRPr="004C7931">
        <w:rPr>
          <w:lang w:val="ru-RU"/>
        </w:rPr>
        <w:t> </w:t>
      </w:r>
      <w:r w:rsidRPr="004C7931">
        <w:rPr>
          <w:lang w:val="ru-RU"/>
        </w:rPr>
        <w:t>тыс.</w:t>
      </w:r>
      <w:r w:rsidR="00F5552F" w:rsidRPr="004C7931">
        <w:rPr>
          <w:lang w:val="ru-RU"/>
        </w:rPr>
        <w:t> </w:t>
      </w:r>
      <w:r w:rsidRPr="004C7931">
        <w:rPr>
          <w:lang w:val="ru-RU"/>
        </w:rPr>
        <w:t xml:space="preserve">швейцарских франков) от времени руководства </w:t>
      </w:r>
      <w:r w:rsidR="00D45D4D">
        <w:rPr>
          <w:rFonts w:cs="Calibri"/>
          <w:lang w:val="ru-RU"/>
        </w:rPr>
        <w:t>−</w:t>
      </w:r>
      <w:r w:rsidRPr="004C7931">
        <w:rPr>
          <w:lang w:val="ru-RU"/>
        </w:rPr>
        <w:t xml:space="preserve"> с учетом лишь тех мероприятий, которые напрямую связаны с деятельностью по обработке SNF. </w:t>
      </w:r>
      <w:r w:rsidRPr="004C7931">
        <w:rPr>
          <w:lang w:val="ru-RU"/>
        </w:rPr>
        <w:lastRenderedPageBreak/>
        <w:t xml:space="preserve">Соответствующие </w:t>
      </w:r>
      <w:r w:rsidR="00C57C31" w:rsidRPr="004C7931">
        <w:rPr>
          <w:lang w:val="ru-RU"/>
        </w:rPr>
        <w:t>затраты</w:t>
      </w:r>
      <w:r w:rsidRPr="004C7931">
        <w:rPr>
          <w:lang w:val="ru-RU"/>
        </w:rPr>
        <w:t xml:space="preserve"> распределяются </w:t>
      </w:r>
      <w:r w:rsidR="00C57C31" w:rsidRPr="004C7931">
        <w:rPr>
          <w:lang w:val="ru-RU"/>
        </w:rPr>
        <w:t>на основании</w:t>
      </w:r>
      <w:r w:rsidRPr="004C7931">
        <w:rPr>
          <w:lang w:val="ru-RU"/>
        </w:rPr>
        <w:t xml:space="preserve"> тех же принципов, что и другие </w:t>
      </w:r>
      <w:r w:rsidR="00C57C31" w:rsidRPr="004C7931">
        <w:rPr>
          <w:lang w:val="ru-RU"/>
        </w:rPr>
        <w:t>категории</w:t>
      </w:r>
      <w:r w:rsidRPr="004C7931">
        <w:rPr>
          <w:lang w:val="ru-RU"/>
        </w:rPr>
        <w:t xml:space="preserve"> косвенных затрат, что обеспечивает </w:t>
      </w:r>
      <w:r w:rsidR="00BA31D2" w:rsidRPr="004C7931">
        <w:rPr>
          <w:lang w:val="ru-RU"/>
        </w:rPr>
        <w:t>единообразие</w:t>
      </w:r>
      <w:r w:rsidRPr="004C7931">
        <w:rPr>
          <w:lang w:val="ru-RU"/>
        </w:rPr>
        <w:t xml:space="preserve"> и пропорциональность в</w:t>
      </w:r>
      <w:r w:rsidR="00F5552F" w:rsidRPr="004C7931">
        <w:rPr>
          <w:lang w:val="ru-RU"/>
        </w:rPr>
        <w:t> </w:t>
      </w:r>
      <w:r w:rsidRPr="004C7931">
        <w:rPr>
          <w:lang w:val="ru-RU"/>
        </w:rPr>
        <w:t>рамках общей методики.</w:t>
      </w:r>
    </w:p>
    <w:p w14:paraId="71076B06" w14:textId="77777777" w:rsidR="00F87C2C" w:rsidRPr="004C7931" w:rsidRDefault="00F87C2C" w:rsidP="00F5552F">
      <w:pPr>
        <w:pStyle w:val="enumlev1"/>
        <w:rPr>
          <w:b/>
          <w:bCs/>
          <w:lang w:val="ru-RU"/>
        </w:rPr>
      </w:pPr>
      <w:r w:rsidRPr="004C7931">
        <w:rPr>
          <w:lang w:val="ru-RU"/>
        </w:rPr>
        <w:t>–</w:t>
      </w:r>
      <w:r w:rsidRPr="004C7931">
        <w:rPr>
          <w:lang w:val="ru-RU"/>
        </w:rPr>
        <w:tab/>
      </w:r>
      <w:r w:rsidRPr="004C7931">
        <w:rPr>
          <w:b/>
          <w:bCs/>
          <w:lang w:val="ru-RU"/>
        </w:rPr>
        <w:t>Департамент информационных служб (ISD)</w:t>
      </w:r>
    </w:p>
    <w:p w14:paraId="44A1CB4D" w14:textId="1F64F89F" w:rsidR="00F87C2C" w:rsidRPr="004C7931" w:rsidRDefault="00F87C2C" w:rsidP="00F5552F">
      <w:pPr>
        <w:pStyle w:val="enumlev1"/>
        <w:rPr>
          <w:lang w:val="ru-RU"/>
        </w:rPr>
      </w:pPr>
      <w:r w:rsidRPr="004C7931">
        <w:rPr>
          <w:lang w:val="ru-RU"/>
        </w:rPr>
        <w:tab/>
        <w:t>ISD обеспечивает ИТ-инфраструктуру, кибербезопасность, корпоративные системы и техническую поддержку, используемую персоналом, отвечающим за обработку SNF. Эти</w:t>
      </w:r>
      <w:r w:rsidR="00F5552F" w:rsidRPr="004C7931">
        <w:rPr>
          <w:lang w:val="ru-RU"/>
        </w:rPr>
        <w:t> </w:t>
      </w:r>
      <w:r w:rsidRPr="004C7931">
        <w:rPr>
          <w:lang w:val="ru-RU"/>
        </w:rPr>
        <w:t>затраты в значительной степени распределяются на основе соотношения численности персонала, отвечающего за обработку SNF, к общей численности персонала МСЭ, что отражает общее использование инфраструктуры персоналом Союза</w:t>
      </w:r>
      <w:r w:rsidR="00BA31D2" w:rsidRPr="004C7931">
        <w:rPr>
          <w:lang w:val="ru-RU"/>
        </w:rPr>
        <w:t>, занимающимся ИТ,</w:t>
      </w:r>
      <w:r w:rsidRPr="004C7931">
        <w:rPr>
          <w:lang w:val="ru-RU"/>
        </w:rPr>
        <w:t xml:space="preserve"> в целом.</w:t>
      </w:r>
    </w:p>
    <w:p w14:paraId="0C64C413" w14:textId="04BC1A1D" w:rsidR="00633774" w:rsidRPr="00633774" w:rsidRDefault="00B67BF2" w:rsidP="00633774">
      <w:pPr>
        <w:pStyle w:val="Figuretitle"/>
      </w:pPr>
      <w:r w:rsidRPr="00B67BF2">
        <w:rPr>
          <w:noProof/>
        </w:rPr>
        <w:drawing>
          <wp:inline distT="0" distB="0" distL="0" distR="0" wp14:anchorId="6A44DABF" wp14:editId="0E483F96">
            <wp:extent cx="4284980" cy="1623695"/>
            <wp:effectExtent l="0" t="0" r="1270" b="0"/>
            <wp:docPr id="10357002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4980" cy="1623695"/>
                    </a:xfrm>
                    <a:prstGeom prst="rect">
                      <a:avLst/>
                    </a:prstGeom>
                    <a:noFill/>
                    <a:ln>
                      <a:noFill/>
                    </a:ln>
                  </pic:spPr>
                </pic:pic>
              </a:graphicData>
            </a:graphic>
          </wp:inline>
        </w:drawing>
      </w:r>
    </w:p>
    <w:p w14:paraId="5D6A8E2E" w14:textId="77777777" w:rsidR="00F87C2C" w:rsidRPr="004C7931" w:rsidRDefault="00F87C2C" w:rsidP="003A238E">
      <w:pPr>
        <w:pStyle w:val="enumlev1"/>
        <w:rPr>
          <w:b/>
          <w:bCs/>
          <w:lang w:val="ru-RU"/>
        </w:rPr>
      </w:pPr>
      <w:r w:rsidRPr="004C7931">
        <w:rPr>
          <w:lang w:val="ru-RU"/>
        </w:rPr>
        <w:t>–</w:t>
      </w:r>
      <w:r w:rsidRPr="004C7931">
        <w:rPr>
          <w:lang w:val="ru-RU"/>
        </w:rPr>
        <w:tab/>
      </w:r>
      <w:r w:rsidRPr="004C7931">
        <w:rPr>
          <w:b/>
          <w:bCs/>
          <w:lang w:val="ru-RU"/>
        </w:rPr>
        <w:t>Административно-хозяйственное управление</w:t>
      </w:r>
    </w:p>
    <w:p w14:paraId="5BDD6688" w14:textId="54FC3DC0" w:rsidR="00F87C2C" w:rsidRPr="004C7931" w:rsidRDefault="00F87C2C" w:rsidP="00293B03">
      <w:pPr>
        <w:pStyle w:val="enumlev1"/>
        <w:rPr>
          <w:lang w:val="ru-RU"/>
        </w:rPr>
      </w:pPr>
      <w:r w:rsidRPr="004C7931">
        <w:rPr>
          <w:lang w:val="ru-RU"/>
        </w:rPr>
        <w:tab/>
        <w:t xml:space="preserve">Затраты на </w:t>
      </w:r>
      <w:r w:rsidR="00BA31D2" w:rsidRPr="004C7931">
        <w:rPr>
          <w:lang w:val="ru-RU"/>
        </w:rPr>
        <w:t>административно-хозяйственное управление</w:t>
      </w:r>
      <w:r w:rsidRPr="004C7931">
        <w:rPr>
          <w:lang w:val="ru-RU"/>
        </w:rPr>
        <w:t xml:space="preserve"> включают </w:t>
      </w:r>
      <w:r w:rsidR="00BA31D2" w:rsidRPr="004C7931">
        <w:rPr>
          <w:lang w:val="ru-RU"/>
        </w:rPr>
        <w:t>обеспечение пребывания в зданиях</w:t>
      </w:r>
      <w:r w:rsidRPr="004C7931">
        <w:rPr>
          <w:lang w:val="ru-RU"/>
        </w:rPr>
        <w:t>, содержание рабочего пространства, коммунальные услуги и другие связанные с помещениями услуги, используемые персоналом, отвечающим за</w:t>
      </w:r>
      <w:r w:rsidR="00293B03" w:rsidRPr="004C7931">
        <w:rPr>
          <w:lang w:val="ru-RU"/>
        </w:rPr>
        <w:t> </w:t>
      </w:r>
      <w:r w:rsidRPr="004C7931">
        <w:rPr>
          <w:lang w:val="ru-RU"/>
        </w:rPr>
        <w:t>обработку SNF. Эти затраты распределяются на основе площади офисных помещений, занимаемых персоналом, отвечающим за обработку SNF, (измеряе</w:t>
      </w:r>
      <w:r w:rsidR="00BA31D2" w:rsidRPr="004C7931">
        <w:rPr>
          <w:lang w:val="ru-RU"/>
        </w:rPr>
        <w:t>тся</w:t>
      </w:r>
      <w:r w:rsidRPr="004C7931">
        <w:rPr>
          <w:lang w:val="ru-RU"/>
        </w:rPr>
        <w:t xml:space="preserve"> в квадратных метрах) относительно общей площади служебных помещений МСЭ, что дает практическое представление о потреблении производственных ресурсов.</w:t>
      </w:r>
    </w:p>
    <w:p w14:paraId="6BD9DA1F" w14:textId="3D700E15" w:rsidR="00293B03" w:rsidRPr="004C7931" w:rsidRDefault="00293B03" w:rsidP="003A238E">
      <w:pPr>
        <w:pStyle w:val="Figure"/>
        <w:rPr>
          <w:lang w:val="ru-RU"/>
        </w:rPr>
      </w:pPr>
      <w:r w:rsidRPr="004C7931">
        <w:rPr>
          <w:noProof/>
          <w:lang w:val="ru-RU"/>
        </w:rPr>
        <w:drawing>
          <wp:inline distT="0" distB="0" distL="0" distR="0" wp14:anchorId="3E3F1604" wp14:editId="35F61AD4">
            <wp:extent cx="4114800" cy="1035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14800" cy="1035050"/>
                    </a:xfrm>
                    <a:prstGeom prst="rect">
                      <a:avLst/>
                    </a:prstGeom>
                    <a:noFill/>
                    <a:ln>
                      <a:noFill/>
                    </a:ln>
                  </pic:spPr>
                </pic:pic>
              </a:graphicData>
            </a:graphic>
          </wp:inline>
        </w:drawing>
      </w:r>
    </w:p>
    <w:p w14:paraId="163E4E58" w14:textId="77777777" w:rsidR="00F87C2C" w:rsidRPr="004C7931" w:rsidRDefault="00F87C2C" w:rsidP="00293B03">
      <w:pPr>
        <w:pStyle w:val="enumlev1"/>
        <w:rPr>
          <w:b/>
          <w:bCs/>
          <w:lang w:val="ru-RU"/>
        </w:rPr>
      </w:pPr>
      <w:r w:rsidRPr="004C7931">
        <w:rPr>
          <w:lang w:val="ru-RU"/>
        </w:rPr>
        <w:t>–</w:t>
      </w:r>
      <w:r w:rsidRPr="004C7931">
        <w:rPr>
          <w:lang w:val="ru-RU"/>
        </w:rPr>
        <w:tab/>
      </w:r>
      <w:r w:rsidRPr="004C7931">
        <w:rPr>
          <w:b/>
          <w:bCs/>
          <w:lang w:val="ru-RU"/>
        </w:rPr>
        <w:t>Департамент управления финансовыми ресурсами (FRMD)</w:t>
      </w:r>
    </w:p>
    <w:p w14:paraId="6F503B04" w14:textId="0E4978F0" w:rsidR="00F87C2C" w:rsidRPr="004C7931" w:rsidRDefault="00F87C2C" w:rsidP="00293B03">
      <w:pPr>
        <w:pStyle w:val="enumlev1"/>
        <w:rPr>
          <w:lang w:val="ru-RU"/>
        </w:rPr>
      </w:pPr>
      <w:r w:rsidRPr="004C7931">
        <w:rPr>
          <w:lang w:val="ru-RU"/>
        </w:rPr>
        <w:tab/>
        <w:t>Помимо прямых затрат со стороны FRMD, связанных с работой по обработке SNF, о</w:t>
      </w:r>
      <w:r w:rsidR="0005346F" w:rsidRPr="004C7931">
        <w:rPr>
          <w:lang w:val="ru-RU"/>
        </w:rPr>
        <w:t> </w:t>
      </w:r>
      <w:r w:rsidRPr="004C7931">
        <w:rPr>
          <w:lang w:val="ru-RU"/>
        </w:rPr>
        <w:t xml:space="preserve">которых идет речь выше, существуют и другие косвенные затраты, упомянутые ниже, а именно: управление активами и другие функции финансовой поддержки. </w:t>
      </w:r>
    </w:p>
    <w:p w14:paraId="73F4F95E" w14:textId="702D690D" w:rsidR="00F87C2C" w:rsidRPr="004C7931" w:rsidRDefault="003A238E" w:rsidP="003A238E">
      <w:pPr>
        <w:pStyle w:val="Figure"/>
        <w:rPr>
          <w:lang w:val="ru-RU"/>
        </w:rPr>
      </w:pPr>
      <w:r w:rsidRPr="004C7931">
        <w:rPr>
          <w:noProof/>
          <w:lang w:val="ru-RU"/>
        </w:rPr>
        <w:drawing>
          <wp:inline distT="0" distB="0" distL="0" distR="0" wp14:anchorId="13569B56" wp14:editId="49C39B66">
            <wp:extent cx="4597400" cy="1733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97400" cy="1733550"/>
                    </a:xfrm>
                    <a:prstGeom prst="rect">
                      <a:avLst/>
                    </a:prstGeom>
                    <a:noFill/>
                    <a:ln>
                      <a:noFill/>
                    </a:ln>
                  </pic:spPr>
                </pic:pic>
              </a:graphicData>
            </a:graphic>
          </wp:inline>
        </w:drawing>
      </w:r>
    </w:p>
    <w:p w14:paraId="180F812A" w14:textId="315D30AF" w:rsidR="00F87C2C" w:rsidRPr="004C7931" w:rsidRDefault="00F87C2C" w:rsidP="003A238E">
      <w:pPr>
        <w:pStyle w:val="enumlev1"/>
        <w:rPr>
          <w:b/>
          <w:bCs/>
          <w:lang w:val="ru-RU"/>
        </w:rPr>
      </w:pPr>
      <w:r w:rsidRPr="004C7931">
        <w:rPr>
          <w:lang w:val="ru-RU"/>
        </w:rPr>
        <w:lastRenderedPageBreak/>
        <w:t>–</w:t>
      </w:r>
      <w:r w:rsidRPr="004C7931">
        <w:rPr>
          <w:lang w:val="ru-RU"/>
        </w:rPr>
        <w:tab/>
      </w:r>
      <w:r w:rsidRPr="004C7931">
        <w:rPr>
          <w:b/>
          <w:bCs/>
          <w:lang w:val="ru-RU"/>
        </w:rPr>
        <w:t xml:space="preserve">Департамент управления людскими ресурсами (HRMD), </w:t>
      </w:r>
      <w:r w:rsidR="009F14B8" w:rsidRPr="004C7931">
        <w:rPr>
          <w:b/>
          <w:bCs/>
          <w:lang w:val="ru-RU"/>
        </w:rPr>
        <w:t>П</w:t>
      </w:r>
      <w:r w:rsidRPr="004C7931">
        <w:rPr>
          <w:b/>
          <w:bCs/>
          <w:lang w:val="ru-RU"/>
        </w:rPr>
        <w:t>одразделение по</w:t>
      </w:r>
      <w:r w:rsidR="0005346F" w:rsidRPr="004C7931">
        <w:rPr>
          <w:b/>
          <w:bCs/>
          <w:lang w:val="ru-RU"/>
        </w:rPr>
        <w:t> </w:t>
      </w:r>
      <w:r w:rsidRPr="004C7931">
        <w:rPr>
          <w:b/>
          <w:bCs/>
          <w:lang w:val="ru-RU"/>
        </w:rPr>
        <w:t xml:space="preserve">правовым вопросам (JUR) и </w:t>
      </w:r>
      <w:r w:rsidR="009F14B8" w:rsidRPr="004C7931">
        <w:rPr>
          <w:b/>
          <w:bCs/>
          <w:lang w:val="ru-RU"/>
        </w:rPr>
        <w:t>П</w:t>
      </w:r>
      <w:r w:rsidRPr="004C7931">
        <w:rPr>
          <w:b/>
          <w:bCs/>
          <w:lang w:val="ru-RU"/>
        </w:rPr>
        <w:t>одразделение по надзору (OU)</w:t>
      </w:r>
    </w:p>
    <w:p w14:paraId="25DADF08" w14:textId="1FE71748" w:rsidR="00F87C2C" w:rsidRPr="004C7931" w:rsidRDefault="00F87C2C" w:rsidP="003A238E">
      <w:pPr>
        <w:pStyle w:val="enumlev1"/>
        <w:rPr>
          <w:lang w:val="ru-RU"/>
        </w:rPr>
      </w:pPr>
      <w:r w:rsidRPr="004C7931">
        <w:rPr>
          <w:lang w:val="ru-RU"/>
        </w:rPr>
        <w:tab/>
        <w:t xml:space="preserve">В группы косвенных затрат включены затраты </w:t>
      </w:r>
      <w:r w:rsidR="00AC4873" w:rsidRPr="004C7931">
        <w:rPr>
          <w:lang w:val="ru-RU"/>
        </w:rPr>
        <w:t>Департамента</w:t>
      </w:r>
      <w:r w:rsidRPr="004C7931">
        <w:rPr>
          <w:lang w:val="ru-RU"/>
        </w:rPr>
        <w:t xml:space="preserve"> управлени</w:t>
      </w:r>
      <w:r w:rsidR="00AC4873" w:rsidRPr="004C7931">
        <w:rPr>
          <w:lang w:val="ru-RU"/>
        </w:rPr>
        <w:t>я</w:t>
      </w:r>
      <w:r w:rsidRPr="004C7931">
        <w:rPr>
          <w:lang w:val="ru-RU"/>
        </w:rPr>
        <w:t xml:space="preserve"> людскими ресурсами (HRMD), </w:t>
      </w:r>
      <w:r w:rsidR="00AC4873" w:rsidRPr="004C7931">
        <w:rPr>
          <w:lang w:val="ru-RU"/>
        </w:rPr>
        <w:t>П</w:t>
      </w:r>
      <w:r w:rsidRPr="004C7931">
        <w:rPr>
          <w:lang w:val="ru-RU"/>
        </w:rPr>
        <w:t>одразделени</w:t>
      </w:r>
      <w:r w:rsidR="00AC4873" w:rsidRPr="004C7931">
        <w:rPr>
          <w:lang w:val="ru-RU"/>
        </w:rPr>
        <w:t>я</w:t>
      </w:r>
      <w:r w:rsidRPr="004C7931">
        <w:rPr>
          <w:lang w:val="ru-RU"/>
        </w:rPr>
        <w:t xml:space="preserve"> по правовым вопросам и </w:t>
      </w:r>
      <w:r w:rsidR="00AC4873" w:rsidRPr="004C7931">
        <w:rPr>
          <w:lang w:val="ru-RU"/>
        </w:rPr>
        <w:t>Подразделения по</w:t>
      </w:r>
      <w:r w:rsidR="002D356F" w:rsidRPr="004C7931">
        <w:rPr>
          <w:lang w:val="ru-RU"/>
        </w:rPr>
        <w:t> </w:t>
      </w:r>
      <w:r w:rsidR="00AC4873" w:rsidRPr="004C7931">
        <w:rPr>
          <w:lang w:val="ru-RU"/>
        </w:rPr>
        <w:t>надзору</w:t>
      </w:r>
      <w:r w:rsidRPr="004C7931">
        <w:rPr>
          <w:lang w:val="ru-RU"/>
        </w:rPr>
        <w:t>, которые выполняют вспомогательную функцию в отношении деятельности по обработке SNF, в частности отвечают за наем, администрирование контрактов, расчет заработной платы, развитие персонала, анализ</w:t>
      </w:r>
      <w:r w:rsidR="00AC4873" w:rsidRPr="004C7931">
        <w:rPr>
          <w:lang w:val="ru-RU"/>
        </w:rPr>
        <w:t xml:space="preserve"> правовых вопросов</w:t>
      </w:r>
      <w:r w:rsidRPr="004C7931">
        <w:rPr>
          <w:lang w:val="ru-RU"/>
        </w:rPr>
        <w:t xml:space="preserve">, обеспечение нормативного соответствия, аудит и </w:t>
      </w:r>
      <w:r w:rsidR="00AC4873" w:rsidRPr="004C7931">
        <w:rPr>
          <w:lang w:val="ru-RU"/>
        </w:rPr>
        <w:t xml:space="preserve">управленческую </w:t>
      </w:r>
      <w:r w:rsidRPr="004C7931">
        <w:rPr>
          <w:lang w:val="ru-RU"/>
        </w:rPr>
        <w:t>поддержку. Эти</w:t>
      </w:r>
      <w:r w:rsidR="0005346F" w:rsidRPr="004C7931">
        <w:rPr>
          <w:lang w:val="ru-RU"/>
        </w:rPr>
        <w:t> </w:t>
      </w:r>
      <w:r w:rsidRPr="004C7931">
        <w:rPr>
          <w:lang w:val="ru-RU"/>
        </w:rPr>
        <w:t xml:space="preserve">услуги </w:t>
      </w:r>
      <w:r w:rsidR="00AC4873" w:rsidRPr="004C7931">
        <w:rPr>
          <w:lang w:val="ru-RU"/>
        </w:rPr>
        <w:t>определены в эту категорию</w:t>
      </w:r>
      <w:r w:rsidRPr="004C7931">
        <w:rPr>
          <w:lang w:val="ru-RU"/>
        </w:rPr>
        <w:t xml:space="preserve"> </w:t>
      </w:r>
      <w:r w:rsidR="00AC4873" w:rsidRPr="004C7931">
        <w:rPr>
          <w:lang w:val="ru-RU"/>
        </w:rPr>
        <w:t xml:space="preserve">в соответствии с </w:t>
      </w:r>
      <w:r w:rsidRPr="004C7931">
        <w:rPr>
          <w:lang w:val="ru-RU"/>
        </w:rPr>
        <w:t>той же методик</w:t>
      </w:r>
      <w:r w:rsidR="00AC4873" w:rsidRPr="004C7931">
        <w:rPr>
          <w:lang w:val="ru-RU"/>
        </w:rPr>
        <w:t>ой</w:t>
      </w:r>
      <w:r w:rsidRPr="004C7931">
        <w:rPr>
          <w:lang w:val="ru-RU"/>
        </w:rPr>
        <w:t>, которая применяется к другим корпоративным вспомогательным услугам, а именно на основе количества сотрудников, отвечающих за обработку SNF, по отношению к общей численности персонала МСЭ.</w:t>
      </w:r>
    </w:p>
    <w:p w14:paraId="58AB0747" w14:textId="3E65C37C" w:rsidR="00F87C2C" w:rsidRPr="004C7931" w:rsidRDefault="00290235" w:rsidP="00F87C2C">
      <w:pPr>
        <w:pStyle w:val="Figure"/>
        <w:rPr>
          <w:lang w:val="ru-RU"/>
        </w:rPr>
      </w:pPr>
      <w:r w:rsidRPr="004C7931">
        <w:rPr>
          <w:rFonts w:asciiTheme="minorHAnsi" w:hAnsiTheme="minorHAnsi" w:cstheme="minorHAnsi"/>
          <w:noProof/>
          <w:lang w:val="ru-RU"/>
        </w:rPr>
        <w:drawing>
          <wp:inline distT="0" distB="0" distL="0" distR="0" wp14:anchorId="56B0B0EE" wp14:editId="1FCE0A16">
            <wp:extent cx="4635500" cy="1295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35500" cy="1295400"/>
                    </a:xfrm>
                    <a:prstGeom prst="rect">
                      <a:avLst/>
                    </a:prstGeom>
                    <a:noFill/>
                    <a:ln>
                      <a:noFill/>
                    </a:ln>
                  </pic:spPr>
                </pic:pic>
              </a:graphicData>
            </a:graphic>
          </wp:inline>
        </w:drawing>
      </w:r>
    </w:p>
    <w:p w14:paraId="241CA62B" w14:textId="03483CEC" w:rsidR="0047565D" w:rsidRPr="004C7931" w:rsidRDefault="00290235" w:rsidP="00290235">
      <w:pPr>
        <w:pStyle w:val="Figure"/>
        <w:rPr>
          <w:lang w:val="ru-RU"/>
        </w:rPr>
      </w:pPr>
      <w:r w:rsidRPr="004C7931">
        <w:rPr>
          <w:noProof/>
          <w:lang w:val="ru-RU"/>
        </w:rPr>
        <w:drawing>
          <wp:inline distT="0" distB="0" distL="0" distR="0" wp14:anchorId="3ABC0490" wp14:editId="2F419D9C">
            <wp:extent cx="4635500" cy="1797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35500" cy="1797050"/>
                    </a:xfrm>
                    <a:prstGeom prst="rect">
                      <a:avLst/>
                    </a:prstGeom>
                    <a:noFill/>
                    <a:ln>
                      <a:noFill/>
                    </a:ln>
                  </pic:spPr>
                </pic:pic>
              </a:graphicData>
            </a:graphic>
          </wp:inline>
        </w:drawing>
      </w:r>
    </w:p>
    <w:p w14:paraId="344312AC" w14:textId="6D700241" w:rsidR="00F87C2C" w:rsidRPr="004C7931" w:rsidRDefault="00290235" w:rsidP="00F87C2C">
      <w:pPr>
        <w:pStyle w:val="Figure"/>
        <w:rPr>
          <w:lang w:val="ru-RU"/>
        </w:rPr>
      </w:pPr>
      <w:r w:rsidRPr="004C7931">
        <w:rPr>
          <w:noProof/>
          <w:lang w:val="ru-RU"/>
        </w:rPr>
        <w:drawing>
          <wp:inline distT="0" distB="0" distL="0" distR="0" wp14:anchorId="66A92827" wp14:editId="7890FE12">
            <wp:extent cx="4635500" cy="1797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35500" cy="1797050"/>
                    </a:xfrm>
                    <a:prstGeom prst="rect">
                      <a:avLst/>
                    </a:prstGeom>
                    <a:noFill/>
                    <a:ln>
                      <a:noFill/>
                    </a:ln>
                  </pic:spPr>
                </pic:pic>
              </a:graphicData>
            </a:graphic>
          </wp:inline>
        </w:drawing>
      </w:r>
    </w:p>
    <w:p w14:paraId="2F8F5B6B" w14:textId="77777777" w:rsidR="00F87C2C" w:rsidRPr="004C7931" w:rsidRDefault="00F87C2C" w:rsidP="00B60B3F">
      <w:pPr>
        <w:pStyle w:val="enumlev1"/>
        <w:rPr>
          <w:b/>
          <w:bCs/>
          <w:lang w:val="ru-RU"/>
        </w:rPr>
      </w:pPr>
      <w:r w:rsidRPr="004C7931">
        <w:rPr>
          <w:lang w:val="ru-RU"/>
        </w:rPr>
        <w:t>–</w:t>
      </w:r>
      <w:r w:rsidRPr="004C7931">
        <w:rPr>
          <w:lang w:val="ru-RU"/>
        </w:rPr>
        <w:tab/>
      </w:r>
      <w:r w:rsidRPr="004C7931">
        <w:rPr>
          <w:b/>
          <w:bCs/>
          <w:lang w:val="ru-RU"/>
        </w:rPr>
        <w:t>Финансирование обязательств по АСХИ</w:t>
      </w:r>
    </w:p>
    <w:p w14:paraId="29B2F1F0" w14:textId="3F232AEE" w:rsidR="00F87C2C" w:rsidRPr="004C7931" w:rsidRDefault="00F87C2C" w:rsidP="00B60B3F">
      <w:pPr>
        <w:pStyle w:val="enumlev1"/>
        <w:rPr>
          <w:lang w:val="ru-RU"/>
        </w:rPr>
      </w:pPr>
      <w:r w:rsidRPr="004C7931">
        <w:rPr>
          <w:lang w:val="ru-RU"/>
        </w:rPr>
        <w:tab/>
      </w:r>
      <w:r w:rsidR="00AC4873" w:rsidRPr="004C7931">
        <w:rPr>
          <w:lang w:val="ru-RU"/>
        </w:rPr>
        <w:t>Выделение затрат, связанных с</w:t>
      </w:r>
      <w:r w:rsidRPr="004C7931">
        <w:rPr>
          <w:lang w:val="ru-RU"/>
        </w:rPr>
        <w:t xml:space="preserve"> обязательств</w:t>
      </w:r>
      <w:r w:rsidR="00AC4873" w:rsidRPr="004C7931">
        <w:rPr>
          <w:lang w:val="ru-RU"/>
        </w:rPr>
        <w:t>ами</w:t>
      </w:r>
      <w:r w:rsidRPr="004C7931">
        <w:rPr>
          <w:lang w:val="ru-RU"/>
        </w:rPr>
        <w:t xml:space="preserve"> по АСХИ</w:t>
      </w:r>
      <w:r w:rsidR="00AC4873" w:rsidRPr="004C7931">
        <w:rPr>
          <w:lang w:val="ru-RU"/>
        </w:rPr>
        <w:t>,</w:t>
      </w:r>
      <w:r w:rsidRPr="004C7931">
        <w:rPr>
          <w:lang w:val="ru-RU"/>
        </w:rPr>
        <w:t xml:space="preserve"> </w:t>
      </w:r>
      <w:r w:rsidR="00AC4873" w:rsidRPr="004C7931">
        <w:rPr>
          <w:lang w:val="ru-RU"/>
        </w:rPr>
        <w:t xml:space="preserve">в соответствующую категорию </w:t>
      </w:r>
      <w:r w:rsidRPr="004C7931">
        <w:rPr>
          <w:lang w:val="ru-RU"/>
        </w:rPr>
        <w:t>основано на численности персонала, отвечающего за обработку SNF, относительно общей численности персонала Союза.</w:t>
      </w:r>
    </w:p>
    <w:p w14:paraId="50F84466" w14:textId="77777777" w:rsidR="00F87C2C" w:rsidRPr="004C7931" w:rsidRDefault="00F87C2C" w:rsidP="00F87C2C">
      <w:pPr>
        <w:pStyle w:val="Heading2"/>
        <w:rPr>
          <w:lang w:val="ru-RU"/>
        </w:rPr>
      </w:pPr>
      <w:r w:rsidRPr="004C7931">
        <w:rPr>
          <w:lang w:val="ru-RU"/>
        </w:rPr>
        <w:lastRenderedPageBreak/>
        <w:t>2.4</w:t>
      </w:r>
      <w:r w:rsidRPr="004C7931">
        <w:rPr>
          <w:lang w:val="ru-RU"/>
        </w:rPr>
        <w:tab/>
        <w:t>Предварительное применение предлагаемой методики распределения затрат</w:t>
      </w:r>
    </w:p>
    <w:p w14:paraId="5F64F071" w14:textId="0D41BE4E" w:rsidR="00F87C2C" w:rsidRPr="004C7931" w:rsidRDefault="00A043D5" w:rsidP="00B60B3F">
      <w:pPr>
        <w:rPr>
          <w:lang w:val="ru-RU"/>
        </w:rPr>
      </w:pPr>
      <w:r w:rsidRPr="004C7931">
        <w:rPr>
          <w:lang w:val="ru-RU"/>
        </w:rPr>
        <w:t>В таблице</w:t>
      </w:r>
      <w:r w:rsidR="00D45D4D">
        <w:rPr>
          <w:lang w:val="ru-RU"/>
        </w:rPr>
        <w:t>,</w:t>
      </w:r>
      <w:r w:rsidRPr="004C7931">
        <w:rPr>
          <w:lang w:val="ru-RU"/>
        </w:rPr>
        <w:t xml:space="preserve"> ниже</w:t>
      </w:r>
      <w:r w:rsidR="00D45D4D">
        <w:rPr>
          <w:lang w:val="ru-RU"/>
        </w:rPr>
        <w:t>,</w:t>
      </w:r>
      <w:r w:rsidRPr="004C7931">
        <w:rPr>
          <w:lang w:val="ru-RU"/>
        </w:rPr>
        <w:t xml:space="preserve"> приведена сводная информация о р</w:t>
      </w:r>
      <w:r w:rsidR="00F87C2C" w:rsidRPr="004C7931">
        <w:rPr>
          <w:lang w:val="ru-RU"/>
        </w:rPr>
        <w:t>езультат</w:t>
      </w:r>
      <w:r w:rsidRPr="004C7931">
        <w:rPr>
          <w:lang w:val="ru-RU"/>
        </w:rPr>
        <w:t>ах</w:t>
      </w:r>
      <w:r w:rsidR="00F87C2C" w:rsidRPr="004C7931">
        <w:rPr>
          <w:lang w:val="ru-RU"/>
        </w:rPr>
        <w:t xml:space="preserve"> анализа, </w:t>
      </w:r>
      <w:r w:rsidR="00B217E2" w:rsidRPr="004C7931">
        <w:rPr>
          <w:lang w:val="ru-RU"/>
        </w:rPr>
        <w:t>представленного</w:t>
      </w:r>
      <w:r w:rsidR="00F87C2C" w:rsidRPr="004C7931">
        <w:rPr>
          <w:lang w:val="ru-RU"/>
        </w:rPr>
        <w:t xml:space="preserve"> в</w:t>
      </w:r>
      <w:r w:rsidR="00B60B3F" w:rsidRPr="004C7931">
        <w:rPr>
          <w:lang w:val="ru-RU"/>
        </w:rPr>
        <w:t> </w:t>
      </w:r>
      <w:r w:rsidR="00F87C2C" w:rsidRPr="004C7931">
        <w:rPr>
          <w:lang w:val="ru-RU"/>
        </w:rPr>
        <w:t>разделах</w:t>
      </w:r>
      <w:r w:rsidR="00D45D4D">
        <w:rPr>
          <w:lang w:val="ru-RU"/>
        </w:rPr>
        <w:t>,</w:t>
      </w:r>
      <w:r w:rsidR="00F87C2C" w:rsidRPr="004C7931">
        <w:rPr>
          <w:lang w:val="ru-RU"/>
        </w:rPr>
        <w:t xml:space="preserve"> выше. Общие затраты на SNF оцениваются в размере 15</w:t>
      </w:r>
      <w:r w:rsidR="00B60B3F" w:rsidRPr="004C7931">
        <w:rPr>
          <w:lang w:val="ru-RU"/>
        </w:rPr>
        <w:t> </w:t>
      </w:r>
      <w:r w:rsidR="00F87C2C" w:rsidRPr="004C7931">
        <w:rPr>
          <w:lang w:val="ru-RU"/>
        </w:rPr>
        <w:t>753</w:t>
      </w:r>
      <w:r w:rsidR="00B60B3F" w:rsidRPr="004C7931">
        <w:rPr>
          <w:lang w:val="ru-RU"/>
        </w:rPr>
        <w:t> </w:t>
      </w:r>
      <w:r w:rsidR="00F87C2C" w:rsidRPr="004C7931">
        <w:rPr>
          <w:lang w:val="ru-RU"/>
        </w:rPr>
        <w:t>700</w:t>
      </w:r>
      <w:r w:rsidR="00B60B3F" w:rsidRPr="004C7931">
        <w:rPr>
          <w:lang w:val="ru-RU"/>
        </w:rPr>
        <w:t> </w:t>
      </w:r>
      <w:r w:rsidR="00F87C2C" w:rsidRPr="004C7931">
        <w:rPr>
          <w:lang w:val="ru-RU"/>
        </w:rPr>
        <w:t>швейцарских франков, из которых прямые затраты составляют 12</w:t>
      </w:r>
      <w:r w:rsidR="00B60B3F" w:rsidRPr="004C7931">
        <w:rPr>
          <w:lang w:val="ru-RU"/>
        </w:rPr>
        <w:t> </w:t>
      </w:r>
      <w:r w:rsidR="00F87C2C" w:rsidRPr="004C7931">
        <w:rPr>
          <w:lang w:val="ru-RU"/>
        </w:rPr>
        <w:t>735</w:t>
      </w:r>
      <w:r w:rsidR="00B60B3F" w:rsidRPr="004C7931">
        <w:rPr>
          <w:lang w:val="ru-RU"/>
        </w:rPr>
        <w:t> </w:t>
      </w:r>
      <w:r w:rsidR="00F87C2C" w:rsidRPr="004C7931">
        <w:rPr>
          <w:lang w:val="ru-RU"/>
        </w:rPr>
        <w:t>900</w:t>
      </w:r>
      <w:r w:rsidR="00B60B3F" w:rsidRPr="004C7931">
        <w:rPr>
          <w:lang w:val="ru-RU"/>
        </w:rPr>
        <w:t> </w:t>
      </w:r>
      <w:r w:rsidR="00F87C2C" w:rsidRPr="004C7931">
        <w:rPr>
          <w:lang w:val="ru-RU"/>
        </w:rPr>
        <w:t xml:space="preserve">швейцарских франков, а </w:t>
      </w:r>
      <w:r w:rsidR="00B217E2" w:rsidRPr="004C7931">
        <w:rPr>
          <w:lang w:val="ru-RU"/>
        </w:rPr>
        <w:t>совокупные</w:t>
      </w:r>
      <w:r w:rsidR="00F87C2C" w:rsidRPr="004C7931">
        <w:rPr>
          <w:lang w:val="ru-RU"/>
        </w:rPr>
        <w:t xml:space="preserve"> косвенные затраты – 3</w:t>
      </w:r>
      <w:r w:rsidR="00B60B3F" w:rsidRPr="004C7931">
        <w:rPr>
          <w:lang w:val="ru-RU"/>
        </w:rPr>
        <w:t> </w:t>
      </w:r>
      <w:r w:rsidR="00F87C2C" w:rsidRPr="004C7931">
        <w:rPr>
          <w:lang w:val="ru-RU"/>
        </w:rPr>
        <w:t>017</w:t>
      </w:r>
      <w:r w:rsidR="00B60B3F" w:rsidRPr="004C7931">
        <w:rPr>
          <w:lang w:val="ru-RU"/>
        </w:rPr>
        <w:t> </w:t>
      </w:r>
      <w:r w:rsidR="00F87C2C" w:rsidRPr="004C7931">
        <w:rPr>
          <w:lang w:val="ru-RU"/>
        </w:rPr>
        <w:t>800</w:t>
      </w:r>
      <w:r w:rsidR="00B60B3F" w:rsidRPr="004C7931">
        <w:rPr>
          <w:lang w:val="ru-RU"/>
        </w:rPr>
        <w:t> </w:t>
      </w:r>
      <w:r w:rsidR="00F87C2C" w:rsidRPr="004C7931">
        <w:rPr>
          <w:lang w:val="ru-RU"/>
        </w:rPr>
        <w:t>швейцарских франков.</w:t>
      </w:r>
    </w:p>
    <w:p w14:paraId="34F7C48A" w14:textId="50D68421" w:rsidR="00DF5A55" w:rsidRPr="003E1E58" w:rsidRDefault="003E1E58" w:rsidP="00E37818">
      <w:r w:rsidRPr="003E1E58">
        <w:rPr>
          <w:noProof/>
        </w:rPr>
        <w:drawing>
          <wp:inline distT="0" distB="0" distL="0" distR="0" wp14:anchorId="446E8153" wp14:editId="79E3B2E6">
            <wp:extent cx="5760085" cy="5057140"/>
            <wp:effectExtent l="0" t="0" r="0" b="0"/>
            <wp:docPr id="12860535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085" cy="5057140"/>
                    </a:xfrm>
                    <a:prstGeom prst="rect">
                      <a:avLst/>
                    </a:prstGeom>
                    <a:noFill/>
                    <a:ln>
                      <a:noFill/>
                    </a:ln>
                  </pic:spPr>
                </pic:pic>
              </a:graphicData>
            </a:graphic>
          </wp:inline>
        </w:drawing>
      </w:r>
    </w:p>
    <w:p w14:paraId="604E6464" w14:textId="203BACEA" w:rsidR="00F87C2C" w:rsidRPr="004C7931" w:rsidRDefault="00F87C2C" w:rsidP="00E37818">
      <w:pPr>
        <w:rPr>
          <w:lang w:val="ru-RU"/>
        </w:rPr>
      </w:pPr>
      <w:r w:rsidRPr="004C7931">
        <w:rPr>
          <w:lang w:val="ru-RU"/>
        </w:rPr>
        <w:t>Следует отметить, что, исходя из вышеизложенного, косвенные затраты составляют 23,7</w:t>
      </w:r>
      <w:r w:rsidR="00E37818" w:rsidRPr="004C7931">
        <w:rPr>
          <w:lang w:val="ru-RU"/>
        </w:rPr>
        <w:t> процента</w:t>
      </w:r>
      <w:r w:rsidRPr="004C7931">
        <w:rPr>
          <w:lang w:val="ru-RU"/>
        </w:rPr>
        <w:t xml:space="preserve"> от общ</w:t>
      </w:r>
      <w:r w:rsidR="00B217E2" w:rsidRPr="004C7931">
        <w:rPr>
          <w:lang w:val="ru-RU"/>
        </w:rPr>
        <w:t>его объема</w:t>
      </w:r>
      <w:r w:rsidRPr="004C7931">
        <w:rPr>
          <w:lang w:val="ru-RU"/>
        </w:rPr>
        <w:t xml:space="preserve"> затрат, что соответствует контрольным показателям аналогичных организаций, установленным Секретариатом в Документе CWG-FHR-22/2.</w:t>
      </w:r>
    </w:p>
    <w:p w14:paraId="3A6E2B38" w14:textId="492FEE35" w:rsidR="00F87C2C" w:rsidRPr="004C7931" w:rsidRDefault="00F87C2C" w:rsidP="00F87C2C">
      <w:pPr>
        <w:pStyle w:val="Heading2"/>
        <w:rPr>
          <w:lang w:val="ru-RU"/>
        </w:rPr>
      </w:pPr>
      <w:r w:rsidRPr="004C7931">
        <w:rPr>
          <w:lang w:val="ru-RU"/>
        </w:rPr>
        <w:t>2.5</w:t>
      </w:r>
      <w:r w:rsidRPr="004C7931">
        <w:rPr>
          <w:lang w:val="ru-RU"/>
        </w:rPr>
        <w:tab/>
        <w:t xml:space="preserve">Прогнозирование спроса для оценки объемов услуг, за которые </w:t>
      </w:r>
      <w:r w:rsidR="00B217E2" w:rsidRPr="004C7931">
        <w:rPr>
          <w:lang w:val="ru-RU"/>
        </w:rPr>
        <w:t>взимается</w:t>
      </w:r>
      <w:r w:rsidRPr="004C7931">
        <w:rPr>
          <w:lang w:val="ru-RU"/>
        </w:rPr>
        <w:t xml:space="preserve"> плата</w:t>
      </w:r>
    </w:p>
    <w:p w14:paraId="2F7CC37C" w14:textId="1CCA7AE2" w:rsidR="00F87C2C" w:rsidRPr="004C7931" w:rsidRDefault="00F87C2C" w:rsidP="00E37818">
      <w:pPr>
        <w:rPr>
          <w:lang w:val="ru-RU"/>
        </w:rPr>
      </w:pPr>
      <w:r w:rsidRPr="004C7931">
        <w:rPr>
          <w:lang w:val="ru-RU"/>
        </w:rPr>
        <w:t xml:space="preserve">Для поддержки применения Решения 482 Секретариат усовершенствует прогнозирование спроса путем анализа исторических тенденций в области </w:t>
      </w:r>
      <w:r w:rsidR="00B217E2" w:rsidRPr="004C7931">
        <w:rPr>
          <w:lang w:val="ru-RU"/>
        </w:rPr>
        <w:t xml:space="preserve">представления </w:t>
      </w:r>
      <w:r w:rsidRPr="004C7931">
        <w:rPr>
          <w:lang w:val="ru-RU"/>
        </w:rPr>
        <w:t>заявок</w:t>
      </w:r>
      <w:r w:rsidR="00B217E2" w:rsidRPr="004C7931">
        <w:rPr>
          <w:lang w:val="ru-RU"/>
        </w:rPr>
        <w:t xml:space="preserve"> на регистрацию</w:t>
      </w:r>
      <w:r w:rsidRPr="004C7931">
        <w:rPr>
          <w:lang w:val="ru-RU"/>
        </w:rPr>
        <w:t xml:space="preserve">, ожидаемого роста числа заявок на </w:t>
      </w:r>
      <w:r w:rsidR="0050621B" w:rsidRPr="004C7931">
        <w:rPr>
          <w:lang w:val="ru-RU"/>
        </w:rPr>
        <w:t xml:space="preserve">регистрацию </w:t>
      </w:r>
      <w:r w:rsidRPr="004C7931">
        <w:rPr>
          <w:lang w:val="ru-RU"/>
        </w:rPr>
        <w:t>группиров</w:t>
      </w:r>
      <w:r w:rsidR="0050621B" w:rsidRPr="004C7931">
        <w:rPr>
          <w:lang w:val="ru-RU"/>
        </w:rPr>
        <w:t>ок</w:t>
      </w:r>
      <w:r w:rsidRPr="004C7931">
        <w:rPr>
          <w:lang w:val="ru-RU"/>
        </w:rPr>
        <w:t xml:space="preserve"> и распределения активности между Государствами-Членами. При прогнозировании следует также учитывать факторы сложности, которые влияют на объем работы по обработке и </w:t>
      </w:r>
      <w:r w:rsidR="0050621B" w:rsidRPr="004C7931">
        <w:rPr>
          <w:lang w:val="ru-RU"/>
        </w:rPr>
        <w:t xml:space="preserve">предполагаемый оперативный потенциал </w:t>
      </w:r>
      <w:r w:rsidRPr="004C7931">
        <w:rPr>
          <w:lang w:val="ru-RU"/>
        </w:rPr>
        <w:t xml:space="preserve">БР. Это позволит обеспечить, чтобы расчет </w:t>
      </w:r>
      <w:r w:rsidR="0051593E" w:rsidRPr="004C7931">
        <w:rPr>
          <w:lang w:val="ru-RU"/>
        </w:rPr>
        <w:t>платы</w:t>
      </w:r>
      <w:r w:rsidRPr="004C7931">
        <w:rPr>
          <w:lang w:val="ru-RU"/>
        </w:rPr>
        <w:t xml:space="preserve"> производился на</w:t>
      </w:r>
      <w:r w:rsidR="0005346F" w:rsidRPr="004C7931">
        <w:rPr>
          <w:lang w:val="ru-RU"/>
        </w:rPr>
        <w:t> </w:t>
      </w:r>
      <w:r w:rsidRPr="004C7931">
        <w:rPr>
          <w:lang w:val="ru-RU"/>
        </w:rPr>
        <w:t xml:space="preserve">основе реалистичной оценки объема и характера заявок на регистрацию, к которым будет применяться принцип возмещения </w:t>
      </w:r>
      <w:r w:rsidR="0051593E" w:rsidRPr="004C7931">
        <w:rPr>
          <w:lang w:val="ru-RU"/>
        </w:rPr>
        <w:t>затрат</w:t>
      </w:r>
      <w:r w:rsidRPr="004C7931">
        <w:rPr>
          <w:lang w:val="ru-RU"/>
        </w:rPr>
        <w:t>.</w:t>
      </w:r>
    </w:p>
    <w:p w14:paraId="6064321A" w14:textId="77777777" w:rsidR="00F87C2C" w:rsidRPr="004C7931" w:rsidRDefault="00F87C2C" w:rsidP="00F87C2C">
      <w:pPr>
        <w:pStyle w:val="Heading2"/>
        <w:rPr>
          <w:lang w:val="ru-RU"/>
        </w:rPr>
      </w:pPr>
      <w:r w:rsidRPr="004C7931">
        <w:rPr>
          <w:lang w:val="ru-RU"/>
        </w:rPr>
        <w:lastRenderedPageBreak/>
        <w:t>2.6</w:t>
      </w:r>
      <w:r w:rsidRPr="004C7931">
        <w:rPr>
          <w:lang w:val="ru-RU"/>
        </w:rPr>
        <w:tab/>
        <w:t>Определение размера сборов</w:t>
      </w:r>
    </w:p>
    <w:p w14:paraId="7EE30946" w14:textId="0D739983" w:rsidR="00F87C2C" w:rsidRPr="004C7931" w:rsidRDefault="00F87C2C" w:rsidP="00E37818">
      <w:pPr>
        <w:rPr>
          <w:lang w:val="ru-RU"/>
        </w:rPr>
      </w:pPr>
      <w:r w:rsidRPr="004C7931">
        <w:rPr>
          <w:lang w:val="ru-RU"/>
        </w:rPr>
        <w:t>В соответствии с Решением 482 и принципами возмещения затрат, изложенными в</w:t>
      </w:r>
      <w:r w:rsidR="00E37818" w:rsidRPr="004C7931">
        <w:rPr>
          <w:lang w:val="ru-RU"/>
        </w:rPr>
        <w:t> </w:t>
      </w:r>
      <w:r w:rsidRPr="004C7931">
        <w:rPr>
          <w:lang w:val="ru-RU"/>
        </w:rPr>
        <w:t>Резолюции</w:t>
      </w:r>
      <w:r w:rsidR="00E37818" w:rsidRPr="004C7931">
        <w:rPr>
          <w:lang w:val="ru-RU"/>
        </w:rPr>
        <w:t> </w:t>
      </w:r>
      <w:r w:rsidRPr="004C7931">
        <w:rPr>
          <w:lang w:val="ru-RU"/>
        </w:rPr>
        <w:t xml:space="preserve">91, </w:t>
      </w:r>
      <w:r w:rsidR="0051593E" w:rsidRPr="004C7931">
        <w:rPr>
          <w:lang w:val="ru-RU"/>
        </w:rPr>
        <w:t>сумма сборов будет определяться</w:t>
      </w:r>
      <w:r w:rsidRPr="004C7931">
        <w:rPr>
          <w:lang w:val="ru-RU"/>
        </w:rPr>
        <w:t xml:space="preserve"> путем применения полного возмещения затрат к прогнозируемому спросу. Модели определения затрат, </w:t>
      </w:r>
      <w:r w:rsidR="00560821" w:rsidRPr="004C7931">
        <w:rPr>
          <w:lang w:val="ru-RU"/>
        </w:rPr>
        <w:t>например</w:t>
      </w:r>
      <w:r w:rsidRPr="004C7931">
        <w:rPr>
          <w:lang w:val="ru-RU"/>
        </w:rPr>
        <w:t xml:space="preserve"> определение затрат по видам деятельности, общие прямые, косвенные и капитальные затраты, будут распределяться по категориям заявок в соответствии с ожидаемыми потребностями в ресурсах. Каталог цен будет включать затраты на обработку заявок</w:t>
      </w:r>
      <w:r w:rsidR="00B51C92" w:rsidRPr="004C7931">
        <w:rPr>
          <w:lang w:val="ru-RU"/>
        </w:rPr>
        <w:t xml:space="preserve"> с правом бесплатной публикации</w:t>
      </w:r>
      <w:r w:rsidRPr="004C7931">
        <w:rPr>
          <w:lang w:val="ru-RU"/>
        </w:rPr>
        <w:t xml:space="preserve"> и будет представлен в соответствии с принципами прозрачности, с тем чтобы Члены могли видеть, как затраты и спрос отражаются в предлагаемых </w:t>
      </w:r>
      <w:r w:rsidR="007E66A5" w:rsidRPr="004C7931">
        <w:rPr>
          <w:lang w:val="ru-RU"/>
        </w:rPr>
        <w:t>объемах сборов</w:t>
      </w:r>
      <w:r w:rsidRPr="004C7931">
        <w:rPr>
          <w:lang w:val="ru-RU"/>
        </w:rPr>
        <w:t>.</w:t>
      </w:r>
    </w:p>
    <w:p w14:paraId="66E7CFF8" w14:textId="26D50172" w:rsidR="00F87C2C" w:rsidRPr="004C7931" w:rsidRDefault="00F87C2C" w:rsidP="00F87C2C">
      <w:pPr>
        <w:pStyle w:val="Heading2"/>
        <w:rPr>
          <w:lang w:val="ru-RU"/>
        </w:rPr>
      </w:pPr>
      <w:r w:rsidRPr="004C7931">
        <w:rPr>
          <w:lang w:val="ru-RU"/>
        </w:rPr>
        <w:t>2.7</w:t>
      </w:r>
      <w:r w:rsidRPr="004C7931">
        <w:rPr>
          <w:lang w:val="ru-RU"/>
        </w:rPr>
        <w:tab/>
      </w:r>
      <w:r w:rsidR="00931A03" w:rsidRPr="004C7931">
        <w:rPr>
          <w:lang w:val="ru-RU"/>
        </w:rPr>
        <w:t xml:space="preserve">Регулярное рассмотрение </w:t>
      </w:r>
      <w:r w:rsidRPr="004C7931">
        <w:rPr>
          <w:lang w:val="ru-RU"/>
        </w:rPr>
        <w:t>и оценка</w:t>
      </w:r>
    </w:p>
    <w:p w14:paraId="66223B94" w14:textId="77777777" w:rsidR="00F87C2C" w:rsidRPr="004C7931" w:rsidRDefault="00F87C2C" w:rsidP="00F87C2C">
      <w:pPr>
        <w:pStyle w:val="Headingb"/>
        <w:rPr>
          <w:lang w:val="ru-RU"/>
        </w:rPr>
      </w:pPr>
      <w:r w:rsidRPr="004C7931">
        <w:rPr>
          <w:lang w:val="ru-RU"/>
        </w:rPr>
        <w:t>Изменения в затратах МСЭ</w:t>
      </w:r>
    </w:p>
    <w:p w14:paraId="4A54787A" w14:textId="7A431F8C" w:rsidR="00F87C2C" w:rsidRPr="004C7931" w:rsidRDefault="00F87C2C" w:rsidP="00E37818">
      <w:pPr>
        <w:rPr>
          <w:lang w:val="ru-RU"/>
        </w:rPr>
      </w:pPr>
      <w:r w:rsidRPr="004C7931">
        <w:rPr>
          <w:lang w:val="ru-RU"/>
        </w:rPr>
        <w:t xml:space="preserve">Секретариат предлагает </w:t>
      </w:r>
      <w:r w:rsidR="00931A03" w:rsidRPr="004C7931">
        <w:rPr>
          <w:lang w:val="ru-RU"/>
        </w:rPr>
        <w:t>расс</w:t>
      </w:r>
      <w:r w:rsidRPr="004C7931">
        <w:rPr>
          <w:lang w:val="ru-RU"/>
        </w:rPr>
        <w:t>матривать методику</w:t>
      </w:r>
      <w:r w:rsidR="00EB1077" w:rsidRPr="004C7931">
        <w:rPr>
          <w:lang w:val="ru-RU"/>
        </w:rPr>
        <w:t xml:space="preserve"> в отношении сборов</w:t>
      </w:r>
      <w:r w:rsidRPr="004C7931">
        <w:rPr>
          <w:lang w:val="ru-RU"/>
        </w:rPr>
        <w:t xml:space="preserve"> и</w:t>
      </w:r>
      <w:r w:rsidR="00EB1077" w:rsidRPr="004C7931">
        <w:rPr>
          <w:lang w:val="ru-RU"/>
        </w:rPr>
        <w:t xml:space="preserve"> их</w:t>
      </w:r>
      <w:r w:rsidRPr="004C7931">
        <w:rPr>
          <w:lang w:val="ru-RU"/>
        </w:rPr>
        <w:t xml:space="preserve"> размер не реже одного раза в два года, при этом раз в четыре года проводить </w:t>
      </w:r>
      <w:r w:rsidR="00931A03" w:rsidRPr="004C7931">
        <w:rPr>
          <w:lang w:val="ru-RU"/>
        </w:rPr>
        <w:t>рассмотрение</w:t>
      </w:r>
      <w:r w:rsidRPr="004C7931">
        <w:rPr>
          <w:lang w:val="ru-RU"/>
        </w:rPr>
        <w:t xml:space="preserve"> в соответствии с</w:t>
      </w:r>
      <w:r w:rsidR="00E37818" w:rsidRPr="004C7931">
        <w:rPr>
          <w:lang w:val="ru-RU"/>
        </w:rPr>
        <w:t> </w:t>
      </w:r>
      <w:r w:rsidRPr="004C7931">
        <w:rPr>
          <w:lang w:val="ru-RU"/>
        </w:rPr>
        <w:t>решениями ВКР, чтобы учесть изменения в затратах МСЭ, такие как увеличение расходов по</w:t>
      </w:r>
      <w:r w:rsidR="00E37818" w:rsidRPr="004C7931">
        <w:rPr>
          <w:lang w:val="ru-RU"/>
        </w:rPr>
        <w:t> </w:t>
      </w:r>
      <w:r w:rsidRPr="004C7931">
        <w:rPr>
          <w:lang w:val="ru-RU"/>
        </w:rPr>
        <w:t xml:space="preserve">персоналу, модернизация технологий или изменение </w:t>
      </w:r>
      <w:r w:rsidR="00E0025D" w:rsidRPr="004C7931">
        <w:rPr>
          <w:lang w:val="ru-RU"/>
        </w:rPr>
        <w:t>регламентарных</w:t>
      </w:r>
      <w:r w:rsidRPr="004C7931">
        <w:rPr>
          <w:lang w:val="ru-RU"/>
        </w:rPr>
        <w:t xml:space="preserve"> требований, которые могут непосредственно влиять на лежащие в основе затраты, связанные с обработкой SNF. Поскольку эти затраты колеблются, важно иметь надежную и прозрачную методику </w:t>
      </w:r>
      <w:r w:rsidR="00EB1077" w:rsidRPr="004C7931">
        <w:rPr>
          <w:lang w:val="ru-RU"/>
        </w:rPr>
        <w:t xml:space="preserve">в отношении </w:t>
      </w:r>
      <w:r w:rsidRPr="004C7931">
        <w:rPr>
          <w:lang w:val="ru-RU"/>
        </w:rPr>
        <w:t xml:space="preserve">сборов, которая может </w:t>
      </w:r>
      <w:r w:rsidR="00EB1077" w:rsidRPr="004C7931">
        <w:rPr>
          <w:lang w:val="ru-RU"/>
        </w:rPr>
        <w:t xml:space="preserve">быть </w:t>
      </w:r>
      <w:r w:rsidRPr="004C7931">
        <w:rPr>
          <w:lang w:val="ru-RU"/>
        </w:rPr>
        <w:t xml:space="preserve">соответствующим образом </w:t>
      </w:r>
      <w:r w:rsidR="00EB1077" w:rsidRPr="004C7931">
        <w:rPr>
          <w:lang w:val="ru-RU"/>
        </w:rPr>
        <w:t>адаптирована</w:t>
      </w:r>
      <w:r w:rsidRPr="004C7931">
        <w:rPr>
          <w:lang w:val="ru-RU"/>
        </w:rPr>
        <w:t xml:space="preserve">, </w:t>
      </w:r>
      <w:r w:rsidR="00EB1077" w:rsidRPr="004C7931">
        <w:rPr>
          <w:lang w:val="ru-RU"/>
        </w:rPr>
        <w:t xml:space="preserve">с тем чтобы </w:t>
      </w:r>
      <w:r w:rsidRPr="004C7931">
        <w:rPr>
          <w:lang w:val="ru-RU"/>
        </w:rPr>
        <w:t>гарантир</w:t>
      </w:r>
      <w:r w:rsidR="00EB1077" w:rsidRPr="004C7931">
        <w:rPr>
          <w:lang w:val="ru-RU"/>
        </w:rPr>
        <w:t xml:space="preserve">овать сохранение обоснованности </w:t>
      </w:r>
      <w:r w:rsidRPr="004C7931">
        <w:rPr>
          <w:lang w:val="ru-RU"/>
        </w:rPr>
        <w:t>сбор</w:t>
      </w:r>
      <w:r w:rsidR="00EB1077" w:rsidRPr="004C7931">
        <w:rPr>
          <w:lang w:val="ru-RU"/>
        </w:rPr>
        <w:t>ов</w:t>
      </w:r>
      <w:r w:rsidRPr="004C7931">
        <w:rPr>
          <w:lang w:val="ru-RU"/>
        </w:rPr>
        <w:t xml:space="preserve"> для заинтересованных сторон. Установление четкого процесса регулярного </w:t>
      </w:r>
      <w:r w:rsidR="00931A03" w:rsidRPr="004C7931">
        <w:rPr>
          <w:lang w:val="ru-RU"/>
        </w:rPr>
        <w:t>рассмотрения</w:t>
      </w:r>
      <w:r w:rsidRPr="004C7931">
        <w:rPr>
          <w:lang w:val="ru-RU"/>
        </w:rPr>
        <w:t xml:space="preserve"> и обновления методики позволит </w:t>
      </w:r>
      <w:r w:rsidR="001335B0" w:rsidRPr="004C7931">
        <w:rPr>
          <w:lang w:val="ru-RU"/>
        </w:rPr>
        <w:t>Секретариат</w:t>
      </w:r>
      <w:r w:rsidRPr="004C7931">
        <w:rPr>
          <w:lang w:val="ru-RU"/>
        </w:rPr>
        <w:t xml:space="preserve">у обеспечивать последовательность, справедливость и подотчетность при установлении сборов. Такой подход поддерживает согласование с признанными </w:t>
      </w:r>
      <w:r w:rsidR="00E0025D" w:rsidRPr="004C7931">
        <w:rPr>
          <w:lang w:val="ru-RU"/>
        </w:rPr>
        <w:t>регламентарными</w:t>
      </w:r>
      <w:r w:rsidRPr="004C7931">
        <w:rPr>
          <w:lang w:val="ru-RU"/>
        </w:rPr>
        <w:t xml:space="preserve"> ориентирами и повышает действенность принципов возмещения затрат, лежащих в основе структуры сборов за</w:t>
      </w:r>
      <w:r w:rsidR="00E37818" w:rsidRPr="004C7931">
        <w:rPr>
          <w:lang w:val="ru-RU"/>
        </w:rPr>
        <w:t> </w:t>
      </w:r>
      <w:r w:rsidRPr="004C7931">
        <w:rPr>
          <w:lang w:val="ru-RU"/>
        </w:rPr>
        <w:t>SNF.</w:t>
      </w:r>
    </w:p>
    <w:p w14:paraId="259EC6C0" w14:textId="77777777" w:rsidR="00F87C2C" w:rsidRPr="004C7931" w:rsidRDefault="00F87C2C" w:rsidP="00F87C2C">
      <w:pPr>
        <w:pStyle w:val="Headingb"/>
        <w:rPr>
          <w:lang w:val="ru-RU"/>
        </w:rPr>
      </w:pPr>
      <w:r w:rsidRPr="004C7931">
        <w:rPr>
          <w:lang w:val="ru-RU"/>
        </w:rPr>
        <w:t>Колебания доходов</w:t>
      </w:r>
    </w:p>
    <w:p w14:paraId="573B72D7" w14:textId="0234EFB7" w:rsidR="00F87C2C" w:rsidRPr="004C7931" w:rsidRDefault="00F87C2C" w:rsidP="00E37818">
      <w:pPr>
        <w:rPr>
          <w:lang w:val="ru-RU"/>
        </w:rPr>
      </w:pPr>
      <w:r w:rsidRPr="004C7931">
        <w:rPr>
          <w:lang w:val="ru-RU"/>
        </w:rPr>
        <w:t>Еще одна ключевая проблема, с которой сталкивается МСЭ в последние годы, заключается в</w:t>
      </w:r>
      <w:r w:rsidR="00E37818" w:rsidRPr="004C7931">
        <w:rPr>
          <w:lang w:val="ru-RU"/>
        </w:rPr>
        <w:t> </w:t>
      </w:r>
      <w:r w:rsidRPr="004C7931">
        <w:rPr>
          <w:lang w:val="ru-RU"/>
        </w:rPr>
        <w:t>колебаниях объемов SNF из года в год, что приводит к непредсказуем</w:t>
      </w:r>
      <w:r w:rsidR="00A25D76" w:rsidRPr="004C7931">
        <w:rPr>
          <w:lang w:val="ru-RU"/>
        </w:rPr>
        <w:t xml:space="preserve">ому колебанию </w:t>
      </w:r>
      <w:r w:rsidRPr="004C7931">
        <w:rPr>
          <w:lang w:val="ru-RU"/>
        </w:rPr>
        <w:t>доходов и ставит под угрозу финансовую стабильность МСЭ. На собрании РГС</w:t>
      </w:r>
      <w:r w:rsidR="00E37818" w:rsidRPr="004C7931">
        <w:rPr>
          <w:lang w:val="ru-RU"/>
        </w:rPr>
        <w:noBreakHyphen/>
      </w:r>
      <w:r w:rsidRPr="004C7931">
        <w:rPr>
          <w:lang w:val="ru-RU"/>
        </w:rPr>
        <w:t>ФЛР в январе 2026</w:t>
      </w:r>
      <w:r w:rsidR="00E37818" w:rsidRPr="004C7931">
        <w:rPr>
          <w:lang w:val="ru-RU"/>
        </w:rPr>
        <w:t> </w:t>
      </w:r>
      <w:r w:rsidRPr="004C7931">
        <w:rPr>
          <w:lang w:val="ru-RU"/>
        </w:rPr>
        <w:t xml:space="preserve">года </w:t>
      </w:r>
      <w:r w:rsidR="00497A38" w:rsidRPr="004C7931">
        <w:rPr>
          <w:lang w:val="ru-RU"/>
        </w:rPr>
        <w:t>Секретариат</w:t>
      </w:r>
      <w:r w:rsidRPr="004C7931">
        <w:rPr>
          <w:lang w:val="ru-RU"/>
        </w:rPr>
        <w:t xml:space="preserve"> представил предложение по механизму корректировки для решения проблемы колебаний доходов. Механизм корректировки мог бы действовать путем проведения анализа, при котором общие фактические затраты, понесенные при обработке SNF, сравниваются с</w:t>
      </w:r>
      <w:r w:rsidR="0060451F" w:rsidRPr="004C7931">
        <w:rPr>
          <w:lang w:val="ru-RU"/>
        </w:rPr>
        <w:t> </w:t>
      </w:r>
      <w:r w:rsidRPr="004C7931">
        <w:rPr>
          <w:lang w:val="ru-RU"/>
        </w:rPr>
        <w:t>общими поступлениями от сборов за SNF, полученными за этот период. Если выявлено активное сальдо или дефицит, то есть поступления от сборов превышают или не</w:t>
      </w:r>
      <w:r w:rsidR="0005346F" w:rsidRPr="004C7931">
        <w:rPr>
          <w:lang w:val="ru-RU"/>
        </w:rPr>
        <w:t> </w:t>
      </w:r>
      <w:r w:rsidRPr="004C7931">
        <w:rPr>
          <w:lang w:val="ru-RU"/>
        </w:rPr>
        <w:t>превышают фактически</w:t>
      </w:r>
      <w:r w:rsidR="00EE1FF7" w:rsidRPr="004C7931">
        <w:rPr>
          <w:lang w:val="ru-RU"/>
        </w:rPr>
        <w:t>е регламентарные издержки</w:t>
      </w:r>
      <w:r w:rsidRPr="004C7931">
        <w:rPr>
          <w:lang w:val="ru-RU"/>
        </w:rPr>
        <w:t>, то для объяснения такого расхождения будет проведен анализ. Учитывая сложность такой модели на основе корректировки, данное предложение не</w:t>
      </w:r>
      <w:r w:rsidR="0060451F" w:rsidRPr="004C7931">
        <w:rPr>
          <w:lang w:val="ru-RU"/>
        </w:rPr>
        <w:t> </w:t>
      </w:r>
      <w:r w:rsidRPr="004C7931">
        <w:rPr>
          <w:lang w:val="ru-RU"/>
        </w:rPr>
        <w:t xml:space="preserve">рассматривается в качестве способа управления дефицитом или излишками. </w:t>
      </w:r>
      <w:r w:rsidR="00931A03" w:rsidRPr="004C7931">
        <w:rPr>
          <w:lang w:val="ru-RU"/>
        </w:rPr>
        <w:t xml:space="preserve">Рассмотрения вышеупомянутой </w:t>
      </w:r>
      <w:r w:rsidRPr="004C7931">
        <w:rPr>
          <w:lang w:val="ru-RU"/>
        </w:rPr>
        <w:t>методик</w:t>
      </w:r>
      <w:r w:rsidR="002A2783" w:rsidRPr="004C7931">
        <w:rPr>
          <w:lang w:val="ru-RU"/>
        </w:rPr>
        <w:t>и</w:t>
      </w:r>
      <w:r w:rsidRPr="004C7931">
        <w:rPr>
          <w:lang w:val="ru-RU"/>
        </w:rPr>
        <w:t xml:space="preserve"> и </w:t>
      </w:r>
      <w:r w:rsidR="002A2783" w:rsidRPr="004C7931">
        <w:rPr>
          <w:lang w:val="ru-RU"/>
        </w:rPr>
        <w:t>структуры сборов кажды</w:t>
      </w:r>
      <w:r w:rsidR="00931A03" w:rsidRPr="004C7931">
        <w:rPr>
          <w:lang w:val="ru-RU"/>
        </w:rPr>
        <w:t>е</w:t>
      </w:r>
      <w:r w:rsidR="002A2783" w:rsidRPr="004C7931">
        <w:rPr>
          <w:lang w:val="ru-RU"/>
        </w:rPr>
        <w:t xml:space="preserve"> два года</w:t>
      </w:r>
      <w:r w:rsidRPr="004C7931">
        <w:rPr>
          <w:lang w:val="ru-RU"/>
        </w:rPr>
        <w:t xml:space="preserve"> должн</w:t>
      </w:r>
      <w:r w:rsidR="002A2783" w:rsidRPr="004C7931">
        <w:rPr>
          <w:lang w:val="ru-RU"/>
        </w:rPr>
        <w:t>о</w:t>
      </w:r>
      <w:r w:rsidRPr="004C7931">
        <w:rPr>
          <w:lang w:val="ru-RU"/>
        </w:rPr>
        <w:t xml:space="preserve"> быть </w:t>
      </w:r>
      <w:r w:rsidRPr="00E24AF7">
        <w:rPr>
          <w:spacing w:val="-2"/>
          <w:lang w:val="ru-RU"/>
        </w:rPr>
        <w:t>достаточн</w:t>
      </w:r>
      <w:r w:rsidR="002A2783" w:rsidRPr="00E24AF7">
        <w:rPr>
          <w:spacing w:val="-2"/>
          <w:lang w:val="ru-RU"/>
        </w:rPr>
        <w:t>о</w:t>
      </w:r>
      <w:r w:rsidRPr="00E24AF7">
        <w:rPr>
          <w:spacing w:val="-2"/>
          <w:lang w:val="ru-RU"/>
        </w:rPr>
        <w:t xml:space="preserve"> для</w:t>
      </w:r>
      <w:r w:rsidR="0060451F" w:rsidRPr="00E24AF7">
        <w:rPr>
          <w:spacing w:val="-2"/>
          <w:lang w:val="ru-RU"/>
        </w:rPr>
        <w:t> </w:t>
      </w:r>
      <w:r w:rsidRPr="00E24AF7">
        <w:rPr>
          <w:spacing w:val="-2"/>
          <w:lang w:val="ru-RU"/>
        </w:rPr>
        <w:t xml:space="preserve">согласования доходов, бюджета и </w:t>
      </w:r>
      <w:r w:rsidR="002A2783" w:rsidRPr="00E24AF7">
        <w:rPr>
          <w:spacing w:val="-2"/>
          <w:lang w:val="ru-RU"/>
        </w:rPr>
        <w:t>соответствующих затрат на будущие периоды</w:t>
      </w:r>
      <w:r w:rsidRPr="00E24AF7">
        <w:rPr>
          <w:spacing w:val="-2"/>
          <w:lang w:val="ru-RU"/>
        </w:rPr>
        <w:t>.</w:t>
      </w:r>
    </w:p>
    <w:p w14:paraId="1EB179B3" w14:textId="33DDFC0F" w:rsidR="00F87C2C" w:rsidRPr="004C7931" w:rsidRDefault="00F87C2C" w:rsidP="00F87C2C">
      <w:pPr>
        <w:pStyle w:val="Heading1"/>
        <w:rPr>
          <w:lang w:val="ru-RU"/>
        </w:rPr>
      </w:pPr>
      <w:r w:rsidRPr="004C7931">
        <w:rPr>
          <w:lang w:val="ru-RU"/>
        </w:rPr>
        <w:t>3</w:t>
      </w:r>
      <w:r w:rsidRPr="004C7931">
        <w:rPr>
          <w:lang w:val="ru-RU"/>
        </w:rPr>
        <w:tab/>
      </w:r>
      <w:r w:rsidR="002A2783" w:rsidRPr="004C7931">
        <w:rPr>
          <w:lang w:val="ru-RU"/>
        </w:rPr>
        <w:t>Сроки</w:t>
      </w:r>
      <w:r w:rsidRPr="004C7931">
        <w:rPr>
          <w:lang w:val="ru-RU"/>
        </w:rPr>
        <w:t xml:space="preserve"> реализации</w:t>
      </w:r>
    </w:p>
    <w:p w14:paraId="19968878" w14:textId="7F35559A" w:rsidR="00F87C2C" w:rsidRPr="004C7931" w:rsidRDefault="00F87C2C" w:rsidP="0060451F">
      <w:pPr>
        <w:rPr>
          <w:lang w:val="ru-RU"/>
        </w:rPr>
      </w:pPr>
      <w:r w:rsidRPr="004C7931">
        <w:rPr>
          <w:lang w:val="ru-RU"/>
        </w:rPr>
        <w:t xml:space="preserve">Предполагается, что предлагаемая методика вступит в силу с 2028 года, после истечения срока временного повышения сборов, утвержденного на сессии Совета 2025 года. Соответственно, </w:t>
      </w:r>
      <w:r w:rsidR="00931A03" w:rsidRPr="004C7931">
        <w:rPr>
          <w:lang w:val="ru-RU"/>
        </w:rPr>
        <w:t xml:space="preserve">вопрос о рассмотрении и окончательном утверждении </w:t>
      </w:r>
      <w:r w:rsidRPr="004C7931">
        <w:rPr>
          <w:lang w:val="ru-RU"/>
        </w:rPr>
        <w:t>пересмотренн</w:t>
      </w:r>
      <w:r w:rsidR="00931A03" w:rsidRPr="004C7931">
        <w:rPr>
          <w:lang w:val="ru-RU"/>
        </w:rPr>
        <w:t>ой</w:t>
      </w:r>
      <w:r w:rsidRPr="004C7931">
        <w:rPr>
          <w:lang w:val="ru-RU"/>
        </w:rPr>
        <w:t xml:space="preserve"> методик</w:t>
      </w:r>
      <w:r w:rsidR="00931A03" w:rsidRPr="004C7931">
        <w:rPr>
          <w:lang w:val="ru-RU"/>
        </w:rPr>
        <w:t>и</w:t>
      </w:r>
      <w:r w:rsidRPr="004C7931">
        <w:rPr>
          <w:lang w:val="ru-RU"/>
        </w:rPr>
        <w:t xml:space="preserve"> и </w:t>
      </w:r>
      <w:r w:rsidR="002A2783" w:rsidRPr="004C7931">
        <w:rPr>
          <w:lang w:val="ru-RU"/>
        </w:rPr>
        <w:t>новы</w:t>
      </w:r>
      <w:r w:rsidR="00931A03" w:rsidRPr="004C7931">
        <w:rPr>
          <w:lang w:val="ru-RU"/>
        </w:rPr>
        <w:t>х</w:t>
      </w:r>
      <w:r w:rsidRPr="004C7931">
        <w:rPr>
          <w:lang w:val="ru-RU"/>
        </w:rPr>
        <w:t xml:space="preserve"> окончательны</w:t>
      </w:r>
      <w:r w:rsidR="00931A03" w:rsidRPr="004C7931">
        <w:rPr>
          <w:lang w:val="ru-RU"/>
        </w:rPr>
        <w:t>х</w:t>
      </w:r>
      <w:r w:rsidRPr="004C7931">
        <w:rPr>
          <w:lang w:val="ru-RU"/>
        </w:rPr>
        <w:t xml:space="preserve"> сбор</w:t>
      </w:r>
      <w:r w:rsidR="00931A03" w:rsidRPr="004C7931">
        <w:rPr>
          <w:lang w:val="ru-RU"/>
        </w:rPr>
        <w:t>ов</w:t>
      </w:r>
      <w:r w:rsidRPr="004C7931">
        <w:rPr>
          <w:lang w:val="ru-RU"/>
        </w:rPr>
        <w:t xml:space="preserve"> за SNF долж</w:t>
      </w:r>
      <w:r w:rsidR="00931A03" w:rsidRPr="004C7931">
        <w:rPr>
          <w:lang w:val="ru-RU"/>
        </w:rPr>
        <w:t>е</w:t>
      </w:r>
      <w:r w:rsidRPr="004C7931">
        <w:rPr>
          <w:lang w:val="ru-RU"/>
        </w:rPr>
        <w:t>н быть утвержден Советом 2027 года.</w:t>
      </w:r>
    </w:p>
    <w:p w14:paraId="5D156E99" w14:textId="5604D203" w:rsidR="00102F89" w:rsidRPr="004C7931" w:rsidRDefault="00F87C2C" w:rsidP="00E24AF7">
      <w:pPr>
        <w:spacing w:before="480"/>
        <w:rPr>
          <w:lang w:val="ru-RU"/>
        </w:rPr>
      </w:pPr>
      <w:r w:rsidRPr="004C7931">
        <w:rPr>
          <w:b/>
          <w:bCs/>
          <w:lang w:val="ru-RU"/>
        </w:rPr>
        <w:t>Приложение</w:t>
      </w:r>
      <w:r w:rsidRPr="004C7931">
        <w:rPr>
          <w:lang w:val="ru-RU"/>
        </w:rPr>
        <w:t>: 1</w:t>
      </w:r>
    </w:p>
    <w:p w14:paraId="35FE513F" w14:textId="2E513FF1" w:rsidR="00102F89" w:rsidRPr="004C7931" w:rsidRDefault="00102F89" w:rsidP="00E24AF7">
      <w:pPr>
        <w:spacing w:before="600"/>
        <w:rPr>
          <w:lang w:val="ru-RU"/>
        </w:rPr>
        <w:sectPr w:rsidR="00102F89" w:rsidRPr="004C7931" w:rsidSect="006D3933">
          <w:footerReference w:type="default" r:id="rId23"/>
          <w:headerReference w:type="first" r:id="rId24"/>
          <w:footerReference w:type="first" r:id="rId25"/>
          <w:pgSz w:w="11907" w:h="16840" w:code="9"/>
          <w:pgMar w:top="1418" w:right="1418" w:bottom="1418" w:left="1418" w:header="720" w:footer="720" w:gutter="0"/>
          <w:cols w:space="720"/>
          <w:titlePg/>
          <w:docGrid w:linePitch="326"/>
        </w:sectPr>
      </w:pPr>
    </w:p>
    <w:p w14:paraId="787FA032" w14:textId="78135C3D" w:rsidR="00F87C2C" w:rsidRPr="004C7931" w:rsidRDefault="00F87C2C" w:rsidP="0005346F">
      <w:pPr>
        <w:pStyle w:val="AnnexNo"/>
        <w:rPr>
          <w:lang w:val="ru-RU"/>
        </w:rPr>
      </w:pPr>
      <w:r w:rsidRPr="004C7931">
        <w:rPr>
          <w:lang w:val="ru-RU"/>
        </w:rPr>
        <w:lastRenderedPageBreak/>
        <w:t>Приложение 1</w:t>
      </w:r>
    </w:p>
    <w:p w14:paraId="533194DA" w14:textId="77777777" w:rsidR="00F87C2C" w:rsidRPr="004C7931" w:rsidRDefault="00F87C2C" w:rsidP="0005346F">
      <w:pPr>
        <w:pStyle w:val="Annextitle"/>
        <w:rPr>
          <w:lang w:val="ru-RU"/>
        </w:rPr>
      </w:pPr>
      <w:r w:rsidRPr="004C7931">
        <w:rPr>
          <w:lang w:val="ru-RU"/>
        </w:rPr>
        <w:t>Ответы Секретариата на замечания на сессии РГС-ФЛР в декабре 2025 года</w:t>
      </w:r>
    </w:p>
    <w:tbl>
      <w:tblPr>
        <w:tblStyle w:val="TableGrid"/>
        <w:tblW w:w="14742" w:type="dxa"/>
        <w:jc w:val="center"/>
        <w:tblLayout w:type="fixed"/>
        <w:tblCellMar>
          <w:left w:w="57" w:type="dxa"/>
          <w:right w:w="57" w:type="dxa"/>
        </w:tblCellMar>
        <w:tblLook w:val="04A0" w:firstRow="1" w:lastRow="0" w:firstColumn="1" w:lastColumn="0" w:noHBand="0" w:noVBand="1"/>
      </w:tblPr>
      <w:tblGrid>
        <w:gridCol w:w="1838"/>
        <w:gridCol w:w="3969"/>
        <w:gridCol w:w="5103"/>
        <w:gridCol w:w="3832"/>
      </w:tblGrid>
      <w:tr w:rsidR="00F87C2C" w:rsidRPr="004C7931" w14:paraId="69C168E8" w14:textId="77777777" w:rsidTr="00D15343">
        <w:trPr>
          <w:tblHeader/>
          <w:jc w:val="center"/>
        </w:trPr>
        <w:tc>
          <w:tcPr>
            <w:tcW w:w="1838" w:type="dxa"/>
            <w:vAlign w:val="center"/>
          </w:tcPr>
          <w:p w14:paraId="30283E3F" w14:textId="77777777" w:rsidR="00F87C2C" w:rsidRPr="004C7931" w:rsidRDefault="00F87C2C" w:rsidP="00D15343">
            <w:pPr>
              <w:pStyle w:val="Tablehead"/>
              <w:rPr>
                <w:lang w:val="ru-RU"/>
              </w:rPr>
            </w:pPr>
            <w:r w:rsidRPr="004C7931">
              <w:rPr>
                <w:lang w:val="ru-RU"/>
              </w:rPr>
              <w:t>Категория</w:t>
            </w:r>
          </w:p>
        </w:tc>
        <w:tc>
          <w:tcPr>
            <w:tcW w:w="3969" w:type="dxa"/>
            <w:vAlign w:val="center"/>
          </w:tcPr>
          <w:p w14:paraId="12E8C291" w14:textId="77777777" w:rsidR="00F87C2C" w:rsidRPr="004C7931" w:rsidRDefault="00F87C2C" w:rsidP="00D15343">
            <w:pPr>
              <w:pStyle w:val="Tablehead"/>
              <w:rPr>
                <w:lang w:val="ru-RU"/>
              </w:rPr>
            </w:pPr>
            <w:r w:rsidRPr="004C7931">
              <w:rPr>
                <w:lang w:val="ru-RU"/>
              </w:rPr>
              <w:t>Проблема</w:t>
            </w:r>
          </w:p>
        </w:tc>
        <w:tc>
          <w:tcPr>
            <w:tcW w:w="5103" w:type="dxa"/>
            <w:vAlign w:val="center"/>
          </w:tcPr>
          <w:p w14:paraId="067CF9B0" w14:textId="77777777" w:rsidR="00F87C2C" w:rsidRPr="004C7931" w:rsidRDefault="00F87C2C" w:rsidP="00D15343">
            <w:pPr>
              <w:pStyle w:val="Tablehead"/>
              <w:rPr>
                <w:lang w:val="ru-RU"/>
              </w:rPr>
            </w:pPr>
            <w:r w:rsidRPr="004C7931">
              <w:rPr>
                <w:lang w:val="ru-RU"/>
              </w:rPr>
              <w:t>Ответ Секретариата</w:t>
            </w:r>
          </w:p>
        </w:tc>
        <w:tc>
          <w:tcPr>
            <w:tcW w:w="3832" w:type="dxa"/>
            <w:vAlign w:val="center"/>
          </w:tcPr>
          <w:p w14:paraId="03839395" w14:textId="77777777" w:rsidR="00F87C2C" w:rsidRPr="004C7931" w:rsidRDefault="00F87C2C" w:rsidP="00D15343">
            <w:pPr>
              <w:pStyle w:val="Tablehead"/>
              <w:rPr>
                <w:lang w:val="ru-RU"/>
              </w:rPr>
            </w:pPr>
            <w:r w:rsidRPr="004C7931">
              <w:rPr>
                <w:lang w:val="ru-RU"/>
              </w:rPr>
              <w:t>Предложение</w:t>
            </w:r>
          </w:p>
        </w:tc>
      </w:tr>
      <w:tr w:rsidR="00F87C2C" w:rsidRPr="00DF306E" w14:paraId="7E1208B9" w14:textId="77777777" w:rsidTr="00D15343">
        <w:trPr>
          <w:jc w:val="center"/>
        </w:trPr>
        <w:tc>
          <w:tcPr>
            <w:tcW w:w="1838" w:type="dxa"/>
            <w:vMerge w:val="restart"/>
          </w:tcPr>
          <w:p w14:paraId="3BE28BCF" w14:textId="77777777" w:rsidR="00F87C2C" w:rsidRPr="004C7931" w:rsidRDefault="00F87C2C" w:rsidP="00D15343">
            <w:pPr>
              <w:pStyle w:val="Tabletext"/>
              <w:rPr>
                <w:lang w:val="ru-RU"/>
              </w:rPr>
            </w:pPr>
            <w:r w:rsidRPr="004C7931">
              <w:rPr>
                <w:lang w:val="ru-RU"/>
              </w:rPr>
              <w:t>Определение и методика распределения затрат</w:t>
            </w:r>
          </w:p>
        </w:tc>
        <w:tc>
          <w:tcPr>
            <w:tcW w:w="3969" w:type="dxa"/>
          </w:tcPr>
          <w:p w14:paraId="7D1A63E1" w14:textId="77777777" w:rsidR="00F87C2C" w:rsidRPr="004C7931" w:rsidRDefault="00F87C2C" w:rsidP="00D15343">
            <w:pPr>
              <w:pStyle w:val="Tabletext"/>
              <w:rPr>
                <w:lang w:val="ru-RU"/>
              </w:rPr>
            </w:pPr>
            <w:r w:rsidRPr="004C7931">
              <w:rPr>
                <w:lang w:val="ru-RU"/>
              </w:rPr>
              <w:t>Отсутствие четких определений и методики возмещения затрат.</w:t>
            </w:r>
          </w:p>
          <w:p w14:paraId="7876AD37" w14:textId="6D4B5E34" w:rsidR="00F87C2C" w:rsidRPr="004C7931" w:rsidRDefault="00F87C2C" w:rsidP="00D15343">
            <w:pPr>
              <w:pStyle w:val="Tabletext"/>
              <w:rPr>
                <w:lang w:val="ru-RU"/>
              </w:rPr>
            </w:pPr>
            <w:r w:rsidRPr="004C7931">
              <w:rPr>
                <w:lang w:val="ru-RU"/>
              </w:rPr>
              <w:t>Одной из основных постоянных проблем было отсутствие четких, проверенных и прозрачных формул для определения модели возмещения затрат на SNF.</w:t>
            </w:r>
          </w:p>
          <w:p w14:paraId="7BE00832" w14:textId="1C6D2D66" w:rsidR="00F87C2C" w:rsidRPr="004C7931" w:rsidRDefault="00F87C2C" w:rsidP="00D15343">
            <w:pPr>
              <w:pStyle w:val="Tabletext"/>
              <w:rPr>
                <w:lang w:val="ru-RU"/>
              </w:rPr>
            </w:pPr>
            <w:r w:rsidRPr="004C7931">
              <w:rPr>
                <w:lang w:val="ru-RU"/>
              </w:rPr>
              <w:t>Делегаты отметили, что для принятия решения потребуется разбивка затрат</w:t>
            </w:r>
            <w:r w:rsidR="007B2DBF" w:rsidRPr="004C7931">
              <w:rPr>
                <w:lang w:val="ru-RU"/>
              </w:rPr>
              <w:t xml:space="preserve"> по</w:t>
            </w:r>
            <w:r w:rsidR="00D15343">
              <w:rPr>
                <w:lang w:val="en-US"/>
              </w:rPr>
              <w:t> </w:t>
            </w:r>
            <w:r w:rsidR="007B2DBF" w:rsidRPr="004C7931">
              <w:rPr>
                <w:lang w:val="ru-RU"/>
              </w:rPr>
              <w:t>компонентам</w:t>
            </w:r>
            <w:r w:rsidRPr="004C7931">
              <w:rPr>
                <w:lang w:val="ru-RU"/>
              </w:rPr>
              <w:t>, в том числе порядок определения и распределения затрат на</w:t>
            </w:r>
            <w:r w:rsidR="00D15343">
              <w:rPr>
                <w:lang w:val="en-US"/>
              </w:rPr>
              <w:t> </w:t>
            </w:r>
            <w:r w:rsidRPr="004C7931">
              <w:rPr>
                <w:lang w:val="ru-RU"/>
              </w:rPr>
              <w:t>год.</w:t>
            </w:r>
          </w:p>
        </w:tc>
        <w:tc>
          <w:tcPr>
            <w:tcW w:w="5103" w:type="dxa"/>
          </w:tcPr>
          <w:p w14:paraId="5CA751AF" w14:textId="01FAF523" w:rsidR="00F87C2C" w:rsidRPr="004C7931" w:rsidRDefault="00F87C2C" w:rsidP="00D15343">
            <w:pPr>
              <w:pStyle w:val="Tabletext"/>
              <w:rPr>
                <w:lang w:val="ru-RU"/>
              </w:rPr>
            </w:pPr>
            <w:r w:rsidRPr="004C7931">
              <w:rPr>
                <w:lang w:val="ru-RU"/>
              </w:rPr>
              <w:t xml:space="preserve">Получив от членов отзыв о том, что модель определения затрат ABC в целом приемлема, Секретариат применил принципы, изложенные в </w:t>
            </w:r>
            <w:r w:rsidR="00924F22" w:rsidRPr="004C7931">
              <w:rPr>
                <w:lang w:val="ru-RU"/>
              </w:rPr>
              <w:t>Д</w:t>
            </w:r>
            <w:r w:rsidRPr="004C7931">
              <w:rPr>
                <w:lang w:val="ru-RU"/>
              </w:rPr>
              <w:t>окументе CWG-FHR-22/2, и подготовил детальный расчет фактических затрат для рассмотрения Советом.</w:t>
            </w:r>
          </w:p>
        </w:tc>
        <w:tc>
          <w:tcPr>
            <w:tcW w:w="3832" w:type="dxa"/>
          </w:tcPr>
          <w:p w14:paraId="19F59997" w14:textId="77777777" w:rsidR="00F87C2C" w:rsidRPr="004C7931" w:rsidRDefault="00F87C2C" w:rsidP="00D15343">
            <w:pPr>
              <w:pStyle w:val="Tabletext"/>
              <w:rPr>
                <w:lang w:val="ru-RU"/>
              </w:rPr>
            </w:pPr>
            <w:r w:rsidRPr="004C7931">
              <w:rPr>
                <w:lang w:val="ru-RU"/>
              </w:rPr>
              <w:t>В настоящем документе Совета приводится подробная информация о том, каким образом будет применяться эта методика, включая определение всех компонентов затрат и порядка рассмотрения каждого из них.</w:t>
            </w:r>
          </w:p>
        </w:tc>
      </w:tr>
      <w:tr w:rsidR="00F87C2C" w:rsidRPr="00DF306E" w14:paraId="5541CA8A" w14:textId="77777777" w:rsidTr="00D15343">
        <w:trPr>
          <w:jc w:val="center"/>
        </w:trPr>
        <w:tc>
          <w:tcPr>
            <w:tcW w:w="1838" w:type="dxa"/>
            <w:vMerge/>
          </w:tcPr>
          <w:p w14:paraId="14E59D5E" w14:textId="77777777" w:rsidR="00F87C2C" w:rsidRPr="004C7931" w:rsidRDefault="00F87C2C" w:rsidP="00D15343">
            <w:pPr>
              <w:pStyle w:val="Tabletext"/>
              <w:rPr>
                <w:lang w:val="ru-RU"/>
              </w:rPr>
            </w:pPr>
          </w:p>
        </w:tc>
        <w:tc>
          <w:tcPr>
            <w:tcW w:w="3969" w:type="dxa"/>
          </w:tcPr>
          <w:p w14:paraId="47D2D1E0" w14:textId="2A50B3CF" w:rsidR="00F87C2C" w:rsidRPr="004C7931" w:rsidRDefault="00F87C2C" w:rsidP="00D15343">
            <w:pPr>
              <w:pStyle w:val="Tabletext"/>
              <w:rPr>
                <w:lang w:val="ru-RU"/>
              </w:rPr>
            </w:pPr>
            <w:r w:rsidRPr="004C7931">
              <w:rPr>
                <w:lang w:val="ru-RU"/>
              </w:rPr>
              <w:t xml:space="preserve">Делегаты отметили, что порядок </w:t>
            </w:r>
            <w:r w:rsidR="007C2779" w:rsidRPr="004C7931">
              <w:rPr>
                <w:lang w:val="ru-RU"/>
              </w:rPr>
              <w:t>выделения</w:t>
            </w:r>
            <w:r w:rsidRPr="004C7931">
              <w:rPr>
                <w:lang w:val="ru-RU"/>
              </w:rPr>
              <w:t xml:space="preserve"> косвенных затрат на людские ресурсы</w:t>
            </w:r>
            <w:r w:rsidR="007C2779" w:rsidRPr="004C7931">
              <w:rPr>
                <w:lang w:val="ru-RU"/>
              </w:rPr>
              <w:t xml:space="preserve"> в соответствующую категорию</w:t>
            </w:r>
            <w:r w:rsidRPr="004C7931">
              <w:rPr>
                <w:lang w:val="ru-RU"/>
              </w:rPr>
              <w:t xml:space="preserve"> не был четко установлен и не являлся прозрачным для понимания.</w:t>
            </w:r>
          </w:p>
          <w:p w14:paraId="7DCA5716" w14:textId="1D907275" w:rsidR="00F87C2C" w:rsidRPr="004C7931" w:rsidRDefault="007C2779" w:rsidP="00D15343">
            <w:pPr>
              <w:pStyle w:val="Tabletext"/>
              <w:rPr>
                <w:lang w:val="ru-RU"/>
              </w:rPr>
            </w:pPr>
            <w:r w:rsidRPr="004C7931">
              <w:rPr>
                <w:lang w:val="ru-RU"/>
              </w:rPr>
              <w:t>Делегаты подчеркнули необходимость четкой демонстрации связи между накладными расходами и обработкой SNF</w:t>
            </w:r>
            <w:r w:rsidR="00D15343">
              <w:rPr>
                <w:lang w:val="en-US"/>
              </w:rPr>
              <w:t> </w:t>
            </w:r>
            <w:r w:rsidRPr="004C7931">
              <w:rPr>
                <w:lang w:val="ru-RU"/>
              </w:rPr>
              <w:t>до включения в объем затрат для возмещения</w:t>
            </w:r>
            <w:r w:rsidR="00F87C2C" w:rsidRPr="004C7931">
              <w:rPr>
                <w:lang w:val="ru-RU"/>
              </w:rPr>
              <w:t>.</w:t>
            </w:r>
          </w:p>
        </w:tc>
        <w:tc>
          <w:tcPr>
            <w:tcW w:w="5103" w:type="dxa"/>
          </w:tcPr>
          <w:p w14:paraId="567BE997" w14:textId="4983A83A" w:rsidR="00F87C2C" w:rsidRPr="004C7931" w:rsidRDefault="00F87C2C" w:rsidP="00D15343">
            <w:pPr>
              <w:pStyle w:val="Tabletext"/>
              <w:rPr>
                <w:lang w:val="ru-RU"/>
              </w:rPr>
            </w:pPr>
            <w:r w:rsidRPr="004C7931">
              <w:rPr>
                <w:lang w:val="ru-RU"/>
              </w:rPr>
              <w:t>Цель ресурсов для управления кадрами, финансами и прочими административными аспектами заключается в обеспечении функционирования и поддержки процессов, необходимых для работы сотрудников МСЭ, непосредственно занятых предоставлением продуктов, запрошенных Членами Союза.</w:t>
            </w:r>
          </w:p>
          <w:p w14:paraId="6ABD36C5" w14:textId="30F562A2" w:rsidR="00F87C2C" w:rsidRPr="004C7931" w:rsidRDefault="00F87C2C" w:rsidP="00D15343">
            <w:pPr>
              <w:pStyle w:val="Tabletext"/>
              <w:rPr>
                <w:lang w:val="ru-RU"/>
              </w:rPr>
            </w:pPr>
            <w:r w:rsidRPr="004C7931">
              <w:rPr>
                <w:lang w:val="ru-RU"/>
              </w:rPr>
              <w:t>Каждый штатный сотрудник трудоустраивается, получает вознаграждение и располагает доступом к ресурсам для</w:t>
            </w:r>
            <w:r w:rsidR="003D47AD">
              <w:rPr>
                <w:lang w:val="en-US"/>
              </w:rPr>
              <w:t> </w:t>
            </w:r>
            <w:r w:rsidRPr="004C7931">
              <w:rPr>
                <w:lang w:val="ru-RU"/>
              </w:rPr>
              <w:t xml:space="preserve">решения таких вопросов, как </w:t>
            </w:r>
            <w:r w:rsidR="00924F22" w:rsidRPr="004C7931">
              <w:rPr>
                <w:lang w:val="ru-RU"/>
              </w:rPr>
              <w:t>определение и предоставление</w:t>
            </w:r>
            <w:r w:rsidRPr="004C7931">
              <w:rPr>
                <w:lang w:val="ru-RU"/>
              </w:rPr>
              <w:t xml:space="preserve"> льгот, а также для </w:t>
            </w:r>
            <w:r w:rsidR="00924F22" w:rsidRPr="004C7931">
              <w:rPr>
                <w:lang w:val="ru-RU"/>
              </w:rPr>
              <w:t>выполнения</w:t>
            </w:r>
            <w:r w:rsidRPr="004C7931">
              <w:rPr>
                <w:lang w:val="ru-RU"/>
              </w:rPr>
              <w:t xml:space="preserve"> прочих вспомогательных функций, связанных с его работой и необходимых для е</w:t>
            </w:r>
            <w:r w:rsidR="00C524EF">
              <w:rPr>
                <w:lang w:val="ru-RU"/>
              </w:rPr>
              <w:t>е</w:t>
            </w:r>
            <w:r w:rsidRPr="004C7931">
              <w:rPr>
                <w:lang w:val="ru-RU"/>
              </w:rPr>
              <w:t xml:space="preserve"> осуществления.</w:t>
            </w:r>
          </w:p>
          <w:p w14:paraId="77EB1980" w14:textId="05EA5754" w:rsidR="00F87C2C" w:rsidRPr="004C7931" w:rsidRDefault="00F87C2C" w:rsidP="00D15343">
            <w:pPr>
              <w:pStyle w:val="Tabletext"/>
              <w:rPr>
                <w:lang w:val="ru-RU"/>
              </w:rPr>
            </w:pPr>
            <w:r w:rsidRPr="004C7931">
              <w:rPr>
                <w:lang w:val="ru-RU"/>
              </w:rPr>
              <w:t>Объем этой административной работы напрямую зависит от того, сколько сотрудников работает в организации и сколько операций генерируется в процессе их деятельности.</w:t>
            </w:r>
          </w:p>
          <w:p w14:paraId="113E3FF6" w14:textId="77777777" w:rsidR="00F87C2C" w:rsidRPr="004C7931" w:rsidRDefault="00F87C2C" w:rsidP="00D15343">
            <w:pPr>
              <w:pStyle w:val="Tabletext"/>
              <w:rPr>
                <w:lang w:val="ru-RU"/>
              </w:rPr>
            </w:pPr>
            <w:r w:rsidRPr="004C7931">
              <w:rPr>
                <w:lang w:val="ru-RU"/>
              </w:rPr>
              <w:lastRenderedPageBreak/>
              <w:t>Для определения косвенных затрат используется наиболее подходящий фактор, которым в настоящем случае является отношение количества сотрудников, отвечающих за SNF, к общему количеству работников Союза.</w:t>
            </w:r>
          </w:p>
        </w:tc>
        <w:tc>
          <w:tcPr>
            <w:tcW w:w="3832" w:type="dxa"/>
          </w:tcPr>
          <w:p w14:paraId="1C28689B" w14:textId="77777777" w:rsidR="00F87C2C" w:rsidRPr="004C7931" w:rsidRDefault="00F87C2C" w:rsidP="00D15343">
            <w:pPr>
              <w:pStyle w:val="Tabletext"/>
              <w:rPr>
                <w:lang w:val="ru-RU"/>
              </w:rPr>
            </w:pPr>
          </w:p>
        </w:tc>
      </w:tr>
      <w:tr w:rsidR="00F87C2C" w:rsidRPr="00DF306E" w14:paraId="7AF5412B" w14:textId="77777777" w:rsidTr="00D15343">
        <w:trPr>
          <w:jc w:val="center"/>
        </w:trPr>
        <w:tc>
          <w:tcPr>
            <w:tcW w:w="1838" w:type="dxa"/>
          </w:tcPr>
          <w:p w14:paraId="5803EDDE" w14:textId="2A53F419" w:rsidR="00F87C2C" w:rsidRPr="004C7931" w:rsidRDefault="00F87C2C" w:rsidP="00D15343">
            <w:pPr>
              <w:pStyle w:val="Tabletext"/>
              <w:rPr>
                <w:lang w:val="ru-RU"/>
              </w:rPr>
            </w:pPr>
            <w:r w:rsidRPr="004C7931">
              <w:rPr>
                <w:lang w:val="ru-RU"/>
              </w:rPr>
              <w:t xml:space="preserve">Учет прямых, косвенных и капитальных </w:t>
            </w:r>
            <w:r w:rsidR="00C524EF">
              <w:rPr>
                <w:lang w:val="ru-RU"/>
              </w:rPr>
              <w:br/>
            </w:r>
            <w:r w:rsidRPr="004C7931">
              <w:rPr>
                <w:lang w:val="ru-RU"/>
              </w:rPr>
              <w:t>затрат</w:t>
            </w:r>
          </w:p>
        </w:tc>
        <w:tc>
          <w:tcPr>
            <w:tcW w:w="3969" w:type="dxa"/>
          </w:tcPr>
          <w:p w14:paraId="29C94068" w14:textId="774133F3" w:rsidR="00F87C2C" w:rsidRPr="004C7931" w:rsidRDefault="00F87C2C" w:rsidP="00D15343">
            <w:pPr>
              <w:pStyle w:val="Tabletext"/>
              <w:rPr>
                <w:lang w:val="ru-RU"/>
              </w:rPr>
            </w:pPr>
            <w:r w:rsidRPr="004C7931">
              <w:rPr>
                <w:lang w:val="ru-RU"/>
              </w:rPr>
              <w:t>Некоторые делегаты настаивали на том, что все прямые и косвенные затраты должны возмещаться путем возмещения затрат в</w:t>
            </w:r>
            <w:r w:rsidR="003D47AD">
              <w:rPr>
                <w:lang w:val="en-US"/>
              </w:rPr>
              <w:t> </w:t>
            </w:r>
            <w:r w:rsidRPr="004C7931">
              <w:rPr>
                <w:lang w:val="ru-RU"/>
              </w:rPr>
              <w:t>соответствии с Рез. 91.</w:t>
            </w:r>
          </w:p>
        </w:tc>
        <w:tc>
          <w:tcPr>
            <w:tcW w:w="5103" w:type="dxa"/>
          </w:tcPr>
          <w:p w14:paraId="28B898B2" w14:textId="1B72EDF6" w:rsidR="00F87C2C" w:rsidRPr="004C7931" w:rsidRDefault="00F87C2C" w:rsidP="00D15343">
            <w:pPr>
              <w:pStyle w:val="Tabletext"/>
              <w:rPr>
                <w:lang w:val="ru-RU"/>
              </w:rPr>
            </w:pPr>
            <w:r w:rsidRPr="004C7931">
              <w:rPr>
                <w:lang w:val="ru-RU"/>
              </w:rPr>
              <w:t>Секретариат считает положения Рез. 91 четко сформулированными, и очевидно, что, согласно Резолюции, требуется полное возмещение как прямых, так и косвенных затрат. При отсутствии изменений в Резолюции со стороны Полномочной конференции, Секретариат не может применять модель, которая не отвечает этому требованию.</w:t>
            </w:r>
          </w:p>
        </w:tc>
        <w:tc>
          <w:tcPr>
            <w:tcW w:w="3832" w:type="dxa"/>
          </w:tcPr>
          <w:p w14:paraId="4CC6A002" w14:textId="77777777" w:rsidR="00F87C2C" w:rsidRPr="004C7931" w:rsidRDefault="00F87C2C" w:rsidP="00D15343">
            <w:pPr>
              <w:pStyle w:val="Tabletext"/>
              <w:rPr>
                <w:lang w:val="ru-RU"/>
              </w:rPr>
            </w:pPr>
            <w:r w:rsidRPr="004C7931">
              <w:rPr>
                <w:lang w:val="ru-RU"/>
              </w:rPr>
              <w:t>Секретариат предложил методику, предусматривающую полное возмещение затрат на основе положений Рез. 91.</w:t>
            </w:r>
          </w:p>
        </w:tc>
      </w:tr>
      <w:tr w:rsidR="00F87C2C" w:rsidRPr="00DF306E" w14:paraId="731EDC2B" w14:textId="77777777" w:rsidTr="00D15343">
        <w:trPr>
          <w:jc w:val="center"/>
        </w:trPr>
        <w:tc>
          <w:tcPr>
            <w:tcW w:w="1838" w:type="dxa"/>
          </w:tcPr>
          <w:p w14:paraId="2DD203A9" w14:textId="77777777" w:rsidR="00F87C2C" w:rsidRPr="004C7931" w:rsidRDefault="00F87C2C" w:rsidP="00D15343">
            <w:pPr>
              <w:pStyle w:val="Tabletext"/>
              <w:rPr>
                <w:lang w:val="ru-RU"/>
              </w:rPr>
            </w:pPr>
          </w:p>
        </w:tc>
        <w:tc>
          <w:tcPr>
            <w:tcW w:w="3969" w:type="dxa"/>
          </w:tcPr>
          <w:p w14:paraId="6CE33997" w14:textId="1ECDBB64" w:rsidR="00F87C2C" w:rsidRPr="004C7931" w:rsidRDefault="00F87C2C" w:rsidP="00D15343">
            <w:pPr>
              <w:pStyle w:val="Tabletext"/>
              <w:rPr>
                <w:lang w:val="ru-RU"/>
              </w:rPr>
            </w:pPr>
            <w:r w:rsidRPr="004C7931">
              <w:rPr>
                <w:lang w:val="ru-RU"/>
              </w:rPr>
              <w:t>Особенно спорными были капитальные затраты (например, амортизация программных систем). Делегаты утверждали, что капитальные затраты не упоминаются в Рез. 91 и, следовательно, не должны включаться в объем затрат для возмещения.</w:t>
            </w:r>
          </w:p>
        </w:tc>
        <w:tc>
          <w:tcPr>
            <w:tcW w:w="5103" w:type="dxa"/>
          </w:tcPr>
          <w:p w14:paraId="642555D5" w14:textId="0CC93A49" w:rsidR="00F87C2C" w:rsidRPr="004C7931" w:rsidRDefault="00F87C2C" w:rsidP="00D15343">
            <w:pPr>
              <w:pStyle w:val="Tabletext"/>
              <w:rPr>
                <w:spacing w:val="-3"/>
                <w:lang w:val="ru-RU"/>
              </w:rPr>
            </w:pPr>
            <w:r w:rsidRPr="004C7931">
              <w:rPr>
                <w:lang w:val="ru-RU"/>
              </w:rPr>
              <w:t>Термины "капитальные" и "операционные" расходы основаны на принципах бухгалтерского учета, касающихся способа отражения затрат. Капитальные расходы относятся к стоимости активов, которые используются и учитываются в течение нескольких лет (в</w:t>
            </w:r>
            <w:r w:rsidR="003D47AD">
              <w:rPr>
                <w:lang w:val="en-US"/>
              </w:rPr>
              <w:t> </w:t>
            </w:r>
            <w:r w:rsidRPr="004C7931">
              <w:rPr>
                <w:lang w:val="ru-RU"/>
              </w:rPr>
              <w:t>зависимости от срока полезного использования приобретенного актива) и влияют на баланс организации, в то время как операционные расходы учитываются сразу же после их возникновения и влияют на отчет о прибылях и убытках. Капитальные затраты создают амортизационные расходы в отчете о прибылях и убытках.</w:t>
            </w:r>
          </w:p>
          <w:p w14:paraId="075AAF83" w14:textId="3B82321C" w:rsidR="00F87C2C" w:rsidRPr="004C7931" w:rsidRDefault="00F87C2C" w:rsidP="00D15343">
            <w:pPr>
              <w:pStyle w:val="Tabletext"/>
              <w:rPr>
                <w:spacing w:val="-3"/>
                <w:lang w:val="ru-RU"/>
              </w:rPr>
            </w:pPr>
            <w:r w:rsidRPr="004C7931">
              <w:rPr>
                <w:lang w:val="ru-RU"/>
              </w:rPr>
              <w:t>Деление на прямые и косвенные затраты зависит от их цели. Если расходы направляются непосредственно на</w:t>
            </w:r>
            <w:r w:rsidR="003D47AD">
              <w:rPr>
                <w:lang w:val="en-US"/>
              </w:rPr>
              <w:t> </w:t>
            </w:r>
            <w:r w:rsidRPr="004C7931">
              <w:rPr>
                <w:lang w:val="ru-RU"/>
              </w:rPr>
              <w:t>предоставление услуг по SNF, то речь идет о прямых затратах, будь то капитальные (долгосрочные) или операционные (краткосрочные) расходы. Аналогичным образом, если расходы могут быть отнесены к заявкам на</w:t>
            </w:r>
            <w:r w:rsidR="003D47AD">
              <w:rPr>
                <w:lang w:val="en-US"/>
              </w:rPr>
              <w:t> </w:t>
            </w:r>
            <w:r w:rsidRPr="004C7931">
              <w:rPr>
                <w:lang w:val="ru-RU"/>
              </w:rPr>
              <w:t>спутниковые сети косвенно (например, через обеспечение поддержки прямых затрат), то они являются косвенными затратами, независимо от того, носят ли они капитальный или операционный характер.</w:t>
            </w:r>
          </w:p>
          <w:p w14:paraId="3D0BF3FB" w14:textId="77777777" w:rsidR="00F87C2C" w:rsidRPr="004C7931" w:rsidRDefault="00F87C2C" w:rsidP="00D15343">
            <w:pPr>
              <w:pStyle w:val="Tabletext"/>
              <w:rPr>
                <w:spacing w:val="-3"/>
                <w:lang w:val="ru-RU"/>
              </w:rPr>
            </w:pPr>
            <w:r w:rsidRPr="004C7931">
              <w:rPr>
                <w:lang w:val="ru-RU"/>
              </w:rPr>
              <w:lastRenderedPageBreak/>
              <w:t>Соответственно, как прямые, так и косвенные затраты могут включать капитальные или операционные затраты.</w:t>
            </w:r>
          </w:p>
          <w:p w14:paraId="0E9BB14A" w14:textId="0F1C0F74" w:rsidR="00F87C2C" w:rsidRPr="004C7931" w:rsidRDefault="00F87C2C" w:rsidP="00D15343">
            <w:pPr>
              <w:pStyle w:val="Tabletext"/>
              <w:rPr>
                <w:lang w:val="ru-RU"/>
              </w:rPr>
            </w:pPr>
            <w:r w:rsidRPr="004C7931">
              <w:rPr>
                <w:lang w:val="ru-RU"/>
              </w:rPr>
              <w:t>Если взять пример амортизации систем программного обеспечения, то речь идет о капитальных расходах, которые были бы прямыми, если бы программное обеспечение приобреталось специально для целей обработки SNF, тогда как годовая стоимость программного обеспечения по кибербезопасности, приобретаемого для всего МСЭ, могла бы включаться как</w:t>
            </w:r>
            <w:r w:rsidR="003D47AD">
              <w:rPr>
                <w:lang w:val="en-US"/>
              </w:rPr>
              <w:t> </w:t>
            </w:r>
            <w:r w:rsidRPr="004C7931">
              <w:rPr>
                <w:lang w:val="ru-RU"/>
              </w:rPr>
              <w:t>косвенные расходы.</w:t>
            </w:r>
          </w:p>
        </w:tc>
        <w:tc>
          <w:tcPr>
            <w:tcW w:w="3832" w:type="dxa"/>
          </w:tcPr>
          <w:p w14:paraId="05ED13D7" w14:textId="2CC47D38" w:rsidR="00F87C2C" w:rsidRPr="004C7931" w:rsidRDefault="00F87C2C" w:rsidP="00D15343">
            <w:pPr>
              <w:pStyle w:val="Tabletext"/>
              <w:rPr>
                <w:lang w:val="ru-RU"/>
              </w:rPr>
            </w:pPr>
            <w:r w:rsidRPr="004C7931">
              <w:rPr>
                <w:lang w:val="ru-RU"/>
              </w:rPr>
              <w:lastRenderedPageBreak/>
              <w:t xml:space="preserve">И операционные, и капитальные </w:t>
            </w:r>
            <w:r w:rsidR="00B44CF7" w:rsidRPr="004C7931">
              <w:rPr>
                <w:lang w:val="ru-RU"/>
              </w:rPr>
              <w:t>затраты</w:t>
            </w:r>
            <w:r w:rsidRPr="004C7931">
              <w:rPr>
                <w:lang w:val="ru-RU"/>
              </w:rPr>
              <w:t xml:space="preserve"> будут относиться к прямым или косвенным затратам в зависимости от</w:t>
            </w:r>
            <w:r w:rsidR="003D47AD">
              <w:rPr>
                <w:lang w:val="en-US"/>
              </w:rPr>
              <w:t> </w:t>
            </w:r>
            <w:r w:rsidRPr="004C7931">
              <w:rPr>
                <w:lang w:val="ru-RU"/>
              </w:rPr>
              <w:t>того, для какой цели они были произведены, при условии, что данная статья расходов достаточно тесно связана с обработкой заявок на регистрацию спутниковых сетей.</w:t>
            </w:r>
          </w:p>
        </w:tc>
      </w:tr>
      <w:tr w:rsidR="00F87C2C" w:rsidRPr="00DF306E" w14:paraId="538B98AA" w14:textId="77777777" w:rsidTr="00D15343">
        <w:trPr>
          <w:jc w:val="center"/>
        </w:trPr>
        <w:tc>
          <w:tcPr>
            <w:tcW w:w="1838" w:type="dxa"/>
          </w:tcPr>
          <w:p w14:paraId="01F15F40" w14:textId="302015E5" w:rsidR="00F87C2C" w:rsidRPr="004C7931" w:rsidRDefault="00D76EE9" w:rsidP="00D15343">
            <w:pPr>
              <w:pStyle w:val="Tabletext"/>
              <w:rPr>
                <w:lang w:val="ru-RU"/>
              </w:rPr>
            </w:pPr>
            <w:r w:rsidRPr="004C7931">
              <w:rPr>
                <w:lang w:val="ru-RU"/>
              </w:rPr>
              <w:t>Заявки с правом на бесплатную публикацию</w:t>
            </w:r>
          </w:p>
        </w:tc>
        <w:tc>
          <w:tcPr>
            <w:tcW w:w="3969" w:type="dxa"/>
          </w:tcPr>
          <w:p w14:paraId="23DFD6DE" w14:textId="3A805E3B" w:rsidR="00F87C2C" w:rsidRPr="004C7931" w:rsidRDefault="00F87C2C" w:rsidP="00D15343">
            <w:pPr>
              <w:pStyle w:val="Tabletext"/>
              <w:rPr>
                <w:lang w:val="ru-RU"/>
              </w:rPr>
            </w:pPr>
            <w:r w:rsidRPr="004C7931">
              <w:rPr>
                <w:lang w:val="ru-RU"/>
              </w:rPr>
              <w:t xml:space="preserve">Многие делегаты настаивали на том, что право на бесплатную </w:t>
            </w:r>
            <w:r w:rsidR="007C2779" w:rsidRPr="004C7931">
              <w:rPr>
                <w:lang w:val="ru-RU"/>
              </w:rPr>
              <w:t>публикацию</w:t>
            </w:r>
            <w:r w:rsidRPr="004C7931">
              <w:rPr>
                <w:lang w:val="ru-RU"/>
              </w:rPr>
              <w:t xml:space="preserve"> является одним из основополагающих вопросов, предусмотренных положениями Устава, и должно финансироваться за счет единиц взноса, а не за счет возмещения затрат.</w:t>
            </w:r>
          </w:p>
          <w:p w14:paraId="5D42DA77" w14:textId="77777777" w:rsidR="00F87C2C" w:rsidRPr="004C7931" w:rsidRDefault="00F87C2C" w:rsidP="00D15343">
            <w:pPr>
              <w:pStyle w:val="Tabletext"/>
              <w:rPr>
                <w:lang w:val="ru-RU"/>
              </w:rPr>
            </w:pPr>
            <w:r w:rsidRPr="004C7931">
              <w:rPr>
                <w:lang w:val="ru-RU"/>
              </w:rPr>
              <w:t>Другие делегаты утверждали, что бесплатные заявки должны финансироваться за счет возмещения затрат в соответствии с Рез. 91.</w:t>
            </w:r>
          </w:p>
          <w:p w14:paraId="68C3F393" w14:textId="77777777" w:rsidR="00F87C2C" w:rsidRPr="004C7931" w:rsidRDefault="00F87C2C" w:rsidP="00D15343">
            <w:pPr>
              <w:pStyle w:val="Tabletext"/>
              <w:rPr>
                <w:lang w:val="ru-RU"/>
              </w:rPr>
            </w:pPr>
            <w:r w:rsidRPr="004C7931">
              <w:rPr>
                <w:lang w:val="ru-RU"/>
              </w:rPr>
              <w:t xml:space="preserve">Делегаты обсудили проблемы, связанные с неправомерным использованием права на бесплатную регистрацию. </w:t>
            </w:r>
          </w:p>
          <w:p w14:paraId="40644145" w14:textId="0B4D1149" w:rsidR="00F87C2C" w:rsidRPr="004C7931" w:rsidRDefault="00F87C2C" w:rsidP="00D15343">
            <w:pPr>
              <w:pStyle w:val="Tabletext"/>
              <w:rPr>
                <w:lang w:val="ru-RU"/>
              </w:rPr>
            </w:pPr>
            <w:r w:rsidRPr="004C7931">
              <w:rPr>
                <w:lang w:val="ru-RU"/>
              </w:rPr>
              <w:t xml:space="preserve">Некоторые делегаты отметили, что небольшое число крупных транснациональных корпораций косвенно пользуются правом </w:t>
            </w:r>
            <w:r w:rsidR="00F94566" w:rsidRPr="004C7931">
              <w:rPr>
                <w:lang w:val="ru-RU"/>
              </w:rPr>
              <w:t xml:space="preserve">на </w:t>
            </w:r>
            <w:r w:rsidRPr="004C7931">
              <w:rPr>
                <w:lang w:val="ru-RU"/>
              </w:rPr>
              <w:t>бесплатн</w:t>
            </w:r>
            <w:r w:rsidR="00F94566" w:rsidRPr="004C7931">
              <w:rPr>
                <w:lang w:val="ru-RU"/>
              </w:rPr>
              <w:t>ую</w:t>
            </w:r>
            <w:r w:rsidRPr="004C7931">
              <w:rPr>
                <w:lang w:val="ru-RU"/>
              </w:rPr>
              <w:t xml:space="preserve"> регистраци</w:t>
            </w:r>
            <w:r w:rsidR="00F94566" w:rsidRPr="004C7931">
              <w:rPr>
                <w:lang w:val="ru-RU"/>
              </w:rPr>
              <w:t>ю</w:t>
            </w:r>
            <w:r w:rsidRPr="004C7931">
              <w:rPr>
                <w:lang w:val="ru-RU"/>
              </w:rPr>
              <w:t>.</w:t>
            </w:r>
          </w:p>
          <w:p w14:paraId="6128B900" w14:textId="77777777" w:rsidR="00F87C2C" w:rsidRPr="004C7931" w:rsidRDefault="00F87C2C" w:rsidP="00D15343">
            <w:pPr>
              <w:pStyle w:val="Tabletext"/>
              <w:rPr>
                <w:lang w:val="ru-RU"/>
              </w:rPr>
            </w:pPr>
            <w:r w:rsidRPr="004C7931">
              <w:rPr>
                <w:lang w:val="ru-RU"/>
              </w:rPr>
              <w:t>Прозвучали призывы предотвратить неправомерное использование путем приведения бесплатных заявок в соответствие с принципами справедливого доступа.</w:t>
            </w:r>
          </w:p>
          <w:p w14:paraId="724E1308" w14:textId="77777777" w:rsidR="00F87C2C" w:rsidRPr="004C7931" w:rsidRDefault="00F87C2C" w:rsidP="00D15343">
            <w:pPr>
              <w:pStyle w:val="Tabletext"/>
              <w:rPr>
                <w:lang w:val="ru-RU"/>
              </w:rPr>
            </w:pPr>
            <w:r w:rsidRPr="004C7931">
              <w:rPr>
                <w:lang w:val="ru-RU"/>
              </w:rPr>
              <w:lastRenderedPageBreak/>
              <w:t>Некоторые делегаты отметили, что бесплатная регистрация должна помочь развивающимся странам, особенно НРС, ЛЛДС и СИДС.</w:t>
            </w:r>
          </w:p>
          <w:p w14:paraId="383D1889" w14:textId="61A3B029" w:rsidR="00F87C2C" w:rsidRPr="004C7931" w:rsidRDefault="00F87C2C" w:rsidP="00D15343">
            <w:pPr>
              <w:pStyle w:val="Tabletext"/>
              <w:rPr>
                <w:lang w:val="ru-RU"/>
              </w:rPr>
            </w:pPr>
            <w:r w:rsidRPr="004C7931">
              <w:rPr>
                <w:lang w:val="ru-RU"/>
              </w:rPr>
              <w:t xml:space="preserve">Некоторые делегаты предложили распространить право на бесплатную </w:t>
            </w:r>
            <w:r w:rsidR="00F94566" w:rsidRPr="004C7931">
              <w:rPr>
                <w:lang w:val="ru-RU"/>
              </w:rPr>
              <w:t>регистрацию</w:t>
            </w:r>
            <w:r w:rsidRPr="004C7931">
              <w:rPr>
                <w:lang w:val="ru-RU"/>
              </w:rPr>
              <w:t xml:space="preserve"> на региональные инициативы в области спутниковой связи.</w:t>
            </w:r>
          </w:p>
        </w:tc>
        <w:tc>
          <w:tcPr>
            <w:tcW w:w="5103" w:type="dxa"/>
          </w:tcPr>
          <w:p w14:paraId="1AE31890" w14:textId="01327415" w:rsidR="00F87C2C" w:rsidRPr="004C7931" w:rsidRDefault="00F87C2C" w:rsidP="00D15343">
            <w:pPr>
              <w:pStyle w:val="Tabletext"/>
              <w:rPr>
                <w:lang w:val="ru-RU"/>
              </w:rPr>
            </w:pPr>
            <w:r w:rsidRPr="004C7931">
              <w:rPr>
                <w:lang w:val="ru-RU"/>
              </w:rPr>
              <w:lastRenderedPageBreak/>
              <w:t xml:space="preserve">Право на бесплатную </w:t>
            </w:r>
            <w:r w:rsidR="00924F22" w:rsidRPr="004C7931">
              <w:rPr>
                <w:lang w:val="ru-RU"/>
              </w:rPr>
              <w:t>публикацию</w:t>
            </w:r>
            <w:r w:rsidRPr="004C7931">
              <w:rPr>
                <w:lang w:val="ru-RU"/>
              </w:rPr>
              <w:t xml:space="preserve"> проистекает из принципов, изложенных в Рез. 91, в соответствии с которыми необходим</w:t>
            </w:r>
            <w:r w:rsidR="00924F22" w:rsidRPr="004C7931">
              <w:rPr>
                <w:lang w:val="ru-RU"/>
              </w:rPr>
              <w:t>о</w:t>
            </w:r>
            <w:r w:rsidRPr="004C7931">
              <w:rPr>
                <w:lang w:val="ru-RU"/>
              </w:rPr>
              <w:t xml:space="preserve"> обеспечить справедливый доступ для всех Государств-Членов.</w:t>
            </w:r>
          </w:p>
          <w:p w14:paraId="15320928" w14:textId="079C0C78" w:rsidR="00F87C2C" w:rsidRPr="004C7931" w:rsidRDefault="00F87C2C" w:rsidP="00D15343">
            <w:pPr>
              <w:pStyle w:val="Tabletext"/>
              <w:rPr>
                <w:lang w:val="ru-RU"/>
              </w:rPr>
            </w:pPr>
            <w:r w:rsidRPr="004C7931">
              <w:rPr>
                <w:lang w:val="ru-RU"/>
              </w:rPr>
              <w:t xml:space="preserve">Как правило, справедливый доступ обеспечивается путем принятия конкретных мер для тех членов, которые находятся в неблагоприятном положении. Тем не менее право на бесплатную регистрацию действует для всех Государств-Членов, вне зависимости от того, могут ли они позволить себе оплатить сборы, которые покрывают возмещаемые затраты, или нет. Более того, Секретариат отметил, что право на бесплатную регистрацию чаще всего использовалось при подаче самых сложных заявок, а это, в свою очередь, </w:t>
            </w:r>
            <w:r w:rsidR="0035320F" w:rsidRPr="004C7931">
              <w:rPr>
                <w:lang w:val="ru-RU"/>
              </w:rPr>
              <w:t>оказывает значительное влияние на объем</w:t>
            </w:r>
            <w:r w:rsidRPr="004C7931">
              <w:rPr>
                <w:lang w:val="ru-RU"/>
              </w:rPr>
              <w:t xml:space="preserve"> возмещения </w:t>
            </w:r>
            <w:r w:rsidR="0035320F" w:rsidRPr="004C7931">
              <w:rPr>
                <w:lang w:val="ru-RU"/>
              </w:rPr>
              <w:t>общих затрат</w:t>
            </w:r>
            <w:r w:rsidRPr="004C7931">
              <w:rPr>
                <w:lang w:val="ru-RU"/>
              </w:rPr>
              <w:t>.</w:t>
            </w:r>
          </w:p>
          <w:p w14:paraId="3B9609E4" w14:textId="0B75DD89" w:rsidR="00F87C2C" w:rsidRPr="004C7931" w:rsidRDefault="00F87C2C" w:rsidP="00D15343">
            <w:pPr>
              <w:pStyle w:val="Tabletext"/>
              <w:rPr>
                <w:lang w:val="ru-RU"/>
              </w:rPr>
            </w:pPr>
            <w:r w:rsidRPr="004C7931">
              <w:rPr>
                <w:lang w:val="ru-RU"/>
              </w:rPr>
              <w:t xml:space="preserve">Вопрос о том, должно ли финансирование заявок </w:t>
            </w:r>
            <w:r w:rsidR="0035320F" w:rsidRPr="004C7931">
              <w:rPr>
                <w:lang w:val="ru-RU"/>
              </w:rPr>
              <w:t xml:space="preserve">с правом бесплатной регистрации </w:t>
            </w:r>
            <w:r w:rsidRPr="004C7931">
              <w:rPr>
                <w:lang w:val="ru-RU"/>
              </w:rPr>
              <w:t>осуществляться за сч</w:t>
            </w:r>
            <w:r w:rsidR="0035320F" w:rsidRPr="004C7931">
              <w:rPr>
                <w:lang w:val="ru-RU"/>
              </w:rPr>
              <w:t>е</w:t>
            </w:r>
            <w:r w:rsidRPr="004C7931">
              <w:rPr>
                <w:lang w:val="ru-RU"/>
              </w:rPr>
              <w:t xml:space="preserve">т механизма возмещения затрат. В настоящее время, поскольку общие затраты </w:t>
            </w:r>
            <w:r w:rsidR="001335B0" w:rsidRPr="004C7931">
              <w:rPr>
                <w:lang w:val="ru-RU"/>
              </w:rPr>
              <w:t>Секретариат</w:t>
            </w:r>
            <w:r w:rsidRPr="004C7931">
              <w:rPr>
                <w:lang w:val="ru-RU"/>
              </w:rPr>
              <w:t>а на обработку SNF за последние пять лет не возмещаются (</w:t>
            </w:r>
            <w:r w:rsidR="0035320F" w:rsidRPr="004C7931">
              <w:rPr>
                <w:lang w:val="ru-RU"/>
              </w:rPr>
              <w:t>в объеме, большем,</w:t>
            </w:r>
            <w:r w:rsidRPr="004C7931">
              <w:rPr>
                <w:lang w:val="ru-RU"/>
              </w:rPr>
              <w:t xml:space="preserve"> чем </w:t>
            </w:r>
            <w:r w:rsidR="003B4F3F" w:rsidRPr="004C7931">
              <w:rPr>
                <w:lang w:val="ru-RU"/>
              </w:rPr>
              <w:t>стоимость бесплатной регистрации</w:t>
            </w:r>
            <w:r w:rsidRPr="004C7931">
              <w:rPr>
                <w:lang w:val="ru-RU"/>
              </w:rPr>
              <w:t>), стоимость бесплатной регистрации полностью финансируется за счет начисленных взносов Членов МСЭ.</w:t>
            </w:r>
          </w:p>
          <w:p w14:paraId="060638D0" w14:textId="685FDEBA" w:rsidR="00F87C2C" w:rsidRPr="004C7931" w:rsidRDefault="00F87C2C" w:rsidP="00D15343">
            <w:pPr>
              <w:pStyle w:val="Tabletext"/>
              <w:rPr>
                <w:lang w:val="ru-RU"/>
              </w:rPr>
            </w:pPr>
            <w:r w:rsidRPr="004C7931">
              <w:rPr>
                <w:lang w:val="ru-RU"/>
              </w:rPr>
              <w:lastRenderedPageBreak/>
              <w:t>Совместное прочтение Резолюции ПК и Решения</w:t>
            </w:r>
            <w:r w:rsidR="00EF2CCE">
              <w:rPr>
                <w:lang w:val="en-US"/>
              </w:rPr>
              <w:t> </w:t>
            </w:r>
            <w:r w:rsidRPr="004C7931">
              <w:rPr>
                <w:lang w:val="ru-RU"/>
              </w:rPr>
              <w:t>482 Совета показывает, что услуга SNF является частью действующего в МСЭ режима возмещения затрат и что подробные правила реализации Совета должны рассматриваться в соответствии с этой системой более высокого уровня. Хотя Решение</w:t>
            </w:r>
            <w:r w:rsidR="00EF2CCE">
              <w:rPr>
                <w:lang w:val="en-US"/>
              </w:rPr>
              <w:t> </w:t>
            </w:r>
            <w:r w:rsidRPr="004C7931">
              <w:rPr>
                <w:lang w:val="ru-RU"/>
              </w:rPr>
              <w:t>482 предоставляет каждому Государству-Члену ограниченное право на одну ежегодную бесплатную публикацию</w:t>
            </w:r>
            <w:r w:rsidR="003B4F3F" w:rsidRPr="004C7931">
              <w:rPr>
                <w:lang w:val="ru-RU"/>
              </w:rPr>
              <w:t xml:space="preserve"> в отношении одной заявки</w:t>
            </w:r>
            <w:r w:rsidRPr="004C7931">
              <w:rPr>
                <w:lang w:val="ru-RU"/>
              </w:rPr>
              <w:t xml:space="preserve">, по мнению </w:t>
            </w:r>
            <w:r w:rsidR="001335B0" w:rsidRPr="004C7931">
              <w:rPr>
                <w:lang w:val="ru-RU"/>
              </w:rPr>
              <w:t>Секретариат</w:t>
            </w:r>
            <w:r w:rsidRPr="004C7931">
              <w:rPr>
                <w:lang w:val="ru-RU"/>
              </w:rPr>
              <w:t xml:space="preserve">а, это право следует понимать как особенность модели начисления платы, а не как основу для исключения соответствующих затрат из общего расчета возмещения затрат на SNF. Исходя из этого, </w:t>
            </w:r>
            <w:r w:rsidR="001335B0" w:rsidRPr="004C7931">
              <w:rPr>
                <w:lang w:val="ru-RU"/>
              </w:rPr>
              <w:t>Секретариат</w:t>
            </w:r>
            <w:r w:rsidRPr="004C7931">
              <w:rPr>
                <w:lang w:val="ru-RU"/>
              </w:rPr>
              <w:t xml:space="preserve"> считает, что затраты</w:t>
            </w:r>
            <w:r w:rsidR="003B4F3F" w:rsidRPr="004C7931">
              <w:rPr>
                <w:lang w:val="ru-RU"/>
              </w:rPr>
              <w:t xml:space="preserve">, связанные с правом бесплатной публикации, </w:t>
            </w:r>
            <w:r w:rsidRPr="004C7931">
              <w:rPr>
                <w:lang w:val="ru-RU"/>
              </w:rPr>
              <w:t>следует включать в общую сумму затрат, возмещаемых за счет сборов в связи с SNF.</w:t>
            </w:r>
          </w:p>
          <w:p w14:paraId="37BE33E4" w14:textId="4721FBB9" w:rsidR="00F87C2C" w:rsidRPr="004C7931" w:rsidRDefault="00F87C2C" w:rsidP="00D15343">
            <w:pPr>
              <w:pStyle w:val="Tabletext"/>
              <w:rPr>
                <w:lang w:val="ru-RU"/>
              </w:rPr>
            </w:pPr>
            <w:r w:rsidRPr="004C7931">
              <w:rPr>
                <w:lang w:val="ru-RU"/>
              </w:rPr>
              <w:t>Секретариат предложил два варианта:</w:t>
            </w:r>
          </w:p>
          <w:p w14:paraId="16D991BD" w14:textId="5EDF7D05" w:rsidR="00F87C2C" w:rsidRPr="004C7931" w:rsidRDefault="00F87C2C" w:rsidP="00EF2CCE">
            <w:pPr>
              <w:pStyle w:val="Tabletext"/>
              <w:ind w:left="284" w:hanging="284"/>
              <w:rPr>
                <w:lang w:val="ru-RU"/>
              </w:rPr>
            </w:pPr>
            <w:r w:rsidRPr="004C7931">
              <w:rPr>
                <w:lang w:val="ru-RU"/>
              </w:rPr>
              <w:t>1</w:t>
            </w:r>
            <w:r w:rsidRPr="004C7931">
              <w:rPr>
                <w:lang w:val="ru-RU"/>
              </w:rPr>
              <w:tab/>
              <w:t xml:space="preserve">ограничить </w:t>
            </w:r>
            <w:r w:rsidR="00BF3FE8" w:rsidRPr="004C7931">
              <w:rPr>
                <w:lang w:val="ru-RU"/>
              </w:rPr>
              <w:t>прав</w:t>
            </w:r>
            <w:r w:rsidR="003D0F47" w:rsidRPr="004C7931">
              <w:rPr>
                <w:lang w:val="ru-RU"/>
              </w:rPr>
              <w:t>о</w:t>
            </w:r>
            <w:r w:rsidR="00BF3FE8" w:rsidRPr="004C7931">
              <w:rPr>
                <w:lang w:val="ru-RU"/>
              </w:rPr>
              <w:t xml:space="preserve"> на бесплатную регистрацию </w:t>
            </w:r>
            <w:r w:rsidR="003D0F47" w:rsidRPr="004C7931">
              <w:rPr>
                <w:lang w:val="ru-RU"/>
              </w:rPr>
              <w:t xml:space="preserve">его применением </w:t>
            </w:r>
            <w:r w:rsidR="00BF3FE8" w:rsidRPr="004C7931">
              <w:rPr>
                <w:lang w:val="ru-RU"/>
              </w:rPr>
              <w:t>только в отношении</w:t>
            </w:r>
            <w:r w:rsidRPr="004C7931">
              <w:rPr>
                <w:lang w:val="ru-RU"/>
              </w:rPr>
              <w:t xml:space="preserve"> первой заявк</w:t>
            </w:r>
            <w:r w:rsidR="00BF3FE8" w:rsidRPr="004C7931">
              <w:rPr>
                <w:lang w:val="ru-RU"/>
              </w:rPr>
              <w:t>и</w:t>
            </w:r>
            <w:r w:rsidRPr="004C7931">
              <w:rPr>
                <w:lang w:val="ru-RU"/>
              </w:rPr>
              <w:t xml:space="preserve"> за</w:t>
            </w:r>
            <w:r w:rsidR="00EF2CCE">
              <w:rPr>
                <w:lang w:val="en-US"/>
              </w:rPr>
              <w:t> </w:t>
            </w:r>
            <w:r w:rsidRPr="004C7931">
              <w:rPr>
                <w:lang w:val="ru-RU"/>
              </w:rPr>
              <w:t>год; или</w:t>
            </w:r>
          </w:p>
          <w:p w14:paraId="33B8C652" w14:textId="38F30A50" w:rsidR="00F87C2C" w:rsidRPr="004C7931" w:rsidRDefault="00F87C2C" w:rsidP="00EF2CCE">
            <w:pPr>
              <w:pStyle w:val="Tabletext"/>
              <w:ind w:left="284" w:hanging="284"/>
              <w:rPr>
                <w:lang w:val="ru-RU"/>
              </w:rPr>
            </w:pPr>
            <w:r w:rsidRPr="004C7931">
              <w:rPr>
                <w:lang w:val="ru-RU"/>
              </w:rPr>
              <w:t>2</w:t>
            </w:r>
            <w:r w:rsidRPr="004C7931">
              <w:rPr>
                <w:lang w:val="ru-RU"/>
              </w:rPr>
              <w:tab/>
              <w:t xml:space="preserve">применять бесплатную регистрацию к </w:t>
            </w:r>
            <w:r w:rsidR="000A5144" w:rsidRPr="004C7931">
              <w:rPr>
                <w:lang w:val="ru-RU"/>
              </w:rPr>
              <w:t xml:space="preserve">наименее дорогостоящей заявке, </w:t>
            </w:r>
            <w:r w:rsidRPr="004C7931">
              <w:rPr>
                <w:lang w:val="ru-RU"/>
              </w:rPr>
              <w:t>представленной любой заявляющей администрацией в каждом году.</w:t>
            </w:r>
          </w:p>
          <w:p w14:paraId="529CF647" w14:textId="3806C53B" w:rsidR="00F87C2C" w:rsidRPr="004C7931" w:rsidRDefault="00F87C2C" w:rsidP="00D15343">
            <w:pPr>
              <w:pStyle w:val="Tabletext"/>
              <w:rPr>
                <w:lang w:val="ru-RU"/>
              </w:rPr>
            </w:pPr>
            <w:r w:rsidRPr="004C7931">
              <w:rPr>
                <w:lang w:val="ru-RU"/>
              </w:rPr>
              <w:t>В отношении первого пункта было отмечено, что это не</w:t>
            </w:r>
            <w:r w:rsidR="00EF2CCE">
              <w:rPr>
                <w:lang w:val="en-US"/>
              </w:rPr>
              <w:t> </w:t>
            </w:r>
            <w:r w:rsidRPr="004C7931">
              <w:rPr>
                <w:lang w:val="ru-RU"/>
              </w:rPr>
              <w:t xml:space="preserve">обязательно изменит ситуацию, поскольку организации, подающие множество заявок, </w:t>
            </w:r>
            <w:r w:rsidR="008C3047" w:rsidRPr="004C7931">
              <w:rPr>
                <w:lang w:val="ru-RU"/>
              </w:rPr>
              <w:t>просто будут планировать подачу таким образом, чтобы первой в году была представлена</w:t>
            </w:r>
            <w:r w:rsidRPr="004C7931">
              <w:rPr>
                <w:lang w:val="ru-RU"/>
              </w:rPr>
              <w:t xml:space="preserve"> </w:t>
            </w:r>
            <w:r w:rsidR="008C3047" w:rsidRPr="004C7931">
              <w:rPr>
                <w:lang w:val="ru-RU"/>
              </w:rPr>
              <w:t>наименее дорогостоящая заявка</w:t>
            </w:r>
            <w:r w:rsidRPr="004C7931">
              <w:rPr>
                <w:lang w:val="ru-RU"/>
              </w:rPr>
              <w:t>.</w:t>
            </w:r>
          </w:p>
          <w:p w14:paraId="6AA0EE5D" w14:textId="3AB63BFC" w:rsidR="00F87C2C" w:rsidRPr="004C7931" w:rsidRDefault="0069443F" w:rsidP="00D15343">
            <w:pPr>
              <w:pStyle w:val="Tabletext"/>
              <w:rPr>
                <w:lang w:val="ru-RU"/>
              </w:rPr>
            </w:pPr>
            <w:r w:rsidRPr="004C7931">
              <w:rPr>
                <w:lang w:val="ru-RU"/>
              </w:rPr>
              <w:t>Что касается второго варианта, было высказано мнение, что он полностью лишит смысла право на бесплатную регистрацию</w:t>
            </w:r>
            <w:r w:rsidR="00F87C2C" w:rsidRPr="004C7931">
              <w:rPr>
                <w:lang w:val="ru-RU"/>
              </w:rPr>
              <w:t xml:space="preserve">. Секретариат отмечает, что это лишь ограничит выгоду для более крупных объединений, представляющих несколько заявок в год, которые, как </w:t>
            </w:r>
            <w:r w:rsidR="00F87C2C" w:rsidRPr="004C7931">
              <w:rPr>
                <w:lang w:val="ru-RU"/>
              </w:rPr>
              <w:lastRenderedPageBreak/>
              <w:t>можно утверждать, в любом случае не должны были приносить пользу.</w:t>
            </w:r>
          </w:p>
        </w:tc>
        <w:tc>
          <w:tcPr>
            <w:tcW w:w="3832" w:type="dxa"/>
          </w:tcPr>
          <w:p w14:paraId="3AE54731" w14:textId="77777777" w:rsidR="00F87C2C" w:rsidRPr="004C7931" w:rsidRDefault="00F87C2C" w:rsidP="00D15343">
            <w:pPr>
              <w:pStyle w:val="Tabletext"/>
              <w:rPr>
                <w:lang w:val="ru-RU"/>
              </w:rPr>
            </w:pPr>
            <w:r w:rsidRPr="004C7931">
              <w:rPr>
                <w:lang w:val="ru-RU"/>
              </w:rPr>
              <w:lastRenderedPageBreak/>
              <w:t>Секретариат предлагает Совету рассмотреть один из следующих возможных подходов к режиму бесплатной регистрации:</w:t>
            </w:r>
          </w:p>
          <w:p w14:paraId="08E901BD" w14:textId="40F07AFC" w:rsidR="00F87C2C" w:rsidRPr="004C7931" w:rsidRDefault="00F87C2C" w:rsidP="003D47AD">
            <w:pPr>
              <w:pStyle w:val="Tabletext"/>
              <w:ind w:left="284" w:hanging="284"/>
              <w:rPr>
                <w:lang w:val="ru-RU"/>
              </w:rPr>
            </w:pPr>
            <w:r w:rsidRPr="004C7931">
              <w:rPr>
                <w:lang w:val="ru-RU"/>
              </w:rPr>
              <w:t>1</w:t>
            </w:r>
            <w:r w:rsidRPr="004C7931">
              <w:rPr>
                <w:lang w:val="ru-RU"/>
              </w:rPr>
              <w:tab/>
            </w:r>
            <w:r w:rsidR="0030209C" w:rsidRPr="004C7931">
              <w:rPr>
                <w:lang w:val="ru-RU"/>
              </w:rPr>
              <w:t>П</w:t>
            </w:r>
            <w:r w:rsidRPr="004C7931">
              <w:rPr>
                <w:lang w:val="ru-RU"/>
              </w:rPr>
              <w:t xml:space="preserve">рименять право на бесплатную </w:t>
            </w:r>
            <w:r w:rsidR="0030209C" w:rsidRPr="004C7931">
              <w:rPr>
                <w:lang w:val="ru-RU"/>
              </w:rPr>
              <w:t>публикацию</w:t>
            </w:r>
            <w:r w:rsidRPr="004C7931">
              <w:rPr>
                <w:lang w:val="ru-RU"/>
              </w:rPr>
              <w:t xml:space="preserve"> к </w:t>
            </w:r>
            <w:r w:rsidR="0030209C" w:rsidRPr="004C7931">
              <w:rPr>
                <w:lang w:val="ru-RU"/>
              </w:rPr>
              <w:t>наименее дорогостоящей</w:t>
            </w:r>
            <w:r w:rsidRPr="004C7931">
              <w:rPr>
                <w:lang w:val="ru-RU"/>
              </w:rPr>
              <w:t xml:space="preserve"> заявке, представленной любой заявляющей администрацией в</w:t>
            </w:r>
            <w:r w:rsidR="003D47AD">
              <w:rPr>
                <w:lang w:val="en-US"/>
              </w:rPr>
              <w:t> </w:t>
            </w:r>
            <w:r w:rsidRPr="004C7931">
              <w:rPr>
                <w:lang w:val="ru-RU"/>
              </w:rPr>
              <w:t>каждом году.</w:t>
            </w:r>
          </w:p>
          <w:p w14:paraId="6DF46874" w14:textId="64AAE139" w:rsidR="00F87C2C" w:rsidRPr="004C7931" w:rsidRDefault="00F87C2C" w:rsidP="003D47AD">
            <w:pPr>
              <w:pStyle w:val="Tabletext"/>
              <w:ind w:left="284" w:hanging="284"/>
              <w:rPr>
                <w:lang w:val="ru-RU"/>
              </w:rPr>
            </w:pPr>
            <w:r w:rsidRPr="004C7931">
              <w:rPr>
                <w:lang w:val="ru-RU"/>
              </w:rPr>
              <w:t>2</w:t>
            </w:r>
            <w:r w:rsidRPr="004C7931">
              <w:rPr>
                <w:lang w:val="ru-RU"/>
              </w:rPr>
              <w:tab/>
            </w:r>
            <w:r w:rsidR="0030209C" w:rsidRPr="004C7931">
              <w:rPr>
                <w:lang w:val="ru-RU"/>
              </w:rPr>
              <w:t>Предоставить</w:t>
            </w:r>
            <w:r w:rsidRPr="004C7931">
              <w:rPr>
                <w:lang w:val="ru-RU"/>
              </w:rPr>
              <w:t xml:space="preserve"> право на бесплатную публикацию </w:t>
            </w:r>
            <w:r w:rsidR="0030209C" w:rsidRPr="004C7931">
              <w:rPr>
                <w:lang w:val="ru-RU"/>
              </w:rPr>
              <w:t xml:space="preserve">только </w:t>
            </w:r>
            <w:r w:rsidRPr="004C7931">
              <w:rPr>
                <w:lang w:val="ru-RU"/>
              </w:rPr>
              <w:t>НРС, СИДС, ЛЛДС и странам с переходной экономикой.</w:t>
            </w:r>
          </w:p>
          <w:p w14:paraId="54581E34" w14:textId="73D02A5F" w:rsidR="00F87C2C" w:rsidRPr="004C7931" w:rsidRDefault="00F87C2C" w:rsidP="00D15343">
            <w:pPr>
              <w:pStyle w:val="Tabletext"/>
              <w:rPr>
                <w:lang w:val="ru-RU"/>
              </w:rPr>
            </w:pPr>
            <w:r w:rsidRPr="004C7931">
              <w:rPr>
                <w:lang w:val="ru-RU"/>
              </w:rPr>
              <w:t xml:space="preserve">Секретариат считает, что в каждом случае правильным подходом является включение затрат на обработку заявок </w:t>
            </w:r>
            <w:r w:rsidR="0030209C" w:rsidRPr="004C7931">
              <w:rPr>
                <w:lang w:val="ru-RU"/>
              </w:rPr>
              <w:t>в правом</w:t>
            </w:r>
            <w:r w:rsidRPr="004C7931">
              <w:rPr>
                <w:lang w:val="ru-RU"/>
              </w:rPr>
              <w:t xml:space="preserve"> бесплатн</w:t>
            </w:r>
            <w:r w:rsidR="0030209C" w:rsidRPr="004C7931">
              <w:rPr>
                <w:lang w:val="ru-RU"/>
              </w:rPr>
              <w:t>ой</w:t>
            </w:r>
            <w:r w:rsidRPr="004C7931">
              <w:rPr>
                <w:lang w:val="ru-RU"/>
              </w:rPr>
              <w:t xml:space="preserve"> публикаци</w:t>
            </w:r>
            <w:r w:rsidR="0030209C" w:rsidRPr="004C7931">
              <w:rPr>
                <w:lang w:val="ru-RU"/>
              </w:rPr>
              <w:t>и</w:t>
            </w:r>
            <w:r w:rsidRPr="004C7931">
              <w:rPr>
                <w:lang w:val="ru-RU"/>
              </w:rPr>
              <w:t xml:space="preserve"> в </w:t>
            </w:r>
            <w:r w:rsidR="004002F9" w:rsidRPr="004C7931">
              <w:rPr>
                <w:lang w:val="ru-RU"/>
              </w:rPr>
              <w:t xml:space="preserve">объем </w:t>
            </w:r>
            <w:r w:rsidRPr="004C7931">
              <w:rPr>
                <w:lang w:val="ru-RU"/>
              </w:rPr>
              <w:t>общи</w:t>
            </w:r>
            <w:r w:rsidR="004002F9" w:rsidRPr="004C7931">
              <w:rPr>
                <w:lang w:val="ru-RU"/>
              </w:rPr>
              <w:t>х</w:t>
            </w:r>
            <w:r w:rsidRPr="004C7931">
              <w:rPr>
                <w:lang w:val="ru-RU"/>
              </w:rPr>
              <w:t xml:space="preserve"> затрат на SNF и полное возмещение затрат за счет сборов за SNF.</w:t>
            </w:r>
          </w:p>
        </w:tc>
      </w:tr>
      <w:tr w:rsidR="00F87C2C" w:rsidRPr="00DF306E" w14:paraId="0D3C81C8" w14:textId="77777777" w:rsidTr="00D15343">
        <w:trPr>
          <w:jc w:val="center"/>
        </w:trPr>
        <w:tc>
          <w:tcPr>
            <w:tcW w:w="1838" w:type="dxa"/>
          </w:tcPr>
          <w:p w14:paraId="2D6CA18D" w14:textId="77777777" w:rsidR="00F87C2C" w:rsidRPr="004C7931" w:rsidRDefault="00F87C2C" w:rsidP="00D15343">
            <w:pPr>
              <w:pStyle w:val="Tabletext"/>
              <w:rPr>
                <w:lang w:val="ru-RU"/>
              </w:rPr>
            </w:pPr>
          </w:p>
        </w:tc>
        <w:tc>
          <w:tcPr>
            <w:tcW w:w="3969" w:type="dxa"/>
          </w:tcPr>
          <w:p w14:paraId="3B7E785D" w14:textId="1F52C639" w:rsidR="00F87C2C" w:rsidRPr="004C7931" w:rsidRDefault="00F87C2C" w:rsidP="00D15343">
            <w:pPr>
              <w:pStyle w:val="Tabletext"/>
              <w:rPr>
                <w:lang w:val="ru-RU"/>
              </w:rPr>
            </w:pPr>
            <w:r w:rsidRPr="004C7931">
              <w:rPr>
                <w:lang w:val="ru-RU"/>
              </w:rPr>
              <w:t xml:space="preserve">Сфера охвата </w:t>
            </w:r>
            <w:r w:rsidR="00F94566" w:rsidRPr="004C7931">
              <w:rPr>
                <w:lang w:val="ru-RU"/>
              </w:rPr>
              <w:t xml:space="preserve">заявок с </w:t>
            </w:r>
            <w:r w:rsidRPr="004C7931">
              <w:rPr>
                <w:lang w:val="ru-RU"/>
              </w:rPr>
              <w:t>прав</w:t>
            </w:r>
            <w:r w:rsidR="00F94566" w:rsidRPr="004C7931">
              <w:rPr>
                <w:lang w:val="ru-RU"/>
              </w:rPr>
              <w:t>ом</w:t>
            </w:r>
            <w:r w:rsidRPr="004C7931">
              <w:rPr>
                <w:lang w:val="ru-RU"/>
              </w:rPr>
              <w:t xml:space="preserve"> на бесплатную регистрацию:</w:t>
            </w:r>
          </w:p>
          <w:p w14:paraId="7DDC4EF7" w14:textId="5A38304C" w:rsidR="00F87C2C" w:rsidRPr="004C7931" w:rsidRDefault="00F87C2C" w:rsidP="00EF2CCE">
            <w:pPr>
              <w:pStyle w:val="Tabletext"/>
              <w:ind w:left="284" w:hanging="284"/>
              <w:rPr>
                <w:lang w:val="ru-RU"/>
              </w:rPr>
            </w:pPr>
            <w:r w:rsidRPr="004C7931">
              <w:rPr>
                <w:lang w:val="ru-RU"/>
              </w:rPr>
              <w:t>–</w:t>
            </w:r>
            <w:r w:rsidRPr="004C7931">
              <w:rPr>
                <w:lang w:val="ru-RU"/>
              </w:rPr>
              <w:tab/>
              <w:t xml:space="preserve">Предложение ограничить </w:t>
            </w:r>
            <w:r w:rsidR="00F94566" w:rsidRPr="004C7931">
              <w:rPr>
                <w:lang w:val="ru-RU"/>
              </w:rPr>
              <w:t>действие право на подачу заявки с бесплатной регистрацией только</w:t>
            </w:r>
            <w:r w:rsidRPr="004C7931">
              <w:rPr>
                <w:lang w:val="ru-RU"/>
              </w:rPr>
              <w:t xml:space="preserve"> спутниковыми системами и исключить </w:t>
            </w:r>
            <w:r w:rsidR="00F94566" w:rsidRPr="004C7931">
              <w:rPr>
                <w:lang w:val="ru-RU"/>
              </w:rPr>
              <w:t>заявки, представляемые в связи с изменениями</w:t>
            </w:r>
            <w:r w:rsidRPr="004C7931">
              <w:rPr>
                <w:lang w:val="ru-RU"/>
              </w:rPr>
              <w:t>.</w:t>
            </w:r>
          </w:p>
          <w:p w14:paraId="07CE4901" w14:textId="77777777" w:rsidR="00F87C2C" w:rsidRPr="004C7931" w:rsidRDefault="00F87C2C" w:rsidP="00EF2CCE">
            <w:pPr>
              <w:pStyle w:val="Tabletext"/>
              <w:ind w:left="284" w:hanging="284"/>
              <w:rPr>
                <w:lang w:val="ru-RU"/>
              </w:rPr>
            </w:pPr>
            <w:r w:rsidRPr="004C7931">
              <w:rPr>
                <w:lang w:val="ru-RU"/>
              </w:rPr>
              <w:t>–</w:t>
            </w:r>
            <w:r w:rsidRPr="004C7931">
              <w:rPr>
                <w:lang w:val="ru-RU"/>
              </w:rPr>
              <w:tab/>
              <w:t>Вопросы о том, следует ли считать заявки на регистрацию систем НГСО соответствующими критериям для применения права на бесплатную регистрацию, учитывая недавние исключения.</w:t>
            </w:r>
          </w:p>
        </w:tc>
        <w:tc>
          <w:tcPr>
            <w:tcW w:w="5103" w:type="dxa"/>
          </w:tcPr>
          <w:p w14:paraId="0FD354CD" w14:textId="52CB7DC1" w:rsidR="00F87C2C" w:rsidRPr="004C7931" w:rsidRDefault="00F87C2C" w:rsidP="00D15343">
            <w:pPr>
              <w:pStyle w:val="Tabletext"/>
              <w:rPr>
                <w:rFonts w:eastAsia="Calibri" w:cs="Calibri"/>
                <w:spacing w:val="-3"/>
                <w:lang w:val="ru-RU"/>
              </w:rPr>
            </w:pPr>
            <w:r w:rsidRPr="004C7931">
              <w:rPr>
                <w:lang w:val="ru-RU"/>
              </w:rPr>
              <w:t xml:space="preserve">Ограничение </w:t>
            </w:r>
            <w:r w:rsidR="00CB44DE" w:rsidRPr="004C7931">
              <w:rPr>
                <w:lang w:val="ru-RU"/>
              </w:rPr>
              <w:t xml:space="preserve">применения права на бесплатную регистрацию только </w:t>
            </w:r>
            <w:r w:rsidRPr="004C7931">
              <w:rPr>
                <w:lang w:val="ru-RU"/>
              </w:rPr>
              <w:t xml:space="preserve">полными спутниковыми системами с исключением </w:t>
            </w:r>
            <w:r w:rsidR="00C45C44" w:rsidRPr="004C7931">
              <w:rPr>
                <w:lang w:val="ru-RU"/>
              </w:rPr>
              <w:t>заявок на регистрацию изменений</w:t>
            </w:r>
            <w:r w:rsidRPr="004C7931">
              <w:rPr>
                <w:lang w:val="ru-RU"/>
              </w:rPr>
              <w:t xml:space="preserve"> можно легко обойти, и в конечном счете это контрпродуктивно: вместо </w:t>
            </w:r>
            <w:r w:rsidR="00C45C44" w:rsidRPr="004C7931">
              <w:rPr>
                <w:lang w:val="ru-RU"/>
              </w:rPr>
              <w:t>представления заявок на регистрацию изменений</w:t>
            </w:r>
            <w:r w:rsidRPr="004C7931">
              <w:rPr>
                <w:lang w:val="ru-RU"/>
              </w:rPr>
              <w:t xml:space="preserve"> будут подаваться полные спутниковые системы, включающие предполагаемые изменения, что позволит обойти </w:t>
            </w:r>
            <w:r w:rsidR="00C45C44" w:rsidRPr="004C7931">
              <w:rPr>
                <w:lang w:val="ru-RU"/>
              </w:rPr>
              <w:t xml:space="preserve">эту </w:t>
            </w:r>
            <w:r w:rsidRPr="004C7931">
              <w:rPr>
                <w:lang w:val="ru-RU"/>
              </w:rPr>
              <w:t xml:space="preserve">меру, но при этом нерационально увеличит нагрузку на Бюро радиосвязи. </w:t>
            </w:r>
          </w:p>
          <w:p w14:paraId="3969011C" w14:textId="4D0BCBBC" w:rsidR="00F87C2C" w:rsidRPr="004C7931" w:rsidRDefault="00F87C2C" w:rsidP="00D15343">
            <w:pPr>
              <w:pStyle w:val="Tabletext"/>
              <w:rPr>
                <w:rFonts w:eastAsia="Calibri" w:cs="Calibri"/>
                <w:lang w:val="ru-RU"/>
              </w:rPr>
            </w:pPr>
            <w:r w:rsidRPr="004C7931">
              <w:rPr>
                <w:lang w:val="ru-RU"/>
              </w:rPr>
              <w:t>Заявки на регистрацию систем НГСО весьма разнообразны – от небольших любительских научных проектов до очень сложных одиночных научных спутников или больших группировок спутников связи. Пересмотр Решения 482, принятый на сессии Совета 2025</w:t>
            </w:r>
            <w:r w:rsidR="00EF2CCE">
              <w:rPr>
                <w:lang w:val="en-US"/>
              </w:rPr>
              <w:t> </w:t>
            </w:r>
            <w:r w:rsidRPr="004C7931">
              <w:rPr>
                <w:lang w:val="ru-RU"/>
              </w:rPr>
              <w:t xml:space="preserve">года, исключает </w:t>
            </w:r>
            <w:r w:rsidR="00C45C44" w:rsidRPr="004C7931">
              <w:rPr>
                <w:lang w:val="ru-RU"/>
              </w:rPr>
              <w:t>из сферы действия права на бесплатную регистрацию заявки</w:t>
            </w:r>
            <w:r w:rsidRPr="004C7931">
              <w:rPr>
                <w:lang w:val="ru-RU"/>
              </w:rPr>
              <w:t xml:space="preserve"> на </w:t>
            </w:r>
            <w:r w:rsidR="00C45C44" w:rsidRPr="004C7931">
              <w:rPr>
                <w:lang w:val="ru-RU"/>
              </w:rPr>
              <w:t xml:space="preserve">регистрацию </w:t>
            </w:r>
            <w:r w:rsidRPr="004C7931">
              <w:rPr>
                <w:lang w:val="ru-RU"/>
              </w:rPr>
              <w:t>крупны</w:t>
            </w:r>
            <w:r w:rsidR="00C45C44" w:rsidRPr="004C7931">
              <w:rPr>
                <w:lang w:val="ru-RU"/>
              </w:rPr>
              <w:t>х</w:t>
            </w:r>
            <w:r w:rsidRPr="004C7931">
              <w:rPr>
                <w:lang w:val="ru-RU"/>
              </w:rPr>
              <w:t xml:space="preserve"> и сложны</w:t>
            </w:r>
            <w:r w:rsidR="00C45C44" w:rsidRPr="004C7931">
              <w:rPr>
                <w:lang w:val="ru-RU"/>
              </w:rPr>
              <w:t xml:space="preserve">х </w:t>
            </w:r>
            <w:r w:rsidRPr="004C7931">
              <w:rPr>
                <w:lang w:val="ru-RU"/>
              </w:rPr>
              <w:t xml:space="preserve">систем НГСО. Поскольку это исключение вступило в силу только 1 января 2026 года, </w:t>
            </w:r>
            <w:r w:rsidR="00C45C44" w:rsidRPr="004C7931">
              <w:rPr>
                <w:lang w:val="ru-RU"/>
              </w:rPr>
              <w:t>опыта оценки эффективности этой меры пока накоплено крайне мало</w:t>
            </w:r>
            <w:r w:rsidRPr="004C7931">
              <w:rPr>
                <w:lang w:val="ru-RU"/>
              </w:rPr>
              <w:t>.</w:t>
            </w:r>
          </w:p>
        </w:tc>
        <w:tc>
          <w:tcPr>
            <w:tcW w:w="3832" w:type="dxa"/>
          </w:tcPr>
          <w:p w14:paraId="0C5C5156" w14:textId="3B8D5FED" w:rsidR="00F87C2C" w:rsidRPr="004C7931" w:rsidRDefault="00F87C2C" w:rsidP="00D15343">
            <w:pPr>
              <w:pStyle w:val="Tabletext"/>
              <w:rPr>
                <w:rFonts w:eastAsia="Calibri" w:cs="Calibri"/>
                <w:lang w:val="ru-RU"/>
              </w:rPr>
            </w:pPr>
            <w:r w:rsidRPr="004C7931">
              <w:rPr>
                <w:lang w:val="ru-RU"/>
              </w:rPr>
              <w:t xml:space="preserve">Предложение ограничить </w:t>
            </w:r>
            <w:r w:rsidR="004002F9" w:rsidRPr="004C7931">
              <w:rPr>
                <w:lang w:val="ru-RU"/>
              </w:rPr>
              <w:t>право на бесплатную регистрацию</w:t>
            </w:r>
            <w:r w:rsidRPr="004C7931">
              <w:rPr>
                <w:lang w:val="ru-RU"/>
              </w:rPr>
              <w:t xml:space="preserve"> только </w:t>
            </w:r>
            <w:r w:rsidR="004002F9" w:rsidRPr="004C7931">
              <w:rPr>
                <w:lang w:val="ru-RU"/>
              </w:rPr>
              <w:t xml:space="preserve">заявками на регистрацию </w:t>
            </w:r>
            <w:r w:rsidRPr="004C7931">
              <w:rPr>
                <w:lang w:val="ru-RU"/>
              </w:rPr>
              <w:t>полны</w:t>
            </w:r>
            <w:r w:rsidR="004002F9" w:rsidRPr="004C7931">
              <w:rPr>
                <w:lang w:val="ru-RU"/>
              </w:rPr>
              <w:t>х</w:t>
            </w:r>
            <w:r w:rsidRPr="004C7931">
              <w:rPr>
                <w:lang w:val="ru-RU"/>
              </w:rPr>
              <w:t xml:space="preserve"> спутниковы</w:t>
            </w:r>
            <w:r w:rsidR="004002F9" w:rsidRPr="004C7931">
              <w:rPr>
                <w:lang w:val="ru-RU"/>
              </w:rPr>
              <w:t>х</w:t>
            </w:r>
            <w:r w:rsidRPr="004C7931">
              <w:rPr>
                <w:lang w:val="ru-RU"/>
              </w:rPr>
              <w:t xml:space="preserve"> систем с исключением </w:t>
            </w:r>
            <w:r w:rsidR="004002F9" w:rsidRPr="004C7931">
              <w:rPr>
                <w:lang w:val="ru-RU"/>
              </w:rPr>
              <w:t>заявок на регистрацию изменений</w:t>
            </w:r>
            <w:r w:rsidRPr="004C7931">
              <w:rPr>
                <w:lang w:val="ru-RU"/>
              </w:rPr>
              <w:t xml:space="preserve"> не следует далее рассматривать. </w:t>
            </w:r>
          </w:p>
          <w:p w14:paraId="4CA912A1" w14:textId="13736FE2" w:rsidR="00F87C2C" w:rsidRPr="004C7931" w:rsidRDefault="00F87C2C" w:rsidP="00D15343">
            <w:pPr>
              <w:pStyle w:val="Tabletext"/>
              <w:rPr>
                <w:rFonts w:eastAsia="Calibri" w:cs="Calibri"/>
                <w:lang w:val="ru-RU"/>
              </w:rPr>
            </w:pPr>
            <w:r w:rsidRPr="004C7931">
              <w:rPr>
                <w:lang w:val="ru-RU"/>
              </w:rPr>
              <w:t xml:space="preserve">Что касается соответствия критериям заявок на регистрацию систем НГСО, сессии Совета 2027 года следует </w:t>
            </w:r>
            <w:r w:rsidR="004002F9" w:rsidRPr="004C7931">
              <w:rPr>
                <w:lang w:val="ru-RU"/>
              </w:rPr>
              <w:t>провести анализ результатов</w:t>
            </w:r>
            <w:r w:rsidRPr="004C7931">
              <w:rPr>
                <w:lang w:val="ru-RU"/>
              </w:rPr>
              <w:t xml:space="preserve"> перв</w:t>
            </w:r>
            <w:r w:rsidR="004002F9" w:rsidRPr="004C7931">
              <w:rPr>
                <w:lang w:val="ru-RU"/>
              </w:rPr>
              <w:t>ого</w:t>
            </w:r>
            <w:r w:rsidRPr="004C7931">
              <w:rPr>
                <w:lang w:val="ru-RU"/>
              </w:rPr>
              <w:t xml:space="preserve"> год</w:t>
            </w:r>
            <w:r w:rsidR="004002F9" w:rsidRPr="004C7931">
              <w:rPr>
                <w:lang w:val="ru-RU"/>
              </w:rPr>
              <w:t>а</w:t>
            </w:r>
            <w:r w:rsidRPr="004C7931">
              <w:rPr>
                <w:lang w:val="ru-RU"/>
              </w:rPr>
              <w:t xml:space="preserve"> выполнения </w:t>
            </w:r>
            <w:r w:rsidR="004002F9" w:rsidRPr="004C7931">
              <w:rPr>
                <w:lang w:val="ru-RU"/>
              </w:rPr>
              <w:t>Р</w:t>
            </w:r>
            <w:r w:rsidRPr="004C7931">
              <w:rPr>
                <w:lang w:val="ru-RU"/>
              </w:rPr>
              <w:t>ешений Совета 2025</w:t>
            </w:r>
            <w:r w:rsidR="00EF2CCE">
              <w:rPr>
                <w:lang w:val="en-US"/>
              </w:rPr>
              <w:t> </w:t>
            </w:r>
            <w:r w:rsidRPr="004C7931">
              <w:rPr>
                <w:lang w:val="ru-RU"/>
              </w:rPr>
              <w:t>года и оценить, требуются ли дополнительные меры.</w:t>
            </w:r>
          </w:p>
        </w:tc>
      </w:tr>
      <w:tr w:rsidR="00F87C2C" w:rsidRPr="00DF306E" w14:paraId="073CA5D8" w14:textId="77777777" w:rsidTr="00D15343">
        <w:trPr>
          <w:jc w:val="center"/>
        </w:trPr>
        <w:tc>
          <w:tcPr>
            <w:tcW w:w="1838" w:type="dxa"/>
          </w:tcPr>
          <w:p w14:paraId="654BA095" w14:textId="77777777" w:rsidR="00F87C2C" w:rsidRPr="004C7931" w:rsidRDefault="00F87C2C" w:rsidP="00D15343">
            <w:pPr>
              <w:pStyle w:val="Tabletext"/>
              <w:rPr>
                <w:lang w:val="ru-RU"/>
              </w:rPr>
            </w:pPr>
            <w:r w:rsidRPr="004C7931">
              <w:rPr>
                <w:lang w:val="ru-RU"/>
              </w:rPr>
              <w:t>Предсказуемость и стабильность сборов</w:t>
            </w:r>
          </w:p>
        </w:tc>
        <w:tc>
          <w:tcPr>
            <w:tcW w:w="3969" w:type="dxa"/>
          </w:tcPr>
          <w:p w14:paraId="215C668C" w14:textId="52FD69A3" w:rsidR="00F87C2C" w:rsidRPr="004C7931" w:rsidRDefault="00F87C2C" w:rsidP="00D15343">
            <w:pPr>
              <w:pStyle w:val="Tabletext"/>
              <w:rPr>
                <w:lang w:val="ru-RU"/>
              </w:rPr>
            </w:pPr>
            <w:r w:rsidRPr="004C7931">
              <w:rPr>
                <w:lang w:val="ru-RU"/>
              </w:rPr>
              <w:t xml:space="preserve">Была выражена обеспокоенность по поводу предлагаемого механизма </w:t>
            </w:r>
            <w:r w:rsidR="009C4380" w:rsidRPr="004C7931">
              <w:rPr>
                <w:lang w:val="ru-RU"/>
              </w:rPr>
              <w:t>корректировки</w:t>
            </w:r>
            <w:r w:rsidRPr="004C7931">
              <w:rPr>
                <w:lang w:val="ru-RU"/>
              </w:rPr>
              <w:t xml:space="preserve"> в связи с предполагаемой передачей риска операторам.</w:t>
            </w:r>
          </w:p>
          <w:p w14:paraId="70D6CA58" w14:textId="4FF9D4BD" w:rsidR="00F87C2C" w:rsidRPr="004C7931" w:rsidRDefault="00F87C2C" w:rsidP="00D15343">
            <w:pPr>
              <w:pStyle w:val="Tabletext"/>
              <w:rPr>
                <w:lang w:val="ru-RU"/>
              </w:rPr>
            </w:pPr>
            <w:r w:rsidRPr="004C7931">
              <w:rPr>
                <w:lang w:val="ru-RU"/>
              </w:rPr>
              <w:t xml:space="preserve">Некоторые делегаты </w:t>
            </w:r>
            <w:r w:rsidR="00DA1E45" w:rsidRPr="004C7931">
              <w:rPr>
                <w:lang w:val="ru-RU"/>
              </w:rPr>
              <w:t>запросили</w:t>
            </w:r>
            <w:r w:rsidRPr="004C7931">
              <w:rPr>
                <w:lang w:val="ru-RU"/>
              </w:rPr>
              <w:t>:</w:t>
            </w:r>
          </w:p>
          <w:p w14:paraId="7B1D88BA" w14:textId="08AEDA8C" w:rsidR="00F87C2C" w:rsidRPr="004C7931" w:rsidRDefault="00F87C2C" w:rsidP="00EF2CCE">
            <w:pPr>
              <w:pStyle w:val="Tabletext"/>
              <w:ind w:left="284" w:hanging="284"/>
              <w:rPr>
                <w:lang w:val="ru-RU"/>
              </w:rPr>
            </w:pPr>
            <w:r w:rsidRPr="004C7931">
              <w:rPr>
                <w:lang w:val="ru-RU"/>
              </w:rPr>
              <w:t>–</w:t>
            </w:r>
            <w:r w:rsidRPr="004C7931">
              <w:rPr>
                <w:lang w:val="ru-RU"/>
              </w:rPr>
              <w:tab/>
            </w:r>
            <w:r w:rsidR="00DA1E45" w:rsidRPr="004C7931">
              <w:rPr>
                <w:lang w:val="ru-RU"/>
              </w:rPr>
              <w:t xml:space="preserve">внедрение </w:t>
            </w:r>
            <w:r w:rsidRPr="004C7931">
              <w:rPr>
                <w:lang w:val="ru-RU"/>
              </w:rPr>
              <w:t>основ для многолетнего планирования;</w:t>
            </w:r>
          </w:p>
          <w:p w14:paraId="37134407" w14:textId="0A0100D0" w:rsidR="00F87C2C" w:rsidRPr="004C7931" w:rsidRDefault="00F87C2C" w:rsidP="00EF2CCE">
            <w:pPr>
              <w:pStyle w:val="Tabletext"/>
              <w:ind w:left="284" w:hanging="284"/>
              <w:rPr>
                <w:lang w:val="ru-RU"/>
              </w:rPr>
            </w:pPr>
            <w:r w:rsidRPr="004C7931">
              <w:rPr>
                <w:lang w:val="ru-RU"/>
              </w:rPr>
              <w:t>–</w:t>
            </w:r>
            <w:r w:rsidRPr="004C7931">
              <w:rPr>
                <w:lang w:val="ru-RU"/>
              </w:rPr>
              <w:tab/>
            </w:r>
            <w:r w:rsidR="00DA1E45" w:rsidRPr="004C7931">
              <w:rPr>
                <w:lang w:val="ru-RU"/>
              </w:rPr>
              <w:t xml:space="preserve">установление </w:t>
            </w:r>
            <w:r w:rsidRPr="004C7931">
              <w:rPr>
                <w:lang w:val="ru-RU"/>
              </w:rPr>
              <w:t>четки</w:t>
            </w:r>
            <w:r w:rsidR="00DA1E45" w:rsidRPr="004C7931">
              <w:rPr>
                <w:lang w:val="ru-RU"/>
              </w:rPr>
              <w:t>х</w:t>
            </w:r>
            <w:r w:rsidRPr="004C7931">
              <w:rPr>
                <w:lang w:val="ru-RU"/>
              </w:rPr>
              <w:t xml:space="preserve"> минимальны</w:t>
            </w:r>
            <w:r w:rsidR="00DA1E45" w:rsidRPr="004C7931">
              <w:rPr>
                <w:lang w:val="ru-RU"/>
              </w:rPr>
              <w:t>х</w:t>
            </w:r>
            <w:r w:rsidRPr="004C7931">
              <w:rPr>
                <w:lang w:val="ru-RU"/>
              </w:rPr>
              <w:t xml:space="preserve"> и максимальны</w:t>
            </w:r>
            <w:r w:rsidR="00DA1E45" w:rsidRPr="004C7931">
              <w:rPr>
                <w:lang w:val="ru-RU"/>
              </w:rPr>
              <w:t>х</w:t>
            </w:r>
            <w:r w:rsidRPr="004C7931">
              <w:rPr>
                <w:lang w:val="ru-RU"/>
              </w:rPr>
              <w:t xml:space="preserve"> значени</w:t>
            </w:r>
            <w:r w:rsidR="00DA1E45" w:rsidRPr="004C7931">
              <w:rPr>
                <w:lang w:val="ru-RU"/>
              </w:rPr>
              <w:t>й</w:t>
            </w:r>
            <w:r w:rsidRPr="004C7931">
              <w:rPr>
                <w:lang w:val="ru-RU"/>
              </w:rPr>
              <w:t>;</w:t>
            </w:r>
          </w:p>
          <w:p w14:paraId="79258F24" w14:textId="151AD1B9" w:rsidR="00F87C2C" w:rsidRPr="004C7931" w:rsidRDefault="00F87C2C" w:rsidP="00EF2CCE">
            <w:pPr>
              <w:pStyle w:val="Tabletext"/>
              <w:ind w:left="284" w:hanging="284"/>
              <w:rPr>
                <w:lang w:val="ru-RU"/>
              </w:rPr>
            </w:pPr>
            <w:r w:rsidRPr="004C7931">
              <w:rPr>
                <w:lang w:val="ru-RU"/>
              </w:rPr>
              <w:t>–</w:t>
            </w:r>
            <w:r w:rsidRPr="004C7931">
              <w:rPr>
                <w:lang w:val="ru-RU"/>
              </w:rPr>
              <w:tab/>
            </w:r>
            <w:r w:rsidR="00DA1E45" w:rsidRPr="004C7931">
              <w:rPr>
                <w:lang w:val="ru-RU"/>
              </w:rPr>
              <w:t>с</w:t>
            </w:r>
            <w:r w:rsidRPr="004C7931">
              <w:rPr>
                <w:lang w:val="ru-RU"/>
              </w:rPr>
              <w:t>табильное, проверяемое прогнозирование.</w:t>
            </w:r>
          </w:p>
          <w:p w14:paraId="30F146AC" w14:textId="77777777" w:rsidR="00F87C2C" w:rsidRPr="004C7931" w:rsidRDefault="00F87C2C" w:rsidP="00D15343">
            <w:pPr>
              <w:pStyle w:val="Tabletext"/>
              <w:rPr>
                <w:lang w:val="ru-RU"/>
              </w:rPr>
            </w:pPr>
            <w:r w:rsidRPr="004C7931">
              <w:rPr>
                <w:lang w:val="ru-RU"/>
              </w:rPr>
              <w:lastRenderedPageBreak/>
              <w:t>Делегаты связали стабильность сборов с предсказуемостью доступа на рынок как для операторов ГСО, так и для операторов НГСО.</w:t>
            </w:r>
          </w:p>
        </w:tc>
        <w:tc>
          <w:tcPr>
            <w:tcW w:w="5103" w:type="dxa"/>
          </w:tcPr>
          <w:p w14:paraId="33311239" w14:textId="41B33B32" w:rsidR="00F87C2C" w:rsidRPr="004C7931" w:rsidRDefault="00F87C2C" w:rsidP="00D15343">
            <w:pPr>
              <w:pStyle w:val="Tabletext"/>
              <w:rPr>
                <w:lang w:val="ru-RU"/>
              </w:rPr>
            </w:pPr>
            <w:r w:rsidRPr="004C7931">
              <w:rPr>
                <w:lang w:val="ru-RU"/>
              </w:rPr>
              <w:lastRenderedPageBreak/>
              <w:t>Эти опасения принимаются во внимание, однако в соответствии с положениями Рез. 91, которые требуют полного возмещения расходов, необходимы механизмы для учета текущих колебаний на рынках. Секретариат отмечает, что это принесет пользу отрасли в годы, когда сумма к возмещению увеличится.</w:t>
            </w:r>
          </w:p>
          <w:p w14:paraId="7C94D119" w14:textId="25F7C0E2" w:rsidR="00F87C2C" w:rsidRPr="004C7931" w:rsidRDefault="00F87C2C" w:rsidP="00D15343">
            <w:pPr>
              <w:pStyle w:val="Tabletext"/>
              <w:rPr>
                <w:lang w:val="ru-RU"/>
              </w:rPr>
            </w:pPr>
            <w:r w:rsidRPr="004C7931">
              <w:rPr>
                <w:lang w:val="ru-RU"/>
              </w:rPr>
              <w:t xml:space="preserve">Учитывая уровень сложности этого механизма и двухлетний анализ сборов, доходов и бюджета, </w:t>
            </w:r>
            <w:r w:rsidR="001335B0" w:rsidRPr="004C7931">
              <w:rPr>
                <w:lang w:val="ru-RU"/>
              </w:rPr>
              <w:t>Секретариат</w:t>
            </w:r>
            <w:r w:rsidRPr="004C7931">
              <w:rPr>
                <w:lang w:val="ru-RU"/>
              </w:rPr>
              <w:t xml:space="preserve"> предлагает отказаться от этого предложения.</w:t>
            </w:r>
          </w:p>
        </w:tc>
        <w:tc>
          <w:tcPr>
            <w:tcW w:w="3832" w:type="dxa"/>
          </w:tcPr>
          <w:p w14:paraId="7426955A" w14:textId="09643D81" w:rsidR="00F87C2C" w:rsidRPr="004C7931" w:rsidRDefault="00F87C2C" w:rsidP="00D15343">
            <w:pPr>
              <w:pStyle w:val="Tabletext"/>
              <w:rPr>
                <w:lang w:val="ru-RU"/>
              </w:rPr>
            </w:pPr>
            <w:r w:rsidRPr="004C7931">
              <w:rPr>
                <w:lang w:val="ru-RU"/>
              </w:rPr>
              <w:t xml:space="preserve">Секретариат предложил, чтобы </w:t>
            </w:r>
            <w:r w:rsidR="00DF6048" w:rsidRPr="004C7931">
              <w:rPr>
                <w:lang w:val="ru-RU"/>
              </w:rPr>
              <w:t>рассмотрение</w:t>
            </w:r>
            <w:r w:rsidRPr="004C7931">
              <w:rPr>
                <w:lang w:val="ru-RU"/>
              </w:rPr>
              <w:t xml:space="preserve"> проводил</w:t>
            </w:r>
            <w:r w:rsidR="00DF6048" w:rsidRPr="004C7931">
              <w:rPr>
                <w:lang w:val="ru-RU"/>
              </w:rPr>
              <w:t>ось</w:t>
            </w:r>
            <w:r w:rsidRPr="004C7931">
              <w:rPr>
                <w:lang w:val="ru-RU"/>
              </w:rPr>
              <w:t xml:space="preserve"> раз в два года, а не ежегодно, а также установил верхний предел в 10% для повышений или сокращений в результате так</w:t>
            </w:r>
            <w:r w:rsidR="00B76BAC" w:rsidRPr="004C7931">
              <w:rPr>
                <w:lang w:val="ru-RU"/>
              </w:rPr>
              <w:t xml:space="preserve">ого </w:t>
            </w:r>
            <w:r w:rsidR="00DF6048" w:rsidRPr="004C7931">
              <w:rPr>
                <w:lang w:val="ru-RU"/>
              </w:rPr>
              <w:t>рассмотрения</w:t>
            </w:r>
            <w:r w:rsidRPr="004C7931">
              <w:rPr>
                <w:lang w:val="ru-RU"/>
              </w:rPr>
              <w:t>.</w:t>
            </w:r>
          </w:p>
        </w:tc>
      </w:tr>
      <w:tr w:rsidR="00F87C2C" w:rsidRPr="00DF306E" w14:paraId="4DBB9663" w14:textId="77777777" w:rsidTr="00D15343">
        <w:trPr>
          <w:jc w:val="center"/>
        </w:trPr>
        <w:tc>
          <w:tcPr>
            <w:tcW w:w="1838" w:type="dxa"/>
          </w:tcPr>
          <w:p w14:paraId="3CB30498" w14:textId="77777777" w:rsidR="00F87C2C" w:rsidRPr="004C7931" w:rsidRDefault="00F87C2C" w:rsidP="00D15343">
            <w:pPr>
              <w:pStyle w:val="Tabletext"/>
              <w:rPr>
                <w:lang w:val="ru-RU"/>
              </w:rPr>
            </w:pPr>
            <w:r w:rsidRPr="004C7931">
              <w:rPr>
                <w:lang w:val="ru-RU"/>
              </w:rPr>
              <w:t>Потребность в большей прозрачности и проверенных данных</w:t>
            </w:r>
          </w:p>
        </w:tc>
        <w:tc>
          <w:tcPr>
            <w:tcW w:w="3969" w:type="dxa"/>
          </w:tcPr>
          <w:p w14:paraId="3AC40CBE" w14:textId="5E99D843" w:rsidR="00F87C2C" w:rsidRPr="004C7931" w:rsidRDefault="00F87C2C" w:rsidP="00D15343">
            <w:pPr>
              <w:pStyle w:val="Tabletext"/>
              <w:rPr>
                <w:lang w:val="ru-RU"/>
              </w:rPr>
            </w:pPr>
            <w:r w:rsidRPr="004C7931">
              <w:rPr>
                <w:lang w:val="ru-RU"/>
              </w:rPr>
              <w:t xml:space="preserve">Предложения </w:t>
            </w:r>
            <w:r w:rsidR="001335B0" w:rsidRPr="004C7931">
              <w:rPr>
                <w:lang w:val="ru-RU"/>
              </w:rPr>
              <w:t>Секретариат</w:t>
            </w:r>
            <w:r w:rsidRPr="004C7931">
              <w:rPr>
                <w:lang w:val="ru-RU"/>
              </w:rPr>
              <w:t>а должны основываться на проверенных оперативных данных БР</w:t>
            </w:r>
          </w:p>
        </w:tc>
        <w:tc>
          <w:tcPr>
            <w:tcW w:w="5103" w:type="dxa"/>
          </w:tcPr>
          <w:p w14:paraId="0E29A07B" w14:textId="77777777" w:rsidR="00F87C2C" w:rsidRPr="004C7931" w:rsidRDefault="00F87C2C" w:rsidP="00D15343">
            <w:pPr>
              <w:pStyle w:val="Tabletext"/>
              <w:rPr>
                <w:lang w:val="ru-RU"/>
              </w:rPr>
            </w:pPr>
            <w:r w:rsidRPr="004C7931">
              <w:rPr>
                <w:lang w:val="ru-RU"/>
              </w:rPr>
              <w:t>Предложения основаны на финансовой отчетности МСЭ, включая данные по людским ресурсам, которая проходит аудит, хотя МСЭ использует самую последнюю имеющуюся информацию, и поэтому они могут быть подвергнуты предварительному аудиту. Использование данных из проверенной отчетности приведет к использованию финансовых данных двухлетней давности, которые не будут соответствовать текущей рыночной информации.</w:t>
            </w:r>
          </w:p>
        </w:tc>
        <w:tc>
          <w:tcPr>
            <w:tcW w:w="3832" w:type="dxa"/>
          </w:tcPr>
          <w:p w14:paraId="6DFE3EC9" w14:textId="77777777" w:rsidR="00F87C2C" w:rsidRPr="004C7931" w:rsidRDefault="00F87C2C" w:rsidP="00D15343">
            <w:pPr>
              <w:pStyle w:val="Tabletext"/>
              <w:rPr>
                <w:lang w:val="ru-RU"/>
              </w:rPr>
            </w:pPr>
          </w:p>
        </w:tc>
      </w:tr>
      <w:tr w:rsidR="00F87C2C" w:rsidRPr="00DF306E" w14:paraId="6EB3BE89" w14:textId="77777777" w:rsidTr="00D15343">
        <w:trPr>
          <w:jc w:val="center"/>
        </w:trPr>
        <w:tc>
          <w:tcPr>
            <w:tcW w:w="1838" w:type="dxa"/>
          </w:tcPr>
          <w:p w14:paraId="30852710" w14:textId="77777777" w:rsidR="00F87C2C" w:rsidRPr="004C7931" w:rsidRDefault="00F87C2C" w:rsidP="00D15343">
            <w:pPr>
              <w:pStyle w:val="Tabletext"/>
              <w:rPr>
                <w:lang w:val="ru-RU"/>
              </w:rPr>
            </w:pPr>
          </w:p>
        </w:tc>
        <w:tc>
          <w:tcPr>
            <w:tcW w:w="3969" w:type="dxa"/>
          </w:tcPr>
          <w:p w14:paraId="7F385525" w14:textId="6785B6A5" w:rsidR="00F87C2C" w:rsidRPr="004C7931" w:rsidRDefault="00F87C2C" w:rsidP="00D15343">
            <w:pPr>
              <w:pStyle w:val="Tabletext"/>
              <w:rPr>
                <w:lang w:val="ru-RU"/>
              </w:rPr>
            </w:pPr>
            <w:r w:rsidRPr="004C7931">
              <w:rPr>
                <w:lang w:val="ru-RU"/>
              </w:rPr>
              <w:t xml:space="preserve">Как будет измеряться повышение эффективности и </w:t>
            </w:r>
            <w:r w:rsidR="00DA1E45" w:rsidRPr="004C7931">
              <w:rPr>
                <w:lang w:val="ru-RU"/>
              </w:rPr>
              <w:t>каков будет порядок представления соответствующей отчетности</w:t>
            </w:r>
            <w:r w:rsidRPr="004C7931">
              <w:rPr>
                <w:lang w:val="ru-RU"/>
              </w:rPr>
              <w:t>?</w:t>
            </w:r>
          </w:p>
        </w:tc>
        <w:tc>
          <w:tcPr>
            <w:tcW w:w="5103" w:type="dxa"/>
          </w:tcPr>
          <w:p w14:paraId="2F275F75" w14:textId="0376326D" w:rsidR="00F87C2C" w:rsidRPr="004C7931" w:rsidRDefault="00663EA7" w:rsidP="00D15343">
            <w:pPr>
              <w:pStyle w:val="Tabletext"/>
              <w:rPr>
                <w:lang w:val="ru-RU"/>
              </w:rPr>
            </w:pPr>
            <w:r w:rsidRPr="004C7931">
              <w:rPr>
                <w:lang w:val="ru-RU"/>
              </w:rPr>
              <w:t>Рост</w:t>
            </w:r>
            <w:r w:rsidR="00F87C2C" w:rsidRPr="004C7931">
              <w:rPr>
                <w:lang w:val="ru-RU"/>
              </w:rPr>
              <w:t xml:space="preserve"> эффективности </w:t>
            </w:r>
            <w:r w:rsidRPr="004C7931">
              <w:rPr>
                <w:lang w:val="ru-RU"/>
              </w:rPr>
              <w:t>означает, что для достижения большего объема результатов потребуется меньше затрат</w:t>
            </w:r>
            <w:r w:rsidR="00F87C2C" w:rsidRPr="004C7931">
              <w:rPr>
                <w:lang w:val="ru-RU"/>
              </w:rPr>
              <w:t xml:space="preserve">, </w:t>
            </w:r>
            <w:r w:rsidRPr="004C7931">
              <w:rPr>
                <w:lang w:val="ru-RU"/>
              </w:rPr>
              <w:t>и</w:t>
            </w:r>
            <w:r w:rsidR="00F87C2C" w:rsidRPr="004C7931">
              <w:rPr>
                <w:lang w:val="ru-RU"/>
              </w:rPr>
              <w:t xml:space="preserve"> это будет отражено в оперативных отчетах, подготавливаемых БР и ежегодно представляемых КГР.</w:t>
            </w:r>
          </w:p>
        </w:tc>
        <w:tc>
          <w:tcPr>
            <w:tcW w:w="3832" w:type="dxa"/>
          </w:tcPr>
          <w:p w14:paraId="1485DE74" w14:textId="77777777" w:rsidR="00F87C2C" w:rsidRPr="004C7931" w:rsidRDefault="00F87C2C" w:rsidP="00D15343">
            <w:pPr>
              <w:pStyle w:val="Tabletext"/>
              <w:rPr>
                <w:lang w:val="ru-RU"/>
              </w:rPr>
            </w:pPr>
          </w:p>
        </w:tc>
      </w:tr>
      <w:tr w:rsidR="00F87C2C" w:rsidRPr="00DF306E" w14:paraId="0784FC0D" w14:textId="77777777" w:rsidTr="00D15343">
        <w:trPr>
          <w:jc w:val="center"/>
        </w:trPr>
        <w:tc>
          <w:tcPr>
            <w:tcW w:w="1838" w:type="dxa"/>
          </w:tcPr>
          <w:p w14:paraId="00A18908" w14:textId="77777777" w:rsidR="00F87C2C" w:rsidRPr="004C7931" w:rsidRDefault="00F87C2C" w:rsidP="00D15343">
            <w:pPr>
              <w:pStyle w:val="Tabletext"/>
              <w:rPr>
                <w:lang w:val="ru-RU"/>
              </w:rPr>
            </w:pPr>
          </w:p>
        </w:tc>
        <w:tc>
          <w:tcPr>
            <w:tcW w:w="3969" w:type="dxa"/>
          </w:tcPr>
          <w:p w14:paraId="5012A3BD" w14:textId="5CD2531F" w:rsidR="00F87C2C" w:rsidRPr="004C7931" w:rsidRDefault="00F87C2C" w:rsidP="00D15343">
            <w:pPr>
              <w:pStyle w:val="Tabletext"/>
              <w:rPr>
                <w:lang w:val="ru-RU"/>
              </w:rPr>
            </w:pPr>
            <w:r w:rsidRPr="004C7931">
              <w:rPr>
                <w:lang w:val="ru-RU"/>
              </w:rPr>
              <w:t xml:space="preserve">Каким образом </w:t>
            </w:r>
            <w:r w:rsidR="001335B0" w:rsidRPr="004C7931">
              <w:rPr>
                <w:lang w:val="ru-RU"/>
              </w:rPr>
              <w:t>Секретариат</w:t>
            </w:r>
            <w:r w:rsidRPr="004C7931">
              <w:rPr>
                <w:lang w:val="ru-RU"/>
              </w:rPr>
              <w:t xml:space="preserve"> будет обеспечивать, чтобы возмещение затрат </w:t>
            </w:r>
            <w:r w:rsidR="00DA1E45" w:rsidRPr="004C7931">
              <w:rPr>
                <w:lang w:val="ru-RU"/>
              </w:rPr>
              <w:t>не превратился в оздоровление бюджета</w:t>
            </w:r>
            <w:r w:rsidRPr="004C7931">
              <w:rPr>
                <w:lang w:val="ru-RU"/>
              </w:rPr>
              <w:t>?</w:t>
            </w:r>
          </w:p>
        </w:tc>
        <w:tc>
          <w:tcPr>
            <w:tcW w:w="5103" w:type="dxa"/>
          </w:tcPr>
          <w:p w14:paraId="76206D76" w14:textId="0C04CB43" w:rsidR="00F87C2C" w:rsidRPr="004C7931" w:rsidRDefault="00F87C2C" w:rsidP="00D15343">
            <w:pPr>
              <w:pStyle w:val="Tabletext"/>
              <w:rPr>
                <w:lang w:val="ru-RU"/>
              </w:rPr>
            </w:pPr>
            <w:r w:rsidRPr="004C7931">
              <w:rPr>
                <w:lang w:val="ru-RU"/>
              </w:rPr>
              <w:t>Возмещение затрат по своей природе является частичным возмещением</w:t>
            </w:r>
            <w:r w:rsidR="00663EA7" w:rsidRPr="004C7931">
              <w:rPr>
                <w:lang w:val="ru-RU"/>
              </w:rPr>
              <w:t xml:space="preserve"> бюджета</w:t>
            </w:r>
            <w:r w:rsidRPr="004C7931">
              <w:rPr>
                <w:lang w:val="ru-RU"/>
              </w:rPr>
              <w:t xml:space="preserve">. Цель возмещения затрат состоит в том, чтобы часть доходов, которая покрывает затраты на SNF (предусмотрены в бюджете МСЭ), не была больше расходов МСЭ на обработку SNF. </w:t>
            </w:r>
          </w:p>
        </w:tc>
        <w:tc>
          <w:tcPr>
            <w:tcW w:w="3832" w:type="dxa"/>
          </w:tcPr>
          <w:p w14:paraId="5514516F" w14:textId="77777777" w:rsidR="00F87C2C" w:rsidRPr="004C7931" w:rsidRDefault="00F87C2C" w:rsidP="00D15343">
            <w:pPr>
              <w:pStyle w:val="Tabletext"/>
              <w:rPr>
                <w:lang w:val="ru-RU"/>
              </w:rPr>
            </w:pPr>
          </w:p>
        </w:tc>
      </w:tr>
      <w:tr w:rsidR="00F87C2C" w:rsidRPr="00DF306E" w14:paraId="01F786E0" w14:textId="77777777" w:rsidTr="00D15343">
        <w:trPr>
          <w:jc w:val="center"/>
        </w:trPr>
        <w:tc>
          <w:tcPr>
            <w:tcW w:w="1838" w:type="dxa"/>
          </w:tcPr>
          <w:p w14:paraId="13C62158" w14:textId="77777777" w:rsidR="00F87C2C" w:rsidRPr="004C7931" w:rsidRDefault="00F87C2C" w:rsidP="00D15343">
            <w:pPr>
              <w:pStyle w:val="Tabletext"/>
              <w:rPr>
                <w:lang w:val="ru-RU"/>
              </w:rPr>
            </w:pPr>
          </w:p>
        </w:tc>
        <w:tc>
          <w:tcPr>
            <w:tcW w:w="3969" w:type="dxa"/>
          </w:tcPr>
          <w:p w14:paraId="32F9DD4C" w14:textId="77777777" w:rsidR="00F87C2C" w:rsidRPr="004C7931" w:rsidRDefault="00F87C2C" w:rsidP="00D15343">
            <w:pPr>
              <w:pStyle w:val="Tabletext"/>
              <w:rPr>
                <w:lang w:val="ru-RU"/>
              </w:rPr>
            </w:pPr>
            <w:r w:rsidRPr="004C7931">
              <w:rPr>
                <w:lang w:val="ru-RU"/>
              </w:rPr>
              <w:t>Делегаты запросили ежегодные статистические данные по следующим вопросам:</w:t>
            </w:r>
          </w:p>
          <w:p w14:paraId="36AB8C85" w14:textId="1C1117B4" w:rsidR="00F87C2C" w:rsidRPr="004C7931" w:rsidRDefault="00F87C2C" w:rsidP="00C524EF">
            <w:pPr>
              <w:pStyle w:val="Tabletext"/>
              <w:ind w:left="284" w:hanging="284"/>
              <w:rPr>
                <w:lang w:val="ru-RU"/>
              </w:rPr>
            </w:pPr>
            <w:r w:rsidRPr="004C7931">
              <w:rPr>
                <w:lang w:val="ru-RU"/>
              </w:rPr>
              <w:t>–</w:t>
            </w:r>
            <w:r w:rsidRPr="004C7931">
              <w:rPr>
                <w:lang w:val="ru-RU"/>
              </w:rPr>
              <w:tab/>
            </w:r>
            <w:r w:rsidR="00DA1E45" w:rsidRPr="004C7931">
              <w:rPr>
                <w:lang w:val="ru-RU"/>
              </w:rPr>
              <w:t>п</w:t>
            </w:r>
            <w:r w:rsidRPr="004C7931">
              <w:rPr>
                <w:lang w:val="ru-RU"/>
              </w:rPr>
              <w:t xml:space="preserve">орядок предоставления права на бесплатную </w:t>
            </w:r>
            <w:r w:rsidR="00DA1E45" w:rsidRPr="004C7931">
              <w:rPr>
                <w:lang w:val="ru-RU"/>
              </w:rPr>
              <w:t>публикацию;</w:t>
            </w:r>
          </w:p>
          <w:p w14:paraId="6E3A90F9" w14:textId="70188B36" w:rsidR="00F87C2C" w:rsidRPr="004C7931" w:rsidRDefault="00F87C2C" w:rsidP="00C524EF">
            <w:pPr>
              <w:pStyle w:val="Tabletext"/>
              <w:ind w:left="284" w:hanging="284"/>
              <w:rPr>
                <w:lang w:val="ru-RU"/>
              </w:rPr>
            </w:pPr>
            <w:r w:rsidRPr="004C7931">
              <w:rPr>
                <w:lang w:val="ru-RU"/>
              </w:rPr>
              <w:t>–</w:t>
            </w:r>
            <w:r w:rsidRPr="004C7931">
              <w:rPr>
                <w:lang w:val="ru-RU"/>
              </w:rPr>
              <w:tab/>
            </w:r>
            <w:r w:rsidR="00DA1E45" w:rsidRPr="004C7931">
              <w:rPr>
                <w:lang w:val="ru-RU"/>
              </w:rPr>
              <w:t>ф</w:t>
            </w:r>
            <w:r w:rsidRPr="004C7931">
              <w:rPr>
                <w:lang w:val="ru-RU"/>
              </w:rPr>
              <w:t>инансовые последствия заявок в рамках крупных группировок</w:t>
            </w:r>
            <w:r w:rsidR="00DA1E45" w:rsidRPr="004C7931">
              <w:rPr>
                <w:lang w:val="ru-RU"/>
              </w:rPr>
              <w:t>;</w:t>
            </w:r>
          </w:p>
          <w:p w14:paraId="57D8854F" w14:textId="74E9DC4D" w:rsidR="00F87C2C" w:rsidRPr="004C7931" w:rsidRDefault="00F87C2C" w:rsidP="00C524EF">
            <w:pPr>
              <w:pStyle w:val="Tabletext"/>
              <w:ind w:left="284" w:hanging="284"/>
              <w:rPr>
                <w:lang w:val="ru-RU"/>
              </w:rPr>
            </w:pPr>
            <w:r w:rsidRPr="004C7931">
              <w:rPr>
                <w:lang w:val="ru-RU"/>
              </w:rPr>
              <w:t>–</w:t>
            </w:r>
            <w:r w:rsidRPr="004C7931">
              <w:rPr>
                <w:lang w:val="ru-RU"/>
              </w:rPr>
              <w:tab/>
            </w:r>
            <w:r w:rsidR="00DA1E45" w:rsidRPr="004C7931">
              <w:rPr>
                <w:lang w:val="ru-RU"/>
              </w:rPr>
              <w:t>к</w:t>
            </w:r>
            <w:r w:rsidRPr="004C7931">
              <w:rPr>
                <w:lang w:val="ru-RU"/>
              </w:rPr>
              <w:t>онтрольные показатели эффективности и усовершенствования рабочего процесса</w:t>
            </w:r>
            <w:r w:rsidR="00C524EF">
              <w:rPr>
                <w:lang w:val="ru-RU"/>
              </w:rPr>
              <w:t>.</w:t>
            </w:r>
          </w:p>
        </w:tc>
        <w:tc>
          <w:tcPr>
            <w:tcW w:w="5103" w:type="dxa"/>
          </w:tcPr>
          <w:p w14:paraId="287F1446" w14:textId="41950BF8" w:rsidR="00F87C2C" w:rsidRPr="004C7931" w:rsidRDefault="00F87C2C" w:rsidP="00D15343">
            <w:pPr>
              <w:pStyle w:val="Tabletext"/>
              <w:rPr>
                <w:b/>
                <w:bCs/>
                <w:lang w:val="ru-RU"/>
              </w:rPr>
            </w:pPr>
            <w:r w:rsidRPr="004C7931">
              <w:rPr>
                <w:b/>
                <w:bCs/>
                <w:lang w:val="ru-RU"/>
              </w:rPr>
              <w:t xml:space="preserve">Использование права на бесплатную </w:t>
            </w:r>
            <w:r w:rsidR="00663EA7" w:rsidRPr="004C7931">
              <w:rPr>
                <w:b/>
                <w:bCs/>
                <w:lang w:val="ru-RU"/>
              </w:rPr>
              <w:t>публикацию</w:t>
            </w:r>
          </w:p>
          <w:tbl>
            <w:tblPr>
              <w:tblW w:w="4679" w:type="dxa"/>
              <w:jc w:val="center"/>
              <w:tblLayout w:type="fixed"/>
              <w:tblCellMar>
                <w:left w:w="28" w:type="dxa"/>
                <w:right w:w="28" w:type="dxa"/>
              </w:tblCellMar>
              <w:tblLook w:val="04A0" w:firstRow="1" w:lastRow="0" w:firstColumn="1" w:lastColumn="0" w:noHBand="0" w:noVBand="1"/>
            </w:tblPr>
            <w:tblGrid>
              <w:gridCol w:w="1157"/>
              <w:gridCol w:w="1182"/>
              <w:gridCol w:w="653"/>
              <w:gridCol w:w="1687"/>
            </w:tblGrid>
            <w:tr w:rsidR="00F87C2C" w:rsidRPr="00DF306E" w14:paraId="69BB105F" w14:textId="77777777" w:rsidTr="00204B6E">
              <w:trPr>
                <w:jc w:val="center"/>
              </w:trPr>
              <w:tc>
                <w:tcPr>
                  <w:tcW w:w="1157" w:type="dxa"/>
                  <w:tcBorders>
                    <w:top w:val="single" w:sz="4" w:space="0" w:color="auto"/>
                    <w:left w:val="single" w:sz="4" w:space="0" w:color="auto"/>
                    <w:bottom w:val="single" w:sz="4" w:space="0" w:color="auto"/>
                    <w:right w:val="single" w:sz="4" w:space="0" w:color="auto"/>
                  </w:tcBorders>
                  <w:noWrap/>
                  <w:hideMark/>
                </w:tcPr>
                <w:p w14:paraId="2E397C79" w14:textId="77777777" w:rsidR="00F87C2C" w:rsidRPr="00EF2CCE" w:rsidRDefault="00F87C2C" w:rsidP="00EF2CCE">
                  <w:pPr>
                    <w:pStyle w:val="Tablehead"/>
                    <w:rPr>
                      <w:rFonts w:asciiTheme="minorHAnsi" w:hAnsiTheme="minorHAnsi" w:cstheme="minorHAnsi"/>
                      <w:sz w:val="18"/>
                      <w:szCs w:val="18"/>
                      <w:lang w:val="ru-RU"/>
                    </w:rPr>
                  </w:pPr>
                  <w:r w:rsidRPr="00EF2CCE">
                    <w:rPr>
                      <w:sz w:val="18"/>
                      <w:szCs w:val="18"/>
                      <w:lang w:val="ru-RU"/>
                    </w:rPr>
                    <w:t>Бесплатная регистрация</w:t>
                  </w:r>
                </w:p>
              </w:tc>
              <w:tc>
                <w:tcPr>
                  <w:tcW w:w="1182" w:type="dxa"/>
                  <w:tcBorders>
                    <w:top w:val="single" w:sz="4" w:space="0" w:color="auto"/>
                    <w:left w:val="nil"/>
                    <w:bottom w:val="single" w:sz="4" w:space="0" w:color="auto"/>
                    <w:right w:val="single" w:sz="4" w:space="0" w:color="auto"/>
                  </w:tcBorders>
                  <w:noWrap/>
                  <w:hideMark/>
                </w:tcPr>
                <w:p w14:paraId="6E690CE3" w14:textId="790B9D10" w:rsidR="00F87C2C" w:rsidRPr="00EF2CCE" w:rsidRDefault="00F87C2C" w:rsidP="00EF2CCE">
                  <w:pPr>
                    <w:pStyle w:val="Tablehead"/>
                    <w:rPr>
                      <w:rFonts w:asciiTheme="minorHAnsi" w:hAnsiTheme="minorHAnsi" w:cstheme="minorHAnsi"/>
                      <w:sz w:val="18"/>
                      <w:szCs w:val="18"/>
                      <w:lang w:val="ru-RU"/>
                    </w:rPr>
                  </w:pPr>
                  <w:r w:rsidRPr="00EF2CCE">
                    <w:rPr>
                      <w:sz w:val="18"/>
                      <w:szCs w:val="18"/>
                      <w:lang w:val="ru-RU"/>
                    </w:rPr>
                    <w:t xml:space="preserve">Сумма </w:t>
                  </w:r>
                  <w:r w:rsidR="00EF2CCE">
                    <w:rPr>
                      <w:sz w:val="18"/>
                      <w:szCs w:val="18"/>
                      <w:lang w:val="ru-RU"/>
                    </w:rPr>
                    <w:br/>
                  </w:r>
                  <w:r w:rsidRPr="00EF2CCE">
                    <w:rPr>
                      <w:sz w:val="18"/>
                      <w:szCs w:val="18"/>
                      <w:lang w:val="ru-RU"/>
                    </w:rPr>
                    <w:t>(шв. фр.)</w:t>
                  </w:r>
                </w:p>
              </w:tc>
              <w:tc>
                <w:tcPr>
                  <w:tcW w:w="653" w:type="dxa"/>
                  <w:tcBorders>
                    <w:top w:val="single" w:sz="4" w:space="0" w:color="auto"/>
                    <w:left w:val="nil"/>
                    <w:bottom w:val="single" w:sz="4" w:space="0" w:color="auto"/>
                    <w:right w:val="single" w:sz="4" w:space="0" w:color="auto"/>
                  </w:tcBorders>
                  <w:noWrap/>
                  <w:hideMark/>
                </w:tcPr>
                <w:p w14:paraId="4F2065FD" w14:textId="77777777" w:rsidR="00F87C2C" w:rsidRPr="00EF2CCE" w:rsidRDefault="00F87C2C" w:rsidP="00EF2CCE">
                  <w:pPr>
                    <w:pStyle w:val="Tablehead"/>
                    <w:rPr>
                      <w:rFonts w:asciiTheme="minorHAnsi" w:hAnsiTheme="minorHAnsi" w:cstheme="minorHAnsi"/>
                      <w:sz w:val="18"/>
                      <w:szCs w:val="18"/>
                      <w:lang w:val="ru-RU"/>
                    </w:rPr>
                  </w:pPr>
                  <w:r w:rsidRPr="00EF2CCE">
                    <w:rPr>
                      <w:sz w:val="18"/>
                      <w:szCs w:val="18"/>
                      <w:lang w:val="ru-RU"/>
                    </w:rPr>
                    <w:t>Число</w:t>
                  </w:r>
                </w:p>
              </w:tc>
              <w:tc>
                <w:tcPr>
                  <w:tcW w:w="1687" w:type="dxa"/>
                  <w:tcBorders>
                    <w:top w:val="single" w:sz="4" w:space="0" w:color="auto"/>
                    <w:left w:val="nil"/>
                    <w:bottom w:val="single" w:sz="4" w:space="0" w:color="auto"/>
                    <w:right w:val="single" w:sz="4" w:space="0" w:color="auto"/>
                  </w:tcBorders>
                  <w:noWrap/>
                  <w:hideMark/>
                </w:tcPr>
                <w:p w14:paraId="28F5689D" w14:textId="4D9571B6" w:rsidR="00F87C2C" w:rsidRPr="00EF2CCE" w:rsidRDefault="00F87C2C" w:rsidP="00EF2CCE">
                  <w:pPr>
                    <w:pStyle w:val="Tablehead"/>
                    <w:rPr>
                      <w:rFonts w:asciiTheme="minorHAnsi" w:hAnsiTheme="minorHAnsi" w:cstheme="minorHAnsi"/>
                      <w:sz w:val="18"/>
                      <w:szCs w:val="18"/>
                      <w:lang w:val="ru-RU"/>
                    </w:rPr>
                  </w:pPr>
                  <w:r w:rsidRPr="00EF2CCE">
                    <w:rPr>
                      <w:sz w:val="18"/>
                      <w:szCs w:val="18"/>
                      <w:lang w:val="ru-RU"/>
                    </w:rPr>
                    <w:t xml:space="preserve">Средняя </w:t>
                  </w:r>
                  <w:r w:rsidR="00663EA7" w:rsidRPr="00EF2CCE">
                    <w:rPr>
                      <w:sz w:val="18"/>
                      <w:szCs w:val="18"/>
                      <w:lang w:val="ru-RU"/>
                    </w:rPr>
                    <w:t>стоимость</w:t>
                  </w:r>
                  <w:r w:rsidRPr="00EF2CCE">
                    <w:rPr>
                      <w:sz w:val="18"/>
                      <w:szCs w:val="18"/>
                      <w:lang w:val="ru-RU"/>
                    </w:rPr>
                    <w:t xml:space="preserve"> заявок с бесплатной регистрацией </w:t>
                  </w:r>
                  <w:r w:rsidR="00EF2CCE">
                    <w:rPr>
                      <w:sz w:val="18"/>
                      <w:szCs w:val="18"/>
                      <w:lang w:val="ru-RU"/>
                    </w:rPr>
                    <w:br/>
                  </w:r>
                  <w:r w:rsidRPr="00EF2CCE">
                    <w:rPr>
                      <w:sz w:val="18"/>
                      <w:szCs w:val="18"/>
                      <w:lang w:val="ru-RU"/>
                    </w:rPr>
                    <w:t>(шв. фр.)</w:t>
                  </w:r>
                </w:p>
              </w:tc>
            </w:tr>
            <w:tr w:rsidR="00F87C2C" w:rsidRPr="00DF306E" w14:paraId="5F45D5F9" w14:textId="77777777" w:rsidTr="00204B6E">
              <w:trPr>
                <w:jc w:val="center"/>
              </w:trPr>
              <w:tc>
                <w:tcPr>
                  <w:tcW w:w="1157" w:type="dxa"/>
                  <w:tcBorders>
                    <w:top w:val="nil"/>
                    <w:left w:val="single" w:sz="4" w:space="0" w:color="auto"/>
                    <w:bottom w:val="single" w:sz="4" w:space="0" w:color="auto"/>
                    <w:right w:val="single" w:sz="4" w:space="0" w:color="auto"/>
                  </w:tcBorders>
                  <w:noWrap/>
                  <w:vAlign w:val="center"/>
                  <w:hideMark/>
                </w:tcPr>
                <w:p w14:paraId="486FF556" w14:textId="74ED80B6" w:rsidR="00F87C2C" w:rsidRPr="00FB0249" w:rsidRDefault="00F87C2C" w:rsidP="00EF2CCE">
                  <w:pPr>
                    <w:pStyle w:val="Tabletext"/>
                    <w:jc w:val="center"/>
                    <w:rPr>
                      <w:sz w:val="18"/>
                      <w:szCs w:val="18"/>
                      <w:lang w:val="ru-RU"/>
                    </w:rPr>
                  </w:pPr>
                  <w:r w:rsidRPr="00FB0249">
                    <w:rPr>
                      <w:sz w:val="18"/>
                      <w:szCs w:val="18"/>
                      <w:lang w:val="ru-RU"/>
                    </w:rPr>
                    <w:t>2022</w:t>
                  </w:r>
                  <w:r w:rsidR="00663EA7" w:rsidRPr="00FB0249">
                    <w:rPr>
                      <w:sz w:val="18"/>
                      <w:szCs w:val="18"/>
                      <w:lang w:val="ru-RU"/>
                    </w:rPr>
                    <w:t xml:space="preserve"> г.</w:t>
                  </w:r>
                </w:p>
              </w:tc>
              <w:tc>
                <w:tcPr>
                  <w:tcW w:w="1182" w:type="dxa"/>
                  <w:tcBorders>
                    <w:top w:val="nil"/>
                    <w:left w:val="nil"/>
                    <w:bottom w:val="single" w:sz="4" w:space="0" w:color="auto"/>
                    <w:right w:val="single" w:sz="4" w:space="0" w:color="auto"/>
                  </w:tcBorders>
                  <w:noWrap/>
                  <w:vAlign w:val="center"/>
                  <w:hideMark/>
                </w:tcPr>
                <w:p w14:paraId="0A23C281" w14:textId="2D5C5B4D" w:rsidR="00F87C2C" w:rsidRPr="00FB0249" w:rsidRDefault="00F87C2C" w:rsidP="00EF2CCE">
                  <w:pPr>
                    <w:pStyle w:val="Tabletext"/>
                    <w:jc w:val="center"/>
                    <w:rPr>
                      <w:sz w:val="18"/>
                      <w:szCs w:val="18"/>
                      <w:lang w:val="ru-RU"/>
                    </w:rPr>
                  </w:pPr>
                  <w:r w:rsidRPr="00FB0249">
                    <w:rPr>
                      <w:sz w:val="18"/>
                      <w:szCs w:val="18"/>
                      <w:lang w:val="ru-RU"/>
                    </w:rPr>
                    <w:t>1</w:t>
                  </w:r>
                  <w:r w:rsidRPr="00EF2CCE">
                    <w:rPr>
                      <w:sz w:val="18"/>
                      <w:szCs w:val="18"/>
                    </w:rPr>
                    <w:t> </w:t>
                  </w:r>
                  <w:r w:rsidRPr="00FB0249">
                    <w:rPr>
                      <w:sz w:val="18"/>
                      <w:szCs w:val="18"/>
                      <w:lang w:val="ru-RU"/>
                    </w:rPr>
                    <w:t>040</w:t>
                  </w:r>
                  <w:r w:rsidRPr="00EF2CCE">
                    <w:rPr>
                      <w:sz w:val="18"/>
                      <w:szCs w:val="18"/>
                    </w:rPr>
                    <w:t> </w:t>
                  </w:r>
                  <w:r w:rsidRPr="00FB0249">
                    <w:rPr>
                      <w:sz w:val="18"/>
                      <w:szCs w:val="18"/>
                      <w:lang w:val="ru-RU"/>
                    </w:rPr>
                    <w:t>149,00</w:t>
                  </w:r>
                </w:p>
              </w:tc>
              <w:tc>
                <w:tcPr>
                  <w:tcW w:w="653" w:type="dxa"/>
                  <w:tcBorders>
                    <w:top w:val="nil"/>
                    <w:left w:val="nil"/>
                    <w:bottom w:val="single" w:sz="4" w:space="0" w:color="auto"/>
                    <w:right w:val="single" w:sz="4" w:space="0" w:color="auto"/>
                  </w:tcBorders>
                  <w:noWrap/>
                  <w:vAlign w:val="center"/>
                  <w:hideMark/>
                </w:tcPr>
                <w:p w14:paraId="18E995AC" w14:textId="77777777" w:rsidR="00F87C2C" w:rsidRPr="00FB0249" w:rsidRDefault="00F87C2C" w:rsidP="00EF2CCE">
                  <w:pPr>
                    <w:pStyle w:val="Tabletext"/>
                    <w:jc w:val="center"/>
                    <w:rPr>
                      <w:sz w:val="18"/>
                      <w:szCs w:val="18"/>
                      <w:lang w:val="ru-RU"/>
                    </w:rPr>
                  </w:pPr>
                  <w:r w:rsidRPr="00FB0249">
                    <w:rPr>
                      <w:sz w:val="18"/>
                      <w:szCs w:val="18"/>
                      <w:lang w:val="ru-RU"/>
                    </w:rPr>
                    <w:t>34</w:t>
                  </w:r>
                </w:p>
              </w:tc>
              <w:tc>
                <w:tcPr>
                  <w:tcW w:w="1687" w:type="dxa"/>
                  <w:tcBorders>
                    <w:top w:val="nil"/>
                    <w:left w:val="nil"/>
                    <w:bottom w:val="single" w:sz="4" w:space="0" w:color="auto"/>
                    <w:right w:val="single" w:sz="4" w:space="0" w:color="auto"/>
                  </w:tcBorders>
                  <w:noWrap/>
                  <w:vAlign w:val="center"/>
                  <w:hideMark/>
                </w:tcPr>
                <w:p w14:paraId="541FB3E9" w14:textId="4B2756CA" w:rsidR="00F87C2C" w:rsidRPr="00FB0249" w:rsidRDefault="00F87C2C" w:rsidP="00EF2CCE">
                  <w:pPr>
                    <w:pStyle w:val="Tabletext"/>
                    <w:jc w:val="center"/>
                    <w:rPr>
                      <w:sz w:val="18"/>
                      <w:szCs w:val="18"/>
                      <w:lang w:val="ru-RU"/>
                    </w:rPr>
                  </w:pPr>
                  <w:r w:rsidRPr="00FB0249">
                    <w:rPr>
                      <w:sz w:val="18"/>
                      <w:szCs w:val="18"/>
                      <w:lang w:val="ru-RU"/>
                    </w:rPr>
                    <w:t>30</w:t>
                  </w:r>
                  <w:r w:rsidRPr="00EF2CCE">
                    <w:rPr>
                      <w:sz w:val="18"/>
                      <w:szCs w:val="18"/>
                    </w:rPr>
                    <w:t> </w:t>
                  </w:r>
                  <w:r w:rsidRPr="00FB0249">
                    <w:rPr>
                      <w:sz w:val="18"/>
                      <w:szCs w:val="18"/>
                      <w:lang w:val="ru-RU"/>
                    </w:rPr>
                    <w:t>592,62</w:t>
                  </w:r>
                </w:p>
              </w:tc>
            </w:tr>
            <w:tr w:rsidR="00F87C2C" w:rsidRPr="00DF306E" w14:paraId="349CFDB4" w14:textId="77777777" w:rsidTr="00204B6E">
              <w:trPr>
                <w:jc w:val="center"/>
              </w:trPr>
              <w:tc>
                <w:tcPr>
                  <w:tcW w:w="1157" w:type="dxa"/>
                  <w:tcBorders>
                    <w:top w:val="nil"/>
                    <w:left w:val="single" w:sz="4" w:space="0" w:color="auto"/>
                    <w:bottom w:val="single" w:sz="4" w:space="0" w:color="auto"/>
                    <w:right w:val="single" w:sz="4" w:space="0" w:color="auto"/>
                  </w:tcBorders>
                  <w:noWrap/>
                  <w:vAlign w:val="center"/>
                  <w:hideMark/>
                </w:tcPr>
                <w:p w14:paraId="152E939E" w14:textId="7D428861" w:rsidR="00F87C2C" w:rsidRPr="00FB0249" w:rsidRDefault="00F87C2C" w:rsidP="00EF2CCE">
                  <w:pPr>
                    <w:pStyle w:val="Tabletext"/>
                    <w:jc w:val="center"/>
                    <w:rPr>
                      <w:sz w:val="18"/>
                      <w:szCs w:val="18"/>
                      <w:lang w:val="ru-RU"/>
                    </w:rPr>
                  </w:pPr>
                  <w:r w:rsidRPr="00FB0249">
                    <w:rPr>
                      <w:sz w:val="18"/>
                      <w:szCs w:val="18"/>
                      <w:lang w:val="ru-RU"/>
                    </w:rPr>
                    <w:t>2023</w:t>
                  </w:r>
                  <w:r w:rsidR="00663EA7" w:rsidRPr="00FB0249">
                    <w:rPr>
                      <w:sz w:val="18"/>
                      <w:szCs w:val="18"/>
                      <w:lang w:val="ru-RU"/>
                    </w:rPr>
                    <w:t xml:space="preserve"> г.</w:t>
                  </w:r>
                </w:p>
              </w:tc>
              <w:tc>
                <w:tcPr>
                  <w:tcW w:w="1182" w:type="dxa"/>
                  <w:tcBorders>
                    <w:top w:val="nil"/>
                    <w:left w:val="nil"/>
                    <w:bottom w:val="single" w:sz="4" w:space="0" w:color="auto"/>
                    <w:right w:val="single" w:sz="4" w:space="0" w:color="auto"/>
                  </w:tcBorders>
                  <w:noWrap/>
                  <w:vAlign w:val="center"/>
                  <w:hideMark/>
                </w:tcPr>
                <w:p w14:paraId="36E1C5ED" w14:textId="77777777" w:rsidR="00F87C2C" w:rsidRPr="00FB0249" w:rsidRDefault="00F87C2C" w:rsidP="00EF2CCE">
                  <w:pPr>
                    <w:pStyle w:val="Tabletext"/>
                    <w:jc w:val="center"/>
                    <w:rPr>
                      <w:sz w:val="18"/>
                      <w:szCs w:val="18"/>
                      <w:lang w:val="ru-RU"/>
                    </w:rPr>
                  </w:pPr>
                  <w:r w:rsidRPr="00FB0249">
                    <w:rPr>
                      <w:sz w:val="18"/>
                      <w:szCs w:val="18"/>
                      <w:lang w:val="ru-RU"/>
                    </w:rPr>
                    <w:t>1</w:t>
                  </w:r>
                  <w:r w:rsidRPr="00EF2CCE">
                    <w:rPr>
                      <w:sz w:val="18"/>
                      <w:szCs w:val="18"/>
                    </w:rPr>
                    <w:t> </w:t>
                  </w:r>
                  <w:r w:rsidRPr="00FB0249">
                    <w:rPr>
                      <w:sz w:val="18"/>
                      <w:szCs w:val="18"/>
                      <w:lang w:val="ru-RU"/>
                    </w:rPr>
                    <w:t>371</w:t>
                  </w:r>
                  <w:r w:rsidRPr="00EF2CCE">
                    <w:rPr>
                      <w:sz w:val="18"/>
                      <w:szCs w:val="18"/>
                    </w:rPr>
                    <w:t> </w:t>
                  </w:r>
                  <w:r w:rsidRPr="00FB0249">
                    <w:rPr>
                      <w:sz w:val="18"/>
                      <w:szCs w:val="18"/>
                      <w:lang w:val="ru-RU"/>
                    </w:rPr>
                    <w:t xml:space="preserve">521,00 </w:t>
                  </w:r>
                </w:p>
              </w:tc>
              <w:tc>
                <w:tcPr>
                  <w:tcW w:w="653" w:type="dxa"/>
                  <w:tcBorders>
                    <w:top w:val="nil"/>
                    <w:left w:val="nil"/>
                    <w:bottom w:val="single" w:sz="4" w:space="0" w:color="auto"/>
                    <w:right w:val="single" w:sz="4" w:space="0" w:color="auto"/>
                  </w:tcBorders>
                  <w:noWrap/>
                  <w:vAlign w:val="center"/>
                  <w:hideMark/>
                </w:tcPr>
                <w:p w14:paraId="0E72F16A" w14:textId="77777777" w:rsidR="00F87C2C" w:rsidRPr="00FB0249" w:rsidRDefault="00F87C2C" w:rsidP="00EF2CCE">
                  <w:pPr>
                    <w:pStyle w:val="Tabletext"/>
                    <w:jc w:val="center"/>
                    <w:rPr>
                      <w:sz w:val="18"/>
                      <w:szCs w:val="18"/>
                      <w:lang w:val="ru-RU"/>
                    </w:rPr>
                  </w:pPr>
                  <w:r w:rsidRPr="00FB0249">
                    <w:rPr>
                      <w:sz w:val="18"/>
                      <w:szCs w:val="18"/>
                      <w:lang w:val="ru-RU"/>
                    </w:rPr>
                    <w:t>45</w:t>
                  </w:r>
                </w:p>
              </w:tc>
              <w:tc>
                <w:tcPr>
                  <w:tcW w:w="1687" w:type="dxa"/>
                  <w:tcBorders>
                    <w:top w:val="nil"/>
                    <w:left w:val="nil"/>
                    <w:bottom w:val="single" w:sz="4" w:space="0" w:color="auto"/>
                    <w:right w:val="single" w:sz="4" w:space="0" w:color="auto"/>
                  </w:tcBorders>
                  <w:noWrap/>
                  <w:vAlign w:val="center"/>
                  <w:hideMark/>
                </w:tcPr>
                <w:p w14:paraId="6AA41A97" w14:textId="77777777" w:rsidR="00F87C2C" w:rsidRPr="00FB0249" w:rsidRDefault="00F87C2C" w:rsidP="00EF2CCE">
                  <w:pPr>
                    <w:pStyle w:val="Tabletext"/>
                    <w:jc w:val="center"/>
                    <w:rPr>
                      <w:sz w:val="18"/>
                      <w:szCs w:val="18"/>
                      <w:lang w:val="ru-RU"/>
                    </w:rPr>
                  </w:pPr>
                  <w:r w:rsidRPr="00FB0249">
                    <w:rPr>
                      <w:sz w:val="18"/>
                      <w:szCs w:val="18"/>
                      <w:lang w:val="ru-RU"/>
                    </w:rPr>
                    <w:t>30</w:t>
                  </w:r>
                  <w:r w:rsidRPr="00EF2CCE">
                    <w:rPr>
                      <w:sz w:val="18"/>
                      <w:szCs w:val="18"/>
                    </w:rPr>
                    <w:t> </w:t>
                  </w:r>
                  <w:r w:rsidRPr="00FB0249">
                    <w:rPr>
                      <w:sz w:val="18"/>
                      <w:szCs w:val="18"/>
                      <w:lang w:val="ru-RU"/>
                    </w:rPr>
                    <w:t xml:space="preserve">478,24 </w:t>
                  </w:r>
                </w:p>
              </w:tc>
            </w:tr>
            <w:tr w:rsidR="00F87C2C" w:rsidRPr="00DF306E" w14:paraId="161F218F" w14:textId="77777777" w:rsidTr="00204B6E">
              <w:trPr>
                <w:jc w:val="center"/>
              </w:trPr>
              <w:tc>
                <w:tcPr>
                  <w:tcW w:w="1157" w:type="dxa"/>
                  <w:tcBorders>
                    <w:top w:val="nil"/>
                    <w:left w:val="single" w:sz="4" w:space="0" w:color="auto"/>
                    <w:bottom w:val="single" w:sz="4" w:space="0" w:color="auto"/>
                    <w:right w:val="single" w:sz="4" w:space="0" w:color="auto"/>
                  </w:tcBorders>
                  <w:noWrap/>
                  <w:vAlign w:val="center"/>
                  <w:hideMark/>
                </w:tcPr>
                <w:p w14:paraId="05BDBCFC" w14:textId="782DC3D6" w:rsidR="00F87C2C" w:rsidRPr="00FB0249" w:rsidRDefault="00F87C2C" w:rsidP="00EF2CCE">
                  <w:pPr>
                    <w:pStyle w:val="Tabletext"/>
                    <w:jc w:val="center"/>
                    <w:rPr>
                      <w:sz w:val="18"/>
                      <w:szCs w:val="18"/>
                      <w:lang w:val="ru-RU"/>
                    </w:rPr>
                  </w:pPr>
                  <w:r w:rsidRPr="00FB0249">
                    <w:rPr>
                      <w:sz w:val="18"/>
                      <w:szCs w:val="18"/>
                      <w:lang w:val="ru-RU"/>
                    </w:rPr>
                    <w:t>2024</w:t>
                  </w:r>
                  <w:r w:rsidR="00663EA7" w:rsidRPr="00FB0249">
                    <w:rPr>
                      <w:sz w:val="18"/>
                      <w:szCs w:val="18"/>
                      <w:lang w:val="ru-RU"/>
                    </w:rPr>
                    <w:t xml:space="preserve"> г.</w:t>
                  </w:r>
                </w:p>
              </w:tc>
              <w:tc>
                <w:tcPr>
                  <w:tcW w:w="1182" w:type="dxa"/>
                  <w:tcBorders>
                    <w:top w:val="nil"/>
                    <w:left w:val="nil"/>
                    <w:bottom w:val="single" w:sz="4" w:space="0" w:color="auto"/>
                    <w:right w:val="single" w:sz="4" w:space="0" w:color="auto"/>
                  </w:tcBorders>
                  <w:noWrap/>
                  <w:vAlign w:val="center"/>
                  <w:hideMark/>
                </w:tcPr>
                <w:p w14:paraId="5B07B3D0" w14:textId="77777777" w:rsidR="00F87C2C" w:rsidRPr="00FB0249" w:rsidRDefault="00F87C2C" w:rsidP="00EF2CCE">
                  <w:pPr>
                    <w:pStyle w:val="Tabletext"/>
                    <w:jc w:val="center"/>
                    <w:rPr>
                      <w:sz w:val="18"/>
                      <w:szCs w:val="18"/>
                      <w:lang w:val="ru-RU"/>
                    </w:rPr>
                  </w:pPr>
                  <w:r w:rsidRPr="00FB0249">
                    <w:rPr>
                      <w:sz w:val="18"/>
                      <w:szCs w:val="18"/>
                      <w:lang w:val="ru-RU"/>
                    </w:rPr>
                    <w:t>1</w:t>
                  </w:r>
                  <w:r w:rsidRPr="00EF2CCE">
                    <w:rPr>
                      <w:sz w:val="18"/>
                      <w:szCs w:val="18"/>
                    </w:rPr>
                    <w:t> </w:t>
                  </w:r>
                  <w:r w:rsidRPr="00FB0249">
                    <w:rPr>
                      <w:sz w:val="18"/>
                      <w:szCs w:val="18"/>
                      <w:lang w:val="ru-RU"/>
                    </w:rPr>
                    <w:t>209</w:t>
                  </w:r>
                  <w:r w:rsidRPr="00EF2CCE">
                    <w:rPr>
                      <w:sz w:val="18"/>
                      <w:szCs w:val="18"/>
                    </w:rPr>
                    <w:t> </w:t>
                  </w:r>
                  <w:r w:rsidRPr="00FB0249">
                    <w:rPr>
                      <w:sz w:val="18"/>
                      <w:szCs w:val="18"/>
                      <w:lang w:val="ru-RU"/>
                    </w:rPr>
                    <w:t xml:space="preserve">753,00 </w:t>
                  </w:r>
                </w:p>
              </w:tc>
              <w:tc>
                <w:tcPr>
                  <w:tcW w:w="653" w:type="dxa"/>
                  <w:tcBorders>
                    <w:top w:val="nil"/>
                    <w:left w:val="nil"/>
                    <w:bottom w:val="single" w:sz="4" w:space="0" w:color="auto"/>
                    <w:right w:val="single" w:sz="4" w:space="0" w:color="auto"/>
                  </w:tcBorders>
                  <w:noWrap/>
                  <w:vAlign w:val="center"/>
                  <w:hideMark/>
                </w:tcPr>
                <w:p w14:paraId="518A091B" w14:textId="77777777" w:rsidR="00F87C2C" w:rsidRPr="00FB0249" w:rsidRDefault="00F87C2C" w:rsidP="00EF2CCE">
                  <w:pPr>
                    <w:pStyle w:val="Tabletext"/>
                    <w:jc w:val="center"/>
                    <w:rPr>
                      <w:sz w:val="18"/>
                      <w:szCs w:val="18"/>
                      <w:lang w:val="ru-RU"/>
                    </w:rPr>
                  </w:pPr>
                  <w:r w:rsidRPr="00FB0249">
                    <w:rPr>
                      <w:sz w:val="18"/>
                      <w:szCs w:val="18"/>
                      <w:lang w:val="ru-RU"/>
                    </w:rPr>
                    <w:t>39</w:t>
                  </w:r>
                </w:p>
              </w:tc>
              <w:tc>
                <w:tcPr>
                  <w:tcW w:w="1687" w:type="dxa"/>
                  <w:tcBorders>
                    <w:top w:val="nil"/>
                    <w:left w:val="nil"/>
                    <w:bottom w:val="single" w:sz="4" w:space="0" w:color="auto"/>
                    <w:right w:val="single" w:sz="4" w:space="0" w:color="auto"/>
                  </w:tcBorders>
                  <w:noWrap/>
                  <w:vAlign w:val="center"/>
                  <w:hideMark/>
                </w:tcPr>
                <w:p w14:paraId="378C22C8" w14:textId="77777777" w:rsidR="00F87C2C" w:rsidRPr="00FB0249" w:rsidRDefault="00F87C2C" w:rsidP="00EF2CCE">
                  <w:pPr>
                    <w:pStyle w:val="Tabletext"/>
                    <w:jc w:val="center"/>
                    <w:rPr>
                      <w:sz w:val="18"/>
                      <w:szCs w:val="18"/>
                      <w:lang w:val="ru-RU"/>
                    </w:rPr>
                  </w:pPr>
                  <w:r w:rsidRPr="00FB0249">
                    <w:rPr>
                      <w:sz w:val="18"/>
                      <w:szCs w:val="18"/>
                      <w:lang w:val="ru-RU"/>
                    </w:rPr>
                    <w:t>31</w:t>
                  </w:r>
                  <w:r w:rsidRPr="00EF2CCE">
                    <w:rPr>
                      <w:sz w:val="18"/>
                      <w:szCs w:val="18"/>
                    </w:rPr>
                    <w:t> </w:t>
                  </w:r>
                  <w:r w:rsidRPr="00FB0249">
                    <w:rPr>
                      <w:sz w:val="18"/>
                      <w:szCs w:val="18"/>
                      <w:lang w:val="ru-RU"/>
                    </w:rPr>
                    <w:t xml:space="preserve">019,31 </w:t>
                  </w:r>
                </w:p>
              </w:tc>
            </w:tr>
            <w:tr w:rsidR="00F87C2C" w:rsidRPr="00DF306E" w14:paraId="6FE5593D" w14:textId="77777777" w:rsidTr="00204B6E">
              <w:trPr>
                <w:jc w:val="center"/>
              </w:trPr>
              <w:tc>
                <w:tcPr>
                  <w:tcW w:w="1157" w:type="dxa"/>
                  <w:tcBorders>
                    <w:top w:val="nil"/>
                    <w:left w:val="single" w:sz="4" w:space="0" w:color="auto"/>
                    <w:bottom w:val="single" w:sz="4" w:space="0" w:color="auto"/>
                    <w:right w:val="single" w:sz="4" w:space="0" w:color="auto"/>
                  </w:tcBorders>
                  <w:noWrap/>
                  <w:vAlign w:val="center"/>
                  <w:hideMark/>
                </w:tcPr>
                <w:p w14:paraId="435728B1" w14:textId="494C8814" w:rsidR="00F87C2C" w:rsidRPr="00FB0249" w:rsidRDefault="00F87C2C" w:rsidP="00EF2CCE">
                  <w:pPr>
                    <w:pStyle w:val="Tabletext"/>
                    <w:jc w:val="center"/>
                    <w:rPr>
                      <w:sz w:val="18"/>
                      <w:szCs w:val="18"/>
                      <w:lang w:val="ru-RU"/>
                    </w:rPr>
                  </w:pPr>
                  <w:r w:rsidRPr="00FB0249">
                    <w:rPr>
                      <w:sz w:val="18"/>
                      <w:szCs w:val="18"/>
                      <w:lang w:val="ru-RU"/>
                    </w:rPr>
                    <w:t>2025</w:t>
                  </w:r>
                  <w:r w:rsidR="00663EA7" w:rsidRPr="00FB0249">
                    <w:rPr>
                      <w:sz w:val="18"/>
                      <w:szCs w:val="18"/>
                      <w:lang w:val="ru-RU"/>
                    </w:rPr>
                    <w:t xml:space="preserve"> г.</w:t>
                  </w:r>
                </w:p>
              </w:tc>
              <w:tc>
                <w:tcPr>
                  <w:tcW w:w="1182" w:type="dxa"/>
                  <w:tcBorders>
                    <w:top w:val="nil"/>
                    <w:left w:val="nil"/>
                    <w:bottom w:val="single" w:sz="4" w:space="0" w:color="auto"/>
                    <w:right w:val="single" w:sz="4" w:space="0" w:color="auto"/>
                  </w:tcBorders>
                  <w:noWrap/>
                  <w:vAlign w:val="center"/>
                  <w:hideMark/>
                </w:tcPr>
                <w:p w14:paraId="01C0DB8E" w14:textId="77777777" w:rsidR="00F87C2C" w:rsidRPr="00FB0249" w:rsidRDefault="00F87C2C" w:rsidP="00EF2CCE">
                  <w:pPr>
                    <w:pStyle w:val="Tabletext"/>
                    <w:jc w:val="center"/>
                    <w:rPr>
                      <w:sz w:val="18"/>
                      <w:szCs w:val="18"/>
                      <w:lang w:val="ru-RU"/>
                    </w:rPr>
                  </w:pPr>
                  <w:r w:rsidRPr="00FB0249">
                    <w:rPr>
                      <w:sz w:val="18"/>
                      <w:szCs w:val="18"/>
                      <w:lang w:val="ru-RU"/>
                    </w:rPr>
                    <w:t>1</w:t>
                  </w:r>
                  <w:r w:rsidRPr="00EF2CCE">
                    <w:rPr>
                      <w:sz w:val="18"/>
                      <w:szCs w:val="18"/>
                    </w:rPr>
                    <w:t> </w:t>
                  </w:r>
                  <w:r w:rsidRPr="00FB0249">
                    <w:rPr>
                      <w:sz w:val="18"/>
                      <w:szCs w:val="18"/>
                      <w:lang w:val="ru-RU"/>
                    </w:rPr>
                    <w:t>838</w:t>
                  </w:r>
                  <w:r w:rsidRPr="00EF2CCE">
                    <w:rPr>
                      <w:sz w:val="18"/>
                      <w:szCs w:val="18"/>
                    </w:rPr>
                    <w:t> </w:t>
                  </w:r>
                  <w:r w:rsidRPr="00FB0249">
                    <w:rPr>
                      <w:sz w:val="18"/>
                      <w:szCs w:val="18"/>
                      <w:lang w:val="ru-RU"/>
                    </w:rPr>
                    <w:t xml:space="preserve">756,00 </w:t>
                  </w:r>
                </w:p>
              </w:tc>
              <w:tc>
                <w:tcPr>
                  <w:tcW w:w="653" w:type="dxa"/>
                  <w:tcBorders>
                    <w:top w:val="nil"/>
                    <w:left w:val="nil"/>
                    <w:bottom w:val="single" w:sz="4" w:space="0" w:color="auto"/>
                    <w:right w:val="single" w:sz="4" w:space="0" w:color="auto"/>
                  </w:tcBorders>
                  <w:noWrap/>
                  <w:vAlign w:val="center"/>
                  <w:hideMark/>
                </w:tcPr>
                <w:p w14:paraId="5EB3947A" w14:textId="77777777" w:rsidR="00F87C2C" w:rsidRPr="00FB0249" w:rsidRDefault="00F87C2C" w:rsidP="00EF2CCE">
                  <w:pPr>
                    <w:pStyle w:val="Tabletext"/>
                    <w:jc w:val="center"/>
                    <w:rPr>
                      <w:sz w:val="18"/>
                      <w:szCs w:val="18"/>
                      <w:lang w:val="ru-RU"/>
                    </w:rPr>
                  </w:pPr>
                  <w:r w:rsidRPr="00FB0249">
                    <w:rPr>
                      <w:sz w:val="18"/>
                      <w:szCs w:val="18"/>
                      <w:lang w:val="ru-RU"/>
                    </w:rPr>
                    <w:t>53</w:t>
                  </w:r>
                </w:p>
              </w:tc>
              <w:tc>
                <w:tcPr>
                  <w:tcW w:w="1687" w:type="dxa"/>
                  <w:tcBorders>
                    <w:top w:val="nil"/>
                    <w:left w:val="nil"/>
                    <w:bottom w:val="single" w:sz="4" w:space="0" w:color="auto"/>
                    <w:right w:val="single" w:sz="4" w:space="0" w:color="auto"/>
                  </w:tcBorders>
                  <w:noWrap/>
                  <w:vAlign w:val="center"/>
                  <w:hideMark/>
                </w:tcPr>
                <w:p w14:paraId="2A53E783" w14:textId="77777777" w:rsidR="00F87C2C" w:rsidRPr="00FB0249" w:rsidRDefault="00F87C2C" w:rsidP="00EF2CCE">
                  <w:pPr>
                    <w:pStyle w:val="Tabletext"/>
                    <w:jc w:val="center"/>
                    <w:rPr>
                      <w:sz w:val="18"/>
                      <w:szCs w:val="18"/>
                      <w:lang w:val="ru-RU"/>
                    </w:rPr>
                  </w:pPr>
                  <w:r w:rsidRPr="00FB0249">
                    <w:rPr>
                      <w:sz w:val="18"/>
                      <w:szCs w:val="18"/>
                      <w:lang w:val="ru-RU"/>
                    </w:rPr>
                    <w:t>34</w:t>
                  </w:r>
                  <w:r w:rsidRPr="00EF2CCE">
                    <w:rPr>
                      <w:sz w:val="18"/>
                      <w:szCs w:val="18"/>
                    </w:rPr>
                    <w:t> </w:t>
                  </w:r>
                  <w:r w:rsidRPr="00FB0249">
                    <w:rPr>
                      <w:sz w:val="18"/>
                      <w:szCs w:val="18"/>
                      <w:lang w:val="ru-RU"/>
                    </w:rPr>
                    <w:t xml:space="preserve">693,51 </w:t>
                  </w:r>
                </w:p>
              </w:tc>
            </w:tr>
          </w:tbl>
          <w:p w14:paraId="4C9D7265" w14:textId="0C20F1E3" w:rsidR="00F87C2C" w:rsidRPr="004C7931" w:rsidRDefault="00F87C2C" w:rsidP="00204B6E">
            <w:pPr>
              <w:pStyle w:val="Tabletext"/>
              <w:keepLines/>
              <w:rPr>
                <w:lang w:val="ru-RU"/>
              </w:rPr>
            </w:pPr>
            <w:r w:rsidRPr="004C7931">
              <w:rPr>
                <w:lang w:val="ru-RU"/>
              </w:rPr>
              <w:lastRenderedPageBreak/>
              <w:t xml:space="preserve">Средняя </w:t>
            </w:r>
            <w:r w:rsidR="00663EA7" w:rsidRPr="004C7931">
              <w:rPr>
                <w:lang w:val="ru-RU"/>
              </w:rPr>
              <w:t>стоимость</w:t>
            </w:r>
            <w:r w:rsidRPr="004C7931">
              <w:rPr>
                <w:lang w:val="ru-RU"/>
              </w:rPr>
              <w:t xml:space="preserve"> заявок с бесплатной регистрацией является относительно стабильной за последние четыре года и может использоваться в качестве основы для оценки влияния на бюджет увеличения числа стран, подающих заявки на </w:t>
            </w:r>
            <w:r w:rsidR="00B92286" w:rsidRPr="004C7931">
              <w:rPr>
                <w:lang w:val="ru-RU"/>
              </w:rPr>
              <w:t>использование права на бесплатную публикацию</w:t>
            </w:r>
            <w:r w:rsidRPr="004C7931">
              <w:rPr>
                <w:lang w:val="ru-RU"/>
              </w:rPr>
              <w:t xml:space="preserve"> (</w:t>
            </w:r>
            <w:r w:rsidR="00B92286" w:rsidRPr="004C7931">
              <w:rPr>
                <w:lang w:val="ru-RU"/>
              </w:rPr>
              <w:t>что</w:t>
            </w:r>
            <w:r w:rsidRPr="004C7931">
              <w:rPr>
                <w:lang w:val="ru-RU"/>
              </w:rPr>
              <w:t>, вероятно, будет увеличиваться вместе с увеличением числа стран, представляющих заявки).</w:t>
            </w:r>
          </w:p>
          <w:p w14:paraId="4F3A627C" w14:textId="77777777" w:rsidR="00F87C2C" w:rsidRPr="004C7931" w:rsidRDefault="00F87C2C" w:rsidP="00D15343">
            <w:pPr>
              <w:pStyle w:val="Tabletext"/>
              <w:rPr>
                <w:b/>
                <w:bCs/>
                <w:lang w:val="ru-RU"/>
              </w:rPr>
            </w:pPr>
            <w:r w:rsidRPr="004C7931">
              <w:rPr>
                <w:b/>
                <w:bCs/>
                <w:lang w:val="ru-RU"/>
              </w:rPr>
              <w:t>Финансовые последствия заявок в рамках крупных группировок</w:t>
            </w:r>
          </w:p>
          <w:p w14:paraId="0DE10811" w14:textId="71FC9DBB" w:rsidR="00F87C2C" w:rsidRPr="004C7931" w:rsidRDefault="00F87C2C" w:rsidP="009957CC">
            <w:pPr>
              <w:pStyle w:val="Tabletext"/>
              <w:rPr>
                <w:lang w:val="ru-RU"/>
              </w:rPr>
            </w:pPr>
            <w:r w:rsidRPr="004C7931">
              <w:rPr>
                <w:lang w:val="ru-RU"/>
              </w:rPr>
              <w:t xml:space="preserve">До </w:t>
            </w:r>
            <w:r w:rsidR="00B92286" w:rsidRPr="004C7931">
              <w:rPr>
                <w:lang w:val="ru-RU"/>
              </w:rPr>
              <w:t xml:space="preserve">того, как редакция </w:t>
            </w:r>
            <w:r w:rsidRPr="004C7931">
              <w:rPr>
                <w:lang w:val="ru-RU"/>
              </w:rPr>
              <w:t>Решения</w:t>
            </w:r>
            <w:r w:rsidR="00E37DFE">
              <w:rPr>
                <w:lang w:val="en-US"/>
              </w:rPr>
              <w:t> </w:t>
            </w:r>
            <w:r w:rsidRPr="004C7931">
              <w:rPr>
                <w:lang w:val="ru-RU"/>
              </w:rPr>
              <w:t>482 2025</w:t>
            </w:r>
            <w:r w:rsidR="00E37DFE">
              <w:rPr>
                <w:lang w:val="en-US"/>
              </w:rPr>
              <w:t> </w:t>
            </w:r>
            <w:r w:rsidRPr="004C7931">
              <w:rPr>
                <w:lang w:val="ru-RU"/>
              </w:rPr>
              <w:t xml:space="preserve">года </w:t>
            </w:r>
            <w:r w:rsidR="00B92286" w:rsidRPr="004C7931">
              <w:rPr>
                <w:lang w:val="ru-RU"/>
              </w:rPr>
              <w:t xml:space="preserve">вступила в силу </w:t>
            </w:r>
            <w:r w:rsidRPr="004C7931">
              <w:rPr>
                <w:lang w:val="ru-RU"/>
              </w:rPr>
              <w:t>1 января 2026</w:t>
            </w:r>
            <w:r w:rsidR="009957CC">
              <w:rPr>
                <w:lang w:val="en-US"/>
              </w:rPr>
              <w:t> </w:t>
            </w:r>
            <w:r w:rsidRPr="004C7931">
              <w:rPr>
                <w:lang w:val="ru-RU"/>
              </w:rPr>
              <w:t>года</w:t>
            </w:r>
            <w:r w:rsidR="00B92286" w:rsidRPr="004C7931">
              <w:rPr>
                <w:lang w:val="ru-RU"/>
              </w:rPr>
              <w:t>,</w:t>
            </w:r>
            <w:r w:rsidRPr="004C7931">
              <w:rPr>
                <w:lang w:val="ru-RU"/>
              </w:rPr>
              <w:t xml:space="preserve"> крупными группировками были заявки на регистрацию НГСО с более чем 75</w:t>
            </w:r>
            <w:r w:rsidR="009957CC">
              <w:rPr>
                <w:lang w:val="en-US"/>
              </w:rPr>
              <w:t> </w:t>
            </w:r>
            <w:r w:rsidRPr="004C7931">
              <w:rPr>
                <w:lang w:val="ru-RU"/>
              </w:rPr>
              <w:t>000 единиц. Как сообщалось Группе экспертов по Решению</w:t>
            </w:r>
            <w:r w:rsidR="009957CC">
              <w:rPr>
                <w:lang w:val="en-US"/>
              </w:rPr>
              <w:t> </w:t>
            </w:r>
            <w:r w:rsidRPr="004C7931">
              <w:rPr>
                <w:lang w:val="ru-RU"/>
              </w:rPr>
              <w:t xml:space="preserve">482, количество </w:t>
            </w:r>
            <w:r w:rsidR="00B92286" w:rsidRPr="004C7931">
              <w:rPr>
                <w:lang w:val="ru-RU"/>
              </w:rPr>
              <w:t xml:space="preserve">заявок по </w:t>
            </w:r>
            <w:r w:rsidRPr="004C7931">
              <w:rPr>
                <w:lang w:val="ru-RU"/>
              </w:rPr>
              <w:t>таки</w:t>
            </w:r>
            <w:r w:rsidR="00B92286" w:rsidRPr="004C7931">
              <w:rPr>
                <w:lang w:val="ru-RU"/>
              </w:rPr>
              <w:t>м</w:t>
            </w:r>
            <w:r w:rsidRPr="004C7931">
              <w:rPr>
                <w:lang w:val="ru-RU"/>
              </w:rPr>
              <w:t xml:space="preserve"> спутниковы</w:t>
            </w:r>
            <w:r w:rsidR="00B92286" w:rsidRPr="004C7931">
              <w:rPr>
                <w:lang w:val="ru-RU"/>
              </w:rPr>
              <w:t>м</w:t>
            </w:r>
            <w:r w:rsidRPr="004C7931">
              <w:rPr>
                <w:lang w:val="ru-RU"/>
              </w:rPr>
              <w:t xml:space="preserve"> систем</w:t>
            </w:r>
            <w:r w:rsidR="00B92286" w:rsidRPr="004C7931">
              <w:rPr>
                <w:lang w:val="ru-RU"/>
              </w:rPr>
              <w:t>ам</w:t>
            </w:r>
            <w:r w:rsidRPr="004C7931">
              <w:rPr>
                <w:lang w:val="ru-RU"/>
              </w:rPr>
              <w:t xml:space="preserve"> было незначительным (3 получено в 2021</w:t>
            </w:r>
            <w:r w:rsidR="009957CC">
              <w:rPr>
                <w:lang w:val="en-US"/>
              </w:rPr>
              <w:t> </w:t>
            </w:r>
            <w:r w:rsidRPr="004C7931">
              <w:rPr>
                <w:lang w:val="ru-RU"/>
              </w:rPr>
              <w:t>г</w:t>
            </w:r>
            <w:r w:rsidR="00C524EF">
              <w:rPr>
                <w:lang w:val="ru-RU"/>
              </w:rPr>
              <w:t>.</w:t>
            </w:r>
            <w:r w:rsidRPr="004C7931">
              <w:rPr>
                <w:lang w:val="ru-RU"/>
              </w:rPr>
              <w:t xml:space="preserve">, 1 </w:t>
            </w:r>
            <w:r w:rsidR="00B92286" w:rsidRPr="004C7931">
              <w:rPr>
                <w:lang w:val="ru-RU"/>
              </w:rPr>
              <w:t xml:space="preserve">– </w:t>
            </w:r>
            <w:r w:rsidRPr="004C7931">
              <w:rPr>
                <w:lang w:val="ru-RU"/>
              </w:rPr>
              <w:t>в 2022</w:t>
            </w:r>
            <w:r w:rsidR="009957CC">
              <w:rPr>
                <w:lang w:val="en-US"/>
              </w:rPr>
              <w:t> </w:t>
            </w:r>
            <w:r w:rsidRPr="004C7931">
              <w:rPr>
                <w:lang w:val="ru-RU"/>
              </w:rPr>
              <w:t>г</w:t>
            </w:r>
            <w:r w:rsidR="00C524EF">
              <w:rPr>
                <w:lang w:val="ru-RU"/>
              </w:rPr>
              <w:t>.</w:t>
            </w:r>
            <w:r w:rsidRPr="004C7931">
              <w:rPr>
                <w:lang w:val="ru-RU"/>
              </w:rPr>
              <w:t xml:space="preserve">, 6 </w:t>
            </w:r>
            <w:r w:rsidR="00B92286" w:rsidRPr="004C7931">
              <w:rPr>
                <w:lang w:val="ru-RU"/>
              </w:rPr>
              <w:t xml:space="preserve">– </w:t>
            </w:r>
            <w:r w:rsidRPr="004C7931">
              <w:rPr>
                <w:lang w:val="ru-RU"/>
              </w:rPr>
              <w:t>в 2023</w:t>
            </w:r>
            <w:r w:rsidR="009957CC">
              <w:rPr>
                <w:lang w:val="en-US"/>
              </w:rPr>
              <w:t> </w:t>
            </w:r>
            <w:r w:rsidRPr="004C7931">
              <w:rPr>
                <w:lang w:val="ru-RU"/>
              </w:rPr>
              <w:t>г</w:t>
            </w:r>
            <w:r w:rsidR="00C524EF">
              <w:rPr>
                <w:lang w:val="ru-RU"/>
              </w:rPr>
              <w:t>.</w:t>
            </w:r>
            <w:r w:rsidRPr="004C7931">
              <w:rPr>
                <w:lang w:val="ru-RU"/>
              </w:rPr>
              <w:t xml:space="preserve">, 2 </w:t>
            </w:r>
            <w:r w:rsidR="00B92286" w:rsidRPr="004C7931">
              <w:rPr>
                <w:lang w:val="ru-RU"/>
              </w:rPr>
              <w:t xml:space="preserve">– </w:t>
            </w:r>
            <w:r w:rsidRPr="004C7931">
              <w:rPr>
                <w:lang w:val="ru-RU"/>
              </w:rPr>
              <w:t>в 2024</w:t>
            </w:r>
            <w:r w:rsidR="00C524EF">
              <w:t> </w:t>
            </w:r>
            <w:r w:rsidR="00C524EF">
              <w:rPr>
                <w:lang w:val="ru-RU"/>
              </w:rPr>
              <w:t>г.</w:t>
            </w:r>
            <w:r w:rsidRPr="004C7931">
              <w:rPr>
                <w:lang w:val="ru-RU"/>
              </w:rPr>
              <w:t>), что занижает количество заявок, требующих более высокого объема работы. Это побудило Группу экспертов предложить новую формулу для расчета единиц, которую Совет принял в 2025</w:t>
            </w:r>
            <w:r w:rsidR="009957CC">
              <w:rPr>
                <w:lang w:val="en-US"/>
              </w:rPr>
              <w:t> </w:t>
            </w:r>
            <w:r w:rsidRPr="004C7931">
              <w:rPr>
                <w:lang w:val="ru-RU"/>
              </w:rPr>
              <w:t>году. Поскольку эта формула вступила в силу 1 января 2026</w:t>
            </w:r>
            <w:r w:rsidR="009957CC">
              <w:rPr>
                <w:lang w:val="en-US"/>
              </w:rPr>
              <w:t> </w:t>
            </w:r>
            <w:r w:rsidRPr="004C7931">
              <w:rPr>
                <w:lang w:val="ru-RU"/>
              </w:rPr>
              <w:t xml:space="preserve">года, требуется дополнительное время, чтобы оценить, правильно ли новая формула отражает объем </w:t>
            </w:r>
            <w:r w:rsidR="00330BD1" w:rsidRPr="004C7931">
              <w:rPr>
                <w:lang w:val="ru-RU"/>
              </w:rPr>
              <w:t>усилий</w:t>
            </w:r>
            <w:r w:rsidRPr="004C7931">
              <w:rPr>
                <w:lang w:val="ru-RU"/>
              </w:rPr>
              <w:t xml:space="preserve"> по обработке</w:t>
            </w:r>
            <w:r w:rsidR="00330BD1" w:rsidRPr="004C7931">
              <w:rPr>
                <w:lang w:val="ru-RU"/>
              </w:rPr>
              <w:t xml:space="preserve"> заявок</w:t>
            </w:r>
            <w:r w:rsidRPr="004C7931">
              <w:rPr>
                <w:lang w:val="ru-RU"/>
              </w:rPr>
              <w:t>.</w:t>
            </w:r>
          </w:p>
          <w:p w14:paraId="0CFF1F90" w14:textId="77777777" w:rsidR="00F87C2C" w:rsidRPr="004C7931" w:rsidRDefault="00F87C2C" w:rsidP="00D15343">
            <w:pPr>
              <w:pStyle w:val="Tabletext"/>
              <w:rPr>
                <w:b/>
                <w:bCs/>
                <w:lang w:val="ru-RU"/>
              </w:rPr>
            </w:pPr>
            <w:r w:rsidRPr="004C7931">
              <w:rPr>
                <w:b/>
                <w:bCs/>
                <w:lang w:val="ru-RU"/>
              </w:rPr>
              <w:t>Контрольные показатели эффективности и усовершенствования рабочего процесса</w:t>
            </w:r>
          </w:p>
          <w:p w14:paraId="326A914F" w14:textId="428E1742" w:rsidR="00F87C2C" w:rsidRPr="004C7931" w:rsidRDefault="00F87C2C" w:rsidP="00D15343">
            <w:pPr>
              <w:pStyle w:val="Tabletext"/>
              <w:rPr>
                <w:lang w:val="ru-RU"/>
              </w:rPr>
            </w:pPr>
            <w:r w:rsidRPr="004C7931">
              <w:rPr>
                <w:lang w:val="ru-RU"/>
              </w:rPr>
              <w:t xml:space="preserve">Ключевые показатели деятельности по обработке </w:t>
            </w:r>
            <w:r w:rsidR="00330BD1" w:rsidRPr="004C7931">
              <w:rPr>
                <w:lang w:val="ru-RU"/>
              </w:rPr>
              <w:t xml:space="preserve">заявок на регистрацию </w:t>
            </w:r>
            <w:r w:rsidRPr="004C7931">
              <w:rPr>
                <w:lang w:val="ru-RU"/>
              </w:rPr>
              <w:t>спутниковых сетей регулярно докладываются Радиорегламентарному комитету и ежегодно Консультативной группе по радиосвязи. Б</w:t>
            </w:r>
            <w:r w:rsidR="00330BD1" w:rsidRPr="004C7931">
              <w:rPr>
                <w:lang w:val="ru-RU"/>
              </w:rPr>
              <w:t>ó</w:t>
            </w:r>
            <w:r w:rsidRPr="004C7931">
              <w:rPr>
                <w:lang w:val="ru-RU"/>
              </w:rPr>
              <w:t>льшая часть этих показателей соответствует регламентарным требованиям, изложенным в Регламенте радиосвязи, изменить которые может только компетентная Всемирная конференция радиосвязи.</w:t>
            </w:r>
          </w:p>
          <w:p w14:paraId="3D554DCE" w14:textId="77777777" w:rsidR="00F87C2C" w:rsidRPr="004C7931" w:rsidRDefault="00F87C2C" w:rsidP="00D15343">
            <w:pPr>
              <w:pStyle w:val="Tabletext"/>
              <w:rPr>
                <w:lang w:val="ru-RU"/>
              </w:rPr>
            </w:pPr>
            <w:r w:rsidRPr="004C7931">
              <w:rPr>
                <w:lang w:val="ru-RU"/>
              </w:rPr>
              <w:lastRenderedPageBreak/>
              <w:t>Аналогичным образом, Консультативной группе по радиосвязи ежегодно представляется отчет об улучшении рабочего процесса за счет повышения уровня автоматизации. Поскольку эти рабочие процессы являются выполнением регламентарных процедур, содержащихся в Регламенте радиосвязи, их совершенствование, выходящее за рамки возросшей автоматизации, требует внесения в них изменений на Всемирной конференции радиосвязи.</w:t>
            </w:r>
          </w:p>
        </w:tc>
        <w:tc>
          <w:tcPr>
            <w:tcW w:w="3832" w:type="dxa"/>
          </w:tcPr>
          <w:p w14:paraId="0C96A3F7" w14:textId="0647BDA7" w:rsidR="00F87C2C" w:rsidRPr="004C7931" w:rsidRDefault="00F87C2C" w:rsidP="00D15343">
            <w:pPr>
              <w:pStyle w:val="Tabletext"/>
              <w:rPr>
                <w:lang w:val="ru-RU"/>
              </w:rPr>
            </w:pPr>
            <w:r w:rsidRPr="004C7931">
              <w:rPr>
                <w:lang w:val="ru-RU"/>
              </w:rPr>
              <w:lastRenderedPageBreak/>
              <w:t xml:space="preserve">Секретариат будет включать в свой ежегодный отчет Совету о выполнении Решения 482 любые проблемы, которые могут возникнуть в связи с увеличением </w:t>
            </w:r>
            <w:r w:rsidR="00AF15A8" w:rsidRPr="004C7931">
              <w:rPr>
                <w:lang w:val="ru-RU"/>
              </w:rPr>
              <w:t>числа заявок с правом</w:t>
            </w:r>
            <w:r w:rsidRPr="004C7931">
              <w:rPr>
                <w:lang w:val="ru-RU"/>
              </w:rPr>
              <w:t xml:space="preserve"> бесплатных публикаций, а также в связи с новой формулой расчета для </w:t>
            </w:r>
            <w:r w:rsidR="00AF15A8" w:rsidRPr="004C7931">
              <w:rPr>
                <w:lang w:val="ru-RU"/>
              </w:rPr>
              <w:t>расчета единиц</w:t>
            </w:r>
            <w:r w:rsidRPr="004C7931">
              <w:rPr>
                <w:lang w:val="ru-RU"/>
              </w:rPr>
              <w:t>.</w:t>
            </w:r>
          </w:p>
          <w:p w14:paraId="161014B8" w14:textId="103CD14B" w:rsidR="00F87C2C" w:rsidRPr="004C7931" w:rsidRDefault="00F87C2C" w:rsidP="00D15343">
            <w:pPr>
              <w:pStyle w:val="Tabletext"/>
              <w:rPr>
                <w:lang w:val="ru-RU"/>
              </w:rPr>
            </w:pPr>
            <w:r w:rsidRPr="004C7931">
              <w:rPr>
                <w:lang w:val="ru-RU"/>
              </w:rPr>
              <w:t>Что касается совершенствования рабочего процесса</w:t>
            </w:r>
            <w:r w:rsidR="00AF15A8" w:rsidRPr="004C7931">
              <w:rPr>
                <w:lang w:val="ru-RU"/>
              </w:rPr>
              <w:t xml:space="preserve"> помимо расширения автоматизации</w:t>
            </w:r>
            <w:r w:rsidRPr="004C7931">
              <w:rPr>
                <w:lang w:val="ru-RU"/>
              </w:rPr>
              <w:t xml:space="preserve">, Директор Бюро радиосвязи </w:t>
            </w:r>
            <w:r w:rsidR="00AF15A8" w:rsidRPr="004C7931">
              <w:rPr>
                <w:lang w:val="ru-RU"/>
              </w:rPr>
              <w:t xml:space="preserve">представит отчет </w:t>
            </w:r>
            <w:r w:rsidRPr="004C7931">
              <w:rPr>
                <w:lang w:val="ru-RU"/>
              </w:rPr>
              <w:t xml:space="preserve">о выявленных проблемах и предложениях </w:t>
            </w:r>
            <w:r w:rsidRPr="004C7931">
              <w:rPr>
                <w:lang w:val="ru-RU"/>
              </w:rPr>
              <w:lastRenderedPageBreak/>
              <w:t>по их решению следующей компетентной Всемирной конференции радиосвязи или Радиорегламентарному комитету.</w:t>
            </w:r>
          </w:p>
        </w:tc>
      </w:tr>
      <w:tr w:rsidR="00F87C2C" w:rsidRPr="00DF306E" w14:paraId="08C5D167" w14:textId="77777777" w:rsidTr="00D15343">
        <w:trPr>
          <w:jc w:val="center"/>
        </w:trPr>
        <w:tc>
          <w:tcPr>
            <w:tcW w:w="1838" w:type="dxa"/>
          </w:tcPr>
          <w:p w14:paraId="0FFE036A" w14:textId="77777777" w:rsidR="00F87C2C" w:rsidRPr="004C7931" w:rsidRDefault="00F87C2C" w:rsidP="00D15343">
            <w:pPr>
              <w:pStyle w:val="Tabletext"/>
              <w:rPr>
                <w:lang w:val="ru-RU"/>
              </w:rPr>
            </w:pPr>
          </w:p>
        </w:tc>
        <w:tc>
          <w:tcPr>
            <w:tcW w:w="3969" w:type="dxa"/>
          </w:tcPr>
          <w:p w14:paraId="1ED5AA4A" w14:textId="207BF06D" w:rsidR="00F87C2C" w:rsidRPr="004C7931" w:rsidRDefault="00F87C2C" w:rsidP="00D15343">
            <w:pPr>
              <w:pStyle w:val="Tabletext"/>
              <w:rPr>
                <w:lang w:val="ru-RU"/>
              </w:rPr>
            </w:pPr>
            <w:r w:rsidRPr="004C7931">
              <w:rPr>
                <w:lang w:val="ru-RU"/>
              </w:rPr>
              <w:t xml:space="preserve">Было широко распространено мнение о том, что сборы за SNF должны непосредственно поддерживать деятельность БР, а не Генерального </w:t>
            </w:r>
            <w:r w:rsidR="001335B0" w:rsidRPr="004C7931">
              <w:rPr>
                <w:lang w:val="ru-RU"/>
              </w:rPr>
              <w:t>Секретариат</w:t>
            </w:r>
            <w:r w:rsidRPr="004C7931">
              <w:rPr>
                <w:lang w:val="ru-RU"/>
              </w:rPr>
              <w:t>а.</w:t>
            </w:r>
          </w:p>
        </w:tc>
        <w:tc>
          <w:tcPr>
            <w:tcW w:w="5103" w:type="dxa"/>
          </w:tcPr>
          <w:p w14:paraId="05F2ACE2" w14:textId="7E3EA24E" w:rsidR="00F87C2C" w:rsidRPr="004C7931" w:rsidRDefault="00F87C2C" w:rsidP="00D15343">
            <w:pPr>
              <w:pStyle w:val="Tabletext"/>
              <w:rPr>
                <w:spacing w:val="-2"/>
                <w:lang w:val="ru-RU"/>
              </w:rPr>
            </w:pPr>
            <w:r w:rsidRPr="004C7931">
              <w:rPr>
                <w:lang w:val="ru-RU"/>
              </w:rPr>
              <w:t>Регулярный бюджет МСЭ является общим для всего Союза, и поэтому все средства регулярного бюджета, собираемые МСЭ, используются для поддержки всего МСЭ. По регулярному бюджету Союза (на 2025</w:t>
            </w:r>
            <w:r w:rsidR="009957CC">
              <w:rPr>
                <w:lang w:val="en-US"/>
              </w:rPr>
              <w:t> </w:t>
            </w:r>
            <w:r w:rsidRPr="004C7931">
              <w:rPr>
                <w:lang w:val="ru-RU"/>
              </w:rPr>
              <w:t>г</w:t>
            </w:r>
            <w:r w:rsidR="00C524EF">
              <w:rPr>
                <w:lang w:val="ru-RU"/>
              </w:rPr>
              <w:t>.</w:t>
            </w:r>
            <w:r w:rsidRPr="004C7931">
              <w:rPr>
                <w:lang w:val="ru-RU"/>
              </w:rPr>
              <w:t>) ежегодные прямые затраты БР составляют 30,145</w:t>
            </w:r>
            <w:r w:rsidR="009957CC">
              <w:rPr>
                <w:lang w:val="en-US"/>
              </w:rPr>
              <w:t> </w:t>
            </w:r>
            <w:r w:rsidRPr="004C7931">
              <w:rPr>
                <w:lang w:val="ru-RU"/>
              </w:rPr>
              <w:t>млн. швейцарских франков. Из этой суммы только 8,7</w:t>
            </w:r>
            <w:r w:rsidR="009957CC">
              <w:rPr>
                <w:lang w:val="en-US"/>
              </w:rPr>
              <w:t> </w:t>
            </w:r>
            <w:r w:rsidRPr="004C7931">
              <w:rPr>
                <w:lang w:val="ru-RU"/>
              </w:rPr>
              <w:t xml:space="preserve">млн. швейцарских франков поступают из сборов за SNF, а еще 6,6 млн. швейцарских франков </w:t>
            </w:r>
            <w:r w:rsidR="00140776" w:rsidRPr="004C7931">
              <w:rPr>
                <w:lang w:val="ru-RU"/>
              </w:rPr>
              <w:t>поступают за счет взносов от</w:t>
            </w:r>
            <w:r w:rsidRPr="004C7931">
              <w:rPr>
                <w:lang w:val="ru-RU"/>
              </w:rPr>
              <w:t xml:space="preserve"> Членов Сектора МСЭ-R. Таким образом, каждый год начисленные взносы Государств – Членов Союза обеспечивают финансирование прямых затрат БР в размере 14,845</w:t>
            </w:r>
            <w:r w:rsidR="009957CC">
              <w:rPr>
                <w:lang w:val="en-US"/>
              </w:rPr>
              <w:t> </w:t>
            </w:r>
            <w:r w:rsidRPr="004C7931">
              <w:rPr>
                <w:lang w:val="ru-RU"/>
              </w:rPr>
              <w:t>млн. швейцарских франков.</w:t>
            </w:r>
          </w:p>
          <w:p w14:paraId="49DEFEF7" w14:textId="0E53018D" w:rsidR="00F87C2C" w:rsidRPr="004C7931" w:rsidRDefault="00F87C2C" w:rsidP="00D15343">
            <w:pPr>
              <w:pStyle w:val="Tabletext"/>
              <w:rPr>
                <w:lang w:val="ru-RU"/>
              </w:rPr>
            </w:pPr>
            <w:r w:rsidRPr="004C7931">
              <w:rPr>
                <w:lang w:val="ru-RU"/>
              </w:rPr>
              <w:t xml:space="preserve">SNF и другая работа БР также создают расходы в Генеральном </w:t>
            </w:r>
            <w:r w:rsidR="001335B0" w:rsidRPr="004C7931">
              <w:rPr>
                <w:lang w:val="ru-RU"/>
              </w:rPr>
              <w:t>Секретариат</w:t>
            </w:r>
            <w:r w:rsidRPr="004C7931">
              <w:rPr>
                <w:lang w:val="ru-RU"/>
              </w:rPr>
              <w:t>е (услуги ISD, управление инженерным оборудованием, услуги</w:t>
            </w:r>
            <w:r w:rsidR="00140776" w:rsidRPr="004C7931">
              <w:rPr>
                <w:lang w:val="ru-RU"/>
              </w:rPr>
              <w:t xml:space="preserve">, относящиеся к </w:t>
            </w:r>
            <w:r w:rsidRPr="004C7931">
              <w:rPr>
                <w:lang w:val="ru-RU"/>
              </w:rPr>
              <w:t>конференци</w:t>
            </w:r>
            <w:r w:rsidR="00140776" w:rsidRPr="004C7931">
              <w:rPr>
                <w:lang w:val="ru-RU"/>
              </w:rPr>
              <w:t>ям</w:t>
            </w:r>
            <w:r w:rsidRPr="004C7931">
              <w:rPr>
                <w:lang w:val="ru-RU"/>
              </w:rPr>
              <w:t xml:space="preserve"> и публикаци</w:t>
            </w:r>
            <w:r w:rsidR="00140776" w:rsidRPr="004C7931">
              <w:rPr>
                <w:lang w:val="ru-RU"/>
              </w:rPr>
              <w:t>ям</w:t>
            </w:r>
            <w:r w:rsidRPr="004C7931">
              <w:rPr>
                <w:lang w:val="ru-RU"/>
              </w:rPr>
              <w:t xml:space="preserve">, людские ресурсы, услуги, связанные с бюджетом и финансами и т. д.), которые распределяются для покрытия ряда административных и накладных расходов БР. Эти расходы несет Генеральный </w:t>
            </w:r>
            <w:r w:rsidR="001335B0" w:rsidRPr="004C7931">
              <w:rPr>
                <w:lang w:val="ru-RU"/>
              </w:rPr>
              <w:t>Секретариат</w:t>
            </w:r>
            <w:r w:rsidRPr="004C7931">
              <w:rPr>
                <w:lang w:val="ru-RU"/>
              </w:rPr>
              <w:t xml:space="preserve">, но </w:t>
            </w:r>
            <w:r w:rsidR="00140776" w:rsidRPr="004C7931">
              <w:rPr>
                <w:lang w:val="ru-RU"/>
              </w:rPr>
              <w:t xml:space="preserve">они </w:t>
            </w:r>
            <w:r w:rsidRPr="004C7931">
              <w:rPr>
                <w:lang w:val="ru-RU"/>
              </w:rPr>
              <w:t>относятся к работе БР.</w:t>
            </w:r>
          </w:p>
        </w:tc>
        <w:tc>
          <w:tcPr>
            <w:tcW w:w="3832" w:type="dxa"/>
          </w:tcPr>
          <w:p w14:paraId="0AE831A9" w14:textId="77777777" w:rsidR="00F87C2C" w:rsidRPr="004C7931" w:rsidRDefault="00F87C2C" w:rsidP="00D15343">
            <w:pPr>
              <w:pStyle w:val="Tabletext"/>
              <w:rPr>
                <w:lang w:val="ru-RU"/>
              </w:rPr>
            </w:pPr>
          </w:p>
        </w:tc>
      </w:tr>
    </w:tbl>
    <w:p w14:paraId="50761333" w14:textId="77777777" w:rsidR="0005346F" w:rsidRPr="004C7931" w:rsidRDefault="0005346F" w:rsidP="00C524EF">
      <w:pPr>
        <w:spacing w:before="480"/>
        <w:jc w:val="center"/>
        <w:rPr>
          <w:lang w:val="ru-RU"/>
        </w:rPr>
      </w:pPr>
      <w:r w:rsidRPr="004C7931">
        <w:rPr>
          <w:lang w:val="ru-RU"/>
        </w:rPr>
        <w:t>______________</w:t>
      </w:r>
    </w:p>
    <w:sectPr w:rsidR="0005346F" w:rsidRPr="004C7931" w:rsidSect="0005346F">
      <w:headerReference w:type="even" r:id="rId26"/>
      <w:headerReference w:type="default" r:id="rId27"/>
      <w:footerReference w:type="even" r:id="rId28"/>
      <w:footerReference w:type="default" r:id="rId29"/>
      <w:headerReference w:type="first" r:id="rId30"/>
      <w:footerReference w:type="first" r:id="rId31"/>
      <w:pgSz w:w="16840" w:h="11907" w:code="9"/>
      <w:pgMar w:top="1418" w:right="1418"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F5083" w14:textId="77777777" w:rsidR="00F40B6A" w:rsidRDefault="00F40B6A">
      <w:r>
        <w:separator/>
      </w:r>
    </w:p>
  </w:endnote>
  <w:endnote w:type="continuationSeparator" w:id="0">
    <w:p w14:paraId="1294B0E8" w14:textId="77777777" w:rsidR="00F40B6A" w:rsidRDefault="00F4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87C2C" w:rsidRPr="00784011" w14:paraId="10A9E2A2" w14:textId="77777777">
      <w:trPr>
        <w:jc w:val="center"/>
      </w:trPr>
      <w:tc>
        <w:tcPr>
          <w:tcW w:w="1803" w:type="dxa"/>
          <w:vAlign w:val="center"/>
        </w:tcPr>
        <w:p w14:paraId="1A358529" w14:textId="461BF32F" w:rsidR="00F87C2C" w:rsidRDefault="0046395E" w:rsidP="00EE49E8">
          <w:pPr>
            <w:pStyle w:val="Header"/>
            <w:jc w:val="left"/>
            <w:rPr>
              <w:noProof/>
            </w:rPr>
          </w:pPr>
          <w:r>
            <w:rPr>
              <w:lang w:val="ru-RU"/>
            </w:rPr>
            <w:t>2600741</w:t>
          </w:r>
        </w:p>
      </w:tc>
      <w:tc>
        <w:tcPr>
          <w:tcW w:w="8261" w:type="dxa"/>
        </w:tcPr>
        <w:p w14:paraId="124232F7" w14:textId="28F18381" w:rsidR="00F87C2C" w:rsidRPr="00E06FD5" w:rsidRDefault="00F87C2C"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19</w:t>
          </w:r>
          <w:r w:rsidRPr="00623AE3">
            <w:rPr>
              <w:bCs/>
            </w:rPr>
            <w:t>-</w:t>
          </w:r>
          <w:r w:rsidR="0046395E">
            <w:rPr>
              <w:bCs/>
              <w:lang w:val="en-GB"/>
            </w:rPr>
            <w:t>R</w:t>
          </w:r>
          <w:r>
            <w:rPr>
              <w:bCs/>
            </w:rPr>
            <w:tab/>
          </w:r>
          <w:r>
            <w:fldChar w:fldCharType="begin"/>
          </w:r>
          <w:r>
            <w:instrText>PAGE</w:instrText>
          </w:r>
          <w:r>
            <w:fldChar w:fldCharType="separate"/>
          </w:r>
          <w:r>
            <w:t>1</w:t>
          </w:r>
          <w:r>
            <w:rPr>
              <w:noProof/>
            </w:rPr>
            <w:fldChar w:fldCharType="end"/>
          </w:r>
        </w:p>
      </w:tc>
    </w:tr>
  </w:tbl>
  <w:p w14:paraId="60681D78" w14:textId="77777777" w:rsidR="00F87C2C" w:rsidRPr="00DB1936" w:rsidRDefault="00F87C2C"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F87C2C" w:rsidRPr="00784011" w14:paraId="4E08D74B" w14:textId="77777777" w:rsidTr="006B77F1">
      <w:trPr>
        <w:jc w:val="center"/>
      </w:trPr>
      <w:tc>
        <w:tcPr>
          <w:tcW w:w="1803" w:type="dxa"/>
          <w:vAlign w:val="center"/>
        </w:tcPr>
        <w:p w14:paraId="72A1564A" w14:textId="5108033E" w:rsidR="00F87C2C" w:rsidRPr="006B77F1" w:rsidRDefault="0046395E" w:rsidP="00EE49E8">
          <w:pPr>
            <w:pStyle w:val="Header"/>
            <w:jc w:val="left"/>
            <w:rPr>
              <w:noProof/>
            </w:rPr>
          </w:pPr>
          <w:hyperlink r:id="rId1" w:history="1">
            <w:r>
              <w:rPr>
                <w:rStyle w:val="Hyperlink"/>
              </w:rPr>
              <w:t>council.itu.int/2026</w:t>
            </w:r>
          </w:hyperlink>
        </w:p>
      </w:tc>
      <w:tc>
        <w:tcPr>
          <w:tcW w:w="8261" w:type="dxa"/>
        </w:tcPr>
        <w:p w14:paraId="3278595B" w14:textId="4B71EB1C" w:rsidR="00F87C2C" w:rsidRPr="00E06FD5" w:rsidRDefault="00F87C2C"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19</w:t>
          </w:r>
          <w:r w:rsidRPr="00623AE3">
            <w:rPr>
              <w:bCs/>
            </w:rPr>
            <w:t>-</w:t>
          </w:r>
          <w:r w:rsidR="0046395E">
            <w:rPr>
              <w:bCs/>
              <w:lang w:val="en-US"/>
            </w:rPr>
            <w:t>R</w:t>
          </w:r>
          <w:r>
            <w:rPr>
              <w:bCs/>
            </w:rPr>
            <w:tab/>
          </w:r>
          <w:r>
            <w:fldChar w:fldCharType="begin"/>
          </w:r>
          <w:r>
            <w:instrText>PAGE</w:instrText>
          </w:r>
          <w:r>
            <w:fldChar w:fldCharType="separate"/>
          </w:r>
          <w:r>
            <w:t>1</w:t>
          </w:r>
          <w:r>
            <w:rPr>
              <w:noProof/>
            </w:rPr>
            <w:fldChar w:fldCharType="end"/>
          </w:r>
        </w:p>
      </w:tc>
    </w:tr>
  </w:tbl>
  <w:p w14:paraId="44382CEA" w14:textId="77777777" w:rsidR="00F87C2C" w:rsidRPr="00623AE3" w:rsidRDefault="00F87C2C" w:rsidP="00EE49E8">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D563" w14:textId="77777777" w:rsidR="00A74304" w:rsidRDefault="00A743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8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4"/>
      <w:gridCol w:w="8261"/>
    </w:tblGrid>
    <w:tr w:rsidR="00672F8A" w:rsidRPr="00784011" w14:paraId="2E67F397" w14:textId="77777777" w:rsidTr="005B3FB0">
      <w:trPr>
        <w:jc w:val="center"/>
      </w:trPr>
      <w:tc>
        <w:tcPr>
          <w:tcW w:w="6624" w:type="dxa"/>
          <w:vAlign w:val="center"/>
        </w:tcPr>
        <w:p w14:paraId="502BA0C0" w14:textId="3F2AE9DC" w:rsidR="00672F8A" w:rsidRPr="00361C4D" w:rsidRDefault="00361C4D" w:rsidP="00672F8A">
          <w:pPr>
            <w:pStyle w:val="Header"/>
            <w:jc w:val="left"/>
            <w:rPr>
              <w:noProof/>
              <w:lang w:val="ru-RU"/>
            </w:rPr>
          </w:pPr>
          <w:r>
            <w:rPr>
              <w:noProof/>
              <w:lang w:val="ru-RU"/>
            </w:rPr>
            <w:t>2600741</w:t>
          </w:r>
        </w:p>
      </w:tc>
      <w:tc>
        <w:tcPr>
          <w:tcW w:w="8261" w:type="dxa"/>
        </w:tcPr>
        <w:p w14:paraId="34C2C0B7" w14:textId="14630B5E"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0D2FDE">
            <w:rPr>
              <w:bCs/>
              <w:lang w:val="ru-RU"/>
            </w:rPr>
            <w:t>19</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64F8A9CA" w14:textId="77777777" w:rsidR="000E568E" w:rsidRPr="00672F8A" w:rsidRDefault="000E568E" w:rsidP="00672F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8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4"/>
      <w:gridCol w:w="8261"/>
    </w:tblGrid>
    <w:tr w:rsidR="004C7931" w:rsidRPr="00784011" w14:paraId="3DE66AE8" w14:textId="77777777" w:rsidTr="005B3FB0">
      <w:trPr>
        <w:jc w:val="center"/>
      </w:trPr>
      <w:tc>
        <w:tcPr>
          <w:tcW w:w="6624" w:type="dxa"/>
          <w:vAlign w:val="center"/>
        </w:tcPr>
        <w:p w14:paraId="192A001D" w14:textId="1A0DC989" w:rsidR="004C7931" w:rsidRDefault="00C524EF" w:rsidP="004C7931">
          <w:pPr>
            <w:pStyle w:val="Header"/>
            <w:jc w:val="left"/>
            <w:rPr>
              <w:noProof/>
            </w:rPr>
          </w:pPr>
          <w:r>
            <w:rPr>
              <w:lang w:val="ru-RU"/>
            </w:rPr>
            <w:t>2600741</w:t>
          </w:r>
        </w:p>
      </w:tc>
      <w:tc>
        <w:tcPr>
          <w:tcW w:w="8261" w:type="dxa"/>
        </w:tcPr>
        <w:p w14:paraId="7B5318AC" w14:textId="4F294FA7" w:rsidR="004C7931" w:rsidRPr="00E06FD5" w:rsidRDefault="004C7931" w:rsidP="004C7931">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19</w:t>
          </w:r>
          <w:r w:rsidRPr="00623AE3">
            <w:rPr>
              <w:bCs/>
            </w:rPr>
            <w:t>-</w:t>
          </w:r>
          <w:r w:rsidR="00C524EF">
            <w:rPr>
              <w:bCs/>
              <w:lang w:val="en-US"/>
            </w:rPr>
            <w:t>R</w:t>
          </w:r>
          <w:r>
            <w:rPr>
              <w:bCs/>
            </w:rPr>
            <w:tab/>
          </w:r>
          <w:r>
            <w:fldChar w:fldCharType="begin"/>
          </w:r>
          <w:r>
            <w:instrText>PAGE</w:instrText>
          </w:r>
          <w:r>
            <w:fldChar w:fldCharType="separate"/>
          </w:r>
          <w:r>
            <w:t>1</w:t>
          </w:r>
          <w:r>
            <w:rPr>
              <w:noProof/>
            </w:rPr>
            <w:fldChar w:fldCharType="end"/>
          </w:r>
        </w:p>
      </w:tc>
    </w:tr>
  </w:tbl>
  <w:p w14:paraId="1705737F" w14:textId="77777777" w:rsidR="004C7931" w:rsidRPr="00623AE3" w:rsidRDefault="004C7931"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494D7" w14:textId="77777777" w:rsidR="00F40B6A" w:rsidRDefault="00F40B6A">
      <w:r>
        <w:t>____________________</w:t>
      </w:r>
    </w:p>
  </w:footnote>
  <w:footnote w:type="continuationSeparator" w:id="0">
    <w:p w14:paraId="07223B7A" w14:textId="77777777" w:rsidR="00F40B6A" w:rsidRDefault="00F40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FD7D" w14:textId="6C0E3F8D" w:rsidR="00F87C2C" w:rsidRPr="00512087" w:rsidRDefault="000668B7" w:rsidP="0060451F">
    <w:pPr>
      <w:pStyle w:val="Header"/>
      <w:ind w:left="142"/>
      <w:jc w:val="left"/>
    </w:pPr>
    <w:r>
      <w:rPr>
        <w:noProof/>
      </w:rPr>
      <w:drawing>
        <wp:inline distT="0" distB="0" distL="0" distR="0" wp14:anchorId="79A8FEBA" wp14:editId="6341252C">
          <wp:extent cx="3992140" cy="72000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FA55" w14:textId="77777777" w:rsidR="00A74304" w:rsidRDefault="00A74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1D35" w14:textId="77777777" w:rsidR="00A74304" w:rsidRDefault="00A743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1882" w14:textId="1B530CD1" w:rsidR="0014229E" w:rsidRPr="007E5FC4" w:rsidRDefault="0014229E" w:rsidP="00A74304">
    <w:pPr>
      <w:pStyle w:val="Header"/>
      <w:spacing w:before="60"/>
      <w:ind w:left="11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269511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265"/>
    <w:rsid w:val="00005BE0"/>
    <w:rsid w:val="0002183E"/>
    <w:rsid w:val="000222C6"/>
    <w:rsid w:val="00027328"/>
    <w:rsid w:val="00047529"/>
    <w:rsid w:val="0005346F"/>
    <w:rsid w:val="000569B4"/>
    <w:rsid w:val="0006007D"/>
    <w:rsid w:val="000668B7"/>
    <w:rsid w:val="00080E82"/>
    <w:rsid w:val="000934DD"/>
    <w:rsid w:val="00093E5F"/>
    <w:rsid w:val="00097B6E"/>
    <w:rsid w:val="000A10CA"/>
    <w:rsid w:val="000A5144"/>
    <w:rsid w:val="000B2DE7"/>
    <w:rsid w:val="000B4E93"/>
    <w:rsid w:val="000D2FDE"/>
    <w:rsid w:val="000E40D3"/>
    <w:rsid w:val="000E568E"/>
    <w:rsid w:val="00102F89"/>
    <w:rsid w:val="00110314"/>
    <w:rsid w:val="00115128"/>
    <w:rsid w:val="001335B0"/>
    <w:rsid w:val="00140776"/>
    <w:rsid w:val="0014229E"/>
    <w:rsid w:val="0014734F"/>
    <w:rsid w:val="00156890"/>
    <w:rsid w:val="0015710D"/>
    <w:rsid w:val="00157839"/>
    <w:rsid w:val="00163A32"/>
    <w:rsid w:val="00165D06"/>
    <w:rsid w:val="00170F0D"/>
    <w:rsid w:val="00192B41"/>
    <w:rsid w:val="001B7B09"/>
    <w:rsid w:val="001E6719"/>
    <w:rsid w:val="001E7F50"/>
    <w:rsid w:val="001F2C8D"/>
    <w:rsid w:val="00204B6E"/>
    <w:rsid w:val="00213652"/>
    <w:rsid w:val="00225368"/>
    <w:rsid w:val="00227FF0"/>
    <w:rsid w:val="00234155"/>
    <w:rsid w:val="00244C39"/>
    <w:rsid w:val="00276F05"/>
    <w:rsid w:val="00277DEA"/>
    <w:rsid w:val="00290235"/>
    <w:rsid w:val="00291EB6"/>
    <w:rsid w:val="00293B03"/>
    <w:rsid w:val="00297B7A"/>
    <w:rsid w:val="002A2783"/>
    <w:rsid w:val="002B65D4"/>
    <w:rsid w:val="002C3F32"/>
    <w:rsid w:val="002D0AC7"/>
    <w:rsid w:val="002D2F57"/>
    <w:rsid w:val="002D356F"/>
    <w:rsid w:val="002D48C5"/>
    <w:rsid w:val="0030209C"/>
    <w:rsid w:val="003175D7"/>
    <w:rsid w:val="003238C1"/>
    <w:rsid w:val="0033025A"/>
    <w:rsid w:val="00330BD1"/>
    <w:rsid w:val="00345D2A"/>
    <w:rsid w:val="0035320F"/>
    <w:rsid w:val="00361C4D"/>
    <w:rsid w:val="00381936"/>
    <w:rsid w:val="00387359"/>
    <w:rsid w:val="003935CB"/>
    <w:rsid w:val="00393FDA"/>
    <w:rsid w:val="0039588E"/>
    <w:rsid w:val="003A238E"/>
    <w:rsid w:val="003B4F3F"/>
    <w:rsid w:val="003D0F47"/>
    <w:rsid w:val="003D47AD"/>
    <w:rsid w:val="003E1E58"/>
    <w:rsid w:val="003E5E7E"/>
    <w:rsid w:val="003F099E"/>
    <w:rsid w:val="003F235E"/>
    <w:rsid w:val="004002F9"/>
    <w:rsid w:val="00401FD7"/>
    <w:rsid w:val="004023E0"/>
    <w:rsid w:val="00403DD8"/>
    <w:rsid w:val="004069CB"/>
    <w:rsid w:val="004070A0"/>
    <w:rsid w:val="00425CA7"/>
    <w:rsid w:val="00442515"/>
    <w:rsid w:val="0045686C"/>
    <w:rsid w:val="0046395E"/>
    <w:rsid w:val="00465C35"/>
    <w:rsid w:val="0047565D"/>
    <w:rsid w:val="004918C4"/>
    <w:rsid w:val="00497703"/>
    <w:rsid w:val="00497A38"/>
    <w:rsid w:val="004A0374"/>
    <w:rsid w:val="004A45B5"/>
    <w:rsid w:val="004C3632"/>
    <w:rsid w:val="004C7931"/>
    <w:rsid w:val="004D0129"/>
    <w:rsid w:val="004D2BA8"/>
    <w:rsid w:val="004E5AA3"/>
    <w:rsid w:val="0050621B"/>
    <w:rsid w:val="00515795"/>
    <w:rsid w:val="0051593E"/>
    <w:rsid w:val="00560821"/>
    <w:rsid w:val="005A64D5"/>
    <w:rsid w:val="005B3DEC"/>
    <w:rsid w:val="005B3FB0"/>
    <w:rsid w:val="005C1A58"/>
    <w:rsid w:val="005C478E"/>
    <w:rsid w:val="005D5C19"/>
    <w:rsid w:val="005F466D"/>
    <w:rsid w:val="00601994"/>
    <w:rsid w:val="0060451F"/>
    <w:rsid w:val="0062279D"/>
    <w:rsid w:val="00624B9B"/>
    <w:rsid w:val="00633774"/>
    <w:rsid w:val="00660449"/>
    <w:rsid w:val="00663EA7"/>
    <w:rsid w:val="00672F8A"/>
    <w:rsid w:val="00682D14"/>
    <w:rsid w:val="0069443F"/>
    <w:rsid w:val="00697980"/>
    <w:rsid w:val="006B72BC"/>
    <w:rsid w:val="006D3933"/>
    <w:rsid w:val="006E0AF2"/>
    <w:rsid w:val="006E2D42"/>
    <w:rsid w:val="00703676"/>
    <w:rsid w:val="00707304"/>
    <w:rsid w:val="00732269"/>
    <w:rsid w:val="0074505D"/>
    <w:rsid w:val="00751A0D"/>
    <w:rsid w:val="00755E2F"/>
    <w:rsid w:val="00762555"/>
    <w:rsid w:val="0077110E"/>
    <w:rsid w:val="00784980"/>
    <w:rsid w:val="00785ABD"/>
    <w:rsid w:val="00796BD3"/>
    <w:rsid w:val="007A2DD4"/>
    <w:rsid w:val="007B2DBF"/>
    <w:rsid w:val="007C2779"/>
    <w:rsid w:val="007D38B5"/>
    <w:rsid w:val="007E5FC4"/>
    <w:rsid w:val="007E66A5"/>
    <w:rsid w:val="007E7EA0"/>
    <w:rsid w:val="00807255"/>
    <w:rsid w:val="0081023E"/>
    <w:rsid w:val="00810F50"/>
    <w:rsid w:val="008173AA"/>
    <w:rsid w:val="00821997"/>
    <w:rsid w:val="008308A1"/>
    <w:rsid w:val="00840A14"/>
    <w:rsid w:val="0084546D"/>
    <w:rsid w:val="00852BD8"/>
    <w:rsid w:val="00871EEE"/>
    <w:rsid w:val="008A1C0B"/>
    <w:rsid w:val="008B62B4"/>
    <w:rsid w:val="008C3047"/>
    <w:rsid w:val="008D2D7B"/>
    <w:rsid w:val="008E0737"/>
    <w:rsid w:val="008F7958"/>
    <w:rsid w:val="008F7C2C"/>
    <w:rsid w:val="0090452C"/>
    <w:rsid w:val="00922FC8"/>
    <w:rsid w:val="00924F22"/>
    <w:rsid w:val="00931A03"/>
    <w:rsid w:val="00940E96"/>
    <w:rsid w:val="009505BD"/>
    <w:rsid w:val="00950A82"/>
    <w:rsid w:val="00952C32"/>
    <w:rsid w:val="009957CC"/>
    <w:rsid w:val="00995BD6"/>
    <w:rsid w:val="009A76A8"/>
    <w:rsid w:val="009B0BAE"/>
    <w:rsid w:val="009C1C89"/>
    <w:rsid w:val="009C4380"/>
    <w:rsid w:val="009E1C09"/>
    <w:rsid w:val="009F14B8"/>
    <w:rsid w:val="009F236E"/>
    <w:rsid w:val="009F3448"/>
    <w:rsid w:val="00A01CF9"/>
    <w:rsid w:val="00A01F4F"/>
    <w:rsid w:val="00A043D5"/>
    <w:rsid w:val="00A07F25"/>
    <w:rsid w:val="00A109AF"/>
    <w:rsid w:val="00A20B63"/>
    <w:rsid w:val="00A25D76"/>
    <w:rsid w:val="00A3481C"/>
    <w:rsid w:val="00A405F9"/>
    <w:rsid w:val="00A45788"/>
    <w:rsid w:val="00A52C27"/>
    <w:rsid w:val="00A576D6"/>
    <w:rsid w:val="00A71773"/>
    <w:rsid w:val="00A74304"/>
    <w:rsid w:val="00A91833"/>
    <w:rsid w:val="00AC4873"/>
    <w:rsid w:val="00AC7C3C"/>
    <w:rsid w:val="00AE2C85"/>
    <w:rsid w:val="00AF15A8"/>
    <w:rsid w:val="00B0107F"/>
    <w:rsid w:val="00B117BD"/>
    <w:rsid w:val="00B12A37"/>
    <w:rsid w:val="00B217E2"/>
    <w:rsid w:val="00B31643"/>
    <w:rsid w:val="00B41837"/>
    <w:rsid w:val="00B44CF7"/>
    <w:rsid w:val="00B51C92"/>
    <w:rsid w:val="00B60B3F"/>
    <w:rsid w:val="00B63EF2"/>
    <w:rsid w:val="00B67BF2"/>
    <w:rsid w:val="00B76BAC"/>
    <w:rsid w:val="00B92286"/>
    <w:rsid w:val="00B94B25"/>
    <w:rsid w:val="00BA31D2"/>
    <w:rsid w:val="00BA7D89"/>
    <w:rsid w:val="00BC0D39"/>
    <w:rsid w:val="00BC7BC0"/>
    <w:rsid w:val="00BD57B7"/>
    <w:rsid w:val="00BE00DD"/>
    <w:rsid w:val="00BE63E2"/>
    <w:rsid w:val="00BF3FE8"/>
    <w:rsid w:val="00BF7965"/>
    <w:rsid w:val="00C176F2"/>
    <w:rsid w:val="00C206A8"/>
    <w:rsid w:val="00C20C11"/>
    <w:rsid w:val="00C45C44"/>
    <w:rsid w:val="00C462C5"/>
    <w:rsid w:val="00C5005D"/>
    <w:rsid w:val="00C5044C"/>
    <w:rsid w:val="00C524EF"/>
    <w:rsid w:val="00C57C31"/>
    <w:rsid w:val="00C602C6"/>
    <w:rsid w:val="00C7697F"/>
    <w:rsid w:val="00CB44DE"/>
    <w:rsid w:val="00CD2009"/>
    <w:rsid w:val="00CF4FF3"/>
    <w:rsid w:val="00CF629C"/>
    <w:rsid w:val="00D15343"/>
    <w:rsid w:val="00D17718"/>
    <w:rsid w:val="00D21265"/>
    <w:rsid w:val="00D45D4D"/>
    <w:rsid w:val="00D57973"/>
    <w:rsid w:val="00D631AA"/>
    <w:rsid w:val="00D66DCB"/>
    <w:rsid w:val="00D76EE9"/>
    <w:rsid w:val="00D8208F"/>
    <w:rsid w:val="00D92EEA"/>
    <w:rsid w:val="00DA1E45"/>
    <w:rsid w:val="00DA5D4E"/>
    <w:rsid w:val="00DA770A"/>
    <w:rsid w:val="00DD092F"/>
    <w:rsid w:val="00DF306E"/>
    <w:rsid w:val="00DF5A55"/>
    <w:rsid w:val="00DF6048"/>
    <w:rsid w:val="00DF7E54"/>
    <w:rsid w:val="00E0025D"/>
    <w:rsid w:val="00E0167B"/>
    <w:rsid w:val="00E05752"/>
    <w:rsid w:val="00E176BA"/>
    <w:rsid w:val="00E24AF7"/>
    <w:rsid w:val="00E37818"/>
    <w:rsid w:val="00E37DFE"/>
    <w:rsid w:val="00E423EC"/>
    <w:rsid w:val="00E44DB1"/>
    <w:rsid w:val="00E55121"/>
    <w:rsid w:val="00EB1077"/>
    <w:rsid w:val="00EB4FCB"/>
    <w:rsid w:val="00EC6BC5"/>
    <w:rsid w:val="00EE1FF7"/>
    <w:rsid w:val="00EF2CCE"/>
    <w:rsid w:val="00F0448C"/>
    <w:rsid w:val="00F069EE"/>
    <w:rsid w:val="00F213A2"/>
    <w:rsid w:val="00F3122C"/>
    <w:rsid w:val="00F348D0"/>
    <w:rsid w:val="00F35898"/>
    <w:rsid w:val="00F40B6A"/>
    <w:rsid w:val="00F5225B"/>
    <w:rsid w:val="00F5552F"/>
    <w:rsid w:val="00F67D69"/>
    <w:rsid w:val="00F779FF"/>
    <w:rsid w:val="00F87C2C"/>
    <w:rsid w:val="00F94566"/>
    <w:rsid w:val="00FB0249"/>
    <w:rsid w:val="00FE5701"/>
    <w:rsid w:val="00FF47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765A5"/>
  <w15:docId w15:val="{5897A4A7-84D7-4773-9AEE-0C0B28E3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1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qFormat/>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qFormat/>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227FF0"/>
    <w:pPr>
      <w:keepNext/>
      <w:keepLines/>
      <w:spacing w:before="480" w:after="80"/>
      <w:jc w:val="center"/>
    </w:pPr>
    <w:rPr>
      <w:caps/>
      <w:sz w:val="26"/>
    </w:rPr>
  </w:style>
  <w:style w:type="paragraph" w:customStyle="1" w:styleId="Annextitle">
    <w:name w:val="Annex_title"/>
    <w:basedOn w:val="Normal"/>
    <w:next w:val="Annexref"/>
    <w:qFormat/>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qFormat/>
    <w:rsid w:val="00A405F9"/>
    <w:pPr>
      <w:spacing w:after="240"/>
      <w:jc w:val="center"/>
    </w:pPr>
  </w:style>
  <w:style w:type="paragraph" w:customStyle="1" w:styleId="Figuretitle">
    <w:name w:val="Figure_title"/>
    <w:basedOn w:val="Tabletitle"/>
    <w:next w:val="Figure"/>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 w:type="character" w:styleId="Emphasis">
    <w:name w:val="Emphasis"/>
    <w:basedOn w:val="DefaultParagraphFont"/>
    <w:uiPriority w:val="20"/>
    <w:qFormat/>
    <w:rsid w:val="00330BD1"/>
    <w:rPr>
      <w:i/>
      <w:iCs/>
    </w:rPr>
  </w:style>
  <w:style w:type="paragraph" w:styleId="ListParagraph">
    <w:name w:val="List Paragraph"/>
    <w:basedOn w:val="Normal"/>
    <w:uiPriority w:val="34"/>
    <w:qFormat/>
    <w:rsid w:val="00F06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0784">
      <w:bodyDiv w:val="1"/>
      <w:marLeft w:val="0"/>
      <w:marRight w:val="0"/>
      <w:marTop w:val="0"/>
      <w:marBottom w:val="0"/>
      <w:divBdr>
        <w:top w:val="none" w:sz="0" w:space="0" w:color="auto"/>
        <w:left w:val="none" w:sz="0" w:space="0" w:color="auto"/>
        <w:bottom w:val="none" w:sz="0" w:space="0" w:color="auto"/>
        <w:right w:val="none" w:sz="0" w:space="0" w:color="auto"/>
      </w:divBdr>
    </w:div>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6-CWGFHR22-C-0002/en" TargetMode="External"/><Relationship Id="rId18" Type="http://schemas.openxmlformats.org/officeDocument/2006/relationships/image" Target="media/image5.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yperlink" Target="https://www.itu.int/md/S26-CWGFHR22-C-0002/en" TargetMode="External"/><Relationship Id="rId17" Type="http://schemas.openxmlformats.org/officeDocument/2006/relationships/image" Target="media/image4.emf"/><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2023/RES-091-R.pdf"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hyperlink" Target="https://www.itu.int/md/S14-CL-C-0102/en" TargetMode="External"/><Relationship Id="rId19" Type="http://schemas.openxmlformats.org/officeDocument/2006/relationships/image" Target="media/image6.emf"/><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itu.int/md/S25-CL-C-0064/en" TargetMode="Externa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header" Target="header3.xml"/><Relationship Id="rId30" Type="http://schemas.openxmlformats.org/officeDocument/2006/relationships/header" Target="header4.xml"/><Relationship Id="rId8" Type="http://schemas.openxmlformats.org/officeDocument/2006/relationships/hyperlink" Target="https://www.itu.int/md/S25-CL-C-0010/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43E28-6718-A64C-9459-DF0200857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PR_Council26</Template>
  <TotalTime>0</TotalTime>
  <Pages>18</Pages>
  <Words>4869</Words>
  <Characters>32968</Characters>
  <Application>Microsoft Office Word</Application>
  <DocSecurity>0</DocSecurity>
  <Lines>804</Lines>
  <Paragraphs>230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General Secretariat - Pool</Manager>
  <Company>International Telecommunication Union (ITU)</Company>
  <LinksUpToDate>false</LinksUpToDate>
  <CharactersWithSpaces>37607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Satellite network filings - Draft methodology</dc:title>
  <dc:subject>ITU Council 2026</dc:subject>
  <dc:creator>GBS</dc:creator>
  <cp:keywords>C26; C2026; Council 2026; PP26</cp:keywords>
  <dc:description/>
  <cp:lastModifiedBy>GBS</cp:lastModifiedBy>
  <cp:revision>2</cp:revision>
  <cp:lastPrinted>2006-03-28T16:12:00Z</cp:lastPrinted>
  <dcterms:created xsi:type="dcterms:W3CDTF">2026-04-26T13:49:00Z</dcterms:created>
  <dcterms:modified xsi:type="dcterms:W3CDTF">2026-04-26T13:49:00Z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