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DE563B" w14:paraId="1E60925A" w14:textId="77777777" w:rsidTr="00796BDB">
        <w:trPr>
          <w:cantSplit/>
          <w:trHeight w:val="23"/>
        </w:trPr>
        <w:tc>
          <w:tcPr>
            <w:tcW w:w="3969" w:type="dxa"/>
            <w:vMerge w:val="restart"/>
            <w:tcMar>
              <w:left w:w="0" w:type="dxa"/>
            </w:tcMar>
          </w:tcPr>
          <w:p w14:paraId="6ED7BCFE" w14:textId="06E3B1D8" w:rsidR="00D72F49" w:rsidRPr="00DE563B" w:rsidRDefault="00D72F49" w:rsidP="00796BDB">
            <w:pPr>
              <w:tabs>
                <w:tab w:val="left" w:pos="851"/>
              </w:tabs>
              <w:spacing w:before="0" w:line="240" w:lineRule="atLeast"/>
              <w:rPr>
                <w:b/>
              </w:rPr>
            </w:pPr>
            <w:r w:rsidRPr="00DE563B">
              <w:rPr>
                <w:b/>
              </w:rPr>
              <w:t>Point de l'ordre du jour:</w:t>
            </w:r>
            <w:r w:rsidR="0040775D" w:rsidRPr="00DE563B">
              <w:rPr>
                <w:b/>
              </w:rPr>
              <w:t xml:space="preserve"> ADM 1</w:t>
            </w:r>
          </w:p>
        </w:tc>
        <w:tc>
          <w:tcPr>
            <w:tcW w:w="5245" w:type="dxa"/>
          </w:tcPr>
          <w:p w14:paraId="657A42C6" w14:textId="11D8B5C2" w:rsidR="00D72F49" w:rsidRPr="00DE563B" w:rsidRDefault="00D72F49" w:rsidP="00796BDB">
            <w:pPr>
              <w:tabs>
                <w:tab w:val="left" w:pos="851"/>
              </w:tabs>
              <w:spacing w:before="0" w:line="240" w:lineRule="atLeast"/>
              <w:jc w:val="right"/>
              <w:rPr>
                <w:b/>
              </w:rPr>
            </w:pPr>
            <w:r w:rsidRPr="00DE563B">
              <w:rPr>
                <w:b/>
              </w:rPr>
              <w:t>Document C2</w:t>
            </w:r>
            <w:r w:rsidR="00E4448E" w:rsidRPr="00DE563B">
              <w:rPr>
                <w:b/>
              </w:rPr>
              <w:t>6</w:t>
            </w:r>
            <w:r w:rsidRPr="00DE563B">
              <w:rPr>
                <w:b/>
              </w:rPr>
              <w:t>/</w:t>
            </w:r>
            <w:r w:rsidR="0040775D" w:rsidRPr="00DE563B">
              <w:rPr>
                <w:b/>
              </w:rPr>
              <w:t>19</w:t>
            </w:r>
            <w:r w:rsidRPr="00DE563B">
              <w:rPr>
                <w:b/>
              </w:rPr>
              <w:t>-F</w:t>
            </w:r>
          </w:p>
        </w:tc>
      </w:tr>
      <w:tr w:rsidR="00D72F49" w:rsidRPr="00DE563B" w14:paraId="0F2E54D0" w14:textId="77777777" w:rsidTr="00796BDB">
        <w:trPr>
          <w:cantSplit/>
        </w:trPr>
        <w:tc>
          <w:tcPr>
            <w:tcW w:w="3969" w:type="dxa"/>
            <w:vMerge/>
          </w:tcPr>
          <w:p w14:paraId="79DB5A2A" w14:textId="77777777" w:rsidR="00D72F49" w:rsidRPr="00DE563B" w:rsidRDefault="00D72F49" w:rsidP="00796BDB">
            <w:pPr>
              <w:tabs>
                <w:tab w:val="left" w:pos="851"/>
              </w:tabs>
              <w:spacing w:line="240" w:lineRule="atLeast"/>
              <w:rPr>
                <w:b/>
              </w:rPr>
            </w:pPr>
          </w:p>
        </w:tc>
        <w:tc>
          <w:tcPr>
            <w:tcW w:w="5245" w:type="dxa"/>
          </w:tcPr>
          <w:p w14:paraId="6F1EE46E" w14:textId="3919DBEC" w:rsidR="00D72F49" w:rsidRPr="00DE563B" w:rsidRDefault="0040775D" w:rsidP="00796BDB">
            <w:pPr>
              <w:tabs>
                <w:tab w:val="left" w:pos="851"/>
              </w:tabs>
              <w:spacing w:before="0"/>
              <w:jc w:val="right"/>
              <w:rPr>
                <w:b/>
              </w:rPr>
            </w:pPr>
            <w:r w:rsidRPr="00DE563B">
              <w:rPr>
                <w:b/>
              </w:rPr>
              <w:t>19 mars 2026</w:t>
            </w:r>
          </w:p>
        </w:tc>
      </w:tr>
      <w:tr w:rsidR="00D72F49" w:rsidRPr="00DE563B" w14:paraId="161572E3" w14:textId="77777777" w:rsidTr="00796BDB">
        <w:trPr>
          <w:cantSplit/>
          <w:trHeight w:val="23"/>
        </w:trPr>
        <w:tc>
          <w:tcPr>
            <w:tcW w:w="3969" w:type="dxa"/>
            <w:vMerge/>
          </w:tcPr>
          <w:p w14:paraId="7F7864FC" w14:textId="77777777" w:rsidR="00D72F49" w:rsidRPr="00DE563B" w:rsidRDefault="00D72F49" w:rsidP="00796BDB">
            <w:pPr>
              <w:tabs>
                <w:tab w:val="left" w:pos="851"/>
              </w:tabs>
              <w:spacing w:line="240" w:lineRule="atLeast"/>
              <w:rPr>
                <w:b/>
              </w:rPr>
            </w:pPr>
          </w:p>
        </w:tc>
        <w:tc>
          <w:tcPr>
            <w:tcW w:w="5245" w:type="dxa"/>
          </w:tcPr>
          <w:p w14:paraId="48C704F1" w14:textId="77777777" w:rsidR="00D72F49" w:rsidRPr="00DE563B" w:rsidRDefault="00D72F49" w:rsidP="00796BDB">
            <w:pPr>
              <w:tabs>
                <w:tab w:val="left" w:pos="851"/>
              </w:tabs>
              <w:spacing w:before="0" w:line="240" w:lineRule="atLeast"/>
              <w:jc w:val="right"/>
              <w:rPr>
                <w:b/>
              </w:rPr>
            </w:pPr>
            <w:r w:rsidRPr="00DE563B">
              <w:rPr>
                <w:b/>
              </w:rPr>
              <w:t>Original: anglais</w:t>
            </w:r>
          </w:p>
        </w:tc>
      </w:tr>
      <w:tr w:rsidR="00D72F49" w:rsidRPr="00DE563B" w14:paraId="7DB9C8D4" w14:textId="77777777" w:rsidTr="00796BDB">
        <w:trPr>
          <w:cantSplit/>
          <w:trHeight w:val="23"/>
        </w:trPr>
        <w:tc>
          <w:tcPr>
            <w:tcW w:w="3969" w:type="dxa"/>
          </w:tcPr>
          <w:p w14:paraId="4FE52011" w14:textId="77777777" w:rsidR="00D72F49" w:rsidRPr="00DE563B" w:rsidRDefault="00D72F49" w:rsidP="00796BDB">
            <w:pPr>
              <w:tabs>
                <w:tab w:val="left" w:pos="851"/>
              </w:tabs>
              <w:spacing w:line="240" w:lineRule="atLeast"/>
              <w:rPr>
                <w:b/>
              </w:rPr>
            </w:pPr>
          </w:p>
        </w:tc>
        <w:tc>
          <w:tcPr>
            <w:tcW w:w="5245" w:type="dxa"/>
          </w:tcPr>
          <w:p w14:paraId="240C0F75" w14:textId="77777777" w:rsidR="00D72F49" w:rsidRPr="00DE563B" w:rsidRDefault="00D72F49" w:rsidP="00796BDB">
            <w:pPr>
              <w:tabs>
                <w:tab w:val="left" w:pos="851"/>
              </w:tabs>
              <w:spacing w:before="0" w:line="240" w:lineRule="atLeast"/>
              <w:jc w:val="right"/>
              <w:rPr>
                <w:b/>
              </w:rPr>
            </w:pPr>
          </w:p>
        </w:tc>
      </w:tr>
      <w:tr w:rsidR="00D72F49" w:rsidRPr="00DE563B" w14:paraId="33F7F34E" w14:textId="77777777" w:rsidTr="00796BDB">
        <w:trPr>
          <w:cantSplit/>
        </w:trPr>
        <w:tc>
          <w:tcPr>
            <w:tcW w:w="9214" w:type="dxa"/>
            <w:gridSpan w:val="2"/>
            <w:tcMar>
              <w:left w:w="0" w:type="dxa"/>
            </w:tcMar>
          </w:tcPr>
          <w:p w14:paraId="5B5A583D" w14:textId="77777777" w:rsidR="00D72F49" w:rsidRPr="00DE563B" w:rsidRDefault="00D72F49" w:rsidP="002E002A">
            <w:pPr>
              <w:pStyle w:val="Source"/>
              <w:framePr w:hSpace="0" w:wrap="auto" w:vAnchor="margin" w:hAnchor="text" w:xAlign="left" w:yAlign="inline"/>
            </w:pPr>
            <w:r w:rsidRPr="00DE563B">
              <w:t xml:space="preserve">Rapport </w:t>
            </w:r>
            <w:r w:rsidR="00E95647" w:rsidRPr="00DE563B">
              <w:t xml:space="preserve">de la </w:t>
            </w:r>
            <w:r w:rsidRPr="002E002A">
              <w:t>Secrétaire</w:t>
            </w:r>
            <w:r w:rsidRPr="00DE563B">
              <w:t xml:space="preserve"> général</w:t>
            </w:r>
            <w:r w:rsidR="00E95647" w:rsidRPr="00DE563B">
              <w:t>e</w:t>
            </w:r>
          </w:p>
        </w:tc>
      </w:tr>
      <w:tr w:rsidR="00D72F49" w:rsidRPr="00DE563B" w14:paraId="3C3BCECF" w14:textId="77777777" w:rsidTr="00796BDB">
        <w:trPr>
          <w:cantSplit/>
        </w:trPr>
        <w:tc>
          <w:tcPr>
            <w:tcW w:w="9214" w:type="dxa"/>
            <w:gridSpan w:val="2"/>
            <w:tcMar>
              <w:left w:w="0" w:type="dxa"/>
            </w:tcMar>
          </w:tcPr>
          <w:p w14:paraId="4A3DB454" w14:textId="6881726F" w:rsidR="00D72F49" w:rsidRPr="00DE563B" w:rsidRDefault="00E96E87" w:rsidP="00796BDB">
            <w:pPr>
              <w:pStyle w:val="Subtitle"/>
              <w:framePr w:hSpace="0" w:wrap="auto" w:hAnchor="text" w:xAlign="left" w:yAlign="inline"/>
              <w:rPr>
                <w:sz w:val="32"/>
                <w:szCs w:val="32"/>
                <w:lang w:val="fr-FR"/>
              </w:rPr>
            </w:pPr>
            <w:r w:rsidRPr="00DE563B">
              <w:rPr>
                <w:lang w:val="fr-FR"/>
              </w:rPr>
              <w:t>Fiches de notification des réseaux à satellite – Projet de méthode</w:t>
            </w:r>
          </w:p>
        </w:tc>
      </w:tr>
      <w:tr w:rsidR="00D72F49" w:rsidRPr="00DE563B" w14:paraId="0E9843B2" w14:textId="77777777" w:rsidTr="00796BDB">
        <w:trPr>
          <w:cantSplit/>
        </w:trPr>
        <w:tc>
          <w:tcPr>
            <w:tcW w:w="9214" w:type="dxa"/>
            <w:gridSpan w:val="2"/>
            <w:tcBorders>
              <w:top w:val="single" w:sz="4" w:space="0" w:color="auto"/>
              <w:bottom w:val="single" w:sz="4" w:space="0" w:color="auto"/>
            </w:tcBorders>
            <w:tcMar>
              <w:left w:w="0" w:type="dxa"/>
            </w:tcMar>
          </w:tcPr>
          <w:p w14:paraId="5D79C24D" w14:textId="77777777" w:rsidR="00D72F49" w:rsidRPr="00DE563B" w:rsidRDefault="00F37FE5" w:rsidP="00796BDB">
            <w:pPr>
              <w:spacing w:before="160"/>
              <w:rPr>
                <w:b/>
                <w:bCs/>
                <w:sz w:val="26"/>
                <w:szCs w:val="26"/>
              </w:rPr>
            </w:pPr>
            <w:r w:rsidRPr="00DE563B">
              <w:rPr>
                <w:b/>
                <w:bCs/>
                <w:sz w:val="26"/>
                <w:szCs w:val="26"/>
              </w:rPr>
              <w:t>Objet</w:t>
            </w:r>
          </w:p>
          <w:p w14:paraId="0F7EA39C" w14:textId="48C61EFA" w:rsidR="0040775D" w:rsidRPr="0040775D" w:rsidRDefault="0040775D" w:rsidP="002E002A">
            <w:pPr>
              <w:jc w:val="both"/>
            </w:pPr>
            <w:r w:rsidRPr="0040775D">
              <w:t xml:space="preserve">Le présent document décrit la méthode de recouvrement des coûts que le Secrétariat souhaite proposer pour le traitement </w:t>
            </w:r>
            <w:bookmarkStart w:id="0" w:name="_Hlk226705651"/>
            <w:r w:rsidRPr="0040775D">
              <w:t xml:space="preserve">des fiches de notification des réseaux à satellite. Lors de récentes réunions du Conseil et du Groupe de travail du Conseil sur les ressources financières et les ressources humaines (GTC-FHR), le Secrétariat a informé les délégués que, depuis 2021, les produits provenant </w:t>
            </w:r>
            <w:bookmarkStart w:id="1" w:name="_Hlk226641070"/>
            <w:r w:rsidRPr="0040775D">
              <w:t xml:space="preserve">des droits à acquitter pour le traitement </w:t>
            </w:r>
            <w:bookmarkEnd w:id="0"/>
            <w:r w:rsidRPr="0040775D">
              <w:t>de ces fiches</w:t>
            </w:r>
            <w:bookmarkEnd w:id="1"/>
            <w:r w:rsidRPr="0040775D">
              <w:t>, selon la méthode actuelle, ne permettent plus de recouvrer l'intégralité des coûts du travail accompli par le Secrétariat pour traiter les fiches. Cette situation est due à un net accroissement du volume et de la complexité des fiches, sans que les droits facturés augmentent en contrepartie. Au cours des dernières années, le coût du traitement des fiches de notification des réseaux à satellite a donc été subventionné au moyen du budget ordinaire de l</w:t>
            </w:r>
            <w:r w:rsidR="00E26C96" w:rsidRPr="00DE563B">
              <w:t>'</w:t>
            </w:r>
            <w:r w:rsidRPr="0040775D">
              <w:t>UIT, ce qui contredit l</w:t>
            </w:r>
            <w:r w:rsidR="00E26C96" w:rsidRPr="00DE563B">
              <w:t>'</w:t>
            </w:r>
            <w:r w:rsidRPr="0040775D">
              <w:t>intention de la Résolution 91 de la Conférence de plénipotentiaires (Rév. Bucarest, 2022).</w:t>
            </w:r>
          </w:p>
          <w:p w14:paraId="085756B1" w14:textId="09B875AB" w:rsidR="0040775D" w:rsidRPr="0040775D" w:rsidRDefault="0040775D" w:rsidP="002E002A">
            <w:pPr>
              <w:jc w:val="both"/>
            </w:pPr>
            <w:r w:rsidRPr="0040775D">
              <w:t>À la suite des efforts entrepris par le Secrétariat pour illustrer ce décalage, les délégués ont estimé qu'il serait souhaitable de disposer de renseignements plus détaillés pour justifier les coûts résultant des éléments de coûts directs et indirects présentés et pouvoir se prononcer sur la base de données précises. En 2025, le Conseil a mis en application une augmentation provisoire des droits à acquitter pour le traitement des fiches de notification des réseaux à satellite, qui a créé des produits supplémentaires afin de compenser une partie du déséquilibre pendant une période de deux ans, et le Secrétariat, sous la conduite du GTC</w:t>
            </w:r>
            <w:r w:rsidR="00E26C96" w:rsidRPr="00DE563B">
              <w:noBreakHyphen/>
            </w:r>
            <w:r w:rsidRPr="0040775D">
              <w:t>FHR, a été chargé de présenter des propositions en vue d</w:t>
            </w:r>
            <w:r w:rsidR="00E26C96" w:rsidRPr="00DE563B">
              <w:t>'</w:t>
            </w:r>
            <w:r w:rsidRPr="0040775D">
              <w:t>un cadre révisé.</w:t>
            </w:r>
          </w:p>
          <w:p w14:paraId="7F70346D" w14:textId="06EF1AF5" w:rsidR="00D72F49" w:rsidRPr="00DE563B" w:rsidRDefault="0040775D" w:rsidP="002E002A">
            <w:pPr>
              <w:spacing w:after="120"/>
              <w:jc w:val="both"/>
            </w:pPr>
            <w:r w:rsidRPr="00DE563B">
              <w:t>La proposition figurant dans le présent document fait suite aux récentes discussions et vise à répondre aux préoccupations des délégués, en proposant un modèle d'établissement des coûts par activité qui permettra de disposer d'une méthode plus précise pour le calcul des coûts à l'échelle de l'UIT, et d'aligner les droits à acquitter pour le traitement des fiches de notification des réseaux à satellite en fonction de ces coûts, conformément au principe de l'origine des coûts.</w:t>
            </w:r>
          </w:p>
        </w:tc>
      </w:tr>
    </w:tbl>
    <w:p w14:paraId="0269AE27" w14:textId="77777777" w:rsidR="00A51849" w:rsidRPr="00DE563B" w:rsidRDefault="00A51849" w:rsidP="00CF0534"/>
    <w:tbl>
      <w:tblPr>
        <w:tblStyle w:val="TableGrid"/>
        <w:tblW w:w="9214" w:type="dxa"/>
        <w:tblInd w:w="137" w:type="dxa"/>
        <w:tblLook w:val="04A0" w:firstRow="1" w:lastRow="0" w:firstColumn="1" w:lastColumn="0" w:noHBand="0" w:noVBand="1"/>
      </w:tblPr>
      <w:tblGrid>
        <w:gridCol w:w="9214"/>
      </w:tblGrid>
      <w:tr w:rsidR="00E26C96" w:rsidRPr="00DE563B" w14:paraId="24BB44D3" w14:textId="77777777" w:rsidTr="00E26C96">
        <w:tc>
          <w:tcPr>
            <w:tcW w:w="9214" w:type="dxa"/>
            <w:tcBorders>
              <w:left w:val="nil"/>
              <w:right w:val="nil"/>
            </w:tcBorders>
          </w:tcPr>
          <w:p w14:paraId="23D338F7" w14:textId="6B8906E5" w:rsidR="00E26C96" w:rsidRPr="00DE563B" w:rsidRDefault="00E26C96" w:rsidP="00E26C96">
            <w:pPr>
              <w:keepNext/>
              <w:keepLines/>
            </w:pPr>
            <w:r w:rsidRPr="00DE563B">
              <w:rPr>
                <w:b/>
                <w:bCs/>
                <w:sz w:val="26"/>
                <w:szCs w:val="26"/>
              </w:rPr>
              <w:lastRenderedPageBreak/>
              <w:t>Suite à donner par le Conseil</w:t>
            </w:r>
          </w:p>
          <w:p w14:paraId="36AB1ACC" w14:textId="35128DB5" w:rsidR="00E26C96" w:rsidRPr="00DE563B" w:rsidRDefault="00E26C96" w:rsidP="002E002A">
            <w:pPr>
              <w:keepNext/>
              <w:keepLines/>
              <w:jc w:val="both"/>
            </w:pPr>
            <w:r w:rsidRPr="00DE563B">
              <w:t xml:space="preserve">Le Conseil est invité à </w:t>
            </w:r>
            <w:r w:rsidRPr="00DE563B">
              <w:rPr>
                <w:b/>
                <w:bCs/>
              </w:rPr>
              <w:t>examiner</w:t>
            </w:r>
            <w:r w:rsidRPr="00DE563B">
              <w:t xml:space="preserve"> et à </w:t>
            </w:r>
            <w:r w:rsidRPr="00DE563B">
              <w:rPr>
                <w:b/>
                <w:bCs/>
              </w:rPr>
              <w:t>approuver</w:t>
            </w:r>
            <w:r w:rsidRPr="00DE563B">
              <w:t xml:space="preserve"> la proposition de méthode figurant dans le présent document.</w:t>
            </w:r>
          </w:p>
          <w:p w14:paraId="5D2FD7F4" w14:textId="640DDEBD" w:rsidR="00E26C96" w:rsidRPr="00DE563B" w:rsidRDefault="00E26C96" w:rsidP="00E26C96">
            <w:pPr>
              <w:spacing w:before="160"/>
              <w:rPr>
                <w:b/>
                <w:bCs/>
                <w:sz w:val="26"/>
                <w:szCs w:val="26"/>
              </w:rPr>
            </w:pPr>
            <w:r w:rsidRPr="00DE563B">
              <w:rPr>
                <w:b/>
                <w:bCs/>
                <w:sz w:val="26"/>
                <w:szCs w:val="26"/>
              </w:rPr>
              <w:t>Liens pertinents avec le plan stratégique</w:t>
            </w:r>
          </w:p>
          <w:p w14:paraId="0F7C8F4C" w14:textId="64141EBC" w:rsidR="00E26C96" w:rsidRPr="00DE563B" w:rsidRDefault="00E26C96" w:rsidP="002E002A">
            <w:pPr>
              <w:jc w:val="both"/>
            </w:pPr>
            <w:r w:rsidRPr="00DE563B">
              <w:t>Connectivité universelle; utilisation du spectre pour les services spatiaux et les services de Terre; élaboration et application des Règlements administratifs de l'UIT; attribution et gestion des ressources.</w:t>
            </w:r>
          </w:p>
          <w:p w14:paraId="3892206A" w14:textId="77777777" w:rsidR="00E26C96" w:rsidRPr="00DE563B" w:rsidRDefault="00E26C96" w:rsidP="00E26C96">
            <w:pPr>
              <w:spacing w:before="160"/>
              <w:rPr>
                <w:b/>
                <w:bCs/>
                <w:sz w:val="26"/>
                <w:szCs w:val="26"/>
              </w:rPr>
            </w:pPr>
            <w:r w:rsidRPr="00DE563B">
              <w:rPr>
                <w:b/>
                <w:bCs/>
                <w:sz w:val="26"/>
                <w:szCs w:val="26"/>
              </w:rPr>
              <w:t>Incidences financières</w:t>
            </w:r>
          </w:p>
          <w:p w14:paraId="58F25920" w14:textId="77777777" w:rsidR="00E26C96" w:rsidRPr="00DE563B" w:rsidRDefault="00E26C96" w:rsidP="002E002A">
            <w:pPr>
              <w:jc w:val="both"/>
              <w:rPr>
                <w:szCs w:val="24"/>
              </w:rPr>
            </w:pPr>
            <w:r w:rsidRPr="00DE563B">
              <w:rPr>
                <w:szCs w:val="24"/>
              </w:rPr>
              <w:t>Le coût total global du traitement des fiches de notification des réseaux à satellite est estimé à 15 753 700 CHF, le montant des coûts directs s'élevant à 12 735 900 CHF et celui des coûts indirects à 3 017 800 CHF (la ventilation détaillée des coûts est indiquée dans le présent document).</w:t>
            </w:r>
          </w:p>
          <w:p w14:paraId="6451F990" w14:textId="77777777" w:rsidR="00E26C96" w:rsidRPr="00DE563B" w:rsidRDefault="00E26C96" w:rsidP="00E26C96">
            <w:pPr>
              <w:spacing w:before="160"/>
              <w:rPr>
                <w:caps/>
                <w:sz w:val="22"/>
              </w:rPr>
            </w:pPr>
            <w:r w:rsidRPr="00DE563B">
              <w:rPr>
                <w:sz w:val="22"/>
              </w:rPr>
              <w:t>__________________</w:t>
            </w:r>
          </w:p>
          <w:p w14:paraId="37DFFA74" w14:textId="77777777" w:rsidR="00E26C96" w:rsidRPr="00DE563B" w:rsidRDefault="00E26C96" w:rsidP="00E26C96">
            <w:pPr>
              <w:spacing w:before="160"/>
              <w:rPr>
                <w:b/>
                <w:bCs/>
                <w:sz w:val="26"/>
                <w:szCs w:val="26"/>
              </w:rPr>
            </w:pPr>
            <w:r w:rsidRPr="00DE563B">
              <w:rPr>
                <w:b/>
                <w:bCs/>
                <w:sz w:val="26"/>
                <w:szCs w:val="26"/>
              </w:rPr>
              <w:t>Références</w:t>
            </w:r>
          </w:p>
          <w:p w14:paraId="0DE1A673" w14:textId="49EEF1B1" w:rsidR="00E26C96" w:rsidRPr="002E002A" w:rsidRDefault="00E26C96" w:rsidP="005903CB">
            <w:pPr>
              <w:spacing w:after="120"/>
              <w:rPr>
                <w:i/>
                <w:iCs/>
                <w:sz w:val="22"/>
              </w:rPr>
            </w:pPr>
            <w:hyperlink r:id="rId7" w:history="1">
              <w:r w:rsidRPr="002E002A">
                <w:rPr>
                  <w:rStyle w:val="Hyperlink"/>
                  <w:i/>
                  <w:iCs/>
                  <w:sz w:val="22"/>
                </w:rPr>
                <w:t xml:space="preserve">Documents </w:t>
              </w:r>
              <w:r w:rsidRPr="002E002A">
                <w:rPr>
                  <w:rStyle w:val="Hyperlink"/>
                  <w:rFonts w:eastAsia="Times New Roman" w:cs="Times New Roman"/>
                  <w:i/>
                  <w:iCs/>
                  <w:sz w:val="22"/>
                </w:rPr>
                <w:t>C25/10</w:t>
              </w:r>
            </w:hyperlink>
            <w:r w:rsidRPr="002E002A">
              <w:rPr>
                <w:i/>
                <w:iCs/>
                <w:sz w:val="22"/>
              </w:rPr>
              <w:t xml:space="preserve"> et </w:t>
            </w:r>
            <w:hyperlink r:id="rId8">
              <w:r w:rsidRPr="002E002A">
                <w:rPr>
                  <w:rStyle w:val="Hyperlink"/>
                  <w:rFonts w:eastAsia="Times New Roman" w:cs="Times New Roman"/>
                  <w:i/>
                  <w:iCs/>
                  <w:sz w:val="22"/>
                </w:rPr>
                <w:t>C25/64</w:t>
              </w:r>
            </w:hyperlink>
            <w:r w:rsidRPr="002E002A">
              <w:rPr>
                <w:i/>
                <w:iCs/>
                <w:sz w:val="22"/>
              </w:rPr>
              <w:t xml:space="preserve">; </w:t>
            </w:r>
            <w:hyperlink r:id="rId9" w:history="1">
              <w:r w:rsidRPr="002E002A">
                <w:rPr>
                  <w:rStyle w:val="Hyperlink"/>
                  <w:i/>
                  <w:iCs/>
                  <w:sz w:val="22"/>
                </w:rPr>
                <w:t xml:space="preserve">Décision </w:t>
              </w:r>
              <w:r w:rsidRPr="002E002A">
                <w:rPr>
                  <w:rStyle w:val="Hyperlink"/>
                  <w:rFonts w:eastAsia="Times New Roman" w:cs="Times New Roman"/>
                  <w:i/>
                  <w:iCs/>
                  <w:sz w:val="22"/>
                </w:rPr>
                <w:t>535</w:t>
              </w:r>
            </w:hyperlink>
            <w:r w:rsidRPr="002E002A">
              <w:rPr>
                <w:rFonts w:eastAsia="Times New Roman" w:cs="Times New Roman"/>
                <w:i/>
                <w:iCs/>
                <w:sz w:val="22"/>
              </w:rPr>
              <w:t xml:space="preserve"> (modifiée en 2014)</w:t>
            </w:r>
            <w:r w:rsidRPr="002E002A">
              <w:rPr>
                <w:i/>
                <w:iCs/>
                <w:sz w:val="22"/>
              </w:rPr>
              <w:t xml:space="preserve"> du Conseil; </w:t>
            </w:r>
            <w:hyperlink r:id="rId10" w:history="1">
              <w:r w:rsidRPr="002E002A">
                <w:rPr>
                  <w:rStyle w:val="Hyperlink"/>
                  <w:i/>
                  <w:iCs/>
                  <w:sz w:val="22"/>
                </w:rPr>
                <w:t xml:space="preserve">Résolution </w:t>
              </w:r>
              <w:r w:rsidRPr="002E002A">
                <w:rPr>
                  <w:rStyle w:val="Hyperlink"/>
                  <w:rFonts w:eastAsia="Times New Roman" w:cs="Times New Roman"/>
                  <w:i/>
                  <w:iCs/>
                  <w:sz w:val="22"/>
                </w:rPr>
                <w:t>91</w:t>
              </w:r>
            </w:hyperlink>
            <w:r w:rsidRPr="002E002A">
              <w:rPr>
                <w:rFonts w:eastAsia="Times New Roman" w:cs="Times New Roman"/>
                <w:i/>
                <w:iCs/>
                <w:sz w:val="22"/>
              </w:rPr>
              <w:t xml:space="preserve"> (Rév. Guadalajara, 2010)</w:t>
            </w:r>
            <w:r w:rsidRPr="002E002A">
              <w:rPr>
                <w:rFonts w:eastAsia="Times New Roman"/>
                <w:i/>
                <w:iCs/>
                <w:sz w:val="22"/>
              </w:rPr>
              <w:t xml:space="preserve"> </w:t>
            </w:r>
            <w:r w:rsidRPr="002E002A">
              <w:rPr>
                <w:i/>
                <w:iCs/>
                <w:sz w:val="22"/>
              </w:rPr>
              <w:t>de la Conférence de plénipotentiaires</w:t>
            </w:r>
          </w:p>
        </w:tc>
      </w:tr>
    </w:tbl>
    <w:p w14:paraId="2B4AC145" w14:textId="77777777" w:rsidR="00A51849" w:rsidRPr="00DE563B" w:rsidRDefault="00A51849">
      <w:pPr>
        <w:tabs>
          <w:tab w:val="clear" w:pos="567"/>
          <w:tab w:val="clear" w:pos="1134"/>
          <w:tab w:val="clear" w:pos="1701"/>
          <w:tab w:val="clear" w:pos="2268"/>
          <w:tab w:val="clear" w:pos="2835"/>
        </w:tabs>
        <w:overflowPunct/>
        <w:autoSpaceDE/>
        <w:autoSpaceDN/>
        <w:adjustRightInd/>
        <w:spacing w:before="0"/>
        <w:textAlignment w:val="auto"/>
      </w:pPr>
      <w:r w:rsidRPr="00DE563B">
        <w:br w:type="page"/>
      </w:r>
    </w:p>
    <w:p w14:paraId="7AE2F118" w14:textId="77777777" w:rsidR="0040775D" w:rsidRPr="00DE563B" w:rsidRDefault="0040775D" w:rsidP="0040775D">
      <w:pPr>
        <w:pStyle w:val="Heading1"/>
      </w:pPr>
      <w:r w:rsidRPr="00DE563B">
        <w:lastRenderedPageBreak/>
        <w:t>1</w:t>
      </w:r>
      <w:r w:rsidRPr="00DE563B">
        <w:tab/>
        <w:t>Résumé de la situation actuelle</w:t>
      </w:r>
    </w:p>
    <w:p w14:paraId="6F481309" w14:textId="0B38A1F6" w:rsidR="0040775D" w:rsidRPr="00DE563B" w:rsidRDefault="0040775D" w:rsidP="002E002A">
      <w:pPr>
        <w:jc w:val="both"/>
      </w:pPr>
      <w:r w:rsidRPr="00DE563B">
        <w:t xml:space="preserve">À la réunion de janvier 2026 du GTC-FHR, le </w:t>
      </w:r>
      <w:r w:rsidR="00D124C1" w:rsidRPr="00DE563B">
        <w:t>S</w:t>
      </w:r>
      <w:r w:rsidRPr="00DE563B">
        <w:t xml:space="preserve">ecrétariat a présenté le </w:t>
      </w:r>
      <w:hyperlink r:id="rId11" w:history="1">
        <w:r w:rsidRPr="00DE563B">
          <w:rPr>
            <w:rStyle w:val="Hyperlink"/>
            <w:rFonts w:eastAsia="Times New Roman" w:cs="Times New Roman"/>
            <w:spacing w:val="-2"/>
            <w:szCs w:val="20"/>
          </w:rPr>
          <w:t>Document</w:t>
        </w:r>
        <w:r w:rsidR="00D124C1" w:rsidRPr="00DE563B">
          <w:rPr>
            <w:rStyle w:val="Hyperlink"/>
            <w:rFonts w:eastAsia="Times New Roman" w:cs="Times New Roman"/>
            <w:spacing w:val="-2"/>
            <w:szCs w:val="20"/>
          </w:rPr>
          <w:t> </w:t>
        </w:r>
        <w:r w:rsidRPr="00DE563B">
          <w:rPr>
            <w:rStyle w:val="Hyperlink"/>
            <w:spacing w:val="-2"/>
          </w:rPr>
          <w:t>CWG</w:t>
        </w:r>
        <w:r w:rsidR="00D124C1" w:rsidRPr="00DE563B">
          <w:rPr>
            <w:rStyle w:val="Hyperlink"/>
            <w:spacing w:val="-2"/>
          </w:rPr>
          <w:noBreakHyphen/>
        </w:r>
        <w:r w:rsidRPr="00DE563B">
          <w:rPr>
            <w:rStyle w:val="Hyperlink"/>
            <w:spacing w:val="-2"/>
          </w:rPr>
          <w:t>FHR</w:t>
        </w:r>
        <w:r w:rsidR="00D124C1" w:rsidRPr="00DE563B">
          <w:rPr>
            <w:rStyle w:val="Hyperlink"/>
            <w:spacing w:val="-2"/>
          </w:rPr>
          <w:noBreakHyphen/>
        </w:r>
        <w:r w:rsidRPr="00DE563B">
          <w:rPr>
            <w:rStyle w:val="Hyperlink"/>
            <w:spacing w:val="-2"/>
          </w:rPr>
          <w:t>22/2</w:t>
        </w:r>
      </w:hyperlink>
      <w:r w:rsidRPr="00DE563B">
        <w:t xml:space="preserve">, qui indique divers principes pour la révision de la méthode de recouvrement des coûts du traitement des fiches de notification des réseaux à satellite. Ces propositions ont été étudiées en détail au cours de la réunion. Dans le présent document, le </w:t>
      </w:r>
      <w:r w:rsidR="00D124C1" w:rsidRPr="00DE563B">
        <w:t>S</w:t>
      </w:r>
      <w:r w:rsidRPr="00DE563B">
        <w:t>ecrétariat apporte des réponses aux questions soulevées et propose un document révisé qui tient compte des délibérations du GTC-FHR.</w:t>
      </w:r>
    </w:p>
    <w:p w14:paraId="3B0F4112" w14:textId="77777777" w:rsidR="0040775D" w:rsidRPr="00DE563B" w:rsidRDefault="0040775D" w:rsidP="002E002A">
      <w:pPr>
        <w:jc w:val="both"/>
      </w:pPr>
      <w:r w:rsidRPr="00DE563B">
        <w:t>L'objectif général est d'établir un modèle transparent, équitable et financièrement viable qui adapte les contributions à l'utilisation et aux avantages réels, élimine le sous-financement structurel et assure au BR les ressources stables dont il a besoin pour moderniser les systèmes, réduire le retard et s'acquitter de son mandat efficacement et en temps voulu.</w:t>
      </w:r>
    </w:p>
    <w:p w14:paraId="534032AB" w14:textId="1812446A" w:rsidR="0040775D" w:rsidRPr="00DE563B" w:rsidRDefault="0040775D" w:rsidP="002E002A">
      <w:pPr>
        <w:jc w:val="both"/>
      </w:pPr>
      <w:r w:rsidRPr="00DE563B">
        <w:t>On trouvera dans l'</w:t>
      </w:r>
      <w:r w:rsidR="00D124C1" w:rsidRPr="00DE563B">
        <w:t>a</w:t>
      </w:r>
      <w:r w:rsidRPr="00DE563B">
        <w:t>nnexe ci-dessous un résumé détaillé des questions et des préoccupations soulevées au cours de cette réunion, avec les réponses du Secrétariat.</w:t>
      </w:r>
    </w:p>
    <w:p w14:paraId="60E4AFDF" w14:textId="77777777" w:rsidR="0040775D" w:rsidRPr="00DE563B" w:rsidRDefault="0040775D" w:rsidP="002E002A">
      <w:pPr>
        <w:pStyle w:val="Heading1"/>
        <w:jc w:val="both"/>
      </w:pPr>
      <w:r w:rsidRPr="00DE563B">
        <w:t>2</w:t>
      </w:r>
      <w:r w:rsidRPr="00DE563B">
        <w:tab/>
        <w:t xml:space="preserve">Calcul des </w:t>
      </w:r>
      <w:bookmarkStart w:id="2" w:name="_Hlk226716460"/>
      <w:r w:rsidRPr="00DE563B">
        <w:t>droits à acquitter pour le traitement des fiches de notification des réseaux à satellite</w:t>
      </w:r>
      <w:bookmarkEnd w:id="2"/>
      <w:r w:rsidRPr="00DE563B">
        <w:t>: méthode proposée</w:t>
      </w:r>
    </w:p>
    <w:p w14:paraId="403BF17A" w14:textId="77777777" w:rsidR="0040775D" w:rsidRPr="00DE563B" w:rsidRDefault="0040775D" w:rsidP="0040775D">
      <w:pPr>
        <w:pStyle w:val="Heading2"/>
      </w:pPr>
      <w:r w:rsidRPr="00DE563B">
        <w:t>2.1</w:t>
      </w:r>
      <w:r w:rsidRPr="00DE563B">
        <w:tab/>
        <w:t>Vue d'ensemble de la méthode</w:t>
      </w:r>
    </w:p>
    <w:p w14:paraId="56ABABA3" w14:textId="77777777" w:rsidR="0040775D" w:rsidRPr="00DE563B" w:rsidRDefault="0040775D" w:rsidP="002E002A">
      <w:pPr>
        <w:jc w:val="both"/>
      </w:pPr>
      <w:r w:rsidRPr="00DE563B">
        <w:t>Le recouvrement des coûts d'un service quelconque passe généralement par les grandes étapes suivantes:</w:t>
      </w:r>
    </w:p>
    <w:p w14:paraId="12E46FA6" w14:textId="30F2B7B6" w:rsidR="0040775D" w:rsidRPr="00DE563B" w:rsidRDefault="0040775D" w:rsidP="002E002A">
      <w:pPr>
        <w:pStyle w:val="enumlev1"/>
        <w:jc w:val="both"/>
      </w:pPr>
      <w:r w:rsidRPr="00DE563B">
        <w:rPr>
          <w:rFonts w:eastAsiaTheme="minorEastAsia"/>
        </w:rPr>
        <w:t>i)</w:t>
      </w:r>
      <w:r w:rsidRPr="00DE563B">
        <w:rPr>
          <w:rFonts w:eastAsiaTheme="minorEastAsia"/>
        </w:rPr>
        <w:tab/>
      </w:r>
      <w:r w:rsidRPr="00DE563B">
        <w:t>Établissement des principes de recouvrement des coûts</w:t>
      </w:r>
      <w:r w:rsidR="00D124C1" w:rsidRPr="00DE563B">
        <w:t>.</w:t>
      </w:r>
    </w:p>
    <w:p w14:paraId="609BE834" w14:textId="1384B7C7" w:rsidR="0040775D" w:rsidRPr="00DE563B" w:rsidRDefault="0040775D" w:rsidP="002E002A">
      <w:pPr>
        <w:pStyle w:val="enumlev1"/>
        <w:jc w:val="both"/>
      </w:pPr>
      <w:r w:rsidRPr="00DE563B">
        <w:rPr>
          <w:rFonts w:eastAsiaTheme="minorEastAsia"/>
        </w:rPr>
        <w:t>ii)</w:t>
      </w:r>
      <w:r w:rsidRPr="00DE563B">
        <w:rPr>
          <w:rFonts w:eastAsiaTheme="minorEastAsia"/>
        </w:rPr>
        <w:tab/>
      </w:r>
      <w:r w:rsidRPr="00DE563B">
        <w:t>Détermination des éléments de coût admissibles au recouvrement</w:t>
      </w:r>
      <w:r w:rsidR="00D124C1" w:rsidRPr="00DE563B">
        <w:t>.</w:t>
      </w:r>
    </w:p>
    <w:p w14:paraId="5827F5DF" w14:textId="21922CC4" w:rsidR="0040775D" w:rsidRPr="00DE563B" w:rsidRDefault="0040775D" w:rsidP="002E002A">
      <w:pPr>
        <w:pStyle w:val="enumlev1"/>
        <w:jc w:val="both"/>
      </w:pPr>
      <w:r w:rsidRPr="00DE563B">
        <w:rPr>
          <w:rFonts w:eastAsiaTheme="minorEastAsia"/>
        </w:rPr>
        <w:t>iii)</w:t>
      </w:r>
      <w:r w:rsidRPr="00DE563B">
        <w:rPr>
          <w:rFonts w:eastAsiaTheme="minorEastAsia"/>
        </w:rPr>
        <w:tab/>
      </w:r>
      <w:r w:rsidRPr="00DE563B">
        <w:t>Calcul des coûts correspondants à l</w:t>
      </w:r>
      <w:r w:rsidR="00E26C96" w:rsidRPr="00DE563B">
        <w:t>'</w:t>
      </w:r>
      <w:r w:rsidRPr="00DE563B">
        <w:t>aide d</w:t>
      </w:r>
      <w:r w:rsidR="00E26C96" w:rsidRPr="00DE563B">
        <w:t>'</w:t>
      </w:r>
      <w:r w:rsidRPr="00DE563B">
        <w:t>estimations du temps de travail et des autres ressources nécessaires</w:t>
      </w:r>
      <w:r w:rsidR="00D124C1" w:rsidRPr="00DE563B">
        <w:t>.</w:t>
      </w:r>
    </w:p>
    <w:p w14:paraId="101043D5" w14:textId="7FCC19B1" w:rsidR="0040775D" w:rsidRPr="00DE563B" w:rsidRDefault="0040775D" w:rsidP="002E002A">
      <w:pPr>
        <w:pStyle w:val="enumlev1"/>
        <w:jc w:val="both"/>
      </w:pPr>
      <w:r w:rsidRPr="00DE563B">
        <w:rPr>
          <w:rFonts w:eastAsiaTheme="minorEastAsia"/>
        </w:rPr>
        <w:t>iv)</w:t>
      </w:r>
      <w:r w:rsidRPr="00DE563B">
        <w:rPr>
          <w:rFonts w:eastAsiaTheme="minorEastAsia"/>
        </w:rPr>
        <w:tab/>
      </w:r>
      <w:r w:rsidRPr="00DE563B">
        <w:t>Définition et application d'une méthode d'imputation des coûts</w:t>
      </w:r>
      <w:r w:rsidR="00D124C1" w:rsidRPr="00DE563B">
        <w:t>.</w:t>
      </w:r>
    </w:p>
    <w:p w14:paraId="5B06F15C" w14:textId="0023577F" w:rsidR="0040775D" w:rsidRPr="00DE563B" w:rsidRDefault="0040775D" w:rsidP="002E002A">
      <w:pPr>
        <w:pStyle w:val="enumlev1"/>
        <w:jc w:val="both"/>
      </w:pPr>
      <w:r w:rsidRPr="00DE563B">
        <w:rPr>
          <w:rFonts w:eastAsiaTheme="minorEastAsia"/>
        </w:rPr>
        <w:t>v)</w:t>
      </w:r>
      <w:r w:rsidRPr="00DE563B">
        <w:rPr>
          <w:rFonts w:eastAsiaTheme="minorEastAsia"/>
        </w:rPr>
        <w:tab/>
      </w:r>
      <w:r w:rsidRPr="00DE563B">
        <w:t>Prévision de la demande pour estimer le volume des services pour lesquels des droits seront facturés</w:t>
      </w:r>
      <w:r w:rsidR="00D124C1" w:rsidRPr="00DE563B">
        <w:t>.</w:t>
      </w:r>
    </w:p>
    <w:p w14:paraId="34662BFE" w14:textId="66E062AD" w:rsidR="0040775D" w:rsidRPr="00DE563B" w:rsidRDefault="0040775D" w:rsidP="002E002A">
      <w:pPr>
        <w:pStyle w:val="enumlev1"/>
        <w:jc w:val="both"/>
      </w:pPr>
      <w:r w:rsidRPr="00DE563B">
        <w:rPr>
          <w:rFonts w:eastAsiaTheme="minorEastAsia"/>
        </w:rPr>
        <w:t>vi)</w:t>
      </w:r>
      <w:r w:rsidRPr="00DE563B">
        <w:rPr>
          <w:rFonts w:eastAsiaTheme="minorEastAsia"/>
        </w:rPr>
        <w:tab/>
      </w:r>
      <w:r w:rsidRPr="00DE563B">
        <w:t>Détermination et approbation des droits</w:t>
      </w:r>
      <w:r w:rsidR="00D124C1" w:rsidRPr="00DE563B">
        <w:t>.</w:t>
      </w:r>
    </w:p>
    <w:p w14:paraId="4EB27362" w14:textId="493661E3" w:rsidR="0040775D" w:rsidRPr="00DE563B" w:rsidRDefault="0040775D" w:rsidP="002E002A">
      <w:pPr>
        <w:pStyle w:val="enumlev1"/>
        <w:jc w:val="both"/>
      </w:pPr>
      <w:r w:rsidRPr="00DE563B">
        <w:rPr>
          <w:rFonts w:eastAsiaTheme="minorEastAsia"/>
        </w:rPr>
        <w:t>vii)</w:t>
      </w:r>
      <w:r w:rsidRPr="00DE563B">
        <w:rPr>
          <w:rFonts w:eastAsiaTheme="minorEastAsia"/>
        </w:rPr>
        <w:tab/>
      </w:r>
      <w:r w:rsidRPr="00DE563B">
        <w:t>Examen et évaluation périodiques</w:t>
      </w:r>
      <w:r w:rsidR="00D124C1" w:rsidRPr="00DE563B">
        <w:t>.</w:t>
      </w:r>
    </w:p>
    <w:p w14:paraId="2F0154B6" w14:textId="46561DED" w:rsidR="0040775D" w:rsidRPr="00DE563B" w:rsidRDefault="0040775D" w:rsidP="002E002A">
      <w:pPr>
        <w:jc w:val="both"/>
      </w:pPr>
      <w:r w:rsidRPr="00DE563B">
        <w:t>Chacune de ces étapes est examinée plus avant ci-dessous.</w:t>
      </w:r>
    </w:p>
    <w:p w14:paraId="611BA959" w14:textId="77777777" w:rsidR="0040775D" w:rsidRPr="00DE563B" w:rsidRDefault="0040775D" w:rsidP="002E002A">
      <w:pPr>
        <w:pStyle w:val="Heading2"/>
        <w:jc w:val="both"/>
      </w:pPr>
      <w:r w:rsidRPr="00DE563B">
        <w:t>2.2</w:t>
      </w:r>
      <w:r w:rsidRPr="00DE563B">
        <w:tab/>
        <w:t>Principes de recouvrement des coûts</w:t>
      </w:r>
    </w:p>
    <w:p w14:paraId="7D3CB65C" w14:textId="2CD3F290" w:rsidR="0040775D" w:rsidRPr="00DE563B" w:rsidRDefault="0040775D" w:rsidP="002E002A">
      <w:pPr>
        <w:jc w:val="both"/>
      </w:pPr>
      <w:r w:rsidRPr="00DE563B">
        <w:t>Les principes régissant le recouvrement des coûts des produits et des services de l</w:t>
      </w:r>
      <w:r w:rsidR="00E26C96" w:rsidRPr="00DE563B">
        <w:t>'</w:t>
      </w:r>
      <w:r w:rsidRPr="00DE563B">
        <w:t>UIT sont définis dans la Résolution 91 (Rév. Guadalajara, 2010). Eu égard à ces principes, les points suivants restent à clarifier, et devraient être examinés par le Conseil, si l'on veut disposer d'un cadre solide pour administrer les droits à acquitter pour le traitement des fiches de notification des réseaux à satellite.</w:t>
      </w:r>
    </w:p>
    <w:p w14:paraId="1D2CF15E" w14:textId="77777777" w:rsidR="0040775D" w:rsidRPr="00DE563B" w:rsidRDefault="0040775D" w:rsidP="002E002A">
      <w:pPr>
        <w:pStyle w:val="Headingb"/>
        <w:jc w:val="both"/>
      </w:pPr>
      <w:r w:rsidRPr="00DE563B">
        <w:t>Recouvrement de l'intégralité des coûts</w:t>
      </w:r>
    </w:p>
    <w:p w14:paraId="6034660F" w14:textId="70C6EC7B" w:rsidR="0040775D" w:rsidRPr="00DE563B" w:rsidRDefault="0040775D" w:rsidP="002E002A">
      <w:pPr>
        <w:jc w:val="both"/>
      </w:pPr>
      <w:r w:rsidRPr="00DE563B">
        <w:t xml:space="preserve">Conformément au point 4 i) du </w:t>
      </w:r>
      <w:r w:rsidRPr="00DE563B">
        <w:rPr>
          <w:i/>
          <w:iCs/>
        </w:rPr>
        <w:t>décide</w:t>
      </w:r>
      <w:r w:rsidRPr="00DE563B">
        <w:t xml:space="preserve"> de la Résolution 91, les droits perçus au titre du traitement des fiches de notification des réseaux à satellite devraient couvrir les coûts directs et indirects de ce traitement, c'est-à-dire l'ensemble des coûts engagés pour produire les fiches.</w:t>
      </w:r>
    </w:p>
    <w:p w14:paraId="553C2F28" w14:textId="4D631D2F" w:rsidR="0040775D" w:rsidRPr="00DE563B" w:rsidRDefault="0040775D" w:rsidP="002E002A">
      <w:pPr>
        <w:jc w:val="both"/>
      </w:pPr>
      <w:r w:rsidRPr="00DE563B">
        <w:lastRenderedPageBreak/>
        <w:t>Il s'ensuit clairement, d'après le Secrétariat, que le principe du recouvrement des coûts intégraux devrait s</w:t>
      </w:r>
      <w:r w:rsidR="00E26C96" w:rsidRPr="00DE563B">
        <w:t>'</w:t>
      </w:r>
      <w:r w:rsidRPr="00DE563B">
        <w:t>appliquer pour tous les calculs de coûts relatifs aux fiches de notification, sous réserve de veiller à ce que les coûts indirects soient imputés selon une méthode cohérente et transparente.</w:t>
      </w:r>
    </w:p>
    <w:p w14:paraId="00E9E5FB" w14:textId="77777777" w:rsidR="0040775D" w:rsidRPr="00DE563B" w:rsidRDefault="0040775D" w:rsidP="0040775D">
      <w:pPr>
        <w:pStyle w:val="Headingb"/>
      </w:pPr>
      <w:r w:rsidRPr="00DE563B">
        <w:t>Traitement des franchises</w:t>
      </w:r>
    </w:p>
    <w:p w14:paraId="2828767F" w14:textId="17E9AB39" w:rsidR="0040775D" w:rsidRPr="00DE563B" w:rsidRDefault="0040775D" w:rsidP="002E002A">
      <w:pPr>
        <w:jc w:val="both"/>
      </w:pPr>
      <w:r w:rsidRPr="00DE563B">
        <w:t xml:space="preserve">La Résolution 91 prévoit la possibilité d'accorder à tous les </w:t>
      </w:r>
      <w:r w:rsidR="00D124C1" w:rsidRPr="00DE563B">
        <w:t>États</w:t>
      </w:r>
      <w:r w:rsidRPr="00DE563B">
        <w:t xml:space="preserve"> Membres un niveau adéquat de produits ou de services gratuits par exception au recouvrement des coûts; il n</w:t>
      </w:r>
      <w:r w:rsidR="00E26C96" w:rsidRPr="00DE563B">
        <w:t>'</w:t>
      </w:r>
      <w:r w:rsidRPr="00DE563B">
        <w:t xml:space="preserve">est pas certain cependant que le cadre actuellement applicable en matière de franchises soit pleinement conforme aux points 3 ii) et 4 vii) du </w:t>
      </w:r>
      <w:r w:rsidRPr="00DE563B">
        <w:rPr>
          <w:i/>
          <w:iCs/>
        </w:rPr>
        <w:t>décide</w:t>
      </w:r>
      <w:r w:rsidRPr="00DE563B">
        <w:t>.</w:t>
      </w:r>
    </w:p>
    <w:p w14:paraId="3356B557" w14:textId="7CA0757F" w:rsidR="0040775D" w:rsidRPr="00DE563B" w:rsidRDefault="0040775D" w:rsidP="002E002A">
      <w:pPr>
        <w:jc w:val="both"/>
      </w:pPr>
      <w:r w:rsidRPr="00DE563B">
        <w:t xml:space="preserve">Les "franchises" prévues dans la Décision 482 du Conseil donnent effet à cette prescription. La franchise est un avantage offert à tous les États Membres qui autorise une fiche de notification gratuite par État </w:t>
      </w:r>
      <w:r w:rsidR="00D124C1" w:rsidRPr="00DE563B">
        <w:t>M</w:t>
      </w:r>
      <w:r w:rsidRPr="00DE563B">
        <w:t xml:space="preserve">embre et par an, chacun étant libre de choisir lequel de ses réseaux à satellite bénéficiera de la franchise. Un État Membre soumettant plusieurs fiches (ce qui est généralement le cas des grands pays développés) peut sélectionner la fiche la plus complexe (la plus onéreuse), ce qui optimise l'avantage de la franchise de façon disproportionnée par rapport aux administrations qui présentent des fiches de notification moins souvent. Un État Membre qui ne présente qu'une seule fiche par an ne peut utiliser la franchise que pour cette fiche. On est fondé à estimer que cela ne tient pas suffisamment compte des niveaux différents d'utilisation des fiches de notification qui caractérisent quelques États </w:t>
      </w:r>
      <w:r w:rsidR="00555293" w:rsidRPr="00DE563B">
        <w:t>M</w:t>
      </w:r>
      <w:r w:rsidRPr="00DE563B">
        <w:t xml:space="preserve">embres (en contravention du point 3 ii) du </w:t>
      </w:r>
      <w:r w:rsidRPr="00DE563B">
        <w:rPr>
          <w:i/>
          <w:iCs/>
        </w:rPr>
        <w:t>décide</w:t>
      </w:r>
      <w:r w:rsidRPr="00DE563B">
        <w:t xml:space="preserve"> de la Résolution 91), et qu'il en résulte une utilisation discriminatoire du service, en contravention du principe de "niveau adéquat" figurant au point 4 vii) du </w:t>
      </w:r>
      <w:r w:rsidRPr="00DE563B">
        <w:rPr>
          <w:i/>
          <w:iCs/>
        </w:rPr>
        <w:t>décide</w:t>
      </w:r>
      <w:r w:rsidRPr="00DE563B">
        <w:t xml:space="preserve"> de la Résolution 91.</w:t>
      </w:r>
    </w:p>
    <w:p w14:paraId="2077895C" w14:textId="08569DD2" w:rsidR="0040775D" w:rsidRPr="00DE563B" w:rsidRDefault="0040775D" w:rsidP="002E002A">
      <w:pPr>
        <w:jc w:val="both"/>
      </w:pPr>
      <w:r w:rsidRPr="00DE563B">
        <w:t xml:space="preserve">Le régime des franchises, par son uniformité, ne tient pas compte non plus des besoins particuliers des pays en développement, contrairement à ce que prescrit le point 4 vi) du </w:t>
      </w:r>
      <w:r w:rsidRPr="00DE563B">
        <w:rPr>
          <w:i/>
          <w:iCs/>
        </w:rPr>
        <w:t>décide</w:t>
      </w:r>
      <w:r w:rsidRPr="00DE563B">
        <w:t xml:space="preserve"> de la Résolution 91. Ces pays ne bénéficient d</w:t>
      </w:r>
      <w:r w:rsidR="00E26C96" w:rsidRPr="00DE563B">
        <w:t>'</w:t>
      </w:r>
      <w:r w:rsidRPr="00DE563B">
        <w:t>aucun traitement spécial et utilisent parfois leur franchise en passant des accords de partage des avantages avec de grands opérateurs multinationaux commerciaux de réseaux à satellite ayant leur siège dans les pays développés.</w:t>
      </w:r>
    </w:p>
    <w:p w14:paraId="24DD59D7" w14:textId="2A372CBB" w:rsidR="0040775D" w:rsidRPr="00DE563B" w:rsidRDefault="0040775D" w:rsidP="002E002A">
      <w:pPr>
        <w:jc w:val="both"/>
      </w:pPr>
      <w:r w:rsidRPr="00DE563B">
        <w:t>Certaines délégations ont fait valoir, lors des réunions de janvier 2026 du GTC-FHR, que les coûts directs et indirects engagés par le Secrétariat pour le traitement des fiches de notification de réseaux à satellite bénéficiant de la franchise devraient être imputés sur le budget ordinaire de l'UIT et que la méthode de recouvrement des coûts ne devrait pas leur être appliquée. À l'heure actuelle, étant donné que le montant total des coûts engagés par le Secrétariat pour traiter les fiches de notification de réseaux à satellite n'a pas été recouvré au cours des cinq dernières années (au-delà des fiches bénéficiant de la franchise de droit), le coût du traitement des fiches bénéficiant de la franchise est entièrement financé par les contributions mises en recouvrement des membres de l</w:t>
      </w:r>
      <w:r w:rsidR="00E26C96" w:rsidRPr="00DE563B">
        <w:t>'</w:t>
      </w:r>
      <w:r w:rsidRPr="00DE563B">
        <w:t>UIT; le Secrétariat est d'avis toutefois que cela est incompatible avec la Résolution 91 de la Conférence de plénipotentiaires.</w:t>
      </w:r>
    </w:p>
    <w:p w14:paraId="5ACC4CE8" w14:textId="77777777" w:rsidR="0040775D" w:rsidRPr="00DE563B" w:rsidRDefault="0040775D" w:rsidP="002E002A">
      <w:pPr>
        <w:jc w:val="both"/>
      </w:pPr>
      <w:r w:rsidRPr="00DE563B">
        <w:t xml:space="preserve">Il ressort d'une lecture parallèle de la Résolution 91 de la Conférence de plénipotentiaires et de la Décision 482 du Conseil que le service des fiches de notification de réseaux à satellite fait partie intégrante du régime de recouvrement des coûts de l'UIT, et que l'interprétation des règles d'application détaillées du Conseil doit être compatible avec ce cadre général. Si la Décision 482 accorde à chaque État Membre une franchise annuelle se limitant à une fiche de notification, cette franchise devrait, selon le Secrétariat, être considérée comme un élément à part entière du modèle de facturation et non comme une raison d'exclure les coûts </w:t>
      </w:r>
      <w:r w:rsidRPr="00DE563B">
        <w:lastRenderedPageBreak/>
        <w:t>correspondants du calcul général du recouvrement des coûts de traitement des fiches de notification des réseaux à satellite. Le Secrétariat fait donc l'interprétation suivante de ces dispositions: les coûts de traitement des franchises, puisque ces coûts sont engagés pour traiter des fiches assujetties au recouvrement des coûts, devraient faire partie du montant total des coûts recouvrés au titre du traitement des fiches de notification des réseaux à satellite.</w:t>
      </w:r>
    </w:p>
    <w:p w14:paraId="6AAF4086" w14:textId="3A730013" w:rsidR="0040775D" w:rsidRPr="00DE563B" w:rsidRDefault="0040775D" w:rsidP="002E002A">
      <w:pPr>
        <w:jc w:val="both"/>
      </w:pPr>
      <w:r w:rsidRPr="00DE563B">
        <w:t>Compte tenu de ce qui précède, le Secrétariat recommande au Conseil d</w:t>
      </w:r>
      <w:r w:rsidR="00E26C96" w:rsidRPr="00DE563B">
        <w:t>'</w:t>
      </w:r>
      <w:r w:rsidRPr="00DE563B">
        <w:t>envisager:</w:t>
      </w:r>
    </w:p>
    <w:p w14:paraId="604B4DE9" w14:textId="7D4F3DBE" w:rsidR="0040775D" w:rsidRPr="00DE563B" w:rsidRDefault="0040775D" w:rsidP="002E002A">
      <w:pPr>
        <w:pStyle w:val="enumlev1"/>
        <w:jc w:val="both"/>
      </w:pPr>
      <w:r w:rsidRPr="00DE563B">
        <w:t>–</w:t>
      </w:r>
      <w:r w:rsidRPr="00DE563B">
        <w:tab/>
        <w:t xml:space="preserve">de réviser la Décision 482 pour retirer aux États </w:t>
      </w:r>
      <w:r w:rsidR="006A3B4C" w:rsidRPr="00DE563B">
        <w:t>M</w:t>
      </w:r>
      <w:r w:rsidRPr="00DE563B">
        <w:t>embres la possibilité de choisir le réseau à satellite particulier auquel s</w:t>
      </w:r>
      <w:r w:rsidR="00E26C96" w:rsidRPr="00DE563B">
        <w:t>'</w:t>
      </w:r>
      <w:r w:rsidRPr="00DE563B">
        <w:t>applique la franchise, celle-ci devenant valable uniquement pour la fiche de notification la moins onéreuse de l</w:t>
      </w:r>
      <w:r w:rsidR="00E26C96" w:rsidRPr="00DE563B">
        <w:t>'</w:t>
      </w:r>
      <w:r w:rsidRPr="00DE563B">
        <w:t>année. Pour l'année</w:t>
      </w:r>
      <w:r w:rsidR="006A3B4C" w:rsidRPr="00DE563B">
        <w:t> </w:t>
      </w:r>
      <w:r w:rsidRPr="00DE563B">
        <w:t>2024, les incidences financières de cette proposition se seraient élevées à 989</w:t>
      </w:r>
      <w:r w:rsidR="006A3B4C" w:rsidRPr="00DE563B">
        <w:t> </w:t>
      </w:r>
      <w:r w:rsidRPr="00DE563B">
        <w:t>166 CHF de produits supplémentaires; ou</w:t>
      </w:r>
    </w:p>
    <w:p w14:paraId="43F8DFCD" w14:textId="07EEF64D" w:rsidR="0040775D" w:rsidRPr="00DE563B" w:rsidRDefault="0040775D" w:rsidP="002E002A">
      <w:pPr>
        <w:pStyle w:val="enumlev1"/>
        <w:jc w:val="both"/>
      </w:pPr>
      <w:r w:rsidRPr="00DE563B">
        <w:t>–</w:t>
      </w:r>
      <w:r w:rsidRPr="00DE563B">
        <w:tab/>
        <w:t>de réviser la Décision 482 pour limiter le bénéfice de la franchise aux PMA, aux PEID, aux PDSL et aux pays en transition. Pour l'année 2024, les incidences financières de cette proposition se seraient élevées à environ 772 000 CHF de produits supplémentaires au titre du traitement des fiches de notification des réseaux à satellite</w:t>
      </w:r>
      <w:r w:rsidR="006A3B4C" w:rsidRPr="00DE563B">
        <w:t>.</w:t>
      </w:r>
    </w:p>
    <w:p w14:paraId="3DAE947D" w14:textId="77777777" w:rsidR="0040775D" w:rsidRPr="00DE563B" w:rsidRDefault="0040775D" w:rsidP="002E002A">
      <w:pPr>
        <w:pStyle w:val="enumlev1"/>
        <w:widowControl w:val="0"/>
        <w:ind w:left="0" w:firstLine="0"/>
        <w:jc w:val="both"/>
      </w:pPr>
      <w:r w:rsidRPr="00DE563B">
        <w:t>En tout état de cause, le Secrétariat estime que si l'on se fonde sur les dispositions de la Résolution 91 de la Conférence de plénipotentiaires, les dépenses du Secrétariat relatives aux franchises devraient continuer de faire partie du calcul des coûts directs et indirects à recouvrer pour le traitement des fiches de notification des réseaux à satellite.</w:t>
      </w:r>
    </w:p>
    <w:p w14:paraId="6D835128" w14:textId="77777777" w:rsidR="0040775D" w:rsidRPr="00DE563B" w:rsidRDefault="0040775D" w:rsidP="002E002A">
      <w:pPr>
        <w:pStyle w:val="Heading2"/>
        <w:jc w:val="both"/>
      </w:pPr>
      <w:r w:rsidRPr="00DE563B">
        <w:t>2.3</w:t>
      </w:r>
      <w:r w:rsidRPr="00DE563B">
        <w:tab/>
        <w:t>Détermination des éléments de coût à recouvrer</w:t>
      </w:r>
    </w:p>
    <w:p w14:paraId="61CD4BE3" w14:textId="77777777" w:rsidR="0040775D" w:rsidRPr="00DE563B" w:rsidRDefault="0040775D" w:rsidP="002E002A">
      <w:pPr>
        <w:jc w:val="both"/>
      </w:pPr>
      <w:r w:rsidRPr="00DE563B">
        <w:rPr>
          <w:spacing w:val="-2"/>
        </w:rPr>
        <w:t>Les éléments de coût pouvant faire l'objet d'un recouvrement, et les principes concrets appliqués pour déterminer l'imputation des coûts, sont détaillés en fonction des catégories suivantes.</w:t>
      </w:r>
    </w:p>
    <w:p w14:paraId="1BE53416" w14:textId="77777777" w:rsidR="0040775D" w:rsidRPr="00DE563B" w:rsidRDefault="0040775D" w:rsidP="002E002A">
      <w:pPr>
        <w:pStyle w:val="Headingb"/>
        <w:jc w:val="both"/>
      </w:pPr>
      <w:r w:rsidRPr="00DE563B">
        <w:t>Coûts directs</w:t>
      </w:r>
    </w:p>
    <w:p w14:paraId="430BE3B1" w14:textId="7DCC7740" w:rsidR="0040775D" w:rsidRPr="00DE563B" w:rsidRDefault="0040775D" w:rsidP="002E002A">
      <w:pPr>
        <w:spacing w:before="100"/>
        <w:jc w:val="both"/>
      </w:pPr>
      <w:r w:rsidRPr="00DE563B">
        <w:t>Les coûts directs représentent les ressources que l'on peut clairement et directement imputer au traitement des fiches de notification des réseaux à satellite. Ils comprennent les dépenses du Bureau des radiocommunications (BR) relatives au personnel chargé de l</w:t>
      </w:r>
      <w:r w:rsidR="00E26C96" w:rsidRPr="00DE563B">
        <w:t>'</w:t>
      </w:r>
      <w:r w:rsidRPr="00DE563B">
        <w:t>examen technique, des activités de coordination, du traitement réglementaire et de l'appui opérationnel connexe. Ces coûts sont imputés intégralement au traitement des fiches de notification des réseaux à satellite et constituent donc l'élément central du modèle de recouvrement des coûts, comme l'illustrent les tableaux ci-après.</w:t>
      </w:r>
    </w:p>
    <w:p w14:paraId="3A2AE3E1" w14:textId="0ED1A200" w:rsidR="0040775D" w:rsidRPr="00DE563B" w:rsidRDefault="00BD0EAD" w:rsidP="00BD0EAD">
      <w:pPr>
        <w:pStyle w:val="Figure"/>
        <w:spacing w:after="120"/>
        <w:rPr>
          <w:rFonts w:asciiTheme="minorHAnsi" w:hAnsiTheme="minorHAnsi" w:cstheme="minorHAnsi"/>
        </w:rPr>
      </w:pPr>
      <w:r w:rsidRPr="00DE563B">
        <w:rPr>
          <w:noProof/>
        </w:rPr>
        <w:lastRenderedPageBreak/>
        <w:drawing>
          <wp:inline distT="0" distB="0" distL="0" distR="0" wp14:anchorId="5EFA567E" wp14:editId="1B409306">
            <wp:extent cx="3070860" cy="3554095"/>
            <wp:effectExtent l="0" t="0" r="0" b="8255"/>
            <wp:docPr id="855114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0860" cy="3554095"/>
                    </a:xfrm>
                    <a:prstGeom prst="rect">
                      <a:avLst/>
                    </a:prstGeom>
                    <a:noFill/>
                    <a:ln>
                      <a:noFill/>
                    </a:ln>
                  </pic:spPr>
                </pic:pic>
              </a:graphicData>
            </a:graphic>
          </wp:inline>
        </w:drawing>
      </w:r>
    </w:p>
    <w:p w14:paraId="0640C44A" w14:textId="77777777" w:rsidR="0040775D" w:rsidRPr="00DE563B" w:rsidRDefault="0040775D" w:rsidP="002E002A">
      <w:pPr>
        <w:pStyle w:val="Headingb"/>
      </w:pPr>
      <w:r w:rsidRPr="00DE563B">
        <w:t>Systèmes de base et capacités de modernisation pour le traitement des fiches de notification des réseaux à satellite</w:t>
      </w:r>
    </w:p>
    <w:p w14:paraId="7DB70BB1" w14:textId="3F81377C" w:rsidR="0040775D" w:rsidRPr="00DE563B" w:rsidRDefault="0040775D" w:rsidP="002E002A">
      <w:pPr>
        <w:jc w:val="both"/>
      </w:pPr>
      <w:r w:rsidRPr="00DE563B">
        <w:t>À sa session de 2025, le Conseil a approuvé l'affectation au Fonds de roulement pour les TIC d'un montant annuel de 0,5 million CHF, financé par les droits perçus au titre du traitement des fiches de notification des réseaux à satellite, pour le développement des logiciels du BR pour la période 2026-2027.</w:t>
      </w:r>
    </w:p>
    <w:p w14:paraId="72488A12" w14:textId="5B3A6C5B" w:rsidR="0040775D" w:rsidRPr="00DE563B" w:rsidRDefault="0040775D" w:rsidP="002E002A">
      <w:pPr>
        <w:jc w:val="both"/>
      </w:pPr>
      <w:r w:rsidRPr="00DE563B">
        <w:t>Si l'investissement ainsi proposé marque une étape importante, il ne couvre pas intégralement les ressources nécessaires pour continuer de développer et d'améliorer les systèmes liés aux fiches de notification. Il a donc été prévu de maintenir un financement d'un montant annuel de 500 000 CHF pour garantir l'exécution des fonctions essentielles et répondre à l'évolution des exigences opérationnelles et réglementaires liées au traitement des fiches de notification des réseaux à satellite.</w:t>
      </w:r>
    </w:p>
    <w:p w14:paraId="025BD792" w14:textId="6EEDD231" w:rsidR="0040775D" w:rsidRPr="00DE563B" w:rsidRDefault="0040775D" w:rsidP="002E002A">
      <w:pPr>
        <w:spacing w:before="100"/>
        <w:jc w:val="both"/>
      </w:pPr>
      <w:r w:rsidRPr="00DE563B">
        <w:t>L'UIT assume aussi les coûts directement imputables au traitement des fiches de notification des réseaux à satellite engagés par les Départements ISD, FRMD et C&amp;P, comme indiqué ci</w:t>
      </w:r>
      <w:r w:rsidR="00300716" w:rsidRPr="00DE563B">
        <w:noBreakHyphen/>
      </w:r>
      <w:r w:rsidRPr="00DE563B">
        <w:t>dessous.</w:t>
      </w:r>
    </w:p>
    <w:p w14:paraId="73A11848" w14:textId="5105534A" w:rsidR="00A43023" w:rsidRPr="00DE563B" w:rsidRDefault="00A43023" w:rsidP="00A43023">
      <w:pPr>
        <w:pStyle w:val="Figure"/>
      </w:pPr>
      <w:r w:rsidRPr="00DE563B">
        <w:rPr>
          <w:noProof/>
        </w:rPr>
        <w:lastRenderedPageBreak/>
        <w:drawing>
          <wp:inline distT="0" distB="0" distL="0" distR="0" wp14:anchorId="5B4F1F18" wp14:editId="698A6F8B">
            <wp:extent cx="5760085" cy="3429635"/>
            <wp:effectExtent l="0" t="0" r="0" b="0"/>
            <wp:docPr id="10497576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3429635"/>
                    </a:xfrm>
                    <a:prstGeom prst="rect">
                      <a:avLst/>
                    </a:prstGeom>
                    <a:noFill/>
                    <a:ln>
                      <a:noFill/>
                    </a:ln>
                  </pic:spPr>
                </pic:pic>
              </a:graphicData>
            </a:graphic>
          </wp:inline>
        </w:drawing>
      </w:r>
    </w:p>
    <w:p w14:paraId="0FEDE37B" w14:textId="77777777" w:rsidR="0040775D" w:rsidRPr="00DE563B" w:rsidRDefault="0040775D" w:rsidP="0040775D">
      <w:pPr>
        <w:pStyle w:val="Headingb"/>
      </w:pPr>
      <w:r w:rsidRPr="00DE563B">
        <w:t>Coûts indirects</w:t>
      </w:r>
    </w:p>
    <w:p w14:paraId="343C902B" w14:textId="54AF6696" w:rsidR="0040775D" w:rsidRPr="00DE563B" w:rsidRDefault="0040775D" w:rsidP="002E002A">
      <w:pPr>
        <w:jc w:val="both"/>
      </w:pPr>
      <w:r w:rsidRPr="00DE563B">
        <w:t>Parallèlement aux coûts directs, les activités liées aux fiches de notification des réseaux à satellite font appel à une gamme de services généraux qui contribuent au fonctionnement de l</w:t>
      </w:r>
      <w:r w:rsidR="00E26C96" w:rsidRPr="00DE563B">
        <w:t>'</w:t>
      </w:r>
      <w:r w:rsidRPr="00DE563B">
        <w:t>organisation dans son ensemble. Pour faire en sorte qu'il soit bien tenu compte du coût intégral des services afférents aux fiches de notification, la part correspondante de ces services d'appui est imputée aux fiches de notification sur la base de facteurs pratiques et mesurables traduisant l</w:t>
      </w:r>
      <w:r w:rsidR="00E26C96" w:rsidRPr="00DE563B">
        <w:t>'</w:t>
      </w:r>
      <w:r w:rsidRPr="00DE563B">
        <w:t>utilisation réelle du traitement des fiches de notification des réseaux à satellite.</w:t>
      </w:r>
    </w:p>
    <w:p w14:paraId="12739B17" w14:textId="77777777" w:rsidR="0040775D" w:rsidRPr="00DE563B" w:rsidRDefault="0040775D" w:rsidP="002E002A">
      <w:pPr>
        <w:jc w:val="both"/>
      </w:pPr>
      <w:r w:rsidRPr="00DE563B">
        <w:t>Les assiettes d'imputation ont été déterminées par voie de consultation avec les services des départements concernés et sont conçues dans un souci d'équilibre entre la transparence, la faisabilité opérationnelle et la disponibilité des données.</w:t>
      </w:r>
    </w:p>
    <w:p w14:paraId="7811702F" w14:textId="7958637A" w:rsidR="0040775D" w:rsidRPr="00DE563B" w:rsidRDefault="0040775D" w:rsidP="002E002A">
      <w:pPr>
        <w:jc w:val="both"/>
      </w:pPr>
      <w:r w:rsidRPr="00DE563B">
        <w:t>Le coût des services est principalement imputé comme suit:</w:t>
      </w:r>
    </w:p>
    <w:p w14:paraId="5009A911" w14:textId="77777777" w:rsidR="0040775D" w:rsidRPr="00DE563B" w:rsidRDefault="0040775D" w:rsidP="002E002A">
      <w:pPr>
        <w:pStyle w:val="enumlev1"/>
        <w:jc w:val="both"/>
        <w:rPr>
          <w:b/>
          <w:bCs/>
        </w:rPr>
      </w:pPr>
      <w:r w:rsidRPr="00DE563B">
        <w:t>–</w:t>
      </w:r>
      <w:r w:rsidRPr="00DE563B">
        <w:rPr>
          <w:b/>
          <w:bCs/>
        </w:rPr>
        <w:tab/>
        <w:t>Haute direction</w:t>
      </w:r>
    </w:p>
    <w:p w14:paraId="1DA7E3E5" w14:textId="0031B7D8" w:rsidR="0040775D" w:rsidRPr="00DE563B" w:rsidRDefault="0040775D" w:rsidP="002E002A">
      <w:pPr>
        <w:pStyle w:val="enumlev1"/>
        <w:jc w:val="both"/>
      </w:pPr>
      <w:r w:rsidRPr="00DE563B">
        <w:tab/>
        <w:t>Une partie limitée du temps de travail des membres de la haute direction est inscrite dans la structure de coût des fiches de notification des réseaux à satellite pour tenir compte des décisions stratégiques et opérationnelles prises au plus haut niveau et du dialogue nécessaire avec les membres et des responsabilités de contrôle exercées par la Secrétaire générale et le Vice-Secrétaire général en ce qui concerne les fiches de notification.</w:t>
      </w:r>
    </w:p>
    <w:p w14:paraId="4CDE7F30" w14:textId="77777777" w:rsidR="0040775D" w:rsidRPr="00DE563B" w:rsidRDefault="0040775D" w:rsidP="002E002A">
      <w:pPr>
        <w:pStyle w:val="enumlev1"/>
        <w:jc w:val="both"/>
      </w:pPr>
      <w:r w:rsidRPr="00DE563B">
        <w:tab/>
        <w:t>Pour les besoins du modèle d'établissement des coûts, cette contribution a été prudemment estimée à 2% (18,1 milliers CHF) du temps de la direction, en tenant uniquement compte des activités pouvant être directement imputées aux questions relatives aux fiches de notification. Les coûts y afférents sont répartis suivant les mêmes principes que ceux appliqués aux autres rubriques de coûts indirects, ce qui garantit la cohérence et la proportionnalité dans l'application de la méthode globale.</w:t>
      </w:r>
    </w:p>
    <w:p w14:paraId="0EC23AB8" w14:textId="0E667C17" w:rsidR="0040775D" w:rsidRPr="00DE563B" w:rsidRDefault="0040775D" w:rsidP="000E4064">
      <w:pPr>
        <w:pStyle w:val="enumlev1"/>
        <w:keepNext/>
        <w:keepLines/>
        <w:rPr>
          <w:b/>
          <w:bCs/>
        </w:rPr>
      </w:pPr>
      <w:r w:rsidRPr="00DE563B">
        <w:lastRenderedPageBreak/>
        <w:t>–</w:t>
      </w:r>
      <w:r w:rsidRPr="00DE563B">
        <w:rPr>
          <w:b/>
          <w:bCs/>
        </w:rPr>
        <w:tab/>
        <w:t>Département des services informatiques (ISD)</w:t>
      </w:r>
    </w:p>
    <w:p w14:paraId="4C5355FF" w14:textId="77777777" w:rsidR="0040775D" w:rsidRPr="00DE563B" w:rsidRDefault="0040775D" w:rsidP="002E002A">
      <w:pPr>
        <w:pStyle w:val="enumlev1"/>
        <w:jc w:val="both"/>
      </w:pPr>
      <w:r w:rsidRPr="00DE563B">
        <w:tab/>
        <w:t>Le Département ISD fournit l'infrastructure informatique, la cybersécurité, les systèmes d'entreprise et l'appui technique utilisés par le personnel chargé des fiches de notification des réseaux à satellite. Pour l'essentiel, ces coûts sont imputés en calculant le nombre de personnes affectées au traitement des fiches de notification des réseaux à satellite par rapport au total des effectifs de l'UIT, pour tenir compte de l'utilisation générale de l'infrastructure informatique à l'échelle de l'Union.</w:t>
      </w:r>
    </w:p>
    <w:p w14:paraId="585F1F4D" w14:textId="1118BD47" w:rsidR="000E4064" w:rsidRPr="00DE563B" w:rsidRDefault="000E4064" w:rsidP="000E4064">
      <w:pPr>
        <w:pStyle w:val="Figure"/>
      </w:pPr>
      <w:r w:rsidRPr="00DE563B">
        <w:rPr>
          <w:noProof/>
        </w:rPr>
        <w:drawing>
          <wp:inline distT="0" distB="0" distL="0" distR="0" wp14:anchorId="555E88B0" wp14:editId="7D474343">
            <wp:extent cx="5760085" cy="1367155"/>
            <wp:effectExtent l="0" t="0" r="0" b="4445"/>
            <wp:docPr id="11484623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1367155"/>
                    </a:xfrm>
                    <a:prstGeom prst="rect">
                      <a:avLst/>
                    </a:prstGeom>
                    <a:noFill/>
                    <a:ln>
                      <a:noFill/>
                    </a:ln>
                  </pic:spPr>
                </pic:pic>
              </a:graphicData>
            </a:graphic>
          </wp:inline>
        </w:drawing>
      </w:r>
    </w:p>
    <w:p w14:paraId="22CEA14B" w14:textId="77777777" w:rsidR="0040775D" w:rsidRPr="00DE563B" w:rsidRDefault="0040775D" w:rsidP="0040775D">
      <w:pPr>
        <w:pStyle w:val="enumlev1"/>
        <w:rPr>
          <w:b/>
          <w:bCs/>
        </w:rPr>
      </w:pPr>
      <w:r w:rsidRPr="00DE563B">
        <w:t>–</w:t>
      </w:r>
      <w:r w:rsidRPr="00DE563B">
        <w:rPr>
          <w:b/>
          <w:bCs/>
        </w:rPr>
        <w:tab/>
        <w:t>Gestion des installations</w:t>
      </w:r>
    </w:p>
    <w:p w14:paraId="6C0E7729" w14:textId="64694D57" w:rsidR="0040775D" w:rsidRPr="00DE563B" w:rsidRDefault="0040775D" w:rsidP="002E002A">
      <w:pPr>
        <w:pStyle w:val="enumlev1"/>
        <w:jc w:val="both"/>
        <w:rPr>
          <w:rFonts w:asciiTheme="minorHAnsi" w:hAnsiTheme="minorHAnsi" w:cstheme="minorHAnsi"/>
        </w:rPr>
      </w:pPr>
      <w:r w:rsidRPr="00DE563B">
        <w:rPr>
          <w:rFonts w:asciiTheme="minorHAnsi" w:hAnsiTheme="minorHAnsi" w:cstheme="minorHAnsi"/>
        </w:rPr>
        <w:tab/>
        <w:t>Les coûts afférents aux installations comprennent l'occupation des bâtiments, l'entretien des espaces de travail, les équipements collectifs et les autres services physiques utilisés par le personnel chargé du traitement des fiches de notification des réseaux à satellite. Ces coûts sont imputés d'après l</w:t>
      </w:r>
      <w:r w:rsidR="00E26C96" w:rsidRPr="00DE563B">
        <w:rPr>
          <w:rFonts w:asciiTheme="minorHAnsi" w:hAnsiTheme="minorHAnsi" w:cstheme="minorHAnsi"/>
        </w:rPr>
        <w:t>'</w:t>
      </w:r>
      <w:r w:rsidRPr="00DE563B">
        <w:rPr>
          <w:rFonts w:asciiTheme="minorHAnsi" w:hAnsiTheme="minorHAnsi" w:cstheme="minorHAnsi"/>
        </w:rPr>
        <w:t>espace à usage de bureau occupé par ce personnel, en mètres carrés, par rapport à la surface totale de l</w:t>
      </w:r>
      <w:r w:rsidR="00E26C96" w:rsidRPr="00DE563B">
        <w:rPr>
          <w:rFonts w:asciiTheme="minorHAnsi" w:hAnsiTheme="minorHAnsi" w:cstheme="minorHAnsi"/>
        </w:rPr>
        <w:t>'</w:t>
      </w:r>
      <w:r w:rsidRPr="00DE563B">
        <w:rPr>
          <w:rFonts w:asciiTheme="minorHAnsi" w:hAnsiTheme="minorHAnsi" w:cstheme="minorHAnsi"/>
        </w:rPr>
        <w:t xml:space="preserve">espace à usage </w:t>
      </w:r>
      <w:r w:rsidR="00AC1695" w:rsidRPr="00DE563B">
        <w:rPr>
          <w:rFonts w:asciiTheme="minorHAnsi" w:hAnsiTheme="minorHAnsi" w:cstheme="minorHAnsi"/>
        </w:rPr>
        <w:t xml:space="preserve">de </w:t>
      </w:r>
      <w:r w:rsidRPr="00DE563B">
        <w:rPr>
          <w:rFonts w:asciiTheme="minorHAnsi" w:hAnsiTheme="minorHAnsi" w:cstheme="minorHAnsi"/>
        </w:rPr>
        <w:t>bureau de l</w:t>
      </w:r>
      <w:r w:rsidR="00E26C96" w:rsidRPr="00DE563B">
        <w:rPr>
          <w:rFonts w:asciiTheme="minorHAnsi" w:hAnsiTheme="minorHAnsi" w:cstheme="minorHAnsi"/>
        </w:rPr>
        <w:t>'</w:t>
      </w:r>
      <w:r w:rsidRPr="00DE563B">
        <w:rPr>
          <w:rFonts w:asciiTheme="minorHAnsi" w:hAnsiTheme="minorHAnsi" w:cstheme="minorHAnsi"/>
        </w:rPr>
        <w:t>UIT, ce qui donne une représentation concrète de la consommation des ressources des installations.</w:t>
      </w:r>
    </w:p>
    <w:p w14:paraId="043F6F57" w14:textId="2350AAA9" w:rsidR="00AC1695" w:rsidRPr="00DE563B" w:rsidRDefault="00AC1695" w:rsidP="00AC1695">
      <w:pPr>
        <w:pStyle w:val="Figure"/>
      </w:pPr>
      <w:r w:rsidRPr="00DE563B">
        <w:rPr>
          <w:noProof/>
        </w:rPr>
        <w:drawing>
          <wp:inline distT="0" distB="0" distL="0" distR="0" wp14:anchorId="3E773121" wp14:editId="31EE7023">
            <wp:extent cx="4899660" cy="1250950"/>
            <wp:effectExtent l="0" t="0" r="0" b="6350"/>
            <wp:docPr id="5436296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9660" cy="1250950"/>
                    </a:xfrm>
                    <a:prstGeom prst="rect">
                      <a:avLst/>
                    </a:prstGeom>
                    <a:noFill/>
                    <a:ln>
                      <a:noFill/>
                    </a:ln>
                  </pic:spPr>
                </pic:pic>
              </a:graphicData>
            </a:graphic>
          </wp:inline>
        </w:drawing>
      </w:r>
    </w:p>
    <w:p w14:paraId="0EB68F25" w14:textId="77C0DC9E" w:rsidR="0040775D" w:rsidRPr="00DE563B" w:rsidRDefault="0040775D" w:rsidP="0040775D">
      <w:pPr>
        <w:pStyle w:val="enumlev1"/>
        <w:keepNext/>
        <w:rPr>
          <w:b/>
          <w:bCs/>
        </w:rPr>
      </w:pPr>
      <w:r w:rsidRPr="00E41CC7">
        <w:t>–</w:t>
      </w:r>
      <w:r w:rsidRPr="00E41CC7">
        <w:rPr>
          <w:b/>
          <w:bCs/>
        </w:rPr>
        <w:tab/>
        <w:t>Département de la gestion des ressources financières (FRMD)</w:t>
      </w:r>
    </w:p>
    <w:p w14:paraId="0C9E3E95" w14:textId="77F7C27A" w:rsidR="0040775D" w:rsidRPr="00DE563B" w:rsidRDefault="0040775D" w:rsidP="002E002A">
      <w:pPr>
        <w:pStyle w:val="enumlev1"/>
        <w:jc w:val="both"/>
      </w:pPr>
      <w:r w:rsidRPr="00DE563B">
        <w:tab/>
        <w:t>Outre les coûts directs du Département FRMD en rapport avec le traitement des fiches de notification des réseaux à satellite, mentionnés plus haut, il existe d</w:t>
      </w:r>
      <w:r w:rsidR="00E26C96" w:rsidRPr="00DE563B">
        <w:t>'</w:t>
      </w:r>
      <w:r w:rsidRPr="00DE563B">
        <w:t>autres coûts de nature indirecte, indiqués ci-dessous, pour les fonctions de gestion des actifs et les autres fonctions d'appui dans le domaine financier.</w:t>
      </w:r>
    </w:p>
    <w:p w14:paraId="022D99BE" w14:textId="47F03260" w:rsidR="00E41CC7" w:rsidRPr="00E41CC7" w:rsidRDefault="00E41CC7" w:rsidP="00E41CC7">
      <w:pPr>
        <w:pStyle w:val="Figure"/>
      </w:pPr>
      <w:r w:rsidRPr="00E41CC7">
        <w:rPr>
          <w:noProof/>
        </w:rPr>
        <w:drawing>
          <wp:inline distT="0" distB="0" distL="0" distR="0" wp14:anchorId="37D657DB" wp14:editId="42F92606">
            <wp:extent cx="5760085" cy="1421130"/>
            <wp:effectExtent l="0" t="0" r="0" b="7620"/>
            <wp:docPr id="70635333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1421130"/>
                    </a:xfrm>
                    <a:prstGeom prst="rect">
                      <a:avLst/>
                    </a:prstGeom>
                    <a:noFill/>
                    <a:ln>
                      <a:noFill/>
                    </a:ln>
                  </pic:spPr>
                </pic:pic>
              </a:graphicData>
            </a:graphic>
          </wp:inline>
        </w:drawing>
      </w:r>
    </w:p>
    <w:p w14:paraId="2540B5F4" w14:textId="77777777" w:rsidR="0040775D" w:rsidRPr="00DE563B" w:rsidRDefault="0040775D" w:rsidP="008D20C5">
      <w:pPr>
        <w:pStyle w:val="enumlev1"/>
        <w:keepNext/>
        <w:keepLines/>
        <w:rPr>
          <w:b/>
          <w:bCs/>
        </w:rPr>
      </w:pPr>
      <w:r w:rsidRPr="00DE563B">
        <w:lastRenderedPageBreak/>
        <w:t>–</w:t>
      </w:r>
      <w:r w:rsidRPr="00DE563B">
        <w:rPr>
          <w:b/>
          <w:bCs/>
        </w:rPr>
        <w:tab/>
        <w:t>Département de la gestion des ressources humaines (HRMD), Unité des affaires juridiques (JUR) et Unité du contrôle interne (OU)</w:t>
      </w:r>
    </w:p>
    <w:p w14:paraId="3E9125A3" w14:textId="09D796E1" w:rsidR="0040775D" w:rsidRPr="00DE563B" w:rsidRDefault="0040775D" w:rsidP="002E002A">
      <w:pPr>
        <w:pStyle w:val="enumlev1"/>
        <w:keepNext/>
        <w:keepLines/>
        <w:jc w:val="both"/>
      </w:pPr>
      <w:r w:rsidRPr="00DE563B">
        <w:tab/>
        <w:t xml:space="preserve">Les fonctions assurées par le Département HRMD, l'Unité JUR et l'Unité OU à l'appui des activités de traitement des fiches de notification des réseaux à satellite </w:t>
      </w:r>
      <w:r w:rsidR="008D20C5" w:rsidRPr="00DE563B">
        <w:t>–</w:t>
      </w:r>
      <w:r w:rsidRPr="00DE563B">
        <w:t xml:space="preserve"> recrutement, gestion des contrats, traitement de la paie, développement du personnel, contrôle juridique, conformité, audit et aide à la gouvernance, notamment</w:t>
      </w:r>
      <w:r w:rsidR="008D20C5" w:rsidRPr="00DE563B">
        <w:t xml:space="preserve"> – </w:t>
      </w:r>
      <w:r w:rsidRPr="00DE563B">
        <w:t>sont inscrites dans les rubriques de coût indirect. Le coût de ces services est imputé suivant la même méthode que celle appliquée aux autres services d'appui, en calculant le nombre de personnes affectées au traitement des fiches de notification par rapport au total des effectifs de l</w:t>
      </w:r>
      <w:r w:rsidR="00E26C96" w:rsidRPr="00DE563B">
        <w:t>'</w:t>
      </w:r>
      <w:r w:rsidRPr="00DE563B">
        <w:t>UIT.</w:t>
      </w:r>
    </w:p>
    <w:p w14:paraId="0327462A" w14:textId="755F28B1" w:rsidR="008D20C5" w:rsidRPr="00DE563B" w:rsidRDefault="008D20C5" w:rsidP="008D20C5">
      <w:pPr>
        <w:pStyle w:val="Figure"/>
      </w:pPr>
      <w:r w:rsidRPr="00DE563B">
        <w:rPr>
          <w:noProof/>
        </w:rPr>
        <w:drawing>
          <wp:inline distT="0" distB="0" distL="0" distR="0" wp14:anchorId="4F560CE1" wp14:editId="22762F42">
            <wp:extent cx="5760085" cy="1193800"/>
            <wp:effectExtent l="0" t="0" r="0" b="6350"/>
            <wp:docPr id="13271801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85" cy="1193800"/>
                    </a:xfrm>
                    <a:prstGeom prst="rect">
                      <a:avLst/>
                    </a:prstGeom>
                    <a:noFill/>
                    <a:ln>
                      <a:noFill/>
                    </a:ln>
                  </pic:spPr>
                </pic:pic>
              </a:graphicData>
            </a:graphic>
          </wp:inline>
        </w:drawing>
      </w:r>
    </w:p>
    <w:p w14:paraId="566D578F" w14:textId="17881337" w:rsidR="008D20C5" w:rsidRPr="00DE563B" w:rsidRDefault="008D20C5" w:rsidP="008D20C5">
      <w:pPr>
        <w:pStyle w:val="Figure"/>
      </w:pPr>
      <w:r w:rsidRPr="00DE563B">
        <w:rPr>
          <w:noProof/>
        </w:rPr>
        <w:drawing>
          <wp:inline distT="0" distB="0" distL="0" distR="0" wp14:anchorId="5AAE8935" wp14:editId="544B0DE7">
            <wp:extent cx="5760085" cy="1201420"/>
            <wp:effectExtent l="0" t="0" r="0" b="0"/>
            <wp:docPr id="19004184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085" cy="1201420"/>
                    </a:xfrm>
                    <a:prstGeom prst="rect">
                      <a:avLst/>
                    </a:prstGeom>
                    <a:noFill/>
                    <a:ln>
                      <a:noFill/>
                    </a:ln>
                  </pic:spPr>
                </pic:pic>
              </a:graphicData>
            </a:graphic>
          </wp:inline>
        </w:drawing>
      </w:r>
    </w:p>
    <w:p w14:paraId="7D240559" w14:textId="10B59FAC" w:rsidR="008D20C5" w:rsidRPr="00DE563B" w:rsidRDefault="008D20C5" w:rsidP="008D20C5">
      <w:pPr>
        <w:pStyle w:val="Figure"/>
      </w:pPr>
      <w:r w:rsidRPr="00DE563B">
        <w:rPr>
          <w:noProof/>
        </w:rPr>
        <w:drawing>
          <wp:inline distT="0" distB="0" distL="0" distR="0" wp14:anchorId="0CFC78E2" wp14:editId="1165FD5D">
            <wp:extent cx="5760085" cy="1193800"/>
            <wp:effectExtent l="0" t="0" r="0" b="6350"/>
            <wp:docPr id="167198944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085" cy="1193800"/>
                    </a:xfrm>
                    <a:prstGeom prst="rect">
                      <a:avLst/>
                    </a:prstGeom>
                    <a:noFill/>
                    <a:ln>
                      <a:noFill/>
                    </a:ln>
                  </pic:spPr>
                </pic:pic>
              </a:graphicData>
            </a:graphic>
          </wp:inline>
        </w:drawing>
      </w:r>
    </w:p>
    <w:p w14:paraId="17917404" w14:textId="743B1F2D" w:rsidR="0040775D" w:rsidRPr="00DE563B" w:rsidRDefault="0040775D" w:rsidP="0040775D">
      <w:pPr>
        <w:pStyle w:val="enumlev1"/>
        <w:rPr>
          <w:b/>
          <w:bCs/>
        </w:rPr>
      </w:pPr>
      <w:r w:rsidRPr="00DE563B">
        <w:t>–</w:t>
      </w:r>
      <w:r w:rsidRPr="00DE563B">
        <w:rPr>
          <w:b/>
          <w:bCs/>
        </w:rPr>
        <w:tab/>
        <w:t>Financement des passifs de l</w:t>
      </w:r>
      <w:r w:rsidR="00E26C96" w:rsidRPr="00DE563B">
        <w:rPr>
          <w:b/>
          <w:bCs/>
        </w:rPr>
        <w:t>'</w:t>
      </w:r>
      <w:r w:rsidRPr="00DE563B">
        <w:rPr>
          <w:b/>
          <w:bCs/>
        </w:rPr>
        <w:t>ASHI</w:t>
      </w:r>
    </w:p>
    <w:p w14:paraId="421C7DAB" w14:textId="2ABF2F9C" w:rsidR="0040775D" w:rsidRPr="00DE563B" w:rsidRDefault="0040775D" w:rsidP="002E002A">
      <w:pPr>
        <w:pStyle w:val="enumlev1"/>
        <w:jc w:val="both"/>
      </w:pPr>
      <w:r w:rsidRPr="00DE563B">
        <w:tab/>
        <w:t>La part des passifs de l</w:t>
      </w:r>
      <w:r w:rsidR="00E26C96" w:rsidRPr="00DE563B">
        <w:t>'</w:t>
      </w:r>
      <w:r w:rsidRPr="00DE563B">
        <w:t>ASHI est déterminée en calculant le nombre de personnes affectées au traitement des fiches de notification par rapport au total des effectifs de l'Union.</w:t>
      </w:r>
    </w:p>
    <w:p w14:paraId="5A0DD625" w14:textId="77777777" w:rsidR="0040775D" w:rsidRPr="00DE563B" w:rsidRDefault="0040775D" w:rsidP="0040775D">
      <w:pPr>
        <w:pStyle w:val="Heading2"/>
      </w:pPr>
      <w:r w:rsidRPr="00DE563B">
        <w:t>2.4</w:t>
      </w:r>
      <w:r w:rsidRPr="00DE563B">
        <w:tab/>
        <w:t>Application préliminaire de la méthode d'imputation des coûts proposée</w:t>
      </w:r>
    </w:p>
    <w:p w14:paraId="5FDD3F27" w14:textId="0FA8AE39" w:rsidR="0040775D" w:rsidRPr="00DE563B" w:rsidRDefault="0040775D" w:rsidP="002E002A">
      <w:pPr>
        <w:jc w:val="both"/>
      </w:pPr>
      <w:r w:rsidRPr="00DE563B">
        <w:t>Le tableau ci-dessous récapitule les résultats des analyses présentées dans les sections précédentes. Le coût total global du traitement des fiches de notification des réseaux à satellite est estimé à 15 753 700 CHF, le montant des coûts directs s'élevant à 12</w:t>
      </w:r>
      <w:r w:rsidR="00623B61" w:rsidRPr="00DE563B">
        <w:t> </w:t>
      </w:r>
      <w:r w:rsidRPr="00DE563B">
        <w:t>735</w:t>
      </w:r>
      <w:r w:rsidR="00623B61" w:rsidRPr="00DE563B">
        <w:t> </w:t>
      </w:r>
      <w:r w:rsidRPr="00DE563B">
        <w:t>900</w:t>
      </w:r>
      <w:r w:rsidR="00623B61" w:rsidRPr="00DE563B">
        <w:t> </w:t>
      </w:r>
      <w:r w:rsidRPr="00DE563B">
        <w:t>CHF et celui des coûts indirects à 3 017 800 CHF.</w:t>
      </w:r>
    </w:p>
    <w:p w14:paraId="13EA5AD4" w14:textId="4A8A7A03" w:rsidR="00155B07" w:rsidRPr="00DE563B" w:rsidRDefault="00155B07" w:rsidP="00155B07">
      <w:pPr>
        <w:pStyle w:val="Figure"/>
      </w:pPr>
      <w:r w:rsidRPr="00DE563B">
        <w:rPr>
          <w:noProof/>
        </w:rPr>
        <w:lastRenderedPageBreak/>
        <w:drawing>
          <wp:inline distT="0" distB="0" distL="0" distR="0" wp14:anchorId="36CC1B9C" wp14:editId="6F04D627">
            <wp:extent cx="5760085" cy="4346575"/>
            <wp:effectExtent l="0" t="0" r="0" b="0"/>
            <wp:docPr id="1727901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085" cy="4346575"/>
                    </a:xfrm>
                    <a:prstGeom prst="rect">
                      <a:avLst/>
                    </a:prstGeom>
                    <a:noFill/>
                    <a:ln>
                      <a:noFill/>
                    </a:ln>
                  </pic:spPr>
                </pic:pic>
              </a:graphicData>
            </a:graphic>
          </wp:inline>
        </w:drawing>
      </w:r>
    </w:p>
    <w:p w14:paraId="6F4657FE" w14:textId="6A77CED9" w:rsidR="0040775D" w:rsidRPr="00DE563B" w:rsidRDefault="0040775D" w:rsidP="002E002A">
      <w:pPr>
        <w:jc w:val="both"/>
      </w:pPr>
      <w:r w:rsidRPr="00DE563B">
        <w:t xml:space="preserve">Il ressort de ce qui précède que les coûts indirects représentent 23,7% du total des coûts, chiffre cohérent avec les estimations comparatives menées par le </w:t>
      </w:r>
      <w:r w:rsidR="00F94098" w:rsidRPr="00DE563B">
        <w:t>S</w:t>
      </w:r>
      <w:r w:rsidRPr="00DE563B">
        <w:t>ecrétariat dans le Document CWG-FHR-22/2 pour des organisations comparables.</w:t>
      </w:r>
    </w:p>
    <w:p w14:paraId="78AA91D9" w14:textId="77777777" w:rsidR="0040775D" w:rsidRPr="00DE563B" w:rsidRDefault="0040775D" w:rsidP="002E002A">
      <w:pPr>
        <w:pStyle w:val="Heading2"/>
        <w:jc w:val="both"/>
      </w:pPr>
      <w:r w:rsidRPr="00DE563B">
        <w:t>2.5</w:t>
      </w:r>
      <w:r w:rsidRPr="00DE563B">
        <w:tab/>
        <w:t>Prévision de la demande pour estimer le volume des services facturés</w:t>
      </w:r>
    </w:p>
    <w:p w14:paraId="42AA254C" w14:textId="77777777" w:rsidR="0040775D" w:rsidRPr="00DE563B" w:rsidRDefault="0040775D" w:rsidP="002E002A">
      <w:pPr>
        <w:jc w:val="both"/>
      </w:pPr>
      <w:r w:rsidRPr="00DE563B">
        <w:t>Pour faciliter l'application de la Décision 482, le Secrétariat renforcera la prévision de la demande en analysant les tendances passées des fiches de notification, l'augmentation attendue du nombre de fiches de notification relatives aux constellations et la ventilation de l'activité entre les États Membres. La prévision devra également tenir compte des facteurs de complexité qui ont une incidence sur l'activité de traitement et les capacités opérationnelles escomptées du BR. Il sera ainsi fait en sorte que le calcul des droits repose sur une estimation réaliste du volume et de la nature des fiches de notification devant faire l'objet d'un recouvrement des coûts.</w:t>
      </w:r>
    </w:p>
    <w:p w14:paraId="1465AB01" w14:textId="77777777" w:rsidR="0040775D" w:rsidRPr="00DE563B" w:rsidRDefault="0040775D" w:rsidP="002E002A">
      <w:pPr>
        <w:pStyle w:val="Heading2"/>
        <w:jc w:val="both"/>
      </w:pPr>
      <w:r w:rsidRPr="00DE563B">
        <w:t>2.6</w:t>
      </w:r>
      <w:r w:rsidRPr="00DE563B">
        <w:tab/>
        <w:t>Détermination des droits</w:t>
      </w:r>
    </w:p>
    <w:p w14:paraId="1B5E0967" w14:textId="58EF8265" w:rsidR="0040775D" w:rsidRPr="00DE563B" w:rsidRDefault="0040775D" w:rsidP="002E002A">
      <w:pPr>
        <w:jc w:val="both"/>
      </w:pPr>
      <w:r w:rsidRPr="00DE563B">
        <w:t xml:space="preserve">Conformément à la Décision 482 et aux principes du recouvrement des coûts énoncés dans la Résolution 91, les droits seront déterminés en appliquant la formule de recouvrement des coûts intégraux par rapport à la demande prévue. À partir de modèles d'établissement des coûts tels que la comptabilité par activité, le montant total des coûts directs, des coûts indirects et des dépenses d'équipement sera réparti entre les catégories de fiches de notification sur la base du montant prévu des ressources nécessaires. Le barème des droits tiendra compte du coût du traitement des franchises et sera présenté de façon transparente </w:t>
      </w:r>
      <w:r w:rsidRPr="00DE563B">
        <w:lastRenderedPageBreak/>
        <w:t>pour permettre aux Membres de voir comment le niveau de droits proposé est établi en fonction des coûts et de la demande.</w:t>
      </w:r>
    </w:p>
    <w:p w14:paraId="019B6533" w14:textId="77777777" w:rsidR="0040775D" w:rsidRPr="00DE563B" w:rsidRDefault="0040775D" w:rsidP="0040775D">
      <w:pPr>
        <w:pStyle w:val="Heading2"/>
      </w:pPr>
      <w:r w:rsidRPr="00DE563B">
        <w:t>2.7</w:t>
      </w:r>
      <w:r w:rsidRPr="00DE563B">
        <w:tab/>
        <w:t>Examen et évaluation périodiques</w:t>
      </w:r>
    </w:p>
    <w:p w14:paraId="41861285" w14:textId="3D907FF3" w:rsidR="0040775D" w:rsidRPr="00DE563B" w:rsidRDefault="0040775D" w:rsidP="0040775D">
      <w:pPr>
        <w:pStyle w:val="Headingb"/>
      </w:pPr>
      <w:r w:rsidRPr="00DE563B">
        <w:t>Évolution des coûts de l</w:t>
      </w:r>
      <w:r w:rsidR="00E26C96" w:rsidRPr="00DE563B">
        <w:t>'</w:t>
      </w:r>
      <w:r w:rsidRPr="00DE563B">
        <w:t>UIT</w:t>
      </w:r>
    </w:p>
    <w:p w14:paraId="4F814C9C" w14:textId="310C18AD" w:rsidR="0040775D" w:rsidRPr="00DE563B" w:rsidRDefault="0040775D" w:rsidP="002E002A">
      <w:pPr>
        <w:jc w:val="both"/>
      </w:pPr>
      <w:r w:rsidRPr="00DE563B">
        <w:t>Le Secrétariat propose que la méthode et les droits soient réexaminés au moins tous les deux ans, outre un examen quadriennal en application des décisions de la CMR, afin de pouvoir tenir compte de l'évolution des coûts de l'UIT, notamment de l'augmentation des dépenses de personnel, de la mise à niveau technologique ou encore de l'évolution de prescriptions réglementaires pouvant avoir une incidence directe sur les coûts fondamentaux liés au traitement des fiches de notification des réseaux à satellite. Ces coûts étant susceptibles de varier, il est essentiel de disposer pour fixer les droits d</w:t>
      </w:r>
      <w:r w:rsidR="00E26C96" w:rsidRPr="00DE563B">
        <w:t>'</w:t>
      </w:r>
      <w:r w:rsidRPr="00DE563B">
        <w:t>une méthode solide et transparente, qui puisse être adaptée en conséquence, de sorte que les droits continuent de se justifier pour les parties prenantes. L'adoption d'un processus clairement défini pour réexaminer et actualiser régulièrement la méthode permettra au Secrétariat de maintenir la cohérence, l</w:t>
      </w:r>
      <w:r w:rsidR="00E26C96" w:rsidRPr="00DE563B">
        <w:t>'</w:t>
      </w:r>
      <w:r w:rsidRPr="00DE563B">
        <w:t>équité et la responsabilité en ce qui concerne l'établissement des droits. Cette solution permet l</w:t>
      </w:r>
      <w:r w:rsidR="00E26C96" w:rsidRPr="00DE563B">
        <w:t>'</w:t>
      </w:r>
      <w:r w:rsidRPr="00DE563B">
        <w:t>alignement sur les cadres réglementaires de référence et renforce la validité des principes de recouvrement des coûts d'après lesquels est établi le barème des droits à acquitter pour le traitement des fiches de notification.</w:t>
      </w:r>
    </w:p>
    <w:p w14:paraId="2E64EF3D" w14:textId="77777777" w:rsidR="0040775D" w:rsidRPr="00DE563B" w:rsidRDefault="0040775D" w:rsidP="0040775D">
      <w:pPr>
        <w:pStyle w:val="Headingb"/>
      </w:pPr>
      <w:r w:rsidRPr="00DE563B">
        <w:t>Irrégularité des produits</w:t>
      </w:r>
    </w:p>
    <w:p w14:paraId="713AC695" w14:textId="522F5949" w:rsidR="0040775D" w:rsidRPr="00DE563B" w:rsidRDefault="0040775D" w:rsidP="002E002A">
      <w:pPr>
        <w:jc w:val="both"/>
      </w:pPr>
      <w:r w:rsidRPr="00DE563B">
        <w:t>Un autre problème majeur qui s'est posé à l'UIT ces dernières années est que le volume des fiches de notification a été irrégulier d'une année sur l'autre, d'où une imprévisibilité du niveau des produits qui compromet la stabilité financière de l'UIT. À la réunion de janvier</w:t>
      </w:r>
      <w:r w:rsidR="00E4304B" w:rsidRPr="00DE563B">
        <w:t> </w:t>
      </w:r>
      <w:r w:rsidRPr="00DE563B">
        <w:t xml:space="preserve">2026 du GTC-FHR, le </w:t>
      </w:r>
      <w:r w:rsidR="00E4304B" w:rsidRPr="00DE563B">
        <w:t>S</w:t>
      </w:r>
      <w:r w:rsidRPr="00DE563B">
        <w:t xml:space="preserve">ecrétariat a présenté une proposition concernant un mécanisme de réajustement à la hausse ou à la baisse pour remédier au problème de l'irrégularité des produits. Le principe d'un tel mécanisme serait de mener un examen lors duquel le montant total des coûts effectifs engagés </w:t>
      </w:r>
      <w:r w:rsidR="00E4304B" w:rsidRPr="00DE563B">
        <w:t xml:space="preserve">pour </w:t>
      </w:r>
      <w:r w:rsidRPr="00DE563B">
        <w:t>le traitement des fiches de notification serait comparé au montant total des droits perçus au titre de ce traitement pour la période considérée. Si un excédent ou un déficit est constaté, autrement dit si le montant des produits provenant des droits est supérieur ou inférieur au montant des dépenses admises effectives, une analyse serait menée pour expliquer cet écart. Vu la complexité d'un tel modèle de réajustement à la hausse ou à la baisse, cette proposition ne sera pas retenue comme solution pour la gestion des déficits et excédents. La méthode susmentionnée et le réexamen biennal des droits devraient être suffisants à l'avenir pour accorder les produits, le budget et les coûts y afférents.</w:t>
      </w:r>
    </w:p>
    <w:p w14:paraId="76E130A5" w14:textId="68578257" w:rsidR="0040775D" w:rsidRPr="00DE563B" w:rsidRDefault="0040775D" w:rsidP="0040775D">
      <w:pPr>
        <w:pStyle w:val="Heading1"/>
      </w:pPr>
      <w:r w:rsidRPr="00DE563B">
        <w:t>3</w:t>
      </w:r>
      <w:r w:rsidRPr="00DE563B">
        <w:tab/>
        <w:t>Calendrier de mise en œuvre</w:t>
      </w:r>
    </w:p>
    <w:p w14:paraId="38142726" w14:textId="0030362D" w:rsidR="0040775D" w:rsidRPr="00DE563B" w:rsidRDefault="0040775D" w:rsidP="002E002A">
      <w:pPr>
        <w:jc w:val="both"/>
      </w:pPr>
      <w:r w:rsidRPr="00DE563B">
        <w:t>La méthode proposée doit prendre effet à compter de 2028, au terme de la période de validité des droits majorés qui ont été approuvés à la session de 2025 du Conseil. Il est donc nécessaire que la méthode révisée et le nouveau barème définitif des droits à acquitter pour le traitement des fiches de notification des réseaux à satellite soient examinés et définitivement approuvés d'ici à la session de 2027 du Conseil.</w:t>
      </w:r>
    </w:p>
    <w:p w14:paraId="10386DFA" w14:textId="782EA45C" w:rsidR="006A11AE" w:rsidRPr="00DE563B" w:rsidRDefault="0040775D" w:rsidP="002E002A">
      <w:pPr>
        <w:spacing w:before="360"/>
      </w:pPr>
      <w:r w:rsidRPr="00DE563B">
        <w:rPr>
          <w:b/>
          <w:bCs/>
        </w:rPr>
        <w:t xml:space="preserve">Annexe: </w:t>
      </w:r>
      <w:r w:rsidRPr="00DE563B">
        <w:t>1</w:t>
      </w:r>
    </w:p>
    <w:p w14:paraId="192BBDDC" w14:textId="77777777" w:rsidR="0040775D" w:rsidRPr="00DE563B" w:rsidRDefault="0040775D" w:rsidP="00E05155">
      <w:pPr>
        <w:spacing w:before="240"/>
        <w:sectPr w:rsidR="0040775D" w:rsidRPr="00DE563B" w:rsidSect="00D72F49">
          <w:headerReference w:type="even" r:id="rId21"/>
          <w:footerReference w:type="even" r:id="rId22"/>
          <w:footerReference w:type="default" r:id="rId23"/>
          <w:headerReference w:type="first" r:id="rId24"/>
          <w:footerReference w:type="first" r:id="rId25"/>
          <w:pgSz w:w="11907" w:h="16840" w:code="9"/>
          <w:pgMar w:top="1418" w:right="1418" w:bottom="1418" w:left="1418" w:header="720" w:footer="720" w:gutter="0"/>
          <w:paperSrc w:first="286" w:other="286"/>
          <w:cols w:space="720"/>
          <w:titlePg/>
        </w:sectPr>
      </w:pPr>
    </w:p>
    <w:p w14:paraId="32F7BBCA" w14:textId="77777777" w:rsidR="0040775D" w:rsidRPr="00DE563B" w:rsidRDefault="0040775D" w:rsidP="00E05155">
      <w:pPr>
        <w:pStyle w:val="AnnexNo"/>
        <w:spacing w:before="120"/>
      </w:pPr>
      <w:r w:rsidRPr="00DE563B">
        <w:lastRenderedPageBreak/>
        <w:t>ANNEXE 1</w:t>
      </w:r>
    </w:p>
    <w:p w14:paraId="64EC08FA" w14:textId="77777777" w:rsidR="0040775D" w:rsidRPr="00DE563B" w:rsidRDefault="0040775D" w:rsidP="0040775D">
      <w:pPr>
        <w:pStyle w:val="Annextitle"/>
      </w:pPr>
      <w:r w:rsidRPr="00DE563B">
        <w:t>Réponses du Secrétariat aux observations présentées à la réunion de décembre 2025 du GTC-FHR</w:t>
      </w:r>
    </w:p>
    <w:tbl>
      <w:tblPr>
        <w:tblStyle w:val="TableGrid"/>
        <w:tblW w:w="14742" w:type="dxa"/>
        <w:jc w:val="center"/>
        <w:tblLayout w:type="fixed"/>
        <w:tblCellMar>
          <w:left w:w="57" w:type="dxa"/>
          <w:right w:w="57" w:type="dxa"/>
        </w:tblCellMar>
        <w:tblLook w:val="04A0" w:firstRow="1" w:lastRow="0" w:firstColumn="1" w:lastColumn="0" w:noHBand="0" w:noVBand="1"/>
      </w:tblPr>
      <w:tblGrid>
        <w:gridCol w:w="2208"/>
        <w:gridCol w:w="4178"/>
        <w:gridCol w:w="4178"/>
        <w:gridCol w:w="4178"/>
      </w:tblGrid>
      <w:tr w:rsidR="0040775D" w:rsidRPr="00DE563B" w14:paraId="7E247010" w14:textId="77777777" w:rsidTr="00D91E39">
        <w:trPr>
          <w:tblHeader/>
          <w:jc w:val="center"/>
        </w:trPr>
        <w:tc>
          <w:tcPr>
            <w:tcW w:w="2208" w:type="dxa"/>
          </w:tcPr>
          <w:p w14:paraId="4E213B6E" w14:textId="77777777" w:rsidR="0040775D" w:rsidRPr="00DE563B" w:rsidRDefault="0040775D" w:rsidP="00022519">
            <w:pPr>
              <w:pStyle w:val="Tablehead"/>
              <w:rPr>
                <w:sz w:val="20"/>
                <w:szCs w:val="20"/>
              </w:rPr>
            </w:pPr>
            <w:r w:rsidRPr="00DE563B">
              <w:rPr>
                <w:sz w:val="20"/>
                <w:szCs w:val="20"/>
              </w:rPr>
              <w:t>Catégorie</w:t>
            </w:r>
          </w:p>
        </w:tc>
        <w:tc>
          <w:tcPr>
            <w:tcW w:w="4178" w:type="dxa"/>
          </w:tcPr>
          <w:p w14:paraId="6BF1D847" w14:textId="1185D3D3" w:rsidR="0040775D" w:rsidRPr="00DE563B" w:rsidRDefault="0040775D" w:rsidP="00022519">
            <w:pPr>
              <w:pStyle w:val="Tablehead"/>
              <w:rPr>
                <w:sz w:val="20"/>
                <w:szCs w:val="20"/>
              </w:rPr>
            </w:pPr>
            <w:r w:rsidRPr="00DE563B">
              <w:rPr>
                <w:sz w:val="20"/>
                <w:szCs w:val="20"/>
              </w:rPr>
              <w:t>Préoccupation</w:t>
            </w:r>
          </w:p>
        </w:tc>
        <w:tc>
          <w:tcPr>
            <w:tcW w:w="4178" w:type="dxa"/>
          </w:tcPr>
          <w:p w14:paraId="38031C85" w14:textId="77777777" w:rsidR="0040775D" w:rsidRPr="00DE563B" w:rsidRDefault="0040775D" w:rsidP="00022519">
            <w:pPr>
              <w:pStyle w:val="Tablehead"/>
              <w:rPr>
                <w:sz w:val="20"/>
                <w:szCs w:val="20"/>
              </w:rPr>
            </w:pPr>
            <w:r w:rsidRPr="00DE563B">
              <w:rPr>
                <w:sz w:val="20"/>
                <w:szCs w:val="20"/>
              </w:rPr>
              <w:t>Réponse du Secrétariat</w:t>
            </w:r>
          </w:p>
        </w:tc>
        <w:tc>
          <w:tcPr>
            <w:tcW w:w="4178" w:type="dxa"/>
          </w:tcPr>
          <w:p w14:paraId="6A69F68D" w14:textId="77777777" w:rsidR="0040775D" w:rsidRPr="00DE563B" w:rsidRDefault="0040775D" w:rsidP="00022519">
            <w:pPr>
              <w:pStyle w:val="Tablehead"/>
              <w:rPr>
                <w:sz w:val="20"/>
                <w:szCs w:val="20"/>
              </w:rPr>
            </w:pPr>
            <w:r w:rsidRPr="00DE563B">
              <w:rPr>
                <w:sz w:val="20"/>
                <w:szCs w:val="20"/>
              </w:rPr>
              <w:t>Proposition</w:t>
            </w:r>
          </w:p>
        </w:tc>
      </w:tr>
      <w:tr w:rsidR="0040775D" w:rsidRPr="00DE563B" w14:paraId="4E9A0E04" w14:textId="77777777" w:rsidTr="00CD7E0A">
        <w:trPr>
          <w:jc w:val="center"/>
        </w:trPr>
        <w:tc>
          <w:tcPr>
            <w:tcW w:w="2208" w:type="dxa"/>
            <w:vMerge w:val="restart"/>
          </w:tcPr>
          <w:p w14:paraId="56EC04C8" w14:textId="1F5D85F5" w:rsidR="0040775D" w:rsidRPr="00DE563B" w:rsidRDefault="0040775D" w:rsidP="00CD7E0A">
            <w:pPr>
              <w:pStyle w:val="Tabletext"/>
              <w:rPr>
                <w:sz w:val="20"/>
                <w:szCs w:val="20"/>
              </w:rPr>
            </w:pPr>
            <w:r w:rsidRPr="00DE563B">
              <w:rPr>
                <w:sz w:val="20"/>
                <w:szCs w:val="20"/>
              </w:rPr>
              <w:t>Recouvrement des coûts – définitions et méthode</w:t>
            </w:r>
          </w:p>
        </w:tc>
        <w:tc>
          <w:tcPr>
            <w:tcW w:w="4178" w:type="dxa"/>
          </w:tcPr>
          <w:p w14:paraId="378046F2" w14:textId="561BF6F4" w:rsidR="0040775D" w:rsidRPr="00DE563B" w:rsidRDefault="0040775D" w:rsidP="00022519">
            <w:pPr>
              <w:pStyle w:val="Tabletext"/>
              <w:rPr>
                <w:sz w:val="20"/>
                <w:szCs w:val="20"/>
              </w:rPr>
            </w:pPr>
            <w:r w:rsidRPr="00DE563B">
              <w:rPr>
                <w:sz w:val="20"/>
                <w:szCs w:val="20"/>
              </w:rPr>
              <w:t>Il n'existait pas de définitions ni de méthode clairement établies pour le recouvrement des coûts.</w:t>
            </w:r>
          </w:p>
          <w:p w14:paraId="4F2E8708" w14:textId="77777777" w:rsidR="0040775D" w:rsidRPr="00DE563B" w:rsidRDefault="0040775D" w:rsidP="00022519">
            <w:pPr>
              <w:pStyle w:val="Tabletext"/>
              <w:rPr>
                <w:sz w:val="20"/>
                <w:szCs w:val="20"/>
              </w:rPr>
            </w:pPr>
            <w:r w:rsidRPr="00DE563B">
              <w:rPr>
                <w:sz w:val="20"/>
                <w:szCs w:val="20"/>
              </w:rPr>
              <w:t>L'une des principales préoccupations récurrentes concernait l'absence de formules claires, vérifiées et transparentes pour la détermination du modèle de recouvrement des coûts du traitement des fiches de notification des réseaux à satellite.</w:t>
            </w:r>
          </w:p>
          <w:p w14:paraId="46FF24EF" w14:textId="09DDDC6A" w:rsidR="0040775D" w:rsidRPr="00DE563B" w:rsidRDefault="0040775D" w:rsidP="00022519">
            <w:pPr>
              <w:pStyle w:val="Tabletext"/>
              <w:rPr>
                <w:sz w:val="20"/>
                <w:szCs w:val="20"/>
              </w:rPr>
            </w:pPr>
            <w:r w:rsidRPr="00DE563B">
              <w:rPr>
                <w:sz w:val="20"/>
                <w:szCs w:val="20"/>
              </w:rPr>
              <w:t>Les délégués ont indiqué qu'il serait nécessaire pour prendre une décision de disposer d'une ventilation des éléments de coût, notamment quant à la façon dont les coûts sont déterminés et imputés chaque année.</w:t>
            </w:r>
          </w:p>
        </w:tc>
        <w:tc>
          <w:tcPr>
            <w:tcW w:w="4178" w:type="dxa"/>
          </w:tcPr>
          <w:p w14:paraId="4538B54C" w14:textId="4D5DB731" w:rsidR="0040775D" w:rsidRPr="00DE563B" w:rsidRDefault="0040775D" w:rsidP="00022519">
            <w:pPr>
              <w:pStyle w:val="Tabletext"/>
              <w:rPr>
                <w:sz w:val="20"/>
                <w:szCs w:val="20"/>
              </w:rPr>
            </w:pPr>
            <w:r w:rsidRPr="00DE563B">
              <w:rPr>
                <w:sz w:val="20"/>
                <w:szCs w:val="20"/>
              </w:rPr>
              <w:t>Ayant reçu des membres des observations dans lesquelles ils indiquent qu'un modèle ABC d'établissement des coûts était globalement acceptable, le Secrétariat a mis en application les principes présentés dans le Document</w:t>
            </w:r>
            <w:r w:rsidR="00E05155" w:rsidRPr="00DE563B">
              <w:rPr>
                <w:sz w:val="20"/>
                <w:szCs w:val="20"/>
              </w:rPr>
              <w:t> </w:t>
            </w:r>
            <w:r w:rsidRPr="00DE563B">
              <w:rPr>
                <w:sz w:val="20"/>
                <w:szCs w:val="20"/>
              </w:rPr>
              <w:t>CWG</w:t>
            </w:r>
            <w:r w:rsidR="00E05155" w:rsidRPr="00DE563B">
              <w:rPr>
                <w:sz w:val="20"/>
                <w:szCs w:val="20"/>
              </w:rPr>
              <w:noBreakHyphen/>
            </w:r>
            <w:r w:rsidRPr="00DE563B">
              <w:rPr>
                <w:sz w:val="20"/>
                <w:szCs w:val="20"/>
              </w:rPr>
              <w:t>FHR</w:t>
            </w:r>
            <w:r w:rsidR="00E05155" w:rsidRPr="00DE563B">
              <w:rPr>
                <w:sz w:val="20"/>
                <w:szCs w:val="20"/>
              </w:rPr>
              <w:noBreakHyphen/>
            </w:r>
            <w:r w:rsidRPr="00DE563B">
              <w:rPr>
                <w:sz w:val="20"/>
                <w:szCs w:val="20"/>
              </w:rPr>
              <w:t>22/2 et produit un état détaillé des coûts effectifs à l'intention du Conseil pour examen.</w:t>
            </w:r>
          </w:p>
        </w:tc>
        <w:tc>
          <w:tcPr>
            <w:tcW w:w="4178" w:type="dxa"/>
          </w:tcPr>
          <w:p w14:paraId="2B900199" w14:textId="77777777" w:rsidR="0040775D" w:rsidRPr="00DE563B" w:rsidRDefault="0040775D" w:rsidP="00022519">
            <w:pPr>
              <w:pStyle w:val="Tabletext"/>
              <w:rPr>
                <w:sz w:val="20"/>
                <w:szCs w:val="20"/>
              </w:rPr>
            </w:pPr>
            <w:r w:rsidRPr="00DE563B">
              <w:rPr>
                <w:sz w:val="20"/>
                <w:szCs w:val="20"/>
              </w:rPr>
              <w:t>Le document en question du Conseil explique en détail comment la méthode sera appliquée, notamment en ce qui concerne l'identification et le traitement de tous les éléments de coût.</w:t>
            </w:r>
          </w:p>
        </w:tc>
      </w:tr>
      <w:tr w:rsidR="0040775D" w:rsidRPr="00DE563B" w14:paraId="1281255C" w14:textId="77777777" w:rsidTr="00D91E39">
        <w:trPr>
          <w:jc w:val="center"/>
        </w:trPr>
        <w:tc>
          <w:tcPr>
            <w:tcW w:w="2208" w:type="dxa"/>
            <w:vMerge/>
          </w:tcPr>
          <w:p w14:paraId="07189B94" w14:textId="77777777" w:rsidR="0040775D" w:rsidRPr="00DE563B" w:rsidRDefault="0040775D" w:rsidP="00022519">
            <w:pPr>
              <w:pStyle w:val="Tabletext"/>
              <w:rPr>
                <w:sz w:val="20"/>
                <w:szCs w:val="20"/>
              </w:rPr>
            </w:pPr>
          </w:p>
        </w:tc>
        <w:tc>
          <w:tcPr>
            <w:tcW w:w="4178" w:type="dxa"/>
          </w:tcPr>
          <w:p w14:paraId="5615345D" w14:textId="61E8CB5D" w:rsidR="0040775D" w:rsidRPr="00DE563B" w:rsidRDefault="0040775D" w:rsidP="00022519">
            <w:pPr>
              <w:pStyle w:val="Tabletext"/>
              <w:rPr>
                <w:sz w:val="20"/>
                <w:szCs w:val="20"/>
              </w:rPr>
            </w:pPr>
            <w:r w:rsidRPr="00DE563B">
              <w:rPr>
                <w:sz w:val="20"/>
                <w:szCs w:val="20"/>
              </w:rPr>
              <w:t>Les délégués ont fait observer que l'imputation des coûts indirects afférents aux ressources humaines n'était pas clairement définie ni bien comprise.</w:t>
            </w:r>
          </w:p>
          <w:p w14:paraId="0686A516" w14:textId="3ACE93F0" w:rsidR="0040775D" w:rsidRPr="00DE563B" w:rsidRDefault="0040775D" w:rsidP="00022519">
            <w:pPr>
              <w:pStyle w:val="Tabletext"/>
              <w:rPr>
                <w:sz w:val="20"/>
                <w:szCs w:val="20"/>
              </w:rPr>
            </w:pPr>
            <w:r w:rsidRPr="00DE563B">
              <w:rPr>
                <w:sz w:val="20"/>
                <w:szCs w:val="20"/>
              </w:rPr>
              <w:t>Les délégués ont souligné qu'il était nécessaire d'établir clairement les liens entre les frais généraux et le traitement des fiches de notification avant de pouvoir en tenir compte.</w:t>
            </w:r>
          </w:p>
        </w:tc>
        <w:tc>
          <w:tcPr>
            <w:tcW w:w="4178" w:type="dxa"/>
          </w:tcPr>
          <w:p w14:paraId="7677F389" w14:textId="6BA13C85" w:rsidR="0040775D" w:rsidRPr="00DE563B" w:rsidRDefault="0040775D" w:rsidP="00022519">
            <w:pPr>
              <w:pStyle w:val="Tabletext"/>
              <w:rPr>
                <w:sz w:val="20"/>
                <w:szCs w:val="20"/>
              </w:rPr>
            </w:pPr>
            <w:r w:rsidRPr="00DE563B">
              <w:rPr>
                <w:sz w:val="20"/>
                <w:szCs w:val="20"/>
              </w:rPr>
              <w:t>Les ressources affectées à la gestion des ressources humaines et des ressources financières et les autres ressources administratives ont pour objet d'administrer et d'appuyer les processus nécessaires afin de permettre au personnel de l</w:t>
            </w:r>
            <w:r w:rsidR="00E26C96" w:rsidRPr="00DE563B">
              <w:rPr>
                <w:sz w:val="20"/>
                <w:szCs w:val="20"/>
              </w:rPr>
              <w:t>'</w:t>
            </w:r>
            <w:r w:rsidRPr="00DE563B">
              <w:rPr>
                <w:sz w:val="20"/>
                <w:szCs w:val="20"/>
              </w:rPr>
              <w:t>UIT directement concerné d'exécuter les produits demandés par les membres.</w:t>
            </w:r>
          </w:p>
          <w:p w14:paraId="72C6D7F6" w14:textId="6437381A" w:rsidR="0040775D" w:rsidRPr="00DE563B" w:rsidRDefault="0040775D" w:rsidP="00022519">
            <w:pPr>
              <w:pStyle w:val="Tabletext"/>
              <w:rPr>
                <w:sz w:val="20"/>
                <w:szCs w:val="20"/>
              </w:rPr>
            </w:pPr>
            <w:r w:rsidRPr="00DE563B">
              <w:rPr>
                <w:sz w:val="20"/>
                <w:szCs w:val="20"/>
              </w:rPr>
              <w:t>Chaque fonctionnaire directement concerné est recruté et rémunéré et a accès à des ressources, s'agissant de questions telles que la détermination des avantages et leur mise à disposition, et l'administration d</w:t>
            </w:r>
            <w:r w:rsidR="00E26C96" w:rsidRPr="00DE563B">
              <w:rPr>
                <w:sz w:val="20"/>
                <w:szCs w:val="20"/>
              </w:rPr>
              <w:t>'</w:t>
            </w:r>
            <w:r w:rsidRPr="00DE563B">
              <w:rPr>
                <w:sz w:val="20"/>
                <w:szCs w:val="20"/>
              </w:rPr>
              <w:t>autres tâches annexes en rapport avec son emploi et nécessaires à celui-ci.</w:t>
            </w:r>
          </w:p>
          <w:p w14:paraId="5157E8AF" w14:textId="77777777" w:rsidR="0040775D" w:rsidRPr="00DE563B" w:rsidRDefault="0040775D" w:rsidP="00022519">
            <w:pPr>
              <w:pStyle w:val="Tabletext"/>
              <w:rPr>
                <w:sz w:val="20"/>
                <w:szCs w:val="20"/>
              </w:rPr>
            </w:pPr>
            <w:r w:rsidRPr="00DE563B">
              <w:rPr>
                <w:sz w:val="20"/>
                <w:szCs w:val="20"/>
              </w:rPr>
              <w:lastRenderedPageBreak/>
              <w:t>Ce travail administratif est directement fonction du rôle de chaque fonctionnaire ou des processus découlant des activités menées au sein de l'organisation.</w:t>
            </w:r>
          </w:p>
          <w:p w14:paraId="34866634" w14:textId="77777777" w:rsidR="0040775D" w:rsidRPr="00DE563B" w:rsidRDefault="0040775D" w:rsidP="00022519">
            <w:pPr>
              <w:pStyle w:val="Tabletext"/>
              <w:rPr>
                <w:sz w:val="20"/>
                <w:szCs w:val="20"/>
              </w:rPr>
            </w:pPr>
            <w:r w:rsidRPr="00DE563B">
              <w:rPr>
                <w:sz w:val="20"/>
                <w:szCs w:val="20"/>
              </w:rPr>
              <w:t>Les coûts indirects sont déterminés d'après le facteur de coût le plus pertinent en l'espèce, à savoir le nombre total de fonctionnaires affectés au traitement des fiches de notification des réseaux à satellite par rapport à celui des effectifs de l'Union.</w:t>
            </w:r>
          </w:p>
        </w:tc>
        <w:tc>
          <w:tcPr>
            <w:tcW w:w="4178" w:type="dxa"/>
          </w:tcPr>
          <w:p w14:paraId="230BB08F" w14:textId="77777777" w:rsidR="0040775D" w:rsidRPr="00DE563B" w:rsidRDefault="0040775D" w:rsidP="00022519">
            <w:pPr>
              <w:pStyle w:val="Tabletext"/>
              <w:rPr>
                <w:sz w:val="20"/>
                <w:szCs w:val="20"/>
              </w:rPr>
            </w:pPr>
          </w:p>
        </w:tc>
      </w:tr>
      <w:tr w:rsidR="0040775D" w:rsidRPr="00DE563B" w14:paraId="75431211" w14:textId="77777777" w:rsidTr="00D91E39">
        <w:trPr>
          <w:jc w:val="center"/>
        </w:trPr>
        <w:tc>
          <w:tcPr>
            <w:tcW w:w="2208" w:type="dxa"/>
          </w:tcPr>
          <w:p w14:paraId="7F82F1DE" w14:textId="2A89DC27" w:rsidR="0040775D" w:rsidRPr="00DE563B" w:rsidRDefault="0040775D" w:rsidP="00022519">
            <w:pPr>
              <w:pStyle w:val="Tabletext"/>
              <w:rPr>
                <w:sz w:val="20"/>
                <w:szCs w:val="20"/>
              </w:rPr>
            </w:pPr>
            <w:bookmarkStart w:id="3" w:name="_Hlk226962345"/>
            <w:r w:rsidRPr="00DE563B">
              <w:rPr>
                <w:sz w:val="20"/>
                <w:szCs w:val="20"/>
              </w:rPr>
              <w:t>Traitement des coûts directs et indirects et des dépenses d'équipement</w:t>
            </w:r>
          </w:p>
        </w:tc>
        <w:tc>
          <w:tcPr>
            <w:tcW w:w="4178" w:type="dxa"/>
          </w:tcPr>
          <w:p w14:paraId="5D85BB5F" w14:textId="63DCE820" w:rsidR="0040775D" w:rsidRPr="00DE563B" w:rsidRDefault="0040775D" w:rsidP="00022519">
            <w:pPr>
              <w:pStyle w:val="Tabletext"/>
              <w:rPr>
                <w:sz w:val="20"/>
                <w:szCs w:val="20"/>
              </w:rPr>
            </w:pPr>
            <w:r w:rsidRPr="00DE563B">
              <w:rPr>
                <w:sz w:val="20"/>
                <w:szCs w:val="20"/>
              </w:rPr>
              <w:t>Certains délégués ont fait valoir que l'ensemble des coûts directs et indirects doit faire l'objet du recouvrement des coûts, conformément à la Résolution 91.</w:t>
            </w:r>
          </w:p>
        </w:tc>
        <w:tc>
          <w:tcPr>
            <w:tcW w:w="4178" w:type="dxa"/>
          </w:tcPr>
          <w:p w14:paraId="6E7210BD" w14:textId="77777777" w:rsidR="0040775D" w:rsidRPr="00DE563B" w:rsidRDefault="0040775D" w:rsidP="00022519">
            <w:pPr>
              <w:pStyle w:val="Tabletext"/>
              <w:rPr>
                <w:sz w:val="20"/>
                <w:szCs w:val="20"/>
              </w:rPr>
            </w:pPr>
            <w:r w:rsidRPr="00DE563B">
              <w:rPr>
                <w:sz w:val="20"/>
                <w:szCs w:val="20"/>
              </w:rPr>
              <w:t>Le Secrétariat estime que les dispositions de la Résolution 91 sont claires et imposent manifestement le recouvrement intégral des coûts directs et indirects. En l'absence d'une modification de la Résolution par une Conférence de Plénipotentiaires, le Secrétariat ne peut appliquer un modèle qui ne répondrait pas à cette prescription.</w:t>
            </w:r>
          </w:p>
        </w:tc>
        <w:tc>
          <w:tcPr>
            <w:tcW w:w="4178" w:type="dxa"/>
          </w:tcPr>
          <w:p w14:paraId="28F90BB6" w14:textId="2ABF11DD" w:rsidR="0040775D" w:rsidRPr="00DE563B" w:rsidRDefault="0040775D" w:rsidP="00022519">
            <w:pPr>
              <w:pStyle w:val="Tabletext"/>
              <w:rPr>
                <w:sz w:val="20"/>
                <w:szCs w:val="20"/>
              </w:rPr>
            </w:pPr>
            <w:r w:rsidRPr="00DE563B">
              <w:rPr>
                <w:sz w:val="20"/>
                <w:szCs w:val="20"/>
              </w:rPr>
              <w:t>Le Secrétariat a proposé une méthode qui prévoit le recouvrement de l'intégralité des coûts, conformément aux dispositions de la Résolution</w:t>
            </w:r>
            <w:r w:rsidR="00E05155" w:rsidRPr="00DE563B">
              <w:rPr>
                <w:sz w:val="20"/>
                <w:szCs w:val="20"/>
              </w:rPr>
              <w:t> </w:t>
            </w:r>
            <w:r w:rsidRPr="00DE563B">
              <w:rPr>
                <w:sz w:val="20"/>
                <w:szCs w:val="20"/>
              </w:rPr>
              <w:t>91.</w:t>
            </w:r>
          </w:p>
        </w:tc>
      </w:tr>
      <w:tr w:rsidR="0040775D" w:rsidRPr="00DE563B" w14:paraId="554C0F96" w14:textId="77777777" w:rsidTr="00D91E39">
        <w:trPr>
          <w:jc w:val="center"/>
        </w:trPr>
        <w:tc>
          <w:tcPr>
            <w:tcW w:w="2208" w:type="dxa"/>
          </w:tcPr>
          <w:p w14:paraId="291904EC" w14:textId="77777777" w:rsidR="0040775D" w:rsidRPr="00DE563B" w:rsidRDefault="0040775D" w:rsidP="00022519">
            <w:pPr>
              <w:pStyle w:val="Tabletext"/>
              <w:rPr>
                <w:sz w:val="20"/>
                <w:szCs w:val="20"/>
              </w:rPr>
            </w:pPr>
          </w:p>
        </w:tc>
        <w:tc>
          <w:tcPr>
            <w:tcW w:w="4178" w:type="dxa"/>
          </w:tcPr>
          <w:p w14:paraId="3FDE9731" w14:textId="1AB05F1D" w:rsidR="0040775D" w:rsidRPr="00DE563B" w:rsidRDefault="0040775D" w:rsidP="00022519">
            <w:pPr>
              <w:pStyle w:val="Tabletext"/>
              <w:rPr>
                <w:sz w:val="20"/>
                <w:szCs w:val="20"/>
              </w:rPr>
            </w:pPr>
            <w:r w:rsidRPr="00DE563B">
              <w:rPr>
                <w:sz w:val="20"/>
                <w:szCs w:val="20"/>
              </w:rPr>
              <w:t>Le sujet des dépenses d'équipement (par exemple, l'amortissement des systèmes logiciels) a été particulièrement disputé. Des délégués ont fait valoir que les dépenses d'équipement ne sont pas mentionnées dans la Résolution 91 et ne doivent donc pas être prises en considération.</w:t>
            </w:r>
          </w:p>
        </w:tc>
        <w:tc>
          <w:tcPr>
            <w:tcW w:w="4178" w:type="dxa"/>
          </w:tcPr>
          <w:p w14:paraId="595B1B40" w14:textId="7B3D8D36" w:rsidR="0040775D" w:rsidRPr="00DE563B" w:rsidRDefault="0040775D" w:rsidP="00022519">
            <w:pPr>
              <w:pStyle w:val="Tabletext"/>
              <w:rPr>
                <w:spacing w:val="-3"/>
                <w:sz w:val="20"/>
                <w:szCs w:val="20"/>
              </w:rPr>
            </w:pPr>
            <w:r w:rsidRPr="00DE563B">
              <w:rPr>
                <w:spacing w:val="-3"/>
                <w:sz w:val="20"/>
                <w:szCs w:val="20"/>
              </w:rPr>
              <w:t>Les notions de dépenses d'"équipement" et de "fonctionnement" reposent sur des principes comptables régissant le mode de comptabilisation des coûts. Les dépenses d'équipement se rattachent au coût des actifs utilisés sur une période de plusieurs années et sont comptabilisées sur plusieurs années (selon la durée de vie utile de l'actif en question) et ont une incidence sur le bilan de l'organisation, tandis que les dépenses de fonctionnement sont comptabilisées dès qu'elles sont engagées, et ont une incidence sur le compte de résultat. Ces dépenses créent une charge d'amortissement dans le compte de résultat.</w:t>
            </w:r>
          </w:p>
          <w:p w14:paraId="17314809" w14:textId="77777777" w:rsidR="0040775D" w:rsidRPr="00DE563B" w:rsidRDefault="0040775D" w:rsidP="00022519">
            <w:pPr>
              <w:pStyle w:val="Tabletext"/>
              <w:rPr>
                <w:spacing w:val="-3"/>
                <w:sz w:val="20"/>
                <w:szCs w:val="20"/>
              </w:rPr>
            </w:pPr>
            <w:r w:rsidRPr="00DE563B">
              <w:rPr>
                <w:spacing w:val="-3"/>
                <w:sz w:val="20"/>
                <w:szCs w:val="20"/>
              </w:rPr>
              <w:t xml:space="preserve">Les notions de coûts "directs" et "indirects" renvoient à l'objet des dépenses. Si les dépenses ont directement pour objet de fournir des services </w:t>
            </w:r>
            <w:r w:rsidRPr="00DE563B">
              <w:rPr>
                <w:spacing w:val="-3"/>
                <w:sz w:val="20"/>
                <w:szCs w:val="20"/>
              </w:rPr>
              <w:lastRenderedPageBreak/>
              <w:t>de traitement des fiches de notification des réseaux à satellite, il s'agit de coûts directs, que les dépenses soient d'équipement (à long terme) ou de fonctionnement (à court terme). De même, si les dépenses sont imputables indirectement au traitement des fiches de notification (service d'appui pour des dépenses directes), il s'agit de coûts indirects, que les dépenses soient d'investissement ou de fonctionnement.</w:t>
            </w:r>
          </w:p>
          <w:p w14:paraId="58A53651" w14:textId="77777777" w:rsidR="0040775D" w:rsidRPr="00DE563B" w:rsidRDefault="0040775D" w:rsidP="00022519">
            <w:pPr>
              <w:pStyle w:val="Tabletext"/>
              <w:rPr>
                <w:spacing w:val="-3"/>
                <w:sz w:val="20"/>
                <w:szCs w:val="20"/>
              </w:rPr>
            </w:pPr>
            <w:r w:rsidRPr="00DE563B">
              <w:rPr>
                <w:spacing w:val="-3"/>
                <w:sz w:val="20"/>
                <w:szCs w:val="20"/>
              </w:rPr>
              <w:t>Les coûts directs et indirects peuvent donc recouvrir des dépenses aussi bien d'équipement que de fonctionnement.</w:t>
            </w:r>
          </w:p>
          <w:p w14:paraId="5521B257" w14:textId="7F8BC5B6" w:rsidR="0040775D" w:rsidRPr="00DE563B" w:rsidRDefault="0040775D" w:rsidP="00022519">
            <w:pPr>
              <w:pStyle w:val="Tabletext"/>
              <w:rPr>
                <w:sz w:val="20"/>
                <w:szCs w:val="20"/>
              </w:rPr>
            </w:pPr>
            <w:r w:rsidRPr="00DE563B">
              <w:rPr>
                <w:spacing w:val="-3"/>
                <w:sz w:val="20"/>
                <w:szCs w:val="20"/>
              </w:rPr>
              <w:t>Si l'on prend l'exemple de l'amortissement des systèmes logiciels, il s'agit de dépenses d'équipement qui sont directes si le logiciel est spécifiquement acquis pour servir au traitement des fiches des notification uniquement, tandis que le coût annualisé d'un logiciel de cybersécurité acheté pour l'ensemble de l'</w:t>
            </w:r>
            <w:r w:rsidR="00E05155" w:rsidRPr="00DE563B">
              <w:rPr>
                <w:spacing w:val="-3"/>
                <w:sz w:val="20"/>
                <w:szCs w:val="20"/>
              </w:rPr>
              <w:t>UIT</w:t>
            </w:r>
            <w:r w:rsidRPr="00DE563B">
              <w:rPr>
                <w:spacing w:val="-3"/>
                <w:sz w:val="20"/>
                <w:szCs w:val="20"/>
              </w:rPr>
              <w:t xml:space="preserve"> est susceptible d'être comptabilisé au titre des dépenses indirectes.</w:t>
            </w:r>
          </w:p>
        </w:tc>
        <w:tc>
          <w:tcPr>
            <w:tcW w:w="4178" w:type="dxa"/>
          </w:tcPr>
          <w:p w14:paraId="08C3A98C" w14:textId="77777777" w:rsidR="0040775D" w:rsidRPr="00DE563B" w:rsidRDefault="0040775D" w:rsidP="00022519">
            <w:pPr>
              <w:pStyle w:val="Tabletext"/>
              <w:rPr>
                <w:sz w:val="20"/>
                <w:szCs w:val="20"/>
              </w:rPr>
            </w:pPr>
            <w:r w:rsidRPr="00DE563B">
              <w:rPr>
                <w:sz w:val="20"/>
                <w:szCs w:val="20"/>
              </w:rPr>
              <w:lastRenderedPageBreak/>
              <w:t>Les dépenses de fonctionnement et d'équipement seront comptabilisées comme coûts directs ou indirects, selon l'objet auquel elles sont destinées, pour autant qu'elles concernent de suffisamment près le traitement des fiches de notification des réseaux à satellite.</w:t>
            </w:r>
          </w:p>
        </w:tc>
      </w:tr>
      <w:bookmarkEnd w:id="3"/>
      <w:tr w:rsidR="0040775D" w:rsidRPr="00DE563B" w14:paraId="3E0401D6" w14:textId="77777777" w:rsidTr="00D91E39">
        <w:trPr>
          <w:jc w:val="center"/>
        </w:trPr>
        <w:tc>
          <w:tcPr>
            <w:tcW w:w="2208" w:type="dxa"/>
          </w:tcPr>
          <w:p w14:paraId="61FEE261" w14:textId="77777777" w:rsidR="0040775D" w:rsidRPr="00DE563B" w:rsidRDefault="0040775D" w:rsidP="00022519">
            <w:pPr>
              <w:pStyle w:val="Tabletext"/>
              <w:rPr>
                <w:sz w:val="20"/>
                <w:szCs w:val="20"/>
              </w:rPr>
            </w:pPr>
            <w:r w:rsidRPr="00DE563B">
              <w:rPr>
                <w:sz w:val="20"/>
                <w:szCs w:val="20"/>
              </w:rPr>
              <w:t>Franchises de droits</w:t>
            </w:r>
          </w:p>
        </w:tc>
        <w:tc>
          <w:tcPr>
            <w:tcW w:w="4178" w:type="dxa"/>
          </w:tcPr>
          <w:p w14:paraId="0A3F8ADE" w14:textId="77777777" w:rsidR="0040775D" w:rsidRPr="00DE563B" w:rsidRDefault="0040775D" w:rsidP="00022519">
            <w:pPr>
              <w:pStyle w:val="Tabletext"/>
              <w:rPr>
                <w:sz w:val="20"/>
                <w:szCs w:val="20"/>
              </w:rPr>
            </w:pPr>
            <w:r w:rsidRPr="00DE563B">
              <w:rPr>
                <w:sz w:val="20"/>
                <w:szCs w:val="20"/>
              </w:rPr>
              <w:t>Les délégués ont été nombreux à souligner que les franchises sont une question fondamentale au regard de la Constitution et doivent être financées au moyen des unités contributives et non du recouvrement des coûts.</w:t>
            </w:r>
          </w:p>
          <w:p w14:paraId="42BF2224" w14:textId="77777777" w:rsidR="0040775D" w:rsidRPr="00DE563B" w:rsidRDefault="0040775D" w:rsidP="00022519">
            <w:pPr>
              <w:pStyle w:val="Tabletext"/>
              <w:rPr>
                <w:sz w:val="20"/>
                <w:szCs w:val="20"/>
              </w:rPr>
            </w:pPr>
            <w:r w:rsidRPr="00DE563B">
              <w:rPr>
                <w:sz w:val="20"/>
                <w:szCs w:val="20"/>
              </w:rPr>
              <w:t>D'autres ont fait valoir que les franchises devaient être financées par le recouvrement des coûts en application de la Résolution 91.</w:t>
            </w:r>
          </w:p>
          <w:p w14:paraId="398DA176" w14:textId="346948F9" w:rsidR="0040775D" w:rsidRPr="00DE563B" w:rsidRDefault="0040775D" w:rsidP="00022519">
            <w:pPr>
              <w:pStyle w:val="Tabletext"/>
              <w:rPr>
                <w:sz w:val="20"/>
                <w:szCs w:val="20"/>
              </w:rPr>
            </w:pPr>
            <w:r w:rsidRPr="00DE563B">
              <w:rPr>
                <w:sz w:val="20"/>
                <w:szCs w:val="20"/>
              </w:rPr>
              <w:t>Les délégués ont évoqué les problèmes d'utilisation abusive des franchises.</w:t>
            </w:r>
          </w:p>
          <w:p w14:paraId="23F49B9F" w14:textId="6DBC2CC3" w:rsidR="0040775D" w:rsidRPr="00DE563B" w:rsidRDefault="0040775D" w:rsidP="00022519">
            <w:pPr>
              <w:pStyle w:val="Tabletext"/>
              <w:rPr>
                <w:sz w:val="20"/>
                <w:szCs w:val="20"/>
              </w:rPr>
            </w:pPr>
            <w:r w:rsidRPr="00DE563B">
              <w:rPr>
                <w:sz w:val="20"/>
                <w:szCs w:val="20"/>
              </w:rPr>
              <w:t>Certains délégués ont noté qu'un petit nombre de grandes sociétés multinationales bénéficient indirectement des franchises.</w:t>
            </w:r>
          </w:p>
        </w:tc>
        <w:tc>
          <w:tcPr>
            <w:tcW w:w="4178" w:type="dxa"/>
          </w:tcPr>
          <w:p w14:paraId="3C2FC158" w14:textId="77777777" w:rsidR="0040775D" w:rsidRPr="00DE563B" w:rsidRDefault="0040775D" w:rsidP="00022519">
            <w:pPr>
              <w:pStyle w:val="Tabletext"/>
              <w:rPr>
                <w:sz w:val="20"/>
                <w:szCs w:val="20"/>
              </w:rPr>
            </w:pPr>
            <w:r w:rsidRPr="00DE563B">
              <w:rPr>
                <w:sz w:val="20"/>
                <w:szCs w:val="20"/>
              </w:rPr>
              <w:t>Le droit au traitement en franchise des fiches de notification résulte des principes définis dans la Résolution 91 pour assurer un accès équitable à tous les États Membres.</w:t>
            </w:r>
          </w:p>
          <w:p w14:paraId="4BB854B0" w14:textId="0F41D9CE" w:rsidR="00D91E39" w:rsidRPr="00DE563B" w:rsidRDefault="00D91E39" w:rsidP="00022519">
            <w:pPr>
              <w:pStyle w:val="Tabletext"/>
              <w:rPr>
                <w:sz w:val="20"/>
                <w:szCs w:val="20"/>
              </w:rPr>
            </w:pPr>
            <w:r w:rsidRPr="00DE563B">
              <w:rPr>
                <w:sz w:val="20"/>
                <w:szCs w:val="20"/>
              </w:rPr>
              <w:t>D'ordinaire, l'accès équitable est assuré en prévoyant des dispositions spéciales à l'intention des membres défavorisés. Or, la franchise exonère de droits tous les États Membres, qu'ils aient ou non les moyens d'acquitter les droits établis en fonction des coûts recouvrés.</w:t>
            </w:r>
          </w:p>
        </w:tc>
        <w:tc>
          <w:tcPr>
            <w:tcW w:w="4178" w:type="dxa"/>
          </w:tcPr>
          <w:p w14:paraId="7995C4BE" w14:textId="77777777" w:rsidR="0040775D" w:rsidRPr="00DE563B" w:rsidRDefault="0040775D" w:rsidP="00022519">
            <w:pPr>
              <w:pStyle w:val="Tabletext"/>
              <w:rPr>
                <w:sz w:val="20"/>
                <w:szCs w:val="20"/>
              </w:rPr>
            </w:pPr>
            <w:r w:rsidRPr="00DE563B">
              <w:rPr>
                <w:sz w:val="20"/>
                <w:szCs w:val="20"/>
              </w:rPr>
              <w:t>Le Secrétariat propose au Conseil d'envisager l'une des solutions possibles ci-après pour le régime des franchises:</w:t>
            </w:r>
          </w:p>
          <w:p w14:paraId="01A9A0F1" w14:textId="279141F0" w:rsidR="0040775D" w:rsidRPr="00DE563B" w:rsidRDefault="0040775D" w:rsidP="00022519">
            <w:pPr>
              <w:pStyle w:val="Tabletext"/>
              <w:ind w:left="284" w:hanging="284"/>
              <w:rPr>
                <w:sz w:val="20"/>
                <w:szCs w:val="20"/>
              </w:rPr>
            </w:pPr>
            <w:r w:rsidRPr="00DE563B">
              <w:rPr>
                <w:rFonts w:eastAsiaTheme="minorEastAsia" w:cs="Calibri"/>
                <w:sz w:val="20"/>
                <w:szCs w:val="20"/>
              </w:rPr>
              <w:t>1</w:t>
            </w:r>
            <w:r w:rsidR="00D91E39" w:rsidRPr="00DE563B">
              <w:rPr>
                <w:rFonts w:eastAsiaTheme="minorEastAsia" w:cs="Calibri"/>
                <w:sz w:val="20"/>
                <w:szCs w:val="20"/>
              </w:rPr>
              <w:t>)</w:t>
            </w:r>
            <w:r w:rsidRPr="00DE563B">
              <w:rPr>
                <w:rFonts w:eastAsiaTheme="minorEastAsia" w:cs="Calibri"/>
                <w:sz w:val="20"/>
                <w:szCs w:val="20"/>
              </w:rPr>
              <w:tab/>
            </w:r>
            <w:r w:rsidRPr="00DE563B">
              <w:rPr>
                <w:sz w:val="20"/>
                <w:szCs w:val="20"/>
              </w:rPr>
              <w:t>Appliquer la franchise à la fiche de notification la moins onéreuse émanant chaque année de toute administration soumettant des fiches.</w:t>
            </w:r>
          </w:p>
          <w:p w14:paraId="241E6B38" w14:textId="27CDB078" w:rsidR="0040775D" w:rsidRPr="00DE563B" w:rsidRDefault="0040775D" w:rsidP="00D91E39">
            <w:pPr>
              <w:pStyle w:val="Tabletext"/>
              <w:ind w:left="284" w:hanging="284"/>
              <w:rPr>
                <w:sz w:val="20"/>
                <w:szCs w:val="20"/>
              </w:rPr>
            </w:pPr>
            <w:r w:rsidRPr="00DE563B">
              <w:rPr>
                <w:rFonts w:eastAsiaTheme="minorEastAsia" w:cs="Calibri"/>
                <w:sz w:val="20"/>
                <w:szCs w:val="20"/>
              </w:rPr>
              <w:t>2</w:t>
            </w:r>
            <w:r w:rsidR="00D91E39" w:rsidRPr="00DE563B">
              <w:rPr>
                <w:rFonts w:eastAsiaTheme="minorEastAsia" w:cs="Calibri"/>
                <w:sz w:val="20"/>
                <w:szCs w:val="20"/>
              </w:rPr>
              <w:t>)</w:t>
            </w:r>
            <w:r w:rsidRPr="00DE563B">
              <w:rPr>
                <w:rFonts w:eastAsiaTheme="minorEastAsia" w:cs="Calibri"/>
                <w:sz w:val="20"/>
                <w:szCs w:val="20"/>
              </w:rPr>
              <w:tab/>
            </w:r>
            <w:r w:rsidRPr="00DE563B">
              <w:rPr>
                <w:sz w:val="20"/>
                <w:szCs w:val="20"/>
              </w:rPr>
              <w:t>Limiter le bénéfice de la franchise aux PMA, aux PEID, aux PDSL et aux pays en transition.</w:t>
            </w:r>
          </w:p>
        </w:tc>
      </w:tr>
    </w:tbl>
    <w:p w14:paraId="55867883" w14:textId="77777777" w:rsidR="00D91E39" w:rsidRPr="00DE563B" w:rsidRDefault="00D91E39"/>
    <w:tbl>
      <w:tblPr>
        <w:tblStyle w:val="TableGrid"/>
        <w:tblW w:w="14742" w:type="dxa"/>
        <w:jc w:val="center"/>
        <w:tblLayout w:type="fixed"/>
        <w:tblCellMar>
          <w:left w:w="57" w:type="dxa"/>
          <w:right w:w="57" w:type="dxa"/>
        </w:tblCellMar>
        <w:tblLook w:val="04A0" w:firstRow="1" w:lastRow="0" w:firstColumn="1" w:lastColumn="0" w:noHBand="0" w:noVBand="1"/>
      </w:tblPr>
      <w:tblGrid>
        <w:gridCol w:w="2208"/>
        <w:gridCol w:w="4178"/>
        <w:gridCol w:w="4178"/>
        <w:gridCol w:w="4178"/>
      </w:tblGrid>
      <w:tr w:rsidR="00D91E39" w:rsidRPr="00DE563B" w14:paraId="0ABEC809" w14:textId="77777777" w:rsidTr="00D91E39">
        <w:trPr>
          <w:tblHeader/>
          <w:jc w:val="center"/>
        </w:trPr>
        <w:tc>
          <w:tcPr>
            <w:tcW w:w="2208" w:type="dxa"/>
          </w:tcPr>
          <w:p w14:paraId="7F0C09C8" w14:textId="6255FF3D" w:rsidR="00D91E39" w:rsidRPr="00DE563B" w:rsidRDefault="00D91E39" w:rsidP="00D91E39">
            <w:pPr>
              <w:pStyle w:val="Tablehead"/>
              <w:rPr>
                <w:bCs/>
                <w:sz w:val="20"/>
              </w:rPr>
            </w:pPr>
            <w:r w:rsidRPr="00DE563B">
              <w:rPr>
                <w:bCs/>
                <w:sz w:val="20"/>
              </w:rPr>
              <w:t>Catégorie</w:t>
            </w:r>
          </w:p>
        </w:tc>
        <w:tc>
          <w:tcPr>
            <w:tcW w:w="4178" w:type="dxa"/>
          </w:tcPr>
          <w:p w14:paraId="0BE04C53" w14:textId="182DA57F" w:rsidR="00D91E39" w:rsidRPr="00DE563B" w:rsidRDefault="00D91E39" w:rsidP="00D91E39">
            <w:pPr>
              <w:pStyle w:val="Tablehead"/>
              <w:rPr>
                <w:bCs/>
                <w:sz w:val="20"/>
              </w:rPr>
            </w:pPr>
            <w:r w:rsidRPr="00DE563B">
              <w:rPr>
                <w:bCs/>
                <w:sz w:val="20"/>
              </w:rPr>
              <w:t>Préoccupation</w:t>
            </w:r>
          </w:p>
        </w:tc>
        <w:tc>
          <w:tcPr>
            <w:tcW w:w="4178" w:type="dxa"/>
          </w:tcPr>
          <w:p w14:paraId="36DCB9A2" w14:textId="2A32C6EA" w:rsidR="00D91E39" w:rsidRPr="00DE563B" w:rsidRDefault="00D91E39" w:rsidP="00D91E39">
            <w:pPr>
              <w:pStyle w:val="Tablehead"/>
              <w:rPr>
                <w:bCs/>
                <w:sz w:val="20"/>
              </w:rPr>
            </w:pPr>
            <w:r w:rsidRPr="00DE563B">
              <w:rPr>
                <w:bCs/>
                <w:sz w:val="20"/>
              </w:rPr>
              <w:t>Réponse du Secrétariat</w:t>
            </w:r>
          </w:p>
        </w:tc>
        <w:tc>
          <w:tcPr>
            <w:tcW w:w="4178" w:type="dxa"/>
          </w:tcPr>
          <w:p w14:paraId="4CCA5F81" w14:textId="7905C74F" w:rsidR="00D91E39" w:rsidRPr="00DE563B" w:rsidRDefault="00D91E39" w:rsidP="00D91E39">
            <w:pPr>
              <w:pStyle w:val="Tablehead"/>
              <w:rPr>
                <w:bCs/>
                <w:sz w:val="20"/>
              </w:rPr>
            </w:pPr>
            <w:r w:rsidRPr="00DE563B">
              <w:rPr>
                <w:bCs/>
                <w:sz w:val="20"/>
              </w:rPr>
              <w:t>Proposition</w:t>
            </w:r>
          </w:p>
        </w:tc>
      </w:tr>
      <w:tr w:rsidR="00D91E39" w:rsidRPr="00DE563B" w14:paraId="27F2F650" w14:textId="77777777" w:rsidTr="00D91E39">
        <w:trPr>
          <w:jc w:val="center"/>
        </w:trPr>
        <w:tc>
          <w:tcPr>
            <w:tcW w:w="2208" w:type="dxa"/>
          </w:tcPr>
          <w:p w14:paraId="62BB1623" w14:textId="77777777" w:rsidR="00D91E39" w:rsidRPr="00DE563B" w:rsidRDefault="00D91E39" w:rsidP="00D91E39">
            <w:pPr>
              <w:pStyle w:val="Tabletext"/>
              <w:rPr>
                <w:sz w:val="20"/>
              </w:rPr>
            </w:pPr>
          </w:p>
        </w:tc>
        <w:tc>
          <w:tcPr>
            <w:tcW w:w="4178" w:type="dxa"/>
          </w:tcPr>
          <w:p w14:paraId="7DB2F223" w14:textId="77777777" w:rsidR="00D91E39" w:rsidRPr="00DE563B" w:rsidRDefault="00D91E39" w:rsidP="00D91E39">
            <w:pPr>
              <w:pStyle w:val="Tabletext"/>
              <w:rPr>
                <w:sz w:val="20"/>
                <w:szCs w:val="20"/>
              </w:rPr>
            </w:pPr>
            <w:r w:rsidRPr="00DE563B">
              <w:rPr>
                <w:sz w:val="20"/>
                <w:szCs w:val="20"/>
              </w:rPr>
              <w:t>Il a été recommandé d'éviter les abus en appliquant aux franchises le principe de l'équité d'accès.</w:t>
            </w:r>
          </w:p>
          <w:p w14:paraId="550014E9" w14:textId="77777777" w:rsidR="00D91E39" w:rsidRPr="00DE563B" w:rsidRDefault="00D91E39" w:rsidP="00D91E39">
            <w:pPr>
              <w:pStyle w:val="Tabletext"/>
              <w:rPr>
                <w:sz w:val="20"/>
                <w:szCs w:val="20"/>
              </w:rPr>
            </w:pPr>
            <w:r w:rsidRPr="00DE563B">
              <w:rPr>
                <w:sz w:val="20"/>
                <w:szCs w:val="20"/>
              </w:rPr>
              <w:t>Certains délégués ont estimé que les franchises doivent aider les pays en développement, en particulier les PMA, les PDSL et les PEID.</w:t>
            </w:r>
          </w:p>
          <w:p w14:paraId="3E4D1A3A" w14:textId="7F2F1392" w:rsidR="00D91E39" w:rsidRPr="00DE563B" w:rsidRDefault="00D91E39" w:rsidP="00D91E39">
            <w:pPr>
              <w:pStyle w:val="Tabletext"/>
              <w:rPr>
                <w:sz w:val="20"/>
              </w:rPr>
            </w:pPr>
            <w:r w:rsidRPr="00DE563B">
              <w:rPr>
                <w:sz w:val="20"/>
                <w:szCs w:val="20"/>
              </w:rPr>
              <w:t>Certains ont proposé que les initiatives satellitaires régionales soient admises au bénéfice des franchises.</w:t>
            </w:r>
          </w:p>
        </w:tc>
        <w:tc>
          <w:tcPr>
            <w:tcW w:w="4178" w:type="dxa"/>
          </w:tcPr>
          <w:p w14:paraId="7C783F89" w14:textId="5D576230" w:rsidR="00D91E39" w:rsidRPr="00DE563B" w:rsidRDefault="00D91E39" w:rsidP="00D91E39">
            <w:pPr>
              <w:pStyle w:val="Tabletext"/>
              <w:rPr>
                <w:sz w:val="20"/>
                <w:szCs w:val="20"/>
              </w:rPr>
            </w:pPr>
            <w:r w:rsidRPr="00DE563B">
              <w:rPr>
                <w:sz w:val="20"/>
                <w:szCs w:val="20"/>
              </w:rPr>
              <w:t>En outre, le Secrétariat a constaté que les franchises ont souvent été utilisées pour les fiches de notification les plus complexes, ce qui a donc une incidence importante sur la possibilité de recouvrer intégralement le total des coûts.</w:t>
            </w:r>
          </w:p>
          <w:p w14:paraId="2C2A638E" w14:textId="77777777" w:rsidR="00D91E39" w:rsidRPr="00DE563B" w:rsidRDefault="00D91E39" w:rsidP="00D91E39">
            <w:pPr>
              <w:pStyle w:val="Tabletext"/>
              <w:rPr>
                <w:sz w:val="20"/>
                <w:szCs w:val="20"/>
              </w:rPr>
            </w:pPr>
            <w:r w:rsidRPr="00DE563B">
              <w:rPr>
                <w:sz w:val="20"/>
                <w:szCs w:val="20"/>
              </w:rPr>
              <w:t>La question a été posée de savoir si le financement des franchises devrait provenir du recouvrement des coûts. À l'heure actuelle, étant donné que le montant total des coûts engagés par le Secrétariat pour traiter les fiches de notification de réseaux à satellite n'a pas été recouvré au cours des cinq dernières années (au</w:t>
            </w:r>
            <w:r w:rsidRPr="00DE563B">
              <w:rPr>
                <w:sz w:val="20"/>
                <w:szCs w:val="20"/>
              </w:rPr>
              <w:noBreakHyphen/>
              <w:t>delà des fiches bénéficiant de la franchise de droit), le coût du traitement des fiches bénéficiant de la franchise est entièrement financé par les contributions mises en recouvrement des membres de l'UIT.</w:t>
            </w:r>
          </w:p>
          <w:p w14:paraId="713A10EE" w14:textId="77777777" w:rsidR="00D91E39" w:rsidRPr="00DE563B" w:rsidRDefault="00D91E39" w:rsidP="00D91E39">
            <w:pPr>
              <w:pStyle w:val="Tabletext"/>
              <w:rPr>
                <w:sz w:val="20"/>
                <w:szCs w:val="20"/>
              </w:rPr>
            </w:pPr>
            <w:r w:rsidRPr="00DE563B">
              <w:rPr>
                <w:sz w:val="20"/>
                <w:szCs w:val="20"/>
              </w:rPr>
              <w:t xml:space="preserve">Il ressort d'une lecture parallèle de la Résolution 91 de la Conférence de plénipotentiaires et de la Décision 482 du Conseil que le service des fiches de notification de réseaux à satellite fait partie intégrante du régime de recouvrement des coûts de l'UIT, et que l'interprétation des règles d'application détaillées du Conseil doit être compatible avec ce cadre général. Si la Décision 482 accorde à chaque État Membre une franchise annuelle se limitant à une fiche de notification, cette franchise devrait, selon le Secrétariat, être considérée comme un élément à part entière du modèle de facturation et non comme une raison d'exclure les coûts correspondants du calcul général du recouvrement des coûts de traitement </w:t>
            </w:r>
            <w:r w:rsidRPr="00DE563B">
              <w:rPr>
                <w:sz w:val="20"/>
                <w:szCs w:val="20"/>
              </w:rPr>
              <w:lastRenderedPageBreak/>
              <w:t>des fiches de notification des réseaux à satellite. Partant, le Secrétariat estime que les coûts de traitement des franchises devraient faire partie du montant total des coûts recouvrés au titre du traitement des fiches de notification des réseaux à satellite.</w:t>
            </w:r>
          </w:p>
          <w:p w14:paraId="5BA86C33" w14:textId="77777777" w:rsidR="00D91E39" w:rsidRPr="00ED1B22" w:rsidRDefault="00D91E39" w:rsidP="00D91E39">
            <w:pPr>
              <w:pStyle w:val="Tabletext"/>
              <w:rPr>
                <w:sz w:val="20"/>
                <w:szCs w:val="20"/>
              </w:rPr>
            </w:pPr>
            <w:r w:rsidRPr="00ED1B22">
              <w:rPr>
                <w:sz w:val="20"/>
                <w:szCs w:val="20"/>
              </w:rPr>
              <w:t>Le Secrétariat avait proposé deux options:</w:t>
            </w:r>
          </w:p>
          <w:p w14:paraId="674BD68A" w14:textId="11B353A3" w:rsidR="00D91E39" w:rsidRPr="00ED1B22" w:rsidRDefault="00D91E39" w:rsidP="00D91E39">
            <w:pPr>
              <w:pStyle w:val="Tabletext"/>
              <w:ind w:left="284" w:hanging="284"/>
              <w:rPr>
                <w:sz w:val="20"/>
                <w:szCs w:val="20"/>
              </w:rPr>
            </w:pPr>
            <w:r w:rsidRPr="00ED1B22">
              <w:rPr>
                <w:rFonts w:eastAsiaTheme="minorEastAsia" w:cs="Calibri"/>
                <w:sz w:val="20"/>
                <w:szCs w:val="20"/>
              </w:rPr>
              <w:t>1)</w:t>
            </w:r>
            <w:r w:rsidRPr="00ED1B22">
              <w:rPr>
                <w:rFonts w:eastAsiaTheme="minorEastAsia" w:cs="Calibri"/>
                <w:sz w:val="20"/>
                <w:szCs w:val="20"/>
              </w:rPr>
              <w:tab/>
            </w:r>
            <w:r w:rsidR="00ED1B22" w:rsidRPr="00ED1B22">
              <w:rPr>
                <w:sz w:val="20"/>
                <w:szCs w:val="20"/>
              </w:rPr>
              <w:t>limiter la fiche de notification à la première fiche de notification de l'année, ou</w:t>
            </w:r>
          </w:p>
          <w:p w14:paraId="63724931" w14:textId="77777777" w:rsidR="00D91E39" w:rsidRPr="00DE563B" w:rsidRDefault="00D91E39" w:rsidP="00D91E39">
            <w:pPr>
              <w:pStyle w:val="Tabletext"/>
              <w:ind w:left="284" w:hanging="284"/>
              <w:rPr>
                <w:sz w:val="20"/>
                <w:szCs w:val="20"/>
              </w:rPr>
            </w:pPr>
            <w:r w:rsidRPr="00ED1B22">
              <w:rPr>
                <w:rFonts w:eastAsiaTheme="minorEastAsia" w:cs="Calibri"/>
                <w:sz w:val="20"/>
                <w:szCs w:val="20"/>
              </w:rPr>
              <w:t>2)</w:t>
            </w:r>
            <w:r w:rsidRPr="00ED1B22">
              <w:rPr>
                <w:rFonts w:eastAsiaTheme="minorEastAsia" w:cs="Calibri"/>
                <w:sz w:val="20"/>
                <w:szCs w:val="20"/>
              </w:rPr>
              <w:tab/>
            </w:r>
            <w:r w:rsidRPr="00ED1B22">
              <w:rPr>
                <w:sz w:val="20"/>
                <w:szCs w:val="20"/>
              </w:rPr>
              <w:t>appliquer la franchise à la fiche de notification la moins onéreuse émanant chaque</w:t>
            </w:r>
            <w:r w:rsidRPr="00DE563B">
              <w:rPr>
                <w:sz w:val="20"/>
                <w:szCs w:val="20"/>
              </w:rPr>
              <w:t xml:space="preserve"> année de toute administration soumettant des fiches.</w:t>
            </w:r>
          </w:p>
          <w:p w14:paraId="326ECD92" w14:textId="77777777" w:rsidR="00D91E39" w:rsidRPr="00DE563B" w:rsidRDefault="00D91E39" w:rsidP="00D91E39">
            <w:pPr>
              <w:pStyle w:val="Tabletext"/>
              <w:rPr>
                <w:sz w:val="20"/>
                <w:szCs w:val="20"/>
              </w:rPr>
            </w:pPr>
            <w:r w:rsidRPr="00DE563B">
              <w:rPr>
                <w:sz w:val="20"/>
                <w:szCs w:val="20"/>
              </w:rPr>
              <w:t>Dans le premier cas, on a fait observer que cela ne changerait pas nécessairement la donne car les entités présentant plusieurs fiches de notification feraient simplement en sorte de présenter la moins onéreuse en premier.</w:t>
            </w:r>
          </w:p>
          <w:p w14:paraId="2EF3F0EC" w14:textId="5FD11BAD" w:rsidR="00D91E39" w:rsidRPr="00DE563B" w:rsidRDefault="00D91E39" w:rsidP="00D91E39">
            <w:pPr>
              <w:pStyle w:val="Tabletext"/>
              <w:rPr>
                <w:sz w:val="20"/>
              </w:rPr>
            </w:pPr>
            <w:r w:rsidRPr="00DE563B">
              <w:rPr>
                <w:sz w:val="20"/>
                <w:szCs w:val="20"/>
              </w:rPr>
              <w:t>En ce qui concerne la deuxième option, on a fait valoir que cela supprimerait l'avantage conféré par la franchise. Le Secrétariat note que cela éliminerait le bénéfice de l'avantage offert uniquement pour les grandes entités qui présentent plusieurs fiches de notification par an, auxquelles cet avantage n'était sans doute pas destiné au demeurant.</w:t>
            </w:r>
          </w:p>
        </w:tc>
        <w:tc>
          <w:tcPr>
            <w:tcW w:w="4178" w:type="dxa"/>
          </w:tcPr>
          <w:p w14:paraId="5F6E5D02" w14:textId="2DB53405" w:rsidR="00D91E39" w:rsidRPr="00DE563B" w:rsidRDefault="00D91E39" w:rsidP="00D91E39">
            <w:pPr>
              <w:pStyle w:val="Tabletext"/>
              <w:rPr>
                <w:sz w:val="20"/>
              </w:rPr>
            </w:pPr>
            <w:r w:rsidRPr="00DE563B">
              <w:rPr>
                <w:sz w:val="20"/>
                <w:szCs w:val="20"/>
              </w:rPr>
              <w:lastRenderedPageBreak/>
              <w:t>En tout état de cause, le Secrétariat est d'avis que la solution correcte est d'inscrire les dépenses relatives au traitement des franchises dans le coût global du traitement des fiches de notification, et de recouvrer l'intégralité des coûts afférents au traitement en franchise de fiches de notification.</w:t>
            </w:r>
          </w:p>
        </w:tc>
      </w:tr>
      <w:tr w:rsidR="00D91E39" w:rsidRPr="00DE563B" w14:paraId="6256F319" w14:textId="77777777" w:rsidTr="00D91E39">
        <w:trPr>
          <w:jc w:val="center"/>
        </w:trPr>
        <w:tc>
          <w:tcPr>
            <w:tcW w:w="2208" w:type="dxa"/>
          </w:tcPr>
          <w:p w14:paraId="3AC734F3" w14:textId="77777777" w:rsidR="00D91E39" w:rsidRPr="00DE563B" w:rsidRDefault="00D91E39" w:rsidP="00D91E39">
            <w:pPr>
              <w:pStyle w:val="Tabletext"/>
              <w:keepNext/>
              <w:keepLines/>
              <w:rPr>
                <w:sz w:val="20"/>
                <w:szCs w:val="20"/>
              </w:rPr>
            </w:pPr>
            <w:bookmarkStart w:id="4" w:name="_Hlk226972038"/>
          </w:p>
        </w:tc>
        <w:tc>
          <w:tcPr>
            <w:tcW w:w="4178" w:type="dxa"/>
          </w:tcPr>
          <w:p w14:paraId="07472FB0" w14:textId="77777777" w:rsidR="00D91E39" w:rsidRPr="00DE563B" w:rsidRDefault="00D91E39" w:rsidP="00D91E39">
            <w:pPr>
              <w:pStyle w:val="Tabletext"/>
              <w:keepNext/>
              <w:keepLines/>
              <w:rPr>
                <w:sz w:val="20"/>
                <w:szCs w:val="20"/>
              </w:rPr>
            </w:pPr>
            <w:r w:rsidRPr="00DE563B">
              <w:rPr>
                <w:sz w:val="20"/>
                <w:szCs w:val="20"/>
              </w:rPr>
              <w:t>Portée des franchises:</w:t>
            </w:r>
          </w:p>
          <w:p w14:paraId="50FD2B82" w14:textId="14C205CF" w:rsidR="00D91E39" w:rsidRPr="00DE563B" w:rsidRDefault="00D91E39" w:rsidP="00D91E39">
            <w:pPr>
              <w:pStyle w:val="Tabletext"/>
              <w:keepNext/>
              <w:keepLines/>
              <w:ind w:left="284" w:hanging="284"/>
              <w:rPr>
                <w:sz w:val="20"/>
                <w:szCs w:val="20"/>
              </w:rPr>
            </w:pPr>
            <w:r w:rsidRPr="00DE563B">
              <w:rPr>
                <w:sz w:val="20"/>
              </w:rPr>
              <w:t>–</w:t>
            </w:r>
            <w:r w:rsidRPr="00DE563B">
              <w:rPr>
                <w:sz w:val="20"/>
                <w:szCs w:val="20"/>
              </w:rPr>
              <w:tab/>
              <w:t>Proposition visant à limiter les franchises aux systèmes à satellites complets et à exclure les modifications.</w:t>
            </w:r>
          </w:p>
          <w:p w14:paraId="1B7AF963" w14:textId="77777777" w:rsidR="00D91E39" w:rsidRPr="00DE563B" w:rsidRDefault="00D91E39" w:rsidP="00D91E39">
            <w:pPr>
              <w:pStyle w:val="Tabletext"/>
              <w:keepNext/>
              <w:keepLines/>
              <w:ind w:left="284" w:hanging="284"/>
              <w:rPr>
                <w:sz w:val="20"/>
                <w:szCs w:val="20"/>
              </w:rPr>
            </w:pPr>
            <w:r w:rsidRPr="00DE563B">
              <w:rPr>
                <w:sz w:val="20"/>
                <w:szCs w:val="20"/>
              </w:rPr>
              <w:t>–</w:t>
            </w:r>
            <w:r w:rsidRPr="00DE563B">
              <w:rPr>
                <w:sz w:val="20"/>
                <w:szCs w:val="20"/>
              </w:rPr>
              <w:tab/>
              <w:t xml:space="preserve">Question de savoir si </w:t>
            </w:r>
            <w:bookmarkStart w:id="5" w:name="_Hlk226972984"/>
            <w:r w:rsidRPr="00DE563B">
              <w:rPr>
                <w:sz w:val="20"/>
                <w:szCs w:val="20"/>
              </w:rPr>
              <w:t xml:space="preserve">les fiches de notification de systèmes non OSG </w:t>
            </w:r>
            <w:bookmarkEnd w:id="5"/>
            <w:r w:rsidRPr="00DE563B">
              <w:rPr>
                <w:sz w:val="20"/>
                <w:szCs w:val="20"/>
              </w:rPr>
              <w:t>devraient être admissibles, étant donné les exclusions récentes.</w:t>
            </w:r>
          </w:p>
        </w:tc>
        <w:tc>
          <w:tcPr>
            <w:tcW w:w="4178" w:type="dxa"/>
          </w:tcPr>
          <w:p w14:paraId="57BE18AA" w14:textId="447F519C" w:rsidR="00D91E39" w:rsidRPr="00DE563B" w:rsidRDefault="00D91E39" w:rsidP="00D91E39">
            <w:pPr>
              <w:pStyle w:val="Tabletext"/>
              <w:rPr>
                <w:sz w:val="20"/>
              </w:rPr>
            </w:pPr>
            <w:r w:rsidRPr="00DE563B">
              <w:rPr>
                <w:sz w:val="20"/>
              </w:rPr>
              <w:t>Une décision de limiter des franchises aux systèmes à satellites complets et d'exclure les modifications pourrait être facilement contournée et serait en définitive contre</w:t>
            </w:r>
            <w:r w:rsidRPr="00DE563B">
              <w:rPr>
                <w:sz w:val="20"/>
              </w:rPr>
              <w:noBreakHyphen/>
              <w:t>productive: au lieu de présenter des modifications, on communiquerait des systèmes à satellites complets incorporant déjà les modifications prévues: non seulement la mesure serait contournée, mais la charge de travail du Bureau des radiocommunications s'en trouverait inutilement accrue.</w:t>
            </w:r>
          </w:p>
          <w:p w14:paraId="32C51976" w14:textId="12793731" w:rsidR="00D91E39" w:rsidRPr="00DE563B" w:rsidRDefault="00D91E39" w:rsidP="00D91E39">
            <w:pPr>
              <w:pStyle w:val="Tabletext"/>
            </w:pPr>
            <w:r w:rsidRPr="00DE563B">
              <w:rPr>
                <w:sz w:val="20"/>
              </w:rPr>
              <w:t>Les fiches de notification de systèmes non OSG présentent une grande diversité, du petit projet universitaire amateur au satellite scientifique unique très complexe en passant par les grandes constellations de satellites de communication. La révision de la Décision 482 adoptée à la session de 2025 du Conseil exclut la possibilité de demander la franchise pour des fiches de notification de systèmes non OSG complexes et de grande dimension. Cette exclusion n'étant entrée en vigueur que le 1er janvier 2026, le recul dont on dispose pour évaluer l'efficacité de cette mesure est encore très limité.</w:t>
            </w:r>
          </w:p>
        </w:tc>
        <w:tc>
          <w:tcPr>
            <w:tcW w:w="4178" w:type="dxa"/>
          </w:tcPr>
          <w:p w14:paraId="4E6E8654" w14:textId="77777777" w:rsidR="00D91E39" w:rsidRPr="00DE563B" w:rsidRDefault="00D91E39" w:rsidP="00D91E39">
            <w:pPr>
              <w:pStyle w:val="Tabletext"/>
              <w:rPr>
                <w:sz w:val="20"/>
              </w:rPr>
            </w:pPr>
            <w:r w:rsidRPr="00DE563B">
              <w:rPr>
                <w:sz w:val="20"/>
              </w:rPr>
              <w:t>La proposition visant à limiter les franchises aux systèmes à satellites complets et à exclure les modifications ne devrait pas être considérée plus avant.</w:t>
            </w:r>
          </w:p>
          <w:p w14:paraId="012422C8" w14:textId="4F471BEE" w:rsidR="00D91E39" w:rsidRPr="00DE563B" w:rsidRDefault="00D91E39" w:rsidP="00D91E39">
            <w:pPr>
              <w:pStyle w:val="Tabletext"/>
            </w:pPr>
            <w:r w:rsidRPr="00DE563B">
              <w:rPr>
                <w:sz w:val="20"/>
              </w:rPr>
              <w:t>En ce qui concerne l'admissibilité des fiches de notification de systèmes non OSG, le Conseil devrait examiner à sa session de 2027 le bilan de la première année de mise en œuvre des décisions de sa session de 2025 et évaluer s'il y a lieu de prendre des mesures supplémentaires.</w:t>
            </w:r>
          </w:p>
        </w:tc>
      </w:tr>
      <w:tr w:rsidR="00D91E39" w:rsidRPr="00DE563B" w14:paraId="554C226A" w14:textId="77777777" w:rsidTr="00D91E39">
        <w:trPr>
          <w:jc w:val="center"/>
        </w:trPr>
        <w:tc>
          <w:tcPr>
            <w:tcW w:w="2208" w:type="dxa"/>
          </w:tcPr>
          <w:p w14:paraId="3CB8F8E0" w14:textId="5A3073B7" w:rsidR="00D91E39" w:rsidRPr="00DE563B" w:rsidRDefault="00D91E39" w:rsidP="00D91E39">
            <w:pPr>
              <w:pStyle w:val="Tabletext"/>
              <w:rPr>
                <w:sz w:val="20"/>
                <w:szCs w:val="20"/>
              </w:rPr>
            </w:pPr>
            <w:r w:rsidRPr="00DE563B">
              <w:rPr>
                <w:sz w:val="20"/>
                <w:szCs w:val="20"/>
              </w:rPr>
              <w:t>Prévisibilité et stabilité des droits</w:t>
            </w:r>
          </w:p>
        </w:tc>
        <w:tc>
          <w:tcPr>
            <w:tcW w:w="4178" w:type="dxa"/>
          </w:tcPr>
          <w:p w14:paraId="1F3072CF" w14:textId="77777777" w:rsidR="00D91E39" w:rsidRPr="00DE563B" w:rsidRDefault="00D91E39" w:rsidP="00D91E39">
            <w:pPr>
              <w:pStyle w:val="Tabletext"/>
              <w:rPr>
                <w:sz w:val="20"/>
                <w:szCs w:val="20"/>
              </w:rPr>
            </w:pPr>
            <w:r w:rsidRPr="00DE563B">
              <w:rPr>
                <w:sz w:val="20"/>
                <w:szCs w:val="20"/>
              </w:rPr>
              <w:t>Des préoccupations ont été exprimées concernant la proposition de mécanisme de "réajustement à la hausse ou à la baisse", en faisant valoir qu'elle pourrait avoir pour effet de transférer les risques aux opérateurs.</w:t>
            </w:r>
          </w:p>
          <w:p w14:paraId="20B122FA" w14:textId="77777777" w:rsidR="00D91E39" w:rsidRPr="00DE563B" w:rsidRDefault="00D91E39" w:rsidP="002A7EA1">
            <w:pPr>
              <w:pStyle w:val="Tabletext"/>
              <w:keepNext/>
              <w:keepLines/>
              <w:rPr>
                <w:sz w:val="20"/>
                <w:szCs w:val="20"/>
              </w:rPr>
            </w:pPr>
            <w:r w:rsidRPr="00DE563B">
              <w:rPr>
                <w:sz w:val="20"/>
                <w:szCs w:val="20"/>
              </w:rPr>
              <w:lastRenderedPageBreak/>
              <w:t>Certains délégués ont demandé:</w:t>
            </w:r>
          </w:p>
          <w:p w14:paraId="46979801" w14:textId="79A67B26" w:rsidR="00D91E39" w:rsidRPr="00DE563B" w:rsidRDefault="00D91E39" w:rsidP="002A7EA1">
            <w:pPr>
              <w:pStyle w:val="Tabletext"/>
              <w:keepNext/>
              <w:keepLines/>
              <w:rPr>
                <w:sz w:val="20"/>
                <w:szCs w:val="20"/>
              </w:rPr>
            </w:pPr>
            <w:r w:rsidRPr="00DE563B">
              <w:rPr>
                <w:sz w:val="20"/>
                <w:szCs w:val="20"/>
              </w:rPr>
              <w:t>–</w:t>
            </w:r>
            <w:r w:rsidRPr="00DE563B">
              <w:rPr>
                <w:sz w:val="20"/>
                <w:szCs w:val="20"/>
              </w:rPr>
              <w:tab/>
            </w:r>
            <w:r w:rsidR="002A7EA1" w:rsidRPr="00DE563B">
              <w:rPr>
                <w:sz w:val="20"/>
                <w:szCs w:val="20"/>
              </w:rPr>
              <w:t>d</w:t>
            </w:r>
            <w:r w:rsidRPr="00DE563B">
              <w:rPr>
                <w:sz w:val="20"/>
                <w:szCs w:val="20"/>
              </w:rPr>
              <w:t>es cadres de planification pluriannuels</w:t>
            </w:r>
            <w:r w:rsidR="002A7EA1" w:rsidRPr="00DE563B">
              <w:rPr>
                <w:sz w:val="20"/>
                <w:szCs w:val="20"/>
              </w:rPr>
              <w:t>;</w:t>
            </w:r>
          </w:p>
          <w:p w14:paraId="40AF2745" w14:textId="02CF46DC" w:rsidR="00D91E39" w:rsidRPr="00DE563B" w:rsidRDefault="00D91E39" w:rsidP="002A7EA1">
            <w:pPr>
              <w:pStyle w:val="Tabletext"/>
              <w:keepNext/>
              <w:keepLines/>
              <w:ind w:left="284" w:hanging="284"/>
              <w:rPr>
                <w:sz w:val="20"/>
                <w:szCs w:val="20"/>
              </w:rPr>
            </w:pPr>
            <w:r w:rsidRPr="00DE563B">
              <w:rPr>
                <w:sz w:val="20"/>
                <w:szCs w:val="20"/>
              </w:rPr>
              <w:t>–</w:t>
            </w:r>
            <w:r w:rsidRPr="00DE563B">
              <w:rPr>
                <w:sz w:val="20"/>
                <w:szCs w:val="20"/>
              </w:rPr>
              <w:tab/>
            </w:r>
            <w:r w:rsidR="002A7EA1" w:rsidRPr="00DE563B">
              <w:rPr>
                <w:sz w:val="20"/>
                <w:szCs w:val="20"/>
              </w:rPr>
              <w:t>d</w:t>
            </w:r>
            <w:r w:rsidRPr="00DE563B">
              <w:rPr>
                <w:sz w:val="20"/>
                <w:szCs w:val="20"/>
              </w:rPr>
              <w:t>es plafonds et des planchers clairement définis</w:t>
            </w:r>
            <w:r w:rsidR="002A7EA1" w:rsidRPr="00DE563B">
              <w:rPr>
                <w:sz w:val="20"/>
                <w:szCs w:val="20"/>
              </w:rPr>
              <w:t>;</w:t>
            </w:r>
          </w:p>
          <w:p w14:paraId="1A8251CB" w14:textId="39CB9559" w:rsidR="00D91E39" w:rsidRPr="00DE563B" w:rsidRDefault="00D91E39" w:rsidP="002A7EA1">
            <w:pPr>
              <w:pStyle w:val="Tabletext"/>
              <w:keepNext/>
              <w:keepLines/>
              <w:rPr>
                <w:sz w:val="20"/>
                <w:szCs w:val="20"/>
              </w:rPr>
            </w:pPr>
            <w:r w:rsidRPr="00DE563B">
              <w:rPr>
                <w:sz w:val="20"/>
                <w:szCs w:val="20"/>
              </w:rPr>
              <w:t>–</w:t>
            </w:r>
            <w:r w:rsidRPr="00DE563B">
              <w:rPr>
                <w:sz w:val="20"/>
                <w:szCs w:val="20"/>
              </w:rPr>
              <w:tab/>
            </w:r>
            <w:r w:rsidR="002A7EA1" w:rsidRPr="00DE563B">
              <w:rPr>
                <w:sz w:val="20"/>
                <w:szCs w:val="20"/>
              </w:rPr>
              <w:t>d</w:t>
            </w:r>
            <w:r w:rsidRPr="00DE563B">
              <w:rPr>
                <w:sz w:val="20"/>
                <w:szCs w:val="20"/>
              </w:rPr>
              <w:t>es prévisions stables et vérifiables.</w:t>
            </w:r>
          </w:p>
          <w:p w14:paraId="1488966A" w14:textId="561EC55D" w:rsidR="00D91E39" w:rsidRPr="00DE563B" w:rsidRDefault="00D91E39" w:rsidP="00D91E39">
            <w:pPr>
              <w:pStyle w:val="Tabletext"/>
              <w:rPr>
                <w:sz w:val="20"/>
                <w:szCs w:val="20"/>
              </w:rPr>
            </w:pPr>
            <w:r w:rsidRPr="00DE563B">
              <w:rPr>
                <w:sz w:val="20"/>
                <w:szCs w:val="20"/>
              </w:rPr>
              <w:t>Les délégués ont fait valoir un lien entre la stabilité des droits et la prévisibilité de l'accès au marché pour les opérateurs de systèmes tant</w:t>
            </w:r>
            <w:r w:rsidR="002A7EA1" w:rsidRPr="00DE563B">
              <w:rPr>
                <w:sz w:val="20"/>
                <w:szCs w:val="20"/>
              </w:rPr>
              <w:t> </w:t>
            </w:r>
            <w:r w:rsidRPr="00DE563B">
              <w:rPr>
                <w:sz w:val="20"/>
                <w:szCs w:val="20"/>
              </w:rPr>
              <w:t>OSG que non OSG.</w:t>
            </w:r>
          </w:p>
        </w:tc>
        <w:tc>
          <w:tcPr>
            <w:tcW w:w="4178" w:type="dxa"/>
          </w:tcPr>
          <w:p w14:paraId="56FF26CA" w14:textId="28EE437A" w:rsidR="00D91E39" w:rsidRPr="00DE563B" w:rsidRDefault="00D91E39" w:rsidP="00D91E39">
            <w:pPr>
              <w:pStyle w:val="Tabletext"/>
              <w:rPr>
                <w:sz w:val="20"/>
                <w:szCs w:val="20"/>
              </w:rPr>
            </w:pPr>
            <w:r w:rsidRPr="00DE563B">
              <w:rPr>
                <w:sz w:val="20"/>
                <w:szCs w:val="20"/>
              </w:rPr>
              <w:lastRenderedPageBreak/>
              <w:t xml:space="preserve">Ces préoccupations ont été entendues, mais les exigences de la Résolution 91, qui imposent le recouvrement intégral des coûts, nécessitent un mécanisme pour répondre aux fluctuations actuelles des marchés. Le </w:t>
            </w:r>
            <w:r w:rsidR="002A7EA1" w:rsidRPr="00DE563B">
              <w:rPr>
                <w:sz w:val="20"/>
                <w:szCs w:val="20"/>
              </w:rPr>
              <w:t>S</w:t>
            </w:r>
            <w:r w:rsidRPr="00DE563B">
              <w:rPr>
                <w:sz w:val="20"/>
                <w:szCs w:val="20"/>
              </w:rPr>
              <w:t>ecrétariat note que le secteur en tirerait parti les années où le montant recouvré augmente.</w:t>
            </w:r>
          </w:p>
          <w:p w14:paraId="157FFBC3" w14:textId="078BCB82" w:rsidR="00D91E39" w:rsidRPr="00DE563B" w:rsidRDefault="00D91E39" w:rsidP="002A7EA1">
            <w:pPr>
              <w:pStyle w:val="Tabletext"/>
              <w:keepNext/>
              <w:keepLines/>
              <w:rPr>
                <w:sz w:val="20"/>
                <w:szCs w:val="20"/>
              </w:rPr>
            </w:pPr>
            <w:r w:rsidRPr="00DE563B">
              <w:rPr>
                <w:sz w:val="20"/>
                <w:szCs w:val="20"/>
              </w:rPr>
              <w:lastRenderedPageBreak/>
              <w:t>Compte tenu du niveau de complexité de ce mécanisme et de la proposition de réexaminer les droits, les produits et le budget tous les deux ans, le Secrétariat propose de renoncer à cette proposition.</w:t>
            </w:r>
          </w:p>
        </w:tc>
        <w:tc>
          <w:tcPr>
            <w:tcW w:w="4178" w:type="dxa"/>
          </w:tcPr>
          <w:p w14:paraId="69EA1C4A" w14:textId="50E336EA" w:rsidR="00D91E39" w:rsidRPr="00DE563B" w:rsidRDefault="00D91E39" w:rsidP="00D91E39">
            <w:pPr>
              <w:pStyle w:val="Tabletext"/>
              <w:rPr>
                <w:sz w:val="20"/>
                <w:szCs w:val="20"/>
              </w:rPr>
            </w:pPr>
            <w:r w:rsidRPr="00DE563B">
              <w:rPr>
                <w:sz w:val="20"/>
                <w:szCs w:val="20"/>
              </w:rPr>
              <w:lastRenderedPageBreak/>
              <w:t xml:space="preserve">Le </w:t>
            </w:r>
            <w:r w:rsidR="002A7EA1" w:rsidRPr="00DE563B">
              <w:rPr>
                <w:sz w:val="20"/>
                <w:szCs w:val="20"/>
              </w:rPr>
              <w:t>S</w:t>
            </w:r>
            <w:r w:rsidRPr="00DE563B">
              <w:rPr>
                <w:sz w:val="20"/>
                <w:szCs w:val="20"/>
              </w:rPr>
              <w:t>ecrétariat a proposé que le réexamen ait lieu tous les deux ans plutôt que chaque année, et a proposé également de plafonner à 10% toute augmentation ou diminution décidée à l'issue d'un réexamen.</w:t>
            </w:r>
          </w:p>
        </w:tc>
      </w:tr>
      <w:tr w:rsidR="00D91E39" w:rsidRPr="00DE563B" w14:paraId="3704452A" w14:textId="77777777" w:rsidTr="00D91E39">
        <w:trPr>
          <w:jc w:val="center"/>
        </w:trPr>
        <w:tc>
          <w:tcPr>
            <w:tcW w:w="2208" w:type="dxa"/>
          </w:tcPr>
          <w:p w14:paraId="64D12D0C" w14:textId="77777777" w:rsidR="00D91E39" w:rsidRPr="00DE563B" w:rsidRDefault="00D91E39" w:rsidP="00D91E39">
            <w:pPr>
              <w:pStyle w:val="Tabletext"/>
              <w:rPr>
                <w:sz w:val="20"/>
                <w:szCs w:val="20"/>
              </w:rPr>
            </w:pPr>
            <w:r w:rsidRPr="00DE563B">
              <w:rPr>
                <w:sz w:val="20"/>
                <w:szCs w:val="20"/>
              </w:rPr>
              <w:t>Nécessité d'une transparence accrue et de données vérifiées</w:t>
            </w:r>
          </w:p>
        </w:tc>
        <w:tc>
          <w:tcPr>
            <w:tcW w:w="4178" w:type="dxa"/>
          </w:tcPr>
          <w:p w14:paraId="47BA1ED1" w14:textId="540DFD42" w:rsidR="00D91E39" w:rsidRPr="00DE563B" w:rsidRDefault="00D91E39" w:rsidP="00D91E39">
            <w:pPr>
              <w:pStyle w:val="Tabletext"/>
              <w:rPr>
                <w:sz w:val="20"/>
                <w:szCs w:val="20"/>
              </w:rPr>
            </w:pPr>
            <w:r w:rsidRPr="00DE563B">
              <w:rPr>
                <w:sz w:val="20"/>
                <w:szCs w:val="20"/>
              </w:rPr>
              <w:t xml:space="preserve">Les propositions du </w:t>
            </w:r>
            <w:r w:rsidR="006D2237" w:rsidRPr="00DE563B">
              <w:rPr>
                <w:sz w:val="20"/>
                <w:szCs w:val="20"/>
              </w:rPr>
              <w:t>S</w:t>
            </w:r>
            <w:r w:rsidRPr="00DE563B">
              <w:rPr>
                <w:sz w:val="20"/>
                <w:szCs w:val="20"/>
              </w:rPr>
              <w:t>ecrétariat devraient être fondées sur des données opérationnelles vérifiées du BR.</w:t>
            </w:r>
          </w:p>
        </w:tc>
        <w:tc>
          <w:tcPr>
            <w:tcW w:w="4178" w:type="dxa"/>
          </w:tcPr>
          <w:p w14:paraId="4A3D22A0" w14:textId="77777777" w:rsidR="00D91E39" w:rsidRPr="00DE563B" w:rsidRDefault="00D91E39" w:rsidP="00D91E39">
            <w:pPr>
              <w:pStyle w:val="Tabletext"/>
              <w:rPr>
                <w:sz w:val="20"/>
                <w:szCs w:val="20"/>
              </w:rPr>
            </w:pPr>
            <w:r w:rsidRPr="00DE563B">
              <w:rPr>
                <w:sz w:val="20"/>
                <w:szCs w:val="20"/>
              </w:rPr>
              <w:t>Les propositions sont fondées sur les états financiers de l'UIT, notamment sur des données relatives aux ressources humaines, lesquelles sont vérifiées, bien que, l'UIT utilisant les informations les plus récentes disponibles, il est possible que les données soient provisoires. Utiliser les données des états vérifiés reviendrait à utiliser des données financières anciennes de deux ans, qui seraient en décalage avec les informations du marché actuel.</w:t>
            </w:r>
          </w:p>
        </w:tc>
        <w:tc>
          <w:tcPr>
            <w:tcW w:w="4178" w:type="dxa"/>
          </w:tcPr>
          <w:p w14:paraId="266620C7" w14:textId="77777777" w:rsidR="00D91E39" w:rsidRPr="00DE563B" w:rsidRDefault="00D91E39" w:rsidP="00D91E39">
            <w:pPr>
              <w:pStyle w:val="Tabletext"/>
              <w:rPr>
                <w:sz w:val="20"/>
                <w:szCs w:val="20"/>
              </w:rPr>
            </w:pPr>
          </w:p>
        </w:tc>
      </w:tr>
      <w:tr w:rsidR="00D91E39" w:rsidRPr="00DE563B" w14:paraId="08351A30" w14:textId="77777777" w:rsidTr="00D91E39">
        <w:trPr>
          <w:jc w:val="center"/>
        </w:trPr>
        <w:tc>
          <w:tcPr>
            <w:tcW w:w="2208" w:type="dxa"/>
          </w:tcPr>
          <w:p w14:paraId="39DE320D" w14:textId="77777777" w:rsidR="00D91E39" w:rsidRPr="00DE563B" w:rsidRDefault="00D91E39" w:rsidP="00D91E39">
            <w:pPr>
              <w:pStyle w:val="Tabletext"/>
              <w:rPr>
                <w:sz w:val="20"/>
                <w:szCs w:val="20"/>
              </w:rPr>
            </w:pPr>
          </w:p>
        </w:tc>
        <w:tc>
          <w:tcPr>
            <w:tcW w:w="4178" w:type="dxa"/>
          </w:tcPr>
          <w:p w14:paraId="1C32F5BD" w14:textId="5B9B0EA4" w:rsidR="00D91E39" w:rsidRPr="00DE563B" w:rsidRDefault="00D91E39" w:rsidP="00D91E39">
            <w:pPr>
              <w:pStyle w:val="Tabletext"/>
              <w:rPr>
                <w:sz w:val="20"/>
                <w:szCs w:val="20"/>
              </w:rPr>
            </w:pPr>
            <w:r w:rsidRPr="00DE563B">
              <w:rPr>
                <w:sz w:val="20"/>
                <w:szCs w:val="20"/>
              </w:rPr>
              <w:t>Comment les gains d'efficacité seront-ils mesurés et déclarés?</w:t>
            </w:r>
          </w:p>
        </w:tc>
        <w:tc>
          <w:tcPr>
            <w:tcW w:w="4178" w:type="dxa"/>
          </w:tcPr>
          <w:p w14:paraId="6A0A2568" w14:textId="77777777" w:rsidR="00D91E39" w:rsidRPr="00DE563B" w:rsidRDefault="00D91E39" w:rsidP="00D91E39">
            <w:pPr>
              <w:pStyle w:val="Tabletext"/>
              <w:rPr>
                <w:sz w:val="20"/>
                <w:szCs w:val="20"/>
              </w:rPr>
            </w:pPr>
            <w:r w:rsidRPr="00DE563B">
              <w:rPr>
                <w:sz w:val="20"/>
                <w:szCs w:val="20"/>
              </w:rPr>
              <w:t>Les gains d'efficacité feront diminuer les coûts ce qui permettra d'augmenter les produits; il en sera rendu compte dans les rapports opérationnels établis par le BR et présentés chaque année au GCR.</w:t>
            </w:r>
          </w:p>
        </w:tc>
        <w:tc>
          <w:tcPr>
            <w:tcW w:w="4178" w:type="dxa"/>
          </w:tcPr>
          <w:p w14:paraId="2249E724" w14:textId="77777777" w:rsidR="00D91E39" w:rsidRPr="00DE563B" w:rsidRDefault="00D91E39" w:rsidP="00D91E39">
            <w:pPr>
              <w:pStyle w:val="Tabletext"/>
              <w:rPr>
                <w:sz w:val="20"/>
                <w:szCs w:val="20"/>
              </w:rPr>
            </w:pPr>
          </w:p>
        </w:tc>
      </w:tr>
      <w:tr w:rsidR="00D91E39" w:rsidRPr="00DE563B" w14:paraId="347CBEF9" w14:textId="77777777" w:rsidTr="00D91E39">
        <w:trPr>
          <w:jc w:val="center"/>
        </w:trPr>
        <w:tc>
          <w:tcPr>
            <w:tcW w:w="2208" w:type="dxa"/>
          </w:tcPr>
          <w:p w14:paraId="783A4933" w14:textId="77777777" w:rsidR="00D91E39" w:rsidRPr="00DE563B" w:rsidRDefault="00D91E39" w:rsidP="00D91E39">
            <w:pPr>
              <w:pStyle w:val="Tabletext"/>
              <w:rPr>
                <w:sz w:val="20"/>
                <w:szCs w:val="20"/>
              </w:rPr>
            </w:pPr>
          </w:p>
        </w:tc>
        <w:tc>
          <w:tcPr>
            <w:tcW w:w="4178" w:type="dxa"/>
          </w:tcPr>
          <w:p w14:paraId="6F171858" w14:textId="3AFB38C3" w:rsidR="00D91E39" w:rsidRPr="00DE563B" w:rsidRDefault="00D91E39" w:rsidP="00D91E39">
            <w:pPr>
              <w:pStyle w:val="Tabletext"/>
              <w:rPr>
                <w:sz w:val="20"/>
                <w:szCs w:val="20"/>
              </w:rPr>
            </w:pPr>
            <w:r w:rsidRPr="00DE563B">
              <w:rPr>
                <w:sz w:val="20"/>
                <w:szCs w:val="20"/>
              </w:rPr>
              <w:t xml:space="preserve">Comment le </w:t>
            </w:r>
            <w:r w:rsidR="006D2237" w:rsidRPr="00DE563B">
              <w:rPr>
                <w:sz w:val="20"/>
                <w:szCs w:val="20"/>
              </w:rPr>
              <w:t>S</w:t>
            </w:r>
            <w:r w:rsidRPr="00DE563B">
              <w:rPr>
                <w:sz w:val="20"/>
                <w:szCs w:val="20"/>
              </w:rPr>
              <w:t>ecrétariat veillera-t-il à ce que le recouvrement des coûts ne devienne pas un recouvrement budgétaire?</w:t>
            </w:r>
          </w:p>
        </w:tc>
        <w:tc>
          <w:tcPr>
            <w:tcW w:w="4178" w:type="dxa"/>
          </w:tcPr>
          <w:p w14:paraId="640DDAAF" w14:textId="77777777" w:rsidR="00D91E39" w:rsidRPr="00DE563B" w:rsidRDefault="00D91E39" w:rsidP="00D91E39">
            <w:pPr>
              <w:pStyle w:val="Tabletext"/>
              <w:rPr>
                <w:sz w:val="20"/>
                <w:szCs w:val="20"/>
              </w:rPr>
            </w:pPr>
            <w:r w:rsidRPr="00DE563B">
              <w:rPr>
                <w:sz w:val="20"/>
                <w:szCs w:val="20"/>
              </w:rPr>
              <w:t>Le recouvrement des coûts est intrinsèquement un recouvrement budgétaire partiel. Son but est que la part des produits qui finance les coûts du traitement des fiches de notification des réseaux à satellite (qui sont inscrits au budget de l'UIT) ne soit pas supérieure aux dépenses engagées par l'UIT pour ledit traitement.</w:t>
            </w:r>
          </w:p>
        </w:tc>
        <w:tc>
          <w:tcPr>
            <w:tcW w:w="4178" w:type="dxa"/>
          </w:tcPr>
          <w:p w14:paraId="028B4904" w14:textId="77777777" w:rsidR="00D91E39" w:rsidRPr="00DE563B" w:rsidRDefault="00D91E39" w:rsidP="00D91E39">
            <w:pPr>
              <w:pStyle w:val="Tabletext"/>
              <w:rPr>
                <w:sz w:val="20"/>
                <w:szCs w:val="20"/>
              </w:rPr>
            </w:pPr>
          </w:p>
        </w:tc>
      </w:tr>
      <w:tr w:rsidR="00E41CC7" w:rsidRPr="00DE563B" w14:paraId="3388DA54" w14:textId="77777777" w:rsidTr="00D91E39">
        <w:trPr>
          <w:jc w:val="center"/>
        </w:trPr>
        <w:tc>
          <w:tcPr>
            <w:tcW w:w="2208" w:type="dxa"/>
          </w:tcPr>
          <w:p w14:paraId="07EE0847" w14:textId="77777777" w:rsidR="00E41CC7" w:rsidRPr="00DE563B" w:rsidRDefault="00E41CC7" w:rsidP="00D91E39">
            <w:pPr>
              <w:pStyle w:val="Tabletext"/>
              <w:keepNext/>
              <w:keepLines/>
              <w:rPr>
                <w:sz w:val="20"/>
              </w:rPr>
            </w:pPr>
          </w:p>
        </w:tc>
        <w:tc>
          <w:tcPr>
            <w:tcW w:w="4178" w:type="dxa"/>
          </w:tcPr>
          <w:p w14:paraId="72D00DF8" w14:textId="77777777" w:rsidR="00E41CC7" w:rsidRPr="00DE563B" w:rsidRDefault="00E41CC7" w:rsidP="00E41CC7">
            <w:pPr>
              <w:pStyle w:val="Tabletext"/>
              <w:keepNext/>
              <w:keepLines/>
              <w:rPr>
                <w:sz w:val="20"/>
                <w:szCs w:val="20"/>
              </w:rPr>
            </w:pPr>
            <w:r w:rsidRPr="00DE563B">
              <w:rPr>
                <w:sz w:val="20"/>
                <w:szCs w:val="20"/>
              </w:rPr>
              <w:t>Les délégués ont demandé des statistiques annuelles sur:</w:t>
            </w:r>
          </w:p>
          <w:p w14:paraId="32B4D8E2" w14:textId="77777777" w:rsidR="00E41CC7" w:rsidRPr="00DE563B" w:rsidRDefault="00E41CC7" w:rsidP="00E41CC7">
            <w:pPr>
              <w:pStyle w:val="Tabletext"/>
              <w:keepNext/>
              <w:keepLines/>
              <w:ind w:left="284" w:hanging="284"/>
              <w:rPr>
                <w:sz w:val="20"/>
                <w:szCs w:val="20"/>
              </w:rPr>
            </w:pPr>
            <w:r w:rsidRPr="00DE563B">
              <w:rPr>
                <w:sz w:val="20"/>
                <w:szCs w:val="20"/>
              </w:rPr>
              <w:t>–</w:t>
            </w:r>
            <w:r w:rsidRPr="00DE563B">
              <w:rPr>
                <w:sz w:val="20"/>
                <w:szCs w:val="20"/>
              </w:rPr>
              <w:tab/>
              <w:t>l'utilisation des franchises;</w:t>
            </w:r>
          </w:p>
          <w:p w14:paraId="5EF11E42" w14:textId="77777777" w:rsidR="00E41CC7" w:rsidRPr="00DE563B" w:rsidRDefault="00E41CC7" w:rsidP="00E41CC7">
            <w:pPr>
              <w:pStyle w:val="Tabletext"/>
              <w:keepNext/>
              <w:keepLines/>
              <w:ind w:left="284" w:hanging="284"/>
              <w:rPr>
                <w:sz w:val="20"/>
                <w:szCs w:val="20"/>
              </w:rPr>
            </w:pPr>
            <w:r w:rsidRPr="00DE563B">
              <w:rPr>
                <w:sz w:val="20"/>
                <w:szCs w:val="20"/>
              </w:rPr>
              <w:t>–</w:t>
            </w:r>
            <w:r w:rsidRPr="00DE563B">
              <w:rPr>
                <w:sz w:val="20"/>
                <w:szCs w:val="20"/>
              </w:rPr>
              <w:tab/>
              <w:t>les incidences financières des fiches de notification portant sur des éléments de grandes constellations;</w:t>
            </w:r>
          </w:p>
          <w:p w14:paraId="51C04EEE" w14:textId="6322A0BE" w:rsidR="00E41CC7" w:rsidRPr="00DE563B" w:rsidRDefault="00E41CC7" w:rsidP="00E41CC7">
            <w:pPr>
              <w:pStyle w:val="Tabletext"/>
              <w:keepNext/>
              <w:keepLines/>
              <w:rPr>
                <w:sz w:val="20"/>
              </w:rPr>
            </w:pPr>
            <w:r w:rsidRPr="00DE563B">
              <w:rPr>
                <w:sz w:val="20"/>
                <w:szCs w:val="20"/>
              </w:rPr>
              <w:t>–</w:t>
            </w:r>
            <w:r w:rsidRPr="00DE563B">
              <w:rPr>
                <w:sz w:val="20"/>
                <w:szCs w:val="20"/>
              </w:rPr>
              <w:tab/>
              <w:t>les critères d'efficacité et l'amélioration du déroulement des activités.</w:t>
            </w:r>
          </w:p>
        </w:tc>
        <w:tc>
          <w:tcPr>
            <w:tcW w:w="4178" w:type="dxa"/>
          </w:tcPr>
          <w:p w14:paraId="65686254" w14:textId="77777777" w:rsidR="00E41CC7" w:rsidRDefault="00E41CC7" w:rsidP="00D91E39">
            <w:pPr>
              <w:pStyle w:val="Tabletext"/>
              <w:keepNext/>
              <w:keepLines/>
              <w:rPr>
                <w:b/>
                <w:bCs/>
                <w:sz w:val="20"/>
                <w:szCs w:val="20"/>
              </w:rPr>
            </w:pPr>
            <w:r w:rsidRPr="00DE563B">
              <w:rPr>
                <w:b/>
                <w:bCs/>
                <w:sz w:val="20"/>
                <w:szCs w:val="20"/>
              </w:rPr>
              <w:t>Utilisation des franchises</w:t>
            </w:r>
          </w:p>
          <w:tbl>
            <w:tblPr>
              <w:tblW w:w="3969" w:type="dxa"/>
              <w:jc w:val="center"/>
              <w:tblLayout w:type="fixed"/>
              <w:tblCellMar>
                <w:left w:w="28" w:type="dxa"/>
                <w:right w:w="28" w:type="dxa"/>
              </w:tblCellMar>
              <w:tblLook w:val="04A0" w:firstRow="1" w:lastRow="0" w:firstColumn="1" w:lastColumn="0" w:noHBand="0" w:noVBand="1"/>
            </w:tblPr>
            <w:tblGrid>
              <w:gridCol w:w="589"/>
              <w:gridCol w:w="1134"/>
              <w:gridCol w:w="849"/>
              <w:gridCol w:w="1397"/>
            </w:tblGrid>
            <w:tr w:rsidR="00E41CC7" w:rsidRPr="00DE563B" w14:paraId="7C3F8ED1" w14:textId="77777777" w:rsidTr="00022519">
              <w:trPr>
                <w:jc w:val="center"/>
              </w:trPr>
              <w:tc>
                <w:tcPr>
                  <w:tcW w:w="589" w:type="dxa"/>
                  <w:tcBorders>
                    <w:top w:val="single" w:sz="4" w:space="0" w:color="auto"/>
                    <w:left w:val="single" w:sz="4" w:space="0" w:color="auto"/>
                    <w:bottom w:val="single" w:sz="4" w:space="0" w:color="auto"/>
                    <w:right w:val="single" w:sz="4" w:space="0" w:color="auto"/>
                  </w:tcBorders>
                  <w:noWrap/>
                  <w:hideMark/>
                </w:tcPr>
                <w:p w14:paraId="5C603921" w14:textId="77777777" w:rsidR="00E41CC7" w:rsidRPr="00DE563B" w:rsidRDefault="00E41CC7" w:rsidP="00E41CC7">
                  <w:pPr>
                    <w:keepNext/>
                    <w:keepLines/>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color w:val="000000"/>
                      <w:sz w:val="18"/>
                      <w:szCs w:val="18"/>
                      <w:lang w:eastAsia="en-GB"/>
                    </w:rPr>
                  </w:pPr>
                  <w:r w:rsidRPr="00DE563B">
                    <w:rPr>
                      <w:rFonts w:asciiTheme="minorHAnsi" w:hAnsiTheme="minorHAnsi" w:cstheme="minorHAnsi"/>
                      <w:color w:val="000000"/>
                      <w:sz w:val="18"/>
                      <w:szCs w:val="18"/>
                      <w:lang w:eastAsia="en-GB"/>
                    </w:rPr>
                    <w:t>Année</w:t>
                  </w:r>
                </w:p>
              </w:tc>
              <w:tc>
                <w:tcPr>
                  <w:tcW w:w="1134" w:type="dxa"/>
                  <w:tcBorders>
                    <w:top w:val="single" w:sz="4" w:space="0" w:color="auto"/>
                    <w:left w:val="nil"/>
                    <w:bottom w:val="single" w:sz="4" w:space="0" w:color="auto"/>
                    <w:right w:val="single" w:sz="4" w:space="0" w:color="auto"/>
                  </w:tcBorders>
                  <w:noWrap/>
                  <w:hideMark/>
                </w:tcPr>
                <w:p w14:paraId="727C9E0C" w14:textId="77777777" w:rsidR="00E41CC7" w:rsidRPr="00DE563B" w:rsidRDefault="00E41CC7" w:rsidP="00E41CC7">
                  <w:pPr>
                    <w:keepNext/>
                    <w:keepLines/>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color w:val="000000"/>
                      <w:sz w:val="18"/>
                      <w:szCs w:val="18"/>
                      <w:lang w:eastAsia="en-GB"/>
                    </w:rPr>
                  </w:pPr>
                  <w:r w:rsidRPr="00DE563B">
                    <w:rPr>
                      <w:rFonts w:asciiTheme="minorHAnsi" w:hAnsiTheme="minorHAnsi" w:cstheme="minorHAnsi"/>
                      <w:color w:val="000000"/>
                      <w:sz w:val="18"/>
                      <w:szCs w:val="18"/>
                      <w:lang w:eastAsia="en-GB"/>
                    </w:rPr>
                    <w:t>Montant (CHF)</w:t>
                  </w:r>
                </w:p>
              </w:tc>
              <w:tc>
                <w:tcPr>
                  <w:tcW w:w="849" w:type="dxa"/>
                  <w:tcBorders>
                    <w:top w:val="single" w:sz="4" w:space="0" w:color="auto"/>
                    <w:left w:val="nil"/>
                    <w:bottom w:val="single" w:sz="4" w:space="0" w:color="auto"/>
                    <w:right w:val="single" w:sz="4" w:space="0" w:color="auto"/>
                  </w:tcBorders>
                  <w:noWrap/>
                  <w:hideMark/>
                </w:tcPr>
                <w:p w14:paraId="31C82440" w14:textId="77777777" w:rsidR="00E41CC7" w:rsidRPr="00DE563B" w:rsidRDefault="00E41CC7" w:rsidP="00E41CC7">
                  <w:pPr>
                    <w:keepNext/>
                    <w:keepLines/>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color w:val="000000"/>
                      <w:sz w:val="18"/>
                      <w:szCs w:val="18"/>
                      <w:lang w:eastAsia="en-GB"/>
                    </w:rPr>
                  </w:pPr>
                  <w:r w:rsidRPr="00DE563B">
                    <w:rPr>
                      <w:rFonts w:asciiTheme="minorHAnsi" w:hAnsiTheme="minorHAnsi" w:cstheme="minorHAnsi"/>
                      <w:color w:val="000000"/>
                      <w:sz w:val="18"/>
                      <w:szCs w:val="18"/>
                      <w:lang w:eastAsia="en-GB"/>
                    </w:rPr>
                    <w:t>Nombre de franchises</w:t>
                  </w:r>
                </w:p>
              </w:tc>
              <w:tc>
                <w:tcPr>
                  <w:tcW w:w="1397" w:type="dxa"/>
                  <w:tcBorders>
                    <w:top w:val="single" w:sz="4" w:space="0" w:color="auto"/>
                    <w:left w:val="nil"/>
                    <w:bottom w:val="single" w:sz="4" w:space="0" w:color="auto"/>
                    <w:right w:val="single" w:sz="4" w:space="0" w:color="auto"/>
                  </w:tcBorders>
                  <w:noWrap/>
                  <w:hideMark/>
                </w:tcPr>
                <w:p w14:paraId="662388AF" w14:textId="77777777" w:rsidR="00E41CC7" w:rsidRPr="00DE563B" w:rsidRDefault="00E41CC7" w:rsidP="00E41CC7">
                  <w:pPr>
                    <w:keepNext/>
                    <w:keepLines/>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color w:val="000000"/>
                      <w:sz w:val="18"/>
                      <w:szCs w:val="18"/>
                      <w:lang w:eastAsia="en-GB"/>
                    </w:rPr>
                  </w:pPr>
                  <w:r w:rsidRPr="00DE563B">
                    <w:rPr>
                      <w:rFonts w:asciiTheme="minorHAnsi" w:hAnsiTheme="minorHAnsi" w:cstheme="minorHAnsi"/>
                      <w:color w:val="000000"/>
                      <w:sz w:val="18"/>
                      <w:szCs w:val="18"/>
                      <w:lang w:eastAsia="en-GB"/>
                    </w:rPr>
                    <w:t>Valeur moyenne des franchises (CHF)</w:t>
                  </w:r>
                </w:p>
              </w:tc>
            </w:tr>
            <w:tr w:rsidR="00E41CC7" w:rsidRPr="00DE563B" w14:paraId="11910F1D" w14:textId="77777777" w:rsidTr="00022519">
              <w:trPr>
                <w:jc w:val="center"/>
              </w:trPr>
              <w:tc>
                <w:tcPr>
                  <w:tcW w:w="589" w:type="dxa"/>
                  <w:tcBorders>
                    <w:top w:val="nil"/>
                    <w:left w:val="single" w:sz="4" w:space="0" w:color="auto"/>
                    <w:bottom w:val="single" w:sz="4" w:space="0" w:color="auto"/>
                    <w:right w:val="single" w:sz="4" w:space="0" w:color="auto"/>
                  </w:tcBorders>
                  <w:noWrap/>
                  <w:vAlign w:val="center"/>
                  <w:hideMark/>
                </w:tcPr>
                <w:p w14:paraId="2D56E1B0" w14:textId="77777777" w:rsidR="00E41CC7" w:rsidRPr="00DE563B" w:rsidRDefault="00E41CC7" w:rsidP="00E41CC7">
                  <w:pPr>
                    <w:keepNext/>
                    <w:keepLines/>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color w:val="000000"/>
                      <w:sz w:val="18"/>
                      <w:szCs w:val="18"/>
                      <w:lang w:eastAsia="en-GB"/>
                    </w:rPr>
                  </w:pPr>
                  <w:r w:rsidRPr="00DE563B">
                    <w:rPr>
                      <w:rFonts w:asciiTheme="minorHAnsi" w:hAnsiTheme="minorHAnsi" w:cstheme="minorHAnsi"/>
                      <w:color w:val="000000"/>
                      <w:sz w:val="18"/>
                      <w:szCs w:val="18"/>
                      <w:lang w:eastAsia="en-GB"/>
                    </w:rPr>
                    <w:t>2022</w:t>
                  </w:r>
                </w:p>
              </w:tc>
              <w:tc>
                <w:tcPr>
                  <w:tcW w:w="1134" w:type="dxa"/>
                  <w:tcBorders>
                    <w:top w:val="nil"/>
                    <w:left w:val="nil"/>
                    <w:bottom w:val="single" w:sz="4" w:space="0" w:color="auto"/>
                    <w:right w:val="single" w:sz="4" w:space="0" w:color="auto"/>
                  </w:tcBorders>
                  <w:noWrap/>
                  <w:vAlign w:val="center"/>
                  <w:hideMark/>
                </w:tcPr>
                <w:p w14:paraId="791CD6DB" w14:textId="77777777" w:rsidR="00E41CC7" w:rsidRPr="00DE563B" w:rsidRDefault="00E41CC7" w:rsidP="00E41CC7">
                  <w:pPr>
                    <w:keepNext/>
                    <w:keepLines/>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stheme="minorHAnsi"/>
                      <w:color w:val="000000"/>
                      <w:sz w:val="18"/>
                      <w:szCs w:val="18"/>
                      <w:lang w:eastAsia="en-GB"/>
                    </w:rPr>
                  </w:pPr>
                  <w:r w:rsidRPr="00DE563B">
                    <w:rPr>
                      <w:rFonts w:asciiTheme="minorHAnsi" w:hAnsiTheme="minorHAnsi" w:cstheme="minorHAnsi"/>
                      <w:color w:val="000000"/>
                      <w:sz w:val="18"/>
                      <w:szCs w:val="18"/>
                      <w:lang w:eastAsia="en-GB"/>
                    </w:rPr>
                    <w:t xml:space="preserve">1 040 149,00 </w:t>
                  </w:r>
                </w:p>
              </w:tc>
              <w:tc>
                <w:tcPr>
                  <w:tcW w:w="849" w:type="dxa"/>
                  <w:tcBorders>
                    <w:top w:val="nil"/>
                    <w:left w:val="nil"/>
                    <w:bottom w:val="single" w:sz="4" w:space="0" w:color="auto"/>
                    <w:right w:val="single" w:sz="4" w:space="0" w:color="auto"/>
                  </w:tcBorders>
                  <w:noWrap/>
                  <w:vAlign w:val="center"/>
                  <w:hideMark/>
                </w:tcPr>
                <w:p w14:paraId="626B790E" w14:textId="77777777" w:rsidR="00E41CC7" w:rsidRPr="00DE563B" w:rsidRDefault="00E41CC7" w:rsidP="00E41CC7">
                  <w:pPr>
                    <w:keepNext/>
                    <w:keepLines/>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color w:val="000000"/>
                      <w:sz w:val="18"/>
                      <w:szCs w:val="18"/>
                      <w:lang w:eastAsia="en-GB"/>
                    </w:rPr>
                  </w:pPr>
                  <w:r w:rsidRPr="00DE563B">
                    <w:rPr>
                      <w:rFonts w:asciiTheme="minorHAnsi" w:hAnsiTheme="minorHAnsi" w:cstheme="minorHAnsi"/>
                      <w:color w:val="000000"/>
                      <w:sz w:val="18"/>
                      <w:szCs w:val="18"/>
                      <w:lang w:eastAsia="en-GB"/>
                    </w:rPr>
                    <w:t>34</w:t>
                  </w:r>
                </w:p>
              </w:tc>
              <w:tc>
                <w:tcPr>
                  <w:tcW w:w="1397" w:type="dxa"/>
                  <w:tcBorders>
                    <w:top w:val="nil"/>
                    <w:left w:val="nil"/>
                    <w:bottom w:val="single" w:sz="4" w:space="0" w:color="auto"/>
                    <w:right w:val="single" w:sz="4" w:space="0" w:color="auto"/>
                  </w:tcBorders>
                  <w:noWrap/>
                  <w:vAlign w:val="center"/>
                  <w:hideMark/>
                </w:tcPr>
                <w:p w14:paraId="501004B2" w14:textId="77777777" w:rsidR="00E41CC7" w:rsidRPr="00DE563B" w:rsidRDefault="00E41CC7" w:rsidP="00E41CC7">
                  <w:pPr>
                    <w:keepNext/>
                    <w:keepLines/>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stheme="minorHAnsi"/>
                      <w:color w:val="000000"/>
                      <w:sz w:val="18"/>
                      <w:szCs w:val="18"/>
                      <w:lang w:eastAsia="en-GB"/>
                    </w:rPr>
                  </w:pPr>
                  <w:r w:rsidRPr="00DE563B">
                    <w:rPr>
                      <w:rFonts w:asciiTheme="minorHAnsi" w:hAnsiTheme="minorHAnsi" w:cstheme="minorHAnsi"/>
                      <w:color w:val="000000"/>
                      <w:sz w:val="18"/>
                      <w:szCs w:val="18"/>
                      <w:lang w:eastAsia="en-GB"/>
                    </w:rPr>
                    <w:t xml:space="preserve">30 592,62 </w:t>
                  </w:r>
                </w:p>
              </w:tc>
            </w:tr>
            <w:tr w:rsidR="00E41CC7" w:rsidRPr="00DE563B" w14:paraId="631279B3" w14:textId="77777777" w:rsidTr="00022519">
              <w:trPr>
                <w:jc w:val="center"/>
              </w:trPr>
              <w:tc>
                <w:tcPr>
                  <w:tcW w:w="589" w:type="dxa"/>
                  <w:tcBorders>
                    <w:top w:val="nil"/>
                    <w:left w:val="single" w:sz="4" w:space="0" w:color="auto"/>
                    <w:bottom w:val="single" w:sz="4" w:space="0" w:color="auto"/>
                    <w:right w:val="single" w:sz="4" w:space="0" w:color="auto"/>
                  </w:tcBorders>
                  <w:noWrap/>
                  <w:vAlign w:val="center"/>
                  <w:hideMark/>
                </w:tcPr>
                <w:p w14:paraId="04FD74F9" w14:textId="77777777" w:rsidR="00E41CC7" w:rsidRPr="00DE563B" w:rsidRDefault="00E41CC7" w:rsidP="00E41CC7">
                  <w:pPr>
                    <w:keepNext/>
                    <w:keepLines/>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color w:val="000000"/>
                      <w:sz w:val="18"/>
                      <w:szCs w:val="18"/>
                      <w:lang w:eastAsia="en-GB"/>
                    </w:rPr>
                  </w:pPr>
                  <w:r w:rsidRPr="00DE563B">
                    <w:rPr>
                      <w:rFonts w:asciiTheme="minorHAnsi" w:hAnsiTheme="minorHAnsi" w:cstheme="minorHAnsi"/>
                      <w:color w:val="000000"/>
                      <w:sz w:val="18"/>
                      <w:szCs w:val="18"/>
                      <w:lang w:eastAsia="en-GB"/>
                    </w:rPr>
                    <w:t>2023</w:t>
                  </w:r>
                </w:p>
              </w:tc>
              <w:tc>
                <w:tcPr>
                  <w:tcW w:w="1134" w:type="dxa"/>
                  <w:tcBorders>
                    <w:top w:val="nil"/>
                    <w:left w:val="nil"/>
                    <w:bottom w:val="single" w:sz="4" w:space="0" w:color="auto"/>
                    <w:right w:val="single" w:sz="4" w:space="0" w:color="auto"/>
                  </w:tcBorders>
                  <w:noWrap/>
                  <w:vAlign w:val="center"/>
                  <w:hideMark/>
                </w:tcPr>
                <w:p w14:paraId="0A7D3918" w14:textId="77777777" w:rsidR="00E41CC7" w:rsidRPr="00DE563B" w:rsidRDefault="00E41CC7" w:rsidP="00E41CC7">
                  <w:pPr>
                    <w:keepNext/>
                    <w:keepLines/>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stheme="minorHAnsi"/>
                      <w:color w:val="000000"/>
                      <w:sz w:val="18"/>
                      <w:szCs w:val="18"/>
                      <w:lang w:eastAsia="en-GB"/>
                    </w:rPr>
                  </w:pPr>
                  <w:r w:rsidRPr="00DE563B">
                    <w:rPr>
                      <w:rFonts w:asciiTheme="minorHAnsi" w:hAnsiTheme="minorHAnsi" w:cstheme="minorHAnsi"/>
                      <w:color w:val="000000"/>
                      <w:sz w:val="18"/>
                      <w:szCs w:val="18"/>
                      <w:lang w:eastAsia="en-GB"/>
                    </w:rPr>
                    <w:t xml:space="preserve">1 371 521,00 </w:t>
                  </w:r>
                </w:p>
              </w:tc>
              <w:tc>
                <w:tcPr>
                  <w:tcW w:w="849" w:type="dxa"/>
                  <w:tcBorders>
                    <w:top w:val="nil"/>
                    <w:left w:val="nil"/>
                    <w:bottom w:val="single" w:sz="4" w:space="0" w:color="auto"/>
                    <w:right w:val="single" w:sz="4" w:space="0" w:color="auto"/>
                  </w:tcBorders>
                  <w:noWrap/>
                  <w:vAlign w:val="center"/>
                  <w:hideMark/>
                </w:tcPr>
                <w:p w14:paraId="01040FE2" w14:textId="77777777" w:rsidR="00E41CC7" w:rsidRPr="00DE563B" w:rsidRDefault="00E41CC7" w:rsidP="00E41CC7">
                  <w:pPr>
                    <w:keepNext/>
                    <w:keepLines/>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color w:val="000000"/>
                      <w:sz w:val="18"/>
                      <w:szCs w:val="18"/>
                      <w:lang w:eastAsia="en-GB"/>
                    </w:rPr>
                  </w:pPr>
                  <w:r w:rsidRPr="00DE563B">
                    <w:rPr>
                      <w:rFonts w:asciiTheme="minorHAnsi" w:hAnsiTheme="minorHAnsi" w:cstheme="minorHAnsi"/>
                      <w:color w:val="000000"/>
                      <w:sz w:val="18"/>
                      <w:szCs w:val="18"/>
                      <w:lang w:eastAsia="en-GB"/>
                    </w:rPr>
                    <w:t>45</w:t>
                  </w:r>
                </w:p>
              </w:tc>
              <w:tc>
                <w:tcPr>
                  <w:tcW w:w="1397" w:type="dxa"/>
                  <w:tcBorders>
                    <w:top w:val="nil"/>
                    <w:left w:val="nil"/>
                    <w:bottom w:val="single" w:sz="4" w:space="0" w:color="auto"/>
                    <w:right w:val="single" w:sz="4" w:space="0" w:color="auto"/>
                  </w:tcBorders>
                  <w:noWrap/>
                  <w:vAlign w:val="center"/>
                  <w:hideMark/>
                </w:tcPr>
                <w:p w14:paraId="13E2137E" w14:textId="77777777" w:rsidR="00E41CC7" w:rsidRPr="00DE563B" w:rsidRDefault="00E41CC7" w:rsidP="00E41CC7">
                  <w:pPr>
                    <w:keepNext/>
                    <w:keepLines/>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stheme="minorHAnsi"/>
                      <w:color w:val="000000"/>
                      <w:sz w:val="18"/>
                      <w:szCs w:val="18"/>
                      <w:lang w:eastAsia="en-GB"/>
                    </w:rPr>
                  </w:pPr>
                  <w:r w:rsidRPr="00DE563B">
                    <w:rPr>
                      <w:rFonts w:asciiTheme="minorHAnsi" w:hAnsiTheme="minorHAnsi" w:cstheme="minorHAnsi"/>
                      <w:color w:val="000000"/>
                      <w:sz w:val="18"/>
                      <w:szCs w:val="18"/>
                      <w:lang w:eastAsia="en-GB"/>
                    </w:rPr>
                    <w:t xml:space="preserve">30 478,24 </w:t>
                  </w:r>
                </w:p>
              </w:tc>
            </w:tr>
            <w:tr w:rsidR="00E41CC7" w:rsidRPr="00DE563B" w14:paraId="766E1479" w14:textId="77777777" w:rsidTr="00022519">
              <w:trPr>
                <w:jc w:val="center"/>
              </w:trPr>
              <w:tc>
                <w:tcPr>
                  <w:tcW w:w="589" w:type="dxa"/>
                  <w:tcBorders>
                    <w:top w:val="nil"/>
                    <w:left w:val="single" w:sz="4" w:space="0" w:color="auto"/>
                    <w:bottom w:val="single" w:sz="4" w:space="0" w:color="auto"/>
                    <w:right w:val="single" w:sz="4" w:space="0" w:color="auto"/>
                  </w:tcBorders>
                  <w:noWrap/>
                  <w:vAlign w:val="center"/>
                  <w:hideMark/>
                </w:tcPr>
                <w:p w14:paraId="56D3C4D2" w14:textId="77777777" w:rsidR="00E41CC7" w:rsidRPr="00DE563B" w:rsidRDefault="00E41CC7" w:rsidP="00E41CC7">
                  <w:pPr>
                    <w:keepNext/>
                    <w:keepLines/>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color w:val="000000"/>
                      <w:sz w:val="18"/>
                      <w:szCs w:val="18"/>
                      <w:lang w:eastAsia="en-GB"/>
                    </w:rPr>
                  </w:pPr>
                  <w:r w:rsidRPr="00DE563B">
                    <w:rPr>
                      <w:rFonts w:asciiTheme="minorHAnsi" w:hAnsiTheme="minorHAnsi" w:cstheme="minorHAnsi"/>
                      <w:color w:val="000000"/>
                      <w:sz w:val="18"/>
                      <w:szCs w:val="18"/>
                      <w:lang w:eastAsia="en-GB"/>
                    </w:rPr>
                    <w:t>2024</w:t>
                  </w:r>
                </w:p>
              </w:tc>
              <w:tc>
                <w:tcPr>
                  <w:tcW w:w="1134" w:type="dxa"/>
                  <w:tcBorders>
                    <w:top w:val="nil"/>
                    <w:left w:val="nil"/>
                    <w:bottom w:val="single" w:sz="4" w:space="0" w:color="auto"/>
                    <w:right w:val="single" w:sz="4" w:space="0" w:color="auto"/>
                  </w:tcBorders>
                  <w:noWrap/>
                  <w:vAlign w:val="center"/>
                  <w:hideMark/>
                </w:tcPr>
                <w:p w14:paraId="153286F5" w14:textId="77777777" w:rsidR="00E41CC7" w:rsidRPr="00DE563B" w:rsidRDefault="00E41CC7" w:rsidP="00E41CC7">
                  <w:pPr>
                    <w:keepNext/>
                    <w:keepLines/>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stheme="minorHAnsi"/>
                      <w:color w:val="000000"/>
                      <w:sz w:val="18"/>
                      <w:szCs w:val="18"/>
                      <w:lang w:eastAsia="en-GB"/>
                    </w:rPr>
                  </w:pPr>
                  <w:r w:rsidRPr="00DE563B">
                    <w:rPr>
                      <w:rFonts w:asciiTheme="minorHAnsi" w:hAnsiTheme="minorHAnsi" w:cstheme="minorHAnsi"/>
                      <w:color w:val="000000"/>
                      <w:sz w:val="18"/>
                      <w:szCs w:val="18"/>
                      <w:lang w:eastAsia="en-GB"/>
                    </w:rPr>
                    <w:t xml:space="preserve">1 209 753,00 </w:t>
                  </w:r>
                </w:p>
              </w:tc>
              <w:tc>
                <w:tcPr>
                  <w:tcW w:w="849" w:type="dxa"/>
                  <w:tcBorders>
                    <w:top w:val="nil"/>
                    <w:left w:val="nil"/>
                    <w:bottom w:val="single" w:sz="4" w:space="0" w:color="auto"/>
                    <w:right w:val="single" w:sz="4" w:space="0" w:color="auto"/>
                  </w:tcBorders>
                  <w:noWrap/>
                  <w:vAlign w:val="center"/>
                  <w:hideMark/>
                </w:tcPr>
                <w:p w14:paraId="4E70103D" w14:textId="77777777" w:rsidR="00E41CC7" w:rsidRPr="00DE563B" w:rsidRDefault="00E41CC7" w:rsidP="00E41CC7">
                  <w:pPr>
                    <w:keepNext/>
                    <w:keepLines/>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color w:val="000000"/>
                      <w:sz w:val="18"/>
                      <w:szCs w:val="18"/>
                      <w:lang w:eastAsia="en-GB"/>
                    </w:rPr>
                  </w:pPr>
                  <w:r w:rsidRPr="00DE563B">
                    <w:rPr>
                      <w:rFonts w:asciiTheme="minorHAnsi" w:hAnsiTheme="minorHAnsi" w:cstheme="minorHAnsi"/>
                      <w:color w:val="000000"/>
                      <w:sz w:val="18"/>
                      <w:szCs w:val="18"/>
                      <w:lang w:eastAsia="en-GB"/>
                    </w:rPr>
                    <w:t>39</w:t>
                  </w:r>
                </w:p>
              </w:tc>
              <w:tc>
                <w:tcPr>
                  <w:tcW w:w="1397" w:type="dxa"/>
                  <w:tcBorders>
                    <w:top w:val="nil"/>
                    <w:left w:val="nil"/>
                    <w:bottom w:val="single" w:sz="4" w:space="0" w:color="auto"/>
                    <w:right w:val="single" w:sz="4" w:space="0" w:color="auto"/>
                  </w:tcBorders>
                  <w:noWrap/>
                  <w:vAlign w:val="center"/>
                  <w:hideMark/>
                </w:tcPr>
                <w:p w14:paraId="3C2BC695" w14:textId="77777777" w:rsidR="00E41CC7" w:rsidRPr="00DE563B" w:rsidRDefault="00E41CC7" w:rsidP="00E41CC7">
                  <w:pPr>
                    <w:keepNext/>
                    <w:keepLines/>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stheme="minorHAnsi"/>
                      <w:color w:val="000000"/>
                      <w:sz w:val="18"/>
                      <w:szCs w:val="18"/>
                      <w:lang w:eastAsia="en-GB"/>
                    </w:rPr>
                  </w:pPr>
                  <w:r w:rsidRPr="00DE563B">
                    <w:rPr>
                      <w:rFonts w:asciiTheme="minorHAnsi" w:hAnsiTheme="minorHAnsi" w:cstheme="minorHAnsi"/>
                      <w:color w:val="000000"/>
                      <w:sz w:val="18"/>
                      <w:szCs w:val="18"/>
                      <w:lang w:eastAsia="en-GB"/>
                    </w:rPr>
                    <w:t xml:space="preserve">31 019,31 </w:t>
                  </w:r>
                </w:p>
              </w:tc>
            </w:tr>
            <w:tr w:rsidR="00E41CC7" w:rsidRPr="00DE563B" w14:paraId="0552E141" w14:textId="77777777" w:rsidTr="00022519">
              <w:trPr>
                <w:jc w:val="center"/>
              </w:trPr>
              <w:tc>
                <w:tcPr>
                  <w:tcW w:w="589" w:type="dxa"/>
                  <w:tcBorders>
                    <w:top w:val="nil"/>
                    <w:left w:val="single" w:sz="4" w:space="0" w:color="auto"/>
                    <w:bottom w:val="single" w:sz="4" w:space="0" w:color="auto"/>
                    <w:right w:val="single" w:sz="4" w:space="0" w:color="auto"/>
                  </w:tcBorders>
                  <w:noWrap/>
                  <w:vAlign w:val="center"/>
                  <w:hideMark/>
                </w:tcPr>
                <w:p w14:paraId="781457B2" w14:textId="77777777" w:rsidR="00E41CC7" w:rsidRPr="00DE563B" w:rsidRDefault="00E41CC7" w:rsidP="00E41CC7">
                  <w:pPr>
                    <w:keepNext/>
                    <w:keepLines/>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color w:val="000000"/>
                      <w:sz w:val="18"/>
                      <w:szCs w:val="18"/>
                      <w:lang w:eastAsia="en-GB"/>
                    </w:rPr>
                  </w:pPr>
                  <w:r w:rsidRPr="00DE563B">
                    <w:rPr>
                      <w:rFonts w:asciiTheme="minorHAnsi" w:hAnsiTheme="minorHAnsi" w:cstheme="minorHAnsi"/>
                      <w:color w:val="000000"/>
                      <w:sz w:val="18"/>
                      <w:szCs w:val="18"/>
                      <w:lang w:eastAsia="en-GB"/>
                    </w:rPr>
                    <w:t>2025</w:t>
                  </w:r>
                </w:p>
              </w:tc>
              <w:tc>
                <w:tcPr>
                  <w:tcW w:w="1134" w:type="dxa"/>
                  <w:tcBorders>
                    <w:top w:val="nil"/>
                    <w:left w:val="nil"/>
                    <w:bottom w:val="single" w:sz="4" w:space="0" w:color="auto"/>
                    <w:right w:val="single" w:sz="4" w:space="0" w:color="auto"/>
                  </w:tcBorders>
                  <w:noWrap/>
                  <w:vAlign w:val="center"/>
                  <w:hideMark/>
                </w:tcPr>
                <w:p w14:paraId="3F753DAD" w14:textId="77777777" w:rsidR="00E41CC7" w:rsidRPr="00DE563B" w:rsidRDefault="00E41CC7" w:rsidP="00E41CC7">
                  <w:pPr>
                    <w:keepNext/>
                    <w:keepLines/>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stheme="minorHAnsi"/>
                      <w:color w:val="000000"/>
                      <w:sz w:val="18"/>
                      <w:szCs w:val="18"/>
                      <w:lang w:eastAsia="en-GB"/>
                    </w:rPr>
                  </w:pPr>
                  <w:r w:rsidRPr="00DE563B">
                    <w:rPr>
                      <w:rFonts w:asciiTheme="minorHAnsi" w:hAnsiTheme="minorHAnsi" w:cstheme="minorHAnsi"/>
                      <w:color w:val="000000"/>
                      <w:sz w:val="18"/>
                      <w:szCs w:val="18"/>
                      <w:lang w:eastAsia="en-GB"/>
                    </w:rPr>
                    <w:t xml:space="preserve">1 838 756,00 </w:t>
                  </w:r>
                </w:p>
              </w:tc>
              <w:tc>
                <w:tcPr>
                  <w:tcW w:w="849" w:type="dxa"/>
                  <w:tcBorders>
                    <w:top w:val="nil"/>
                    <w:left w:val="nil"/>
                    <w:bottom w:val="single" w:sz="4" w:space="0" w:color="auto"/>
                    <w:right w:val="single" w:sz="4" w:space="0" w:color="auto"/>
                  </w:tcBorders>
                  <w:noWrap/>
                  <w:vAlign w:val="center"/>
                  <w:hideMark/>
                </w:tcPr>
                <w:p w14:paraId="0FCBF2FD" w14:textId="77777777" w:rsidR="00E41CC7" w:rsidRPr="00DE563B" w:rsidRDefault="00E41CC7" w:rsidP="00E41CC7">
                  <w:pPr>
                    <w:keepNext/>
                    <w:keepLines/>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color w:val="000000"/>
                      <w:sz w:val="18"/>
                      <w:szCs w:val="18"/>
                      <w:lang w:eastAsia="en-GB"/>
                    </w:rPr>
                  </w:pPr>
                  <w:r w:rsidRPr="00DE563B">
                    <w:rPr>
                      <w:rFonts w:asciiTheme="minorHAnsi" w:hAnsiTheme="minorHAnsi" w:cstheme="minorHAnsi"/>
                      <w:color w:val="000000"/>
                      <w:sz w:val="18"/>
                      <w:szCs w:val="18"/>
                      <w:lang w:eastAsia="en-GB"/>
                    </w:rPr>
                    <w:t>53</w:t>
                  </w:r>
                </w:p>
              </w:tc>
              <w:tc>
                <w:tcPr>
                  <w:tcW w:w="1397" w:type="dxa"/>
                  <w:tcBorders>
                    <w:top w:val="nil"/>
                    <w:left w:val="nil"/>
                    <w:bottom w:val="single" w:sz="4" w:space="0" w:color="auto"/>
                    <w:right w:val="single" w:sz="4" w:space="0" w:color="auto"/>
                  </w:tcBorders>
                  <w:noWrap/>
                  <w:vAlign w:val="center"/>
                  <w:hideMark/>
                </w:tcPr>
                <w:p w14:paraId="1E357EEC" w14:textId="77777777" w:rsidR="00E41CC7" w:rsidRPr="00DE563B" w:rsidRDefault="00E41CC7" w:rsidP="00E41CC7">
                  <w:pPr>
                    <w:keepNext/>
                    <w:keepLines/>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stheme="minorHAnsi"/>
                      <w:color w:val="000000"/>
                      <w:sz w:val="18"/>
                      <w:szCs w:val="18"/>
                      <w:lang w:eastAsia="en-GB"/>
                    </w:rPr>
                  </w:pPr>
                  <w:r w:rsidRPr="00DE563B">
                    <w:rPr>
                      <w:rFonts w:asciiTheme="minorHAnsi" w:hAnsiTheme="minorHAnsi" w:cstheme="minorHAnsi"/>
                      <w:color w:val="000000"/>
                      <w:sz w:val="18"/>
                      <w:szCs w:val="18"/>
                      <w:lang w:eastAsia="en-GB"/>
                    </w:rPr>
                    <w:t xml:space="preserve">34 693,51 </w:t>
                  </w:r>
                </w:p>
              </w:tc>
            </w:tr>
          </w:tbl>
          <w:p w14:paraId="56521017" w14:textId="77777777" w:rsidR="00E41CC7" w:rsidRDefault="00E41CC7" w:rsidP="00D91E39">
            <w:pPr>
              <w:pStyle w:val="Tabletext"/>
              <w:keepNext/>
              <w:keepLines/>
              <w:rPr>
                <w:sz w:val="20"/>
                <w:szCs w:val="20"/>
              </w:rPr>
            </w:pPr>
            <w:r w:rsidRPr="00DE563B">
              <w:rPr>
                <w:sz w:val="20"/>
                <w:szCs w:val="20"/>
              </w:rPr>
              <w:t>La valeur moyenne des franchises est restée relativement stable au cours des quatre dernières années et pourrait servir de base pour évaluer les incidences budgétaires de l'augmentation du nombre de pays demandant à bénéficier de la franchise (il est probable que ce nombre augmente à mesure que davantage de pays présenteront des fiches de notification).</w:t>
            </w:r>
          </w:p>
          <w:p w14:paraId="2C36AB18" w14:textId="77777777" w:rsidR="00E41CC7" w:rsidRDefault="00E41CC7" w:rsidP="00D91E39">
            <w:pPr>
              <w:pStyle w:val="Tabletext"/>
              <w:keepNext/>
              <w:keepLines/>
              <w:rPr>
                <w:b/>
                <w:bCs/>
                <w:sz w:val="20"/>
                <w:szCs w:val="20"/>
              </w:rPr>
            </w:pPr>
            <w:r w:rsidRPr="00DE563B">
              <w:rPr>
                <w:b/>
                <w:bCs/>
                <w:sz w:val="20"/>
                <w:szCs w:val="20"/>
              </w:rPr>
              <w:t>Incidences financières des notifications portant sur des éléments de grandes constellations</w:t>
            </w:r>
          </w:p>
          <w:p w14:paraId="59A0D0B5" w14:textId="4A9B2614" w:rsidR="00E41CC7" w:rsidRPr="00DE563B" w:rsidRDefault="00E41CC7" w:rsidP="00D91E39">
            <w:pPr>
              <w:pStyle w:val="Tabletext"/>
              <w:keepNext/>
              <w:keepLines/>
              <w:rPr>
                <w:b/>
                <w:bCs/>
                <w:sz w:val="20"/>
              </w:rPr>
            </w:pPr>
            <w:r w:rsidRPr="00DE563B">
              <w:rPr>
                <w:sz w:val="20"/>
                <w:szCs w:val="20"/>
              </w:rPr>
              <w:t>Avant l'entrée en vigueur, le 1er janvier 2026, de la version de 2025 de la Décision 482, les grandes constellations correspondaient aux notifications de systèmes non GSO comptant plus de 75 000 unités. Comme il a été indiqué au Groupe d'experts sur la Décision 482, le nombre de ces systèmes à satellites était faible (3 communications reçues en 2021, 1 en 2022, 6 en 2023 et 2 en 2024), ce qui a conduit à sous</w:t>
            </w:r>
            <w:r w:rsidRPr="00DE563B">
              <w:rPr>
                <w:sz w:val="20"/>
                <w:szCs w:val="20"/>
              </w:rPr>
              <w:noBreakHyphen/>
              <w:t>estimer le nombre de notifications imposant une charge de travail plus importante.</w:t>
            </w:r>
            <w:r>
              <w:rPr>
                <w:sz w:val="20"/>
                <w:szCs w:val="20"/>
              </w:rPr>
              <w:t xml:space="preserve"> </w:t>
            </w:r>
          </w:p>
        </w:tc>
        <w:tc>
          <w:tcPr>
            <w:tcW w:w="4178" w:type="dxa"/>
          </w:tcPr>
          <w:p w14:paraId="7E8F661E" w14:textId="77777777" w:rsidR="00E41CC7" w:rsidRPr="00DE563B" w:rsidRDefault="00E41CC7" w:rsidP="00E41CC7">
            <w:pPr>
              <w:pStyle w:val="Tabletext"/>
              <w:keepNext/>
              <w:keepLines/>
              <w:rPr>
                <w:sz w:val="20"/>
                <w:szCs w:val="20"/>
              </w:rPr>
            </w:pPr>
            <w:r w:rsidRPr="00DE563B">
              <w:rPr>
                <w:sz w:val="20"/>
                <w:szCs w:val="20"/>
              </w:rPr>
              <w:t>Dans son rapport annuel au Conseil sur la mise en œuvre de la Décision 482, le Secrétariat mentionnera toute préoccupation pouvant découler de l'augmentation du nombre de franchises ainsi que de la nouvelle formule de calcul des unités.</w:t>
            </w:r>
          </w:p>
          <w:p w14:paraId="09739E34" w14:textId="5E4D9830" w:rsidR="00E41CC7" w:rsidRPr="00DE563B" w:rsidRDefault="00E41CC7" w:rsidP="00E41CC7">
            <w:pPr>
              <w:pStyle w:val="Tabletext"/>
              <w:keepNext/>
              <w:keepLines/>
              <w:rPr>
                <w:sz w:val="20"/>
              </w:rPr>
            </w:pPr>
            <w:r w:rsidRPr="00DE563B">
              <w:rPr>
                <w:sz w:val="20"/>
                <w:szCs w:val="20"/>
              </w:rPr>
              <w:t>En ce qui concerne les améliorations du déroulement des activités allant au-delà d'une automatisation accrue, le Directeur du Bureau des radiocommunications rendra compte des problèmes constatés et de suggestions pour y remédier à la prochaine session habilitée à cet effet de la Conférence mondiale des radiocommunications compétente ou au Comité du Règlement des radiocommunications.</w:t>
            </w:r>
          </w:p>
        </w:tc>
      </w:tr>
      <w:tr w:rsidR="00D91E39" w:rsidRPr="00DE563B" w14:paraId="4F3973DC" w14:textId="77777777" w:rsidTr="00D91E39">
        <w:trPr>
          <w:jc w:val="center"/>
        </w:trPr>
        <w:tc>
          <w:tcPr>
            <w:tcW w:w="2208" w:type="dxa"/>
          </w:tcPr>
          <w:p w14:paraId="30B729DB" w14:textId="77777777" w:rsidR="00D91E39" w:rsidRPr="00DE563B" w:rsidRDefault="00D91E39" w:rsidP="00D91E39">
            <w:pPr>
              <w:pStyle w:val="Tabletext"/>
              <w:keepNext/>
              <w:keepLines/>
              <w:rPr>
                <w:sz w:val="20"/>
                <w:szCs w:val="20"/>
              </w:rPr>
            </w:pPr>
          </w:p>
        </w:tc>
        <w:tc>
          <w:tcPr>
            <w:tcW w:w="4178" w:type="dxa"/>
          </w:tcPr>
          <w:p w14:paraId="2452E501" w14:textId="471F26EE" w:rsidR="00D91E39" w:rsidRPr="00DE563B" w:rsidRDefault="00D91E39" w:rsidP="00D91E39">
            <w:pPr>
              <w:pStyle w:val="Tabletext"/>
              <w:keepNext/>
              <w:keepLines/>
              <w:ind w:left="284" w:hanging="284"/>
              <w:rPr>
                <w:sz w:val="20"/>
                <w:szCs w:val="20"/>
              </w:rPr>
            </w:pPr>
          </w:p>
        </w:tc>
        <w:tc>
          <w:tcPr>
            <w:tcW w:w="4178" w:type="dxa"/>
          </w:tcPr>
          <w:p w14:paraId="6D3C8A1F" w14:textId="5543ED1C" w:rsidR="00D91E39" w:rsidRPr="00DE563B" w:rsidRDefault="00D91E39" w:rsidP="00D91E39">
            <w:pPr>
              <w:pStyle w:val="Tabletext"/>
              <w:keepNext/>
              <w:keepLines/>
              <w:rPr>
                <w:sz w:val="20"/>
                <w:szCs w:val="20"/>
              </w:rPr>
            </w:pPr>
            <w:r w:rsidRPr="00DE563B">
              <w:rPr>
                <w:sz w:val="20"/>
                <w:szCs w:val="20"/>
              </w:rPr>
              <w:t>Cela a conduit le Groupe d'experts à proposer une nouvelle formule de calcul des unités, que le Conseil a adoptée en 2025. Cette formule étant entrée en vigueur le 1er janvier 2026, il faudra encore du temps pour évaluer si elle traduit suffisamment bien la charge de travail liée au traitement des fiches de notification.</w:t>
            </w:r>
          </w:p>
          <w:p w14:paraId="468BB568" w14:textId="334F1002" w:rsidR="00D91E39" w:rsidRPr="00DE563B" w:rsidRDefault="00D91E39" w:rsidP="00D91E39">
            <w:pPr>
              <w:pStyle w:val="Tabletext"/>
              <w:keepNext/>
              <w:keepLines/>
              <w:rPr>
                <w:b/>
                <w:bCs/>
                <w:sz w:val="20"/>
                <w:szCs w:val="20"/>
              </w:rPr>
            </w:pPr>
            <w:r w:rsidRPr="00DE563B">
              <w:rPr>
                <w:b/>
                <w:bCs/>
                <w:sz w:val="20"/>
                <w:szCs w:val="20"/>
              </w:rPr>
              <w:t>Critères d'efficacité et amélioration du déroulement des activités</w:t>
            </w:r>
          </w:p>
          <w:p w14:paraId="78BB3137" w14:textId="7B25DAD7" w:rsidR="00D91E39" w:rsidRPr="00DE563B" w:rsidRDefault="00D91E39" w:rsidP="00D91E39">
            <w:pPr>
              <w:pStyle w:val="Tabletext"/>
              <w:keepNext/>
              <w:keepLines/>
              <w:rPr>
                <w:sz w:val="20"/>
                <w:szCs w:val="20"/>
              </w:rPr>
            </w:pPr>
            <w:r w:rsidRPr="00DE563B">
              <w:rPr>
                <w:sz w:val="20"/>
                <w:szCs w:val="20"/>
              </w:rPr>
              <w:t>Les indicateurs fondamentaux mesurant la performance du traitement des fiches de notification des réseaux à satellite sont régulièrement communiqués au Comité du Règlement des radiocommunications et il est rendu compte chaque année au Groupe consultatif des radiocommunications. La plupart de ces indicateurs correspondent aux exigences figurant dans le Règlement des radiocommunications, que seule peut modifier une session habilitée à cet effet de la Conférence mondiale des radiocommunications compétente.</w:t>
            </w:r>
          </w:p>
          <w:p w14:paraId="405C1466" w14:textId="0EB28B7F" w:rsidR="00D91E39" w:rsidRPr="00DE563B" w:rsidRDefault="00D91E39" w:rsidP="00D91E39">
            <w:pPr>
              <w:pStyle w:val="Tabletext"/>
              <w:keepNext/>
              <w:keepLines/>
              <w:rPr>
                <w:sz w:val="20"/>
                <w:szCs w:val="20"/>
              </w:rPr>
            </w:pPr>
            <w:r w:rsidRPr="00DE563B">
              <w:rPr>
                <w:sz w:val="20"/>
                <w:szCs w:val="20"/>
              </w:rPr>
              <w:t>De même, les améliorations du déroulement des activités résultant d'une automatisation accrue font l'objet d'un rapport annuel au Groupe consultatif des radiocommunications. L'ordonnancement des activités découlant de l'application de procédures réglementaires figurant dans le Règlement des radiocommunications, toute amélioration allant au-delà d'une automatisation accrue nécessiterait une décision de modification émanant de la Conférence mondiale des radiocommunications.</w:t>
            </w:r>
          </w:p>
        </w:tc>
        <w:tc>
          <w:tcPr>
            <w:tcW w:w="4178" w:type="dxa"/>
          </w:tcPr>
          <w:p w14:paraId="5EAA883D" w14:textId="5F6D48D1" w:rsidR="00D91E39" w:rsidRPr="00DE563B" w:rsidRDefault="00D91E39" w:rsidP="00D91E39">
            <w:pPr>
              <w:pStyle w:val="Tabletext"/>
              <w:keepNext/>
              <w:keepLines/>
              <w:rPr>
                <w:sz w:val="20"/>
                <w:szCs w:val="20"/>
              </w:rPr>
            </w:pPr>
          </w:p>
        </w:tc>
      </w:tr>
      <w:tr w:rsidR="00D91E39" w:rsidRPr="00DE563B" w14:paraId="7B4CDAE4" w14:textId="77777777" w:rsidTr="00D91E39">
        <w:trPr>
          <w:jc w:val="center"/>
        </w:trPr>
        <w:tc>
          <w:tcPr>
            <w:tcW w:w="2208" w:type="dxa"/>
          </w:tcPr>
          <w:p w14:paraId="6A1EA7BF" w14:textId="77777777" w:rsidR="00D91E39" w:rsidRPr="00DE563B" w:rsidRDefault="00D91E39" w:rsidP="00D91E39">
            <w:pPr>
              <w:pStyle w:val="Tabletext"/>
              <w:rPr>
                <w:sz w:val="20"/>
                <w:szCs w:val="20"/>
              </w:rPr>
            </w:pPr>
          </w:p>
        </w:tc>
        <w:tc>
          <w:tcPr>
            <w:tcW w:w="4178" w:type="dxa"/>
          </w:tcPr>
          <w:p w14:paraId="351628A6" w14:textId="77777777" w:rsidR="00D91E39" w:rsidRPr="00DE563B" w:rsidRDefault="00D91E39" w:rsidP="00E41CC7">
            <w:pPr>
              <w:pStyle w:val="Tabletext"/>
              <w:keepNext/>
              <w:keepLines/>
              <w:rPr>
                <w:sz w:val="20"/>
                <w:szCs w:val="20"/>
              </w:rPr>
            </w:pPr>
            <w:r w:rsidRPr="00DE563B">
              <w:rPr>
                <w:sz w:val="20"/>
                <w:szCs w:val="20"/>
              </w:rPr>
              <w:t>Il a été largement estimé que les droits perçus au titre du traitement des fiches de notification des réseaux à satellite devraient financer directement les activités du BR et non celles du Secrétariat général.</w:t>
            </w:r>
          </w:p>
        </w:tc>
        <w:tc>
          <w:tcPr>
            <w:tcW w:w="4178" w:type="dxa"/>
          </w:tcPr>
          <w:p w14:paraId="2E222F1D" w14:textId="47C8432C" w:rsidR="00D91E39" w:rsidRPr="00DE563B" w:rsidRDefault="00D91E39" w:rsidP="00E41CC7">
            <w:pPr>
              <w:pStyle w:val="Tabletext"/>
              <w:keepNext/>
              <w:keepLines/>
              <w:rPr>
                <w:spacing w:val="-2"/>
                <w:sz w:val="20"/>
                <w:szCs w:val="20"/>
              </w:rPr>
            </w:pPr>
            <w:r w:rsidRPr="00DE563B">
              <w:rPr>
                <w:spacing w:val="-2"/>
                <w:sz w:val="20"/>
                <w:szCs w:val="20"/>
              </w:rPr>
              <w:t>Le budget ordinaire de l'UIT est un budget collectif pour l'ensemble de l'Union; il s'ensuit que tous les fonds collectés par l'UIT au titre budget ordinaire servent à financer toute l'Union. Dans le budget ordinaire de l'Union (2025), les coûts directs annuels du BR s'élèvent à 30,145 millions CHF. Sur ce montant, seuls 8,7 millions de CHF sont recouvrés par les droits perçus au titre du traitement des fiches de notification des réseaux à satellite, tandis qu'un montant supplémentaire de 6,6 millions de CHF est collecté auprès des membres du Secteur de l'UIT-R. Partant, chaque année, les contributions mises en recouvrement des États Membres de l'Union financent les coûts directs du BR</w:t>
            </w:r>
            <w:r w:rsidRPr="00DE563B">
              <w:t xml:space="preserve"> </w:t>
            </w:r>
            <w:r w:rsidRPr="00DE563B">
              <w:rPr>
                <w:spacing w:val="-2"/>
                <w:sz w:val="20"/>
                <w:szCs w:val="20"/>
              </w:rPr>
              <w:t>à hauteur de 14,845 millions CHF.</w:t>
            </w:r>
          </w:p>
          <w:p w14:paraId="707637F6" w14:textId="1C9CCFF6" w:rsidR="00D91E39" w:rsidRPr="00DE563B" w:rsidRDefault="00D91E39" w:rsidP="00E41CC7">
            <w:pPr>
              <w:pStyle w:val="Tabletext"/>
              <w:keepNext/>
              <w:keepLines/>
              <w:rPr>
                <w:sz w:val="20"/>
                <w:szCs w:val="20"/>
              </w:rPr>
            </w:pPr>
            <w:r w:rsidRPr="00DE563B">
              <w:rPr>
                <w:spacing w:val="-2"/>
                <w:sz w:val="20"/>
                <w:szCs w:val="20"/>
              </w:rPr>
              <w:t>Les activités liées au traitement des fiches de notification des réseaux à satellite et les autres activités du BR créent également des dépenses au Secrétariat général (services du Département ISD, gestion des installations, services de conférence et de publication, ressources humaines, services budgétaires et financiers, etc.) qui sont imputées pour couvrir un ensemble de dépenses administratives et de frais généraux du BR. Celle</w:t>
            </w:r>
            <w:r w:rsidR="00CD7E0A" w:rsidRPr="00DE563B">
              <w:rPr>
                <w:spacing w:val="-2"/>
                <w:sz w:val="20"/>
                <w:szCs w:val="20"/>
              </w:rPr>
              <w:t>s</w:t>
            </w:r>
            <w:r w:rsidR="00CD7E0A" w:rsidRPr="00DE563B">
              <w:rPr>
                <w:spacing w:val="-2"/>
                <w:sz w:val="20"/>
                <w:szCs w:val="20"/>
              </w:rPr>
              <w:noBreakHyphen/>
            </w:r>
            <w:r w:rsidRPr="00DE563B">
              <w:rPr>
                <w:spacing w:val="-2"/>
                <w:sz w:val="20"/>
                <w:szCs w:val="20"/>
              </w:rPr>
              <w:t>ci sont prise</w:t>
            </w:r>
            <w:r w:rsidR="00CD7E0A" w:rsidRPr="00DE563B">
              <w:rPr>
                <w:spacing w:val="-2"/>
                <w:sz w:val="20"/>
                <w:szCs w:val="20"/>
              </w:rPr>
              <w:t>s</w:t>
            </w:r>
            <w:r w:rsidRPr="00DE563B">
              <w:rPr>
                <w:spacing w:val="-2"/>
                <w:sz w:val="20"/>
                <w:szCs w:val="20"/>
              </w:rPr>
              <w:t xml:space="preserve"> en charge par le Secrétariat</w:t>
            </w:r>
            <w:r w:rsidR="00CD7E0A" w:rsidRPr="00DE563B">
              <w:rPr>
                <w:spacing w:val="-2"/>
                <w:sz w:val="20"/>
                <w:szCs w:val="20"/>
              </w:rPr>
              <w:t> </w:t>
            </w:r>
            <w:r w:rsidRPr="00DE563B">
              <w:rPr>
                <w:spacing w:val="-2"/>
                <w:sz w:val="20"/>
                <w:szCs w:val="20"/>
              </w:rPr>
              <w:t>général mais elles sont imputables aux activités du BR</w:t>
            </w:r>
            <w:r w:rsidR="00CD7E0A" w:rsidRPr="00DE563B">
              <w:rPr>
                <w:spacing w:val="-2"/>
                <w:sz w:val="20"/>
                <w:szCs w:val="20"/>
              </w:rPr>
              <w:t>.</w:t>
            </w:r>
          </w:p>
        </w:tc>
        <w:tc>
          <w:tcPr>
            <w:tcW w:w="4178" w:type="dxa"/>
          </w:tcPr>
          <w:p w14:paraId="024DBCB3" w14:textId="77777777" w:rsidR="00D91E39" w:rsidRPr="00DE563B" w:rsidRDefault="00D91E39" w:rsidP="00D91E39">
            <w:pPr>
              <w:pStyle w:val="Tabletext"/>
              <w:rPr>
                <w:sz w:val="20"/>
                <w:szCs w:val="20"/>
              </w:rPr>
            </w:pPr>
          </w:p>
        </w:tc>
      </w:tr>
      <w:bookmarkEnd w:id="4"/>
    </w:tbl>
    <w:p w14:paraId="5A537919" w14:textId="77777777" w:rsidR="002E002A" w:rsidRDefault="002E002A" w:rsidP="002E002A"/>
    <w:p w14:paraId="5FDFD32E" w14:textId="6C0A184F" w:rsidR="00897553" w:rsidRPr="00DE563B" w:rsidRDefault="006A11AE" w:rsidP="0040775D">
      <w:pPr>
        <w:jc w:val="center"/>
      </w:pPr>
      <w:r w:rsidRPr="00DE563B">
        <w:t>______________</w:t>
      </w:r>
    </w:p>
    <w:sectPr w:rsidR="00897553" w:rsidRPr="00DE563B" w:rsidSect="0040775D">
      <w:footerReference w:type="default" r:id="rId26"/>
      <w:headerReference w:type="first" r:id="rId27"/>
      <w:footerReference w:type="first" r:id="rId28"/>
      <w:pgSz w:w="16840" w:h="11907" w:orient="landscape" w:code="9"/>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ADA6A" w14:textId="77777777" w:rsidR="0040775D" w:rsidRDefault="0040775D">
      <w:r>
        <w:separator/>
      </w:r>
    </w:p>
  </w:endnote>
  <w:endnote w:type="continuationSeparator" w:id="0">
    <w:p w14:paraId="43E58F77" w14:textId="77777777" w:rsidR="0040775D" w:rsidRDefault="0040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93B0" w14:textId="3B11995A" w:rsidR="00732045" w:rsidRPr="00E41CC7" w:rsidRDefault="00271321">
    <w:pPr>
      <w:pStyle w:val="Footer"/>
      <w:rPr>
        <w:lang w:val="en-US"/>
      </w:rPr>
    </w:pPr>
    <w:r>
      <w:fldChar w:fldCharType="begin"/>
    </w:r>
    <w:r w:rsidRPr="00E41CC7">
      <w:rPr>
        <w:lang w:val="en-US"/>
      </w:rPr>
      <w:instrText xml:space="preserve"> FILENAME \p \* MERGEFORMAT </w:instrText>
    </w:r>
    <w:r>
      <w:fldChar w:fldCharType="separate"/>
    </w:r>
    <w:r w:rsidR="00E41CC7">
      <w:rPr>
        <w:lang w:val="en-US"/>
      </w:rPr>
      <w:t>P:\FRA\gDoc\SG\C26\2600741F.docx</w:t>
    </w:r>
    <w:r>
      <w:fldChar w:fldCharType="end"/>
    </w:r>
    <w:r w:rsidR="00732045" w:rsidRPr="00E41CC7">
      <w:rPr>
        <w:lang w:val="en-US"/>
      </w:rPr>
      <w:tab/>
    </w:r>
    <w:r w:rsidR="002F1B76">
      <w:fldChar w:fldCharType="begin"/>
    </w:r>
    <w:r w:rsidR="00732045">
      <w:instrText xml:space="preserve"> savedate \@ dd.MM.yy </w:instrText>
    </w:r>
    <w:r w:rsidR="002F1B76">
      <w:fldChar w:fldCharType="separate"/>
    </w:r>
    <w:r w:rsidR="00E96E87">
      <w:t>15.04.26</w:t>
    </w:r>
    <w:r w:rsidR="002F1B76">
      <w:fldChar w:fldCharType="end"/>
    </w:r>
    <w:r w:rsidR="00732045" w:rsidRPr="00E41CC7">
      <w:rPr>
        <w:lang w:val="en-US"/>
      </w:rPr>
      <w:tab/>
    </w:r>
    <w:r w:rsidR="002F1B76">
      <w:fldChar w:fldCharType="begin"/>
    </w:r>
    <w:r w:rsidR="00732045">
      <w:instrText xml:space="preserve"> printdate \@ dd.MM.yy </w:instrText>
    </w:r>
    <w:r w:rsidR="002F1B76">
      <w:fldChar w:fldCharType="separate"/>
    </w:r>
    <w:r w:rsidR="00E41CC7">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2DE85A8" w14:textId="77777777" w:rsidTr="00E31DCE">
      <w:trPr>
        <w:jc w:val="center"/>
      </w:trPr>
      <w:tc>
        <w:tcPr>
          <w:tcW w:w="1803" w:type="dxa"/>
          <w:vAlign w:val="center"/>
        </w:tcPr>
        <w:p w14:paraId="6D989895" w14:textId="7947C785" w:rsidR="00A51849" w:rsidRDefault="0040775D" w:rsidP="00A51849">
          <w:pPr>
            <w:pStyle w:val="Header"/>
            <w:jc w:val="left"/>
            <w:rPr>
              <w:noProof/>
            </w:rPr>
          </w:pPr>
          <w:r>
            <w:rPr>
              <w:noProof/>
            </w:rPr>
            <w:t>2600741</w:t>
          </w:r>
        </w:p>
      </w:tc>
      <w:tc>
        <w:tcPr>
          <w:tcW w:w="8261" w:type="dxa"/>
        </w:tcPr>
        <w:p w14:paraId="12228F42" w14:textId="601010C0"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40775D">
            <w:rPr>
              <w:bCs/>
            </w:rPr>
            <w:t>19</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3DBA5E17"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26C96" w:rsidRPr="00784011" w14:paraId="2880AF33" w14:textId="77777777" w:rsidTr="00022519">
      <w:trPr>
        <w:jc w:val="center"/>
      </w:trPr>
      <w:tc>
        <w:tcPr>
          <w:tcW w:w="1803" w:type="dxa"/>
          <w:vAlign w:val="center"/>
        </w:tcPr>
        <w:p w14:paraId="0387D9D9" w14:textId="77777777" w:rsidR="00E26C96" w:rsidRPr="00FC6D7D" w:rsidRDefault="00E26C96" w:rsidP="00E26C96">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0DBD0BF7" w14:textId="1C695F7D" w:rsidR="00E26C96" w:rsidRPr="00E06FD5" w:rsidRDefault="00E26C96" w:rsidP="00E26C96">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Pr>
              <w:bCs/>
            </w:rPr>
            <w:t>19</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704296D8" w14:textId="77777777" w:rsidR="00E26C96" w:rsidRDefault="00E26C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4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8"/>
      <w:gridCol w:w="8261"/>
    </w:tblGrid>
    <w:tr w:rsidR="0040775D" w:rsidRPr="00784011" w14:paraId="45B9441D" w14:textId="77777777" w:rsidTr="0040775D">
      <w:trPr>
        <w:jc w:val="center"/>
      </w:trPr>
      <w:tc>
        <w:tcPr>
          <w:tcW w:w="6198" w:type="dxa"/>
          <w:vAlign w:val="center"/>
        </w:tcPr>
        <w:p w14:paraId="770153F8" w14:textId="77777777" w:rsidR="0040775D" w:rsidRDefault="0040775D" w:rsidP="00A51849">
          <w:pPr>
            <w:pStyle w:val="Header"/>
            <w:jc w:val="left"/>
            <w:rPr>
              <w:noProof/>
            </w:rPr>
          </w:pPr>
          <w:r>
            <w:rPr>
              <w:noProof/>
            </w:rPr>
            <w:t>2600741</w:t>
          </w:r>
        </w:p>
      </w:tc>
      <w:tc>
        <w:tcPr>
          <w:tcW w:w="8261" w:type="dxa"/>
        </w:tcPr>
        <w:p w14:paraId="08FF5053" w14:textId="77777777" w:rsidR="0040775D" w:rsidRPr="00E06FD5" w:rsidRDefault="0040775D"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Pr>
              <w:bCs/>
            </w:rPr>
            <w:t>19</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6F76DCB5" w14:textId="77777777" w:rsidR="0040775D" w:rsidRPr="00A51849" w:rsidRDefault="0040775D" w:rsidP="00FC6D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4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8"/>
      <w:gridCol w:w="8261"/>
    </w:tblGrid>
    <w:tr w:rsidR="0040775D" w:rsidRPr="00784011" w14:paraId="42E1B66E" w14:textId="77777777" w:rsidTr="00022519">
      <w:trPr>
        <w:jc w:val="center"/>
      </w:trPr>
      <w:tc>
        <w:tcPr>
          <w:tcW w:w="6198" w:type="dxa"/>
          <w:vAlign w:val="center"/>
        </w:tcPr>
        <w:p w14:paraId="73AD4ADC" w14:textId="77777777" w:rsidR="0040775D" w:rsidRDefault="0040775D" w:rsidP="0040775D">
          <w:pPr>
            <w:pStyle w:val="Header"/>
            <w:jc w:val="left"/>
            <w:rPr>
              <w:noProof/>
            </w:rPr>
          </w:pPr>
          <w:r>
            <w:rPr>
              <w:noProof/>
            </w:rPr>
            <w:t>2600741</w:t>
          </w:r>
        </w:p>
      </w:tc>
      <w:tc>
        <w:tcPr>
          <w:tcW w:w="8261" w:type="dxa"/>
        </w:tcPr>
        <w:p w14:paraId="5A1DC37F" w14:textId="77777777" w:rsidR="0040775D" w:rsidRPr="00E06FD5" w:rsidRDefault="0040775D" w:rsidP="0040775D">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Pr>
              <w:bCs/>
            </w:rPr>
            <w:t>19</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759BC3A3" w14:textId="77777777" w:rsidR="0040775D" w:rsidRPr="00A51849" w:rsidRDefault="0040775D"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5D712" w14:textId="77777777" w:rsidR="0040775D" w:rsidRDefault="0040775D">
      <w:r>
        <w:t>____________________</w:t>
      </w:r>
    </w:p>
  </w:footnote>
  <w:footnote w:type="continuationSeparator" w:id="0">
    <w:p w14:paraId="7146FA87" w14:textId="77777777" w:rsidR="0040775D" w:rsidRDefault="0040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1FF6"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B04218B"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0CD8" w14:textId="45A1D0C2" w:rsidR="00E26C96" w:rsidRDefault="00E26C96">
    <w:pPr>
      <w:pStyle w:val="Header"/>
    </w:pPr>
    <w:r>
      <w:rPr>
        <w:noProof/>
      </w:rPr>
      <w:drawing>
        <wp:inline distT="0" distB="0" distL="0" distR="0" wp14:anchorId="6BD278B7" wp14:editId="1DA14A05">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257A" w14:textId="3D012C54" w:rsidR="00E05155" w:rsidRDefault="00E05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BAF6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5E1FD1"/>
    <w:multiLevelType w:val="hybridMultilevel"/>
    <w:tmpl w:val="CE542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773070"/>
    <w:multiLevelType w:val="hybridMultilevel"/>
    <w:tmpl w:val="EDB6E3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69A01A3"/>
    <w:multiLevelType w:val="hybridMultilevel"/>
    <w:tmpl w:val="BB0C6E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6A744DE"/>
    <w:multiLevelType w:val="hybridMultilevel"/>
    <w:tmpl w:val="6784973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 w:numId="16" w16cid:durableId="1777367219">
    <w:abstractNumId w:val="11"/>
  </w:num>
  <w:num w:numId="17" w16cid:durableId="907153376">
    <w:abstractNumId w:val="10"/>
  </w:num>
  <w:num w:numId="18" w16cid:durableId="649211383">
    <w:abstractNumId w:val="12"/>
  </w:num>
  <w:num w:numId="19" w16cid:durableId="5236379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75D"/>
    <w:rsid w:val="00076A2C"/>
    <w:rsid w:val="000B180C"/>
    <w:rsid w:val="000D0D0A"/>
    <w:rsid w:val="000E0563"/>
    <w:rsid w:val="000E4064"/>
    <w:rsid w:val="00103163"/>
    <w:rsid w:val="00106B19"/>
    <w:rsid w:val="001133EF"/>
    <w:rsid w:val="00115D93"/>
    <w:rsid w:val="001247A8"/>
    <w:rsid w:val="001342E0"/>
    <w:rsid w:val="001370B2"/>
    <w:rsid w:val="001378C0"/>
    <w:rsid w:val="00155B07"/>
    <w:rsid w:val="001658F9"/>
    <w:rsid w:val="00185667"/>
    <w:rsid w:val="0018694A"/>
    <w:rsid w:val="0019129B"/>
    <w:rsid w:val="001A3287"/>
    <w:rsid w:val="001A6508"/>
    <w:rsid w:val="001D4C31"/>
    <w:rsid w:val="001E4D21"/>
    <w:rsid w:val="00207CD1"/>
    <w:rsid w:val="00226657"/>
    <w:rsid w:val="002477A2"/>
    <w:rsid w:val="00263A51"/>
    <w:rsid w:val="00267E02"/>
    <w:rsid w:val="00271321"/>
    <w:rsid w:val="00277DEA"/>
    <w:rsid w:val="002A5D44"/>
    <w:rsid w:val="002A7EA1"/>
    <w:rsid w:val="002C3F32"/>
    <w:rsid w:val="002C4E3D"/>
    <w:rsid w:val="002D2336"/>
    <w:rsid w:val="002E002A"/>
    <w:rsid w:val="002E0BC4"/>
    <w:rsid w:val="002F1B76"/>
    <w:rsid w:val="00300716"/>
    <w:rsid w:val="0033568E"/>
    <w:rsid w:val="00355FF5"/>
    <w:rsid w:val="00361350"/>
    <w:rsid w:val="003C3FAE"/>
    <w:rsid w:val="004038CB"/>
    <w:rsid w:val="0040546F"/>
    <w:rsid w:val="0040775D"/>
    <w:rsid w:val="004177BD"/>
    <w:rsid w:val="0042404A"/>
    <w:rsid w:val="0044618F"/>
    <w:rsid w:val="00465C35"/>
    <w:rsid w:val="0046769A"/>
    <w:rsid w:val="00475FB3"/>
    <w:rsid w:val="004C37A9"/>
    <w:rsid w:val="004D1D50"/>
    <w:rsid w:val="004F259E"/>
    <w:rsid w:val="004F633A"/>
    <w:rsid w:val="00504C7F"/>
    <w:rsid w:val="00511F1D"/>
    <w:rsid w:val="00520F36"/>
    <w:rsid w:val="00524E8D"/>
    <w:rsid w:val="00534AF9"/>
    <w:rsid w:val="00534E13"/>
    <w:rsid w:val="00540615"/>
    <w:rsid w:val="00540A6D"/>
    <w:rsid w:val="00551816"/>
    <w:rsid w:val="00553536"/>
    <w:rsid w:val="00555293"/>
    <w:rsid w:val="00566679"/>
    <w:rsid w:val="00571EEA"/>
    <w:rsid w:val="00575417"/>
    <w:rsid w:val="005768E1"/>
    <w:rsid w:val="005903CB"/>
    <w:rsid w:val="005B1938"/>
    <w:rsid w:val="005C3890"/>
    <w:rsid w:val="005F7BFE"/>
    <w:rsid w:val="00600017"/>
    <w:rsid w:val="00602682"/>
    <w:rsid w:val="006235CA"/>
    <w:rsid w:val="0062366E"/>
    <w:rsid w:val="00623B61"/>
    <w:rsid w:val="006643AB"/>
    <w:rsid w:val="006A11AE"/>
    <w:rsid w:val="006A3B4C"/>
    <w:rsid w:val="006B224B"/>
    <w:rsid w:val="006D2237"/>
    <w:rsid w:val="006F0A53"/>
    <w:rsid w:val="0071402E"/>
    <w:rsid w:val="007210CD"/>
    <w:rsid w:val="00732045"/>
    <w:rsid w:val="0073275D"/>
    <w:rsid w:val="007369DB"/>
    <w:rsid w:val="0077110E"/>
    <w:rsid w:val="007956C2"/>
    <w:rsid w:val="00796BDB"/>
    <w:rsid w:val="007A187E"/>
    <w:rsid w:val="007A48D3"/>
    <w:rsid w:val="007C72C2"/>
    <w:rsid w:val="007D4436"/>
    <w:rsid w:val="007F257A"/>
    <w:rsid w:val="007F3665"/>
    <w:rsid w:val="00800037"/>
    <w:rsid w:val="0082299A"/>
    <w:rsid w:val="0083391C"/>
    <w:rsid w:val="0084546D"/>
    <w:rsid w:val="00861D73"/>
    <w:rsid w:val="008621CA"/>
    <w:rsid w:val="00882919"/>
    <w:rsid w:val="00897553"/>
    <w:rsid w:val="008A4E87"/>
    <w:rsid w:val="008D20C5"/>
    <w:rsid w:val="008D76E6"/>
    <w:rsid w:val="0092392D"/>
    <w:rsid w:val="009251A3"/>
    <w:rsid w:val="0093234A"/>
    <w:rsid w:val="00956A78"/>
    <w:rsid w:val="0097363B"/>
    <w:rsid w:val="00973F53"/>
    <w:rsid w:val="0098348E"/>
    <w:rsid w:val="009A6BAA"/>
    <w:rsid w:val="009A76A8"/>
    <w:rsid w:val="009C307F"/>
    <w:rsid w:val="009C353C"/>
    <w:rsid w:val="009D5955"/>
    <w:rsid w:val="009E697F"/>
    <w:rsid w:val="009F0FB8"/>
    <w:rsid w:val="00A01F4F"/>
    <w:rsid w:val="00A109AF"/>
    <w:rsid w:val="00A125FB"/>
    <w:rsid w:val="00A2113E"/>
    <w:rsid w:val="00A23A51"/>
    <w:rsid w:val="00A24607"/>
    <w:rsid w:val="00A25CD3"/>
    <w:rsid w:val="00A43023"/>
    <w:rsid w:val="00A51849"/>
    <w:rsid w:val="00A709FE"/>
    <w:rsid w:val="00A73C60"/>
    <w:rsid w:val="00A82767"/>
    <w:rsid w:val="00AA332F"/>
    <w:rsid w:val="00AA7BBB"/>
    <w:rsid w:val="00AB64A8"/>
    <w:rsid w:val="00AC0266"/>
    <w:rsid w:val="00AC0F1D"/>
    <w:rsid w:val="00AC1695"/>
    <w:rsid w:val="00AD24EC"/>
    <w:rsid w:val="00B27B00"/>
    <w:rsid w:val="00B309F9"/>
    <w:rsid w:val="00B32B60"/>
    <w:rsid w:val="00B51005"/>
    <w:rsid w:val="00B61619"/>
    <w:rsid w:val="00BB38C1"/>
    <w:rsid w:val="00BB4545"/>
    <w:rsid w:val="00BD0EAD"/>
    <w:rsid w:val="00BD5873"/>
    <w:rsid w:val="00BF4B60"/>
    <w:rsid w:val="00C049D7"/>
    <w:rsid w:val="00C04BE3"/>
    <w:rsid w:val="00C24D23"/>
    <w:rsid w:val="00C25D29"/>
    <w:rsid w:val="00C2625E"/>
    <w:rsid w:val="00C27A7C"/>
    <w:rsid w:val="00C42437"/>
    <w:rsid w:val="00CA08ED"/>
    <w:rsid w:val="00CC6EAA"/>
    <w:rsid w:val="00CD7E0A"/>
    <w:rsid w:val="00CE5172"/>
    <w:rsid w:val="00CF0534"/>
    <w:rsid w:val="00CF183B"/>
    <w:rsid w:val="00D124C1"/>
    <w:rsid w:val="00D375CD"/>
    <w:rsid w:val="00D37B53"/>
    <w:rsid w:val="00D421DE"/>
    <w:rsid w:val="00D553A2"/>
    <w:rsid w:val="00D72F49"/>
    <w:rsid w:val="00D774D3"/>
    <w:rsid w:val="00D904E8"/>
    <w:rsid w:val="00D91E39"/>
    <w:rsid w:val="00DA08C3"/>
    <w:rsid w:val="00DB5A3E"/>
    <w:rsid w:val="00DC22AA"/>
    <w:rsid w:val="00DD1A99"/>
    <w:rsid w:val="00DE563B"/>
    <w:rsid w:val="00DE62C6"/>
    <w:rsid w:val="00DF74DD"/>
    <w:rsid w:val="00E05155"/>
    <w:rsid w:val="00E25AD0"/>
    <w:rsid w:val="00E26C96"/>
    <w:rsid w:val="00E41CC7"/>
    <w:rsid w:val="00E4304B"/>
    <w:rsid w:val="00E4428F"/>
    <w:rsid w:val="00E4448E"/>
    <w:rsid w:val="00E47427"/>
    <w:rsid w:val="00E93668"/>
    <w:rsid w:val="00E95647"/>
    <w:rsid w:val="00E96E87"/>
    <w:rsid w:val="00EB6350"/>
    <w:rsid w:val="00ED1B22"/>
    <w:rsid w:val="00ED799B"/>
    <w:rsid w:val="00F15B57"/>
    <w:rsid w:val="00F35EF4"/>
    <w:rsid w:val="00F37FE5"/>
    <w:rsid w:val="00F427DB"/>
    <w:rsid w:val="00F94098"/>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5DC93D"/>
  <w15:docId w15:val="{857036F9-82FC-4662-BD99-CF7C502B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uiPriority w:val="9"/>
    <w:qFormat/>
    <w:rsid w:val="00ED799B"/>
    <w:pPr>
      <w:keepNext/>
      <w:keepLines/>
      <w:spacing w:before="360"/>
      <w:ind w:left="567" w:hanging="567"/>
      <w:outlineLvl w:val="0"/>
    </w:pPr>
    <w:rPr>
      <w:b/>
      <w:sz w:val="28"/>
    </w:rPr>
  </w:style>
  <w:style w:type="paragraph" w:styleId="Heading2">
    <w:name w:val="heading 2"/>
    <w:basedOn w:val="Heading1"/>
    <w:next w:val="Normal"/>
    <w:link w:val="Heading2Char"/>
    <w:uiPriority w:val="9"/>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qFormat/>
    <w:rsid w:val="009D5955"/>
    <w:pPr>
      <w:spacing w:before="80"/>
      <w:ind w:left="567" w:hanging="567"/>
    </w:pPr>
  </w:style>
  <w:style w:type="paragraph" w:customStyle="1" w:styleId="enumlev2">
    <w:name w:val="enumlev2"/>
    <w:basedOn w:val="enumlev1"/>
    <w:qFormat/>
    <w:rsid w:val="00732045"/>
    <w:pPr>
      <w:ind w:left="1134"/>
    </w:pPr>
  </w:style>
  <w:style w:type="paragraph" w:customStyle="1" w:styleId="enumlev3">
    <w:name w:val="enumlev3"/>
    <w:basedOn w:val="enumlev2"/>
    <w:qFormat/>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2E002A"/>
    <w:pPr>
      <w:framePr w:hSpace="181" w:wrap="around" w:vAnchor="page" w:hAnchor="page" w:x="1589" w:y="2314"/>
      <w:spacing w:before="84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qFormat/>
    <w:rsid w:val="00BB38C1"/>
    <w:pPr>
      <w:keepNext/>
      <w:keepLines/>
      <w:spacing w:before="720"/>
      <w:jc w:val="center"/>
    </w:pPr>
    <w:rPr>
      <w:caps/>
      <w:sz w:val="28"/>
    </w:rPr>
  </w:style>
  <w:style w:type="paragraph" w:customStyle="1" w:styleId="Annexref">
    <w:name w:val="Annex_ref"/>
    <w:basedOn w:val="Normal"/>
    <w:next w:val="Annextitle"/>
    <w:qFormat/>
    <w:rsid w:val="00BB38C1"/>
    <w:pPr>
      <w:keepNext/>
      <w:keepLines/>
      <w:jc w:val="center"/>
    </w:pPr>
    <w:rPr>
      <w:sz w:val="28"/>
    </w:rPr>
  </w:style>
  <w:style w:type="paragraph" w:customStyle="1" w:styleId="Annextitle">
    <w:name w:val="Annex_title"/>
    <w:basedOn w:val="Normal"/>
    <w:next w:val="Normalaftertitle"/>
    <w:qFormat/>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qFormat/>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qFormat/>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qFormat/>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qFormat/>
    <w:rsid w:val="00732045"/>
  </w:style>
  <w:style w:type="paragraph" w:customStyle="1" w:styleId="Chaptitle">
    <w:name w:val="Chap_title"/>
    <w:basedOn w:val="Arttitle"/>
    <w:next w:val="Normalaftertitle"/>
    <w:qFormat/>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qFormat/>
    <w:rsid w:val="009D5955"/>
    <w:pPr>
      <w:spacing w:after="240"/>
      <w:jc w:val="center"/>
    </w:pPr>
  </w:style>
  <w:style w:type="paragraph" w:customStyle="1" w:styleId="Figurelegend">
    <w:name w:val="Figure_legend"/>
    <w:basedOn w:val="Normal"/>
    <w:next w:val="Normal"/>
    <w:qFormat/>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qFormat/>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qFormat/>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customStyle="1" w:styleId="Heading1Char">
    <w:name w:val="Heading 1 Char"/>
    <w:basedOn w:val="DefaultParagraphFont"/>
    <w:link w:val="Heading1"/>
    <w:uiPriority w:val="9"/>
    <w:rsid w:val="0040775D"/>
    <w:rPr>
      <w:rFonts w:ascii="Calibri" w:hAnsi="Calibri"/>
      <w:b/>
      <w:sz w:val="28"/>
      <w:lang w:val="fr-FR" w:eastAsia="en-US"/>
    </w:rPr>
  </w:style>
  <w:style w:type="character" w:customStyle="1" w:styleId="Heading2Char">
    <w:name w:val="Heading 2 Char"/>
    <w:basedOn w:val="DefaultParagraphFont"/>
    <w:link w:val="Heading2"/>
    <w:uiPriority w:val="9"/>
    <w:rsid w:val="0040775D"/>
    <w:rPr>
      <w:rFonts w:ascii="Calibri" w:hAnsi="Calibri"/>
      <w:b/>
      <w:sz w:val="24"/>
      <w:lang w:val="fr-FR" w:eastAsia="en-US"/>
    </w:rPr>
  </w:style>
  <w:style w:type="character" w:styleId="CommentReference">
    <w:name w:val="annotation reference"/>
    <w:basedOn w:val="DefaultParagraphFont"/>
    <w:uiPriority w:val="99"/>
    <w:semiHidden/>
    <w:unhideWhenUsed/>
    <w:rsid w:val="0040775D"/>
    <w:rPr>
      <w:sz w:val="16"/>
      <w:szCs w:val="16"/>
    </w:rPr>
  </w:style>
  <w:style w:type="paragraph" w:styleId="CommentText">
    <w:name w:val="annotation text"/>
    <w:basedOn w:val="Normal"/>
    <w:link w:val="CommentTextChar"/>
    <w:uiPriority w:val="99"/>
    <w:unhideWhenUsed/>
    <w:rsid w:val="0040775D"/>
    <w:pPr>
      <w:tabs>
        <w:tab w:val="clear" w:pos="567"/>
        <w:tab w:val="clear" w:pos="1134"/>
        <w:tab w:val="clear" w:pos="1701"/>
        <w:tab w:val="clear" w:pos="2268"/>
        <w:tab w:val="clear" w:pos="2835"/>
      </w:tabs>
      <w:overflowPunct/>
      <w:autoSpaceDE/>
      <w:autoSpaceDN/>
      <w:adjustRightInd/>
      <w:spacing w:before="0" w:after="200"/>
      <w:textAlignment w:val="auto"/>
    </w:pPr>
    <w:rPr>
      <w:rFonts w:eastAsiaTheme="minorEastAsia" w:cs="Calibri"/>
      <w:sz w:val="20"/>
      <w:lang w:val="en-US"/>
    </w:rPr>
  </w:style>
  <w:style w:type="character" w:customStyle="1" w:styleId="CommentTextChar">
    <w:name w:val="Comment Text Char"/>
    <w:basedOn w:val="DefaultParagraphFont"/>
    <w:link w:val="CommentText"/>
    <w:uiPriority w:val="99"/>
    <w:rsid w:val="0040775D"/>
    <w:rPr>
      <w:rFonts w:ascii="Calibri" w:eastAsiaTheme="minorEastAsia" w:hAnsi="Calibri" w:cs="Calibri"/>
      <w:lang w:eastAsia="en-US"/>
    </w:rPr>
  </w:style>
  <w:style w:type="character" w:styleId="Mention">
    <w:name w:val="Mention"/>
    <w:basedOn w:val="DefaultParagraphFont"/>
    <w:uiPriority w:val="99"/>
    <w:unhideWhenUsed/>
    <w:rsid w:val="0040775D"/>
    <w:rPr>
      <w:color w:val="2B579A"/>
      <w:shd w:val="clear" w:color="auto" w:fill="E1DFDD"/>
    </w:rPr>
  </w:style>
  <w:style w:type="paragraph" w:styleId="ListParagraph">
    <w:name w:val="List Paragraph"/>
    <w:basedOn w:val="Normal"/>
    <w:uiPriority w:val="34"/>
    <w:qFormat/>
    <w:rsid w:val="0040775D"/>
    <w:pPr>
      <w:tabs>
        <w:tab w:val="clear" w:pos="567"/>
        <w:tab w:val="clear" w:pos="1134"/>
        <w:tab w:val="clear" w:pos="1701"/>
        <w:tab w:val="clear" w:pos="2268"/>
        <w:tab w:val="clear" w:pos="2835"/>
      </w:tabs>
      <w:overflowPunct/>
      <w:autoSpaceDE/>
      <w:autoSpaceDN/>
      <w:adjustRightInd/>
      <w:spacing w:before="0" w:after="200" w:line="276" w:lineRule="auto"/>
      <w:ind w:left="720"/>
      <w:contextualSpacing/>
      <w:textAlignment w:val="auto"/>
    </w:pPr>
    <w:rPr>
      <w:rFonts w:eastAsiaTheme="minorEastAsia" w:cs="Calibri"/>
      <w:sz w:val="22"/>
      <w:szCs w:val="22"/>
      <w:lang w:val="en-US"/>
    </w:rPr>
  </w:style>
  <w:style w:type="paragraph" w:styleId="CommentSubject">
    <w:name w:val="annotation subject"/>
    <w:basedOn w:val="CommentText"/>
    <w:next w:val="CommentText"/>
    <w:link w:val="CommentSubjectChar"/>
    <w:semiHidden/>
    <w:unhideWhenUsed/>
    <w:rsid w:val="0040775D"/>
    <w:pPr>
      <w:tabs>
        <w:tab w:val="left" w:pos="567"/>
        <w:tab w:val="left" w:pos="1134"/>
        <w:tab w:val="left" w:pos="1701"/>
        <w:tab w:val="left" w:pos="2268"/>
        <w:tab w:val="left" w:pos="2835"/>
      </w:tabs>
      <w:overflowPunct w:val="0"/>
      <w:autoSpaceDE w:val="0"/>
      <w:autoSpaceDN w:val="0"/>
      <w:adjustRightInd w:val="0"/>
      <w:spacing w:before="120" w:after="0"/>
      <w:textAlignment w:val="baseline"/>
    </w:pPr>
    <w:rPr>
      <w:rFonts w:eastAsia="Times New Roman" w:cs="Times New Roman"/>
      <w:b/>
      <w:bCs/>
      <w:lang w:val="en-GB"/>
    </w:rPr>
  </w:style>
  <w:style w:type="character" w:customStyle="1" w:styleId="CommentSubjectChar">
    <w:name w:val="Comment Subject Char"/>
    <w:basedOn w:val="CommentTextChar"/>
    <w:link w:val="CommentSubject"/>
    <w:semiHidden/>
    <w:rsid w:val="0040775D"/>
    <w:rPr>
      <w:rFonts w:ascii="Calibri" w:eastAsiaTheme="minorEastAsia" w:hAnsi="Calibri" w:cs="Calibri"/>
      <w:b/>
      <w:bCs/>
      <w:lang w:val="en-GB" w:eastAsia="en-US"/>
    </w:rPr>
  </w:style>
  <w:style w:type="paragraph" w:styleId="NormalWeb">
    <w:name w:val="Normal (Web)"/>
    <w:basedOn w:val="Normal"/>
    <w:semiHidden/>
    <w:unhideWhenUsed/>
    <w:rsid w:val="0040775D"/>
    <w:rPr>
      <w:rFonts w:ascii="Times New Roman" w:hAnsi="Times New Roman"/>
      <w:szCs w:val="24"/>
      <w:lang w:val="en-GB"/>
    </w:rPr>
  </w:style>
  <w:style w:type="paragraph" w:styleId="ListBullet">
    <w:name w:val="List Bullet"/>
    <w:basedOn w:val="Normal"/>
    <w:unhideWhenUsed/>
    <w:rsid w:val="0040775D"/>
    <w:pPr>
      <w:tabs>
        <w:tab w:val="num" w:pos="360"/>
      </w:tabs>
      <w:ind w:left="360" w:hanging="36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64/fr" TargetMode="Externa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itu.int/md/S25-CL-C-0010/fr" TargetMode="Externa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6-CWGFHR22-C-0002/en"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hyperlink" Target="https://www.itu.int/en/council/Documents/basic-texts-2023/RES-091-f.pdf" TargetMode="External"/><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hyperlink" Target="https://www.itu.int/en/council/Documents/basic-texts-2023/RES-091-F.pdf" TargetMode="External"/><Relationship Id="rId14" Type="http://schemas.openxmlformats.org/officeDocument/2006/relationships/image" Target="media/image3.emf"/><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3</TotalTime>
  <Pages>21</Pages>
  <Words>6450</Words>
  <Characters>36393</Characters>
  <Application>Microsoft Office Word</Application>
  <DocSecurity>0</DocSecurity>
  <Lines>577</Lines>
  <Paragraphs>116</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42727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Fiches de notification des réseaux à satellite – Projet de méthode</dc:title>
  <dc:subject>Conseil 2026 de l'UIT</dc:subject>
  <cp:keywords>C26; C2026; Council 2026; PP26</cp:keywords>
  <dc:description/>
  <cp:lastPrinted>2000-07-18T08:55:00Z</cp:lastPrinted>
  <dcterms:created xsi:type="dcterms:W3CDTF">2026-04-15T16:02:00Z</dcterms:created>
  <dcterms:modified xsi:type="dcterms:W3CDTF">2026-04-15T16:06:00Z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