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FE0DDD" w14:paraId="2C9310FA" w14:textId="77777777" w:rsidTr="220B60D1">
        <w:trPr>
          <w:cantSplit/>
          <w:trHeight w:val="23"/>
        </w:trPr>
        <w:tc>
          <w:tcPr>
            <w:tcW w:w="3969" w:type="dxa"/>
            <w:vMerge w:val="restart"/>
            <w:tcMar>
              <w:left w:w="0" w:type="dxa"/>
            </w:tcMar>
          </w:tcPr>
          <w:p w14:paraId="135B585C" w14:textId="501D8FB8" w:rsidR="00AD3606" w:rsidRPr="00FE0DD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FE0DDD">
              <w:rPr>
                <w:b/>
              </w:rPr>
              <w:t xml:space="preserve">Agenda item: </w:t>
            </w:r>
            <w:r w:rsidR="00B848F5" w:rsidRPr="00FE0DDD">
              <w:rPr>
                <w:b/>
              </w:rPr>
              <w:t>ADM 1</w:t>
            </w:r>
          </w:p>
        </w:tc>
        <w:tc>
          <w:tcPr>
            <w:tcW w:w="5245" w:type="dxa"/>
          </w:tcPr>
          <w:p w14:paraId="325972BA" w14:textId="01F111B0" w:rsidR="00AD3606" w:rsidRPr="00FE0DDD" w:rsidRDefault="00AD3606" w:rsidP="00954C49">
            <w:pPr>
              <w:tabs>
                <w:tab w:val="left" w:pos="851"/>
              </w:tabs>
              <w:spacing w:before="0" w:line="240" w:lineRule="atLeast"/>
              <w:jc w:val="right"/>
              <w:rPr>
                <w:b/>
              </w:rPr>
            </w:pPr>
            <w:r w:rsidRPr="00FE0DDD">
              <w:rPr>
                <w:b/>
              </w:rPr>
              <w:t xml:space="preserve">Document </w:t>
            </w:r>
            <w:proofErr w:type="spellStart"/>
            <w:r w:rsidRPr="00FE0DDD">
              <w:rPr>
                <w:b/>
              </w:rPr>
              <w:t>C2</w:t>
            </w:r>
            <w:r w:rsidR="00DE532B" w:rsidRPr="00FE0DDD">
              <w:rPr>
                <w:b/>
              </w:rPr>
              <w:t>6</w:t>
            </w:r>
            <w:proofErr w:type="spellEnd"/>
            <w:r w:rsidRPr="00FE0DDD">
              <w:rPr>
                <w:b/>
              </w:rPr>
              <w:t>/</w:t>
            </w:r>
            <w:r w:rsidR="00B848F5" w:rsidRPr="00FE0DDD">
              <w:rPr>
                <w:b/>
              </w:rPr>
              <w:t>19</w:t>
            </w:r>
            <w:r w:rsidRPr="00FE0DDD">
              <w:rPr>
                <w:b/>
              </w:rPr>
              <w:t>-E</w:t>
            </w:r>
          </w:p>
        </w:tc>
      </w:tr>
      <w:tr w:rsidR="00AD3606" w:rsidRPr="00FE0DDD" w14:paraId="18ECE2C6" w14:textId="77777777" w:rsidTr="220B60D1">
        <w:trPr>
          <w:cantSplit/>
        </w:trPr>
        <w:tc>
          <w:tcPr>
            <w:tcW w:w="3969" w:type="dxa"/>
            <w:vMerge/>
          </w:tcPr>
          <w:p w14:paraId="20FF24A2" w14:textId="77777777" w:rsidR="00AD3606" w:rsidRPr="00FE0DDD" w:rsidRDefault="00AD3606" w:rsidP="00954C49">
            <w:pPr>
              <w:tabs>
                <w:tab w:val="left" w:pos="851"/>
              </w:tabs>
              <w:spacing w:line="240" w:lineRule="atLeast"/>
              <w:rPr>
                <w:b/>
              </w:rPr>
            </w:pPr>
            <w:bookmarkStart w:id="6" w:name="ddate" w:colFirst="1" w:colLast="1"/>
            <w:bookmarkEnd w:id="0"/>
            <w:bookmarkEnd w:id="1"/>
          </w:p>
        </w:tc>
        <w:tc>
          <w:tcPr>
            <w:tcW w:w="5245" w:type="dxa"/>
          </w:tcPr>
          <w:p w14:paraId="772D1E36" w14:textId="454293AB" w:rsidR="00AD3606" w:rsidRPr="00FE0DDD" w:rsidRDefault="002140AC" w:rsidP="00954C49">
            <w:pPr>
              <w:tabs>
                <w:tab w:val="left" w:pos="851"/>
              </w:tabs>
              <w:spacing w:before="0"/>
              <w:jc w:val="right"/>
              <w:rPr>
                <w:b/>
              </w:rPr>
            </w:pPr>
            <w:r w:rsidRPr="00FE0DDD">
              <w:rPr>
                <w:b/>
              </w:rPr>
              <w:t>19 March 2026</w:t>
            </w:r>
          </w:p>
        </w:tc>
      </w:tr>
      <w:tr w:rsidR="00AD3606" w:rsidRPr="00FE0DDD" w14:paraId="3B1FFB49" w14:textId="77777777" w:rsidTr="220B60D1">
        <w:trPr>
          <w:cantSplit/>
          <w:trHeight w:val="23"/>
        </w:trPr>
        <w:tc>
          <w:tcPr>
            <w:tcW w:w="3969" w:type="dxa"/>
            <w:vMerge/>
          </w:tcPr>
          <w:p w14:paraId="52C481CC" w14:textId="77777777" w:rsidR="00AD3606" w:rsidRPr="00FE0DDD" w:rsidRDefault="00AD3606" w:rsidP="00954C49">
            <w:pPr>
              <w:tabs>
                <w:tab w:val="left" w:pos="851"/>
              </w:tabs>
              <w:spacing w:line="240" w:lineRule="atLeast"/>
              <w:rPr>
                <w:b/>
              </w:rPr>
            </w:pPr>
            <w:bookmarkStart w:id="7" w:name="dorlang" w:colFirst="1" w:colLast="1"/>
            <w:bookmarkEnd w:id="6"/>
          </w:p>
        </w:tc>
        <w:tc>
          <w:tcPr>
            <w:tcW w:w="5245" w:type="dxa"/>
          </w:tcPr>
          <w:p w14:paraId="57B44DF8" w14:textId="77777777" w:rsidR="00AD3606" w:rsidRPr="00FE0DDD" w:rsidRDefault="00AD3606" w:rsidP="00954C49">
            <w:pPr>
              <w:tabs>
                <w:tab w:val="left" w:pos="851"/>
              </w:tabs>
              <w:spacing w:before="0" w:line="240" w:lineRule="atLeast"/>
              <w:jc w:val="right"/>
              <w:rPr>
                <w:b/>
              </w:rPr>
            </w:pPr>
            <w:r w:rsidRPr="00FE0DDD">
              <w:rPr>
                <w:b/>
              </w:rPr>
              <w:t>Original: English</w:t>
            </w:r>
          </w:p>
        </w:tc>
      </w:tr>
      <w:tr w:rsidR="00AD3606" w:rsidRPr="00FE0DDD" w14:paraId="7860E252" w14:textId="77777777" w:rsidTr="220B60D1">
        <w:trPr>
          <w:cantSplit/>
        </w:trPr>
        <w:tc>
          <w:tcPr>
            <w:tcW w:w="9214" w:type="dxa"/>
            <w:gridSpan w:val="2"/>
            <w:tcMar>
              <w:left w:w="0" w:type="dxa"/>
            </w:tcMar>
          </w:tcPr>
          <w:p w14:paraId="2FC374B4" w14:textId="77777777" w:rsidR="00AD3606" w:rsidRPr="00FE0DDD" w:rsidRDefault="00AD3606" w:rsidP="00531BDD">
            <w:pPr>
              <w:pStyle w:val="Source"/>
              <w:framePr w:hSpace="0" w:wrap="auto" w:vAnchor="margin" w:hAnchor="text" w:xAlign="left" w:yAlign="inline"/>
            </w:pPr>
            <w:bookmarkStart w:id="8" w:name="dsource" w:colFirst="0" w:colLast="0"/>
            <w:bookmarkEnd w:id="7"/>
            <w:r w:rsidRPr="00FE0DDD">
              <w:t>Report by the Secretary-General</w:t>
            </w:r>
          </w:p>
        </w:tc>
      </w:tr>
      <w:tr w:rsidR="00AD3606" w:rsidRPr="00FE0DDD" w14:paraId="5DC4D1C7" w14:textId="77777777" w:rsidTr="220B60D1">
        <w:trPr>
          <w:cantSplit/>
        </w:trPr>
        <w:tc>
          <w:tcPr>
            <w:tcW w:w="9214" w:type="dxa"/>
            <w:gridSpan w:val="2"/>
            <w:tcMar>
              <w:left w:w="0" w:type="dxa"/>
            </w:tcMar>
          </w:tcPr>
          <w:p w14:paraId="37D76830" w14:textId="03D9B2C6" w:rsidR="00AD3606" w:rsidRPr="00FE0DDD" w:rsidRDefault="00FE3FD6" w:rsidP="00531BDD">
            <w:pPr>
              <w:pStyle w:val="Subtitle"/>
              <w:framePr w:hSpace="0" w:wrap="auto" w:xAlign="left" w:yAlign="inline"/>
            </w:pPr>
            <w:bookmarkStart w:id="9" w:name="dtitle1" w:colFirst="0" w:colLast="0"/>
            <w:bookmarkEnd w:id="8"/>
            <w:r w:rsidRPr="00FE0DDD">
              <w:t>SATELLITE NETWORK FILINGS – DRAFT METHODOLOGY</w:t>
            </w:r>
          </w:p>
        </w:tc>
      </w:tr>
      <w:tr w:rsidR="00AD3606" w:rsidRPr="00FE0DDD" w14:paraId="061C8389" w14:textId="77777777" w:rsidTr="220B60D1">
        <w:trPr>
          <w:cantSplit/>
        </w:trPr>
        <w:tc>
          <w:tcPr>
            <w:tcW w:w="9214" w:type="dxa"/>
            <w:gridSpan w:val="2"/>
            <w:tcBorders>
              <w:top w:val="single" w:sz="4" w:space="0" w:color="auto"/>
              <w:bottom w:val="single" w:sz="4" w:space="0" w:color="auto"/>
            </w:tcBorders>
            <w:tcMar>
              <w:left w:w="0" w:type="dxa"/>
            </w:tcMar>
          </w:tcPr>
          <w:p w14:paraId="62B09F0D" w14:textId="77777777" w:rsidR="00AD3606" w:rsidRPr="00FE0DDD" w:rsidRDefault="00F16BAB" w:rsidP="00954C49">
            <w:pPr>
              <w:spacing w:before="160"/>
              <w:rPr>
                <w:b/>
                <w:bCs/>
                <w:sz w:val="26"/>
                <w:szCs w:val="26"/>
              </w:rPr>
            </w:pPr>
            <w:r w:rsidRPr="00FE0DDD">
              <w:rPr>
                <w:b/>
                <w:bCs/>
                <w:sz w:val="26"/>
                <w:szCs w:val="26"/>
              </w:rPr>
              <w:t>Purpose</w:t>
            </w:r>
          </w:p>
          <w:p w14:paraId="16555CD9" w14:textId="0A1C6303" w:rsidR="00FE3FD6" w:rsidRPr="00FE0DDD" w:rsidRDefault="718EE390" w:rsidP="00704841">
            <w:pPr>
              <w:spacing w:before="100"/>
              <w:jc w:val="both"/>
              <w:rPr>
                <w:sz w:val="22"/>
                <w:szCs w:val="22"/>
              </w:rPr>
            </w:pPr>
            <w:r w:rsidRPr="00FE0DDD">
              <w:rPr>
                <w:sz w:val="22"/>
                <w:szCs w:val="22"/>
              </w:rPr>
              <w:t xml:space="preserve">This document outlines the </w:t>
            </w:r>
            <w:r w:rsidR="0CA01528" w:rsidRPr="00FE0DDD">
              <w:rPr>
                <w:sz w:val="22"/>
                <w:szCs w:val="22"/>
              </w:rPr>
              <w:t>s</w:t>
            </w:r>
            <w:r w:rsidRPr="00FE0DDD">
              <w:rPr>
                <w:sz w:val="22"/>
                <w:szCs w:val="22"/>
              </w:rPr>
              <w:t xml:space="preserve">ecretariat’s proposed methodology for recovery of </w:t>
            </w:r>
            <w:r w:rsidR="1273ABE5" w:rsidRPr="00FE0DDD">
              <w:rPr>
                <w:sz w:val="22"/>
                <w:szCs w:val="22"/>
              </w:rPr>
              <w:t xml:space="preserve">satellite network filings </w:t>
            </w:r>
            <w:r w:rsidRPr="00FE0DDD">
              <w:rPr>
                <w:sz w:val="22"/>
                <w:szCs w:val="22"/>
              </w:rPr>
              <w:t>(</w:t>
            </w:r>
            <w:proofErr w:type="spellStart"/>
            <w:r w:rsidRPr="00FE0DDD">
              <w:rPr>
                <w:sz w:val="22"/>
                <w:szCs w:val="22"/>
              </w:rPr>
              <w:t>SNF</w:t>
            </w:r>
            <w:proofErr w:type="spellEnd"/>
            <w:r w:rsidRPr="00FE0DDD">
              <w:rPr>
                <w:sz w:val="22"/>
                <w:szCs w:val="22"/>
              </w:rPr>
              <w:t xml:space="preserve">) costs. At recent meetings of the Council and the Council Working Group on </w:t>
            </w:r>
            <w:r w:rsidR="1273ABE5" w:rsidRPr="00FE0DDD">
              <w:rPr>
                <w:sz w:val="22"/>
                <w:szCs w:val="22"/>
              </w:rPr>
              <w:t xml:space="preserve">finance and human resources </w:t>
            </w:r>
            <w:r w:rsidRPr="00FE0DDD">
              <w:rPr>
                <w:sz w:val="22"/>
                <w:szCs w:val="22"/>
              </w:rPr>
              <w:t xml:space="preserve">(CWG-FHR), the </w:t>
            </w:r>
            <w:r w:rsidR="4A022ADD" w:rsidRPr="00FE0DDD">
              <w:rPr>
                <w:sz w:val="22"/>
                <w:szCs w:val="22"/>
              </w:rPr>
              <w:t>s</w:t>
            </w:r>
            <w:r w:rsidRPr="00FE0DDD">
              <w:rPr>
                <w:sz w:val="22"/>
                <w:szCs w:val="22"/>
              </w:rPr>
              <w:t xml:space="preserve">ecretariat advised delegates that since 2021, the revenue collected from </w:t>
            </w:r>
            <w:proofErr w:type="spellStart"/>
            <w:r w:rsidRPr="00FE0DDD">
              <w:rPr>
                <w:sz w:val="22"/>
                <w:szCs w:val="22"/>
              </w:rPr>
              <w:t>SNF</w:t>
            </w:r>
            <w:proofErr w:type="spellEnd"/>
            <w:r w:rsidRPr="00FE0DDD">
              <w:rPr>
                <w:sz w:val="22"/>
                <w:szCs w:val="22"/>
              </w:rPr>
              <w:t xml:space="preserve"> fees, based on the current methodology, has failed to recover the full costs of the work undertaken by the </w:t>
            </w:r>
            <w:r w:rsidR="50DCC933" w:rsidRPr="00FE0DDD">
              <w:rPr>
                <w:sz w:val="22"/>
                <w:szCs w:val="22"/>
              </w:rPr>
              <w:t>s</w:t>
            </w:r>
            <w:r w:rsidRPr="00FE0DDD">
              <w:rPr>
                <w:sz w:val="22"/>
                <w:szCs w:val="22"/>
              </w:rPr>
              <w:t xml:space="preserve">ecretariat to process </w:t>
            </w:r>
            <w:proofErr w:type="spellStart"/>
            <w:r w:rsidR="04D64781" w:rsidRPr="00FE0DDD">
              <w:rPr>
                <w:sz w:val="22"/>
                <w:szCs w:val="22"/>
              </w:rPr>
              <w:t>SNF</w:t>
            </w:r>
            <w:proofErr w:type="spellEnd"/>
            <w:r w:rsidRPr="00FE0DDD">
              <w:rPr>
                <w:sz w:val="22"/>
                <w:szCs w:val="22"/>
              </w:rPr>
              <w:t xml:space="preserve">. This situation has resulted from significant increases in the volume and complexity of filings, without corresponding and proportionate increases in the fees charged. In recent years, therefore, the cost of processing of </w:t>
            </w:r>
            <w:proofErr w:type="spellStart"/>
            <w:r w:rsidRPr="00FE0DDD">
              <w:rPr>
                <w:sz w:val="22"/>
                <w:szCs w:val="22"/>
              </w:rPr>
              <w:t>SNF</w:t>
            </w:r>
            <w:proofErr w:type="spellEnd"/>
            <w:r w:rsidRPr="00FE0DDD">
              <w:rPr>
                <w:sz w:val="22"/>
                <w:szCs w:val="22"/>
              </w:rPr>
              <w:t xml:space="preserve"> has been subsidized using ITU’s regular budget, contrary to the intention of Plenipotentiary Resolution 91 (Rev. Bucharest</w:t>
            </w:r>
            <w:r w:rsidR="04D64781" w:rsidRPr="00FE0DDD">
              <w:rPr>
                <w:sz w:val="22"/>
                <w:szCs w:val="22"/>
              </w:rPr>
              <w:t>,</w:t>
            </w:r>
            <w:r w:rsidRPr="00FE0DDD">
              <w:rPr>
                <w:sz w:val="22"/>
                <w:szCs w:val="22"/>
              </w:rPr>
              <w:t xml:space="preserve"> 2022).</w:t>
            </w:r>
          </w:p>
          <w:p w14:paraId="2CD294CF" w14:textId="22C2D9CC" w:rsidR="00AD3606" w:rsidRPr="00FE0DDD" w:rsidRDefault="1DA7724F" w:rsidP="00704841">
            <w:pPr>
              <w:spacing w:before="100"/>
              <w:jc w:val="both"/>
              <w:rPr>
                <w:sz w:val="22"/>
                <w:szCs w:val="22"/>
              </w:rPr>
            </w:pPr>
            <w:r w:rsidRPr="00FE0DDD">
              <w:rPr>
                <w:sz w:val="22"/>
                <w:szCs w:val="22"/>
              </w:rPr>
              <w:t xml:space="preserve">Following efforts by the </w:t>
            </w:r>
            <w:r w:rsidR="20C74AEB" w:rsidRPr="00FE0DDD">
              <w:rPr>
                <w:sz w:val="22"/>
                <w:szCs w:val="22"/>
              </w:rPr>
              <w:t>s</w:t>
            </w:r>
            <w:r w:rsidRPr="00FE0DDD">
              <w:rPr>
                <w:sz w:val="22"/>
                <w:szCs w:val="22"/>
              </w:rPr>
              <w:t xml:space="preserve">ecretariat to demonstrate this misalignment, delegates expressed concern that more detailed information is needed to support the costs in relation to the direct and indirect cost elements included and to allow for data-based decision-making. </w:t>
            </w:r>
            <w:r w:rsidR="6C59456D" w:rsidRPr="00FE0DDD">
              <w:rPr>
                <w:sz w:val="22"/>
                <w:szCs w:val="22"/>
              </w:rPr>
              <w:t>I</w:t>
            </w:r>
            <w:r w:rsidRPr="00FE0DDD">
              <w:rPr>
                <w:sz w:val="22"/>
                <w:szCs w:val="22"/>
              </w:rPr>
              <w:t xml:space="preserve">n 2025, the Council implemented an interim increase in </w:t>
            </w:r>
            <w:proofErr w:type="spellStart"/>
            <w:r w:rsidRPr="00FE0DDD">
              <w:rPr>
                <w:sz w:val="22"/>
                <w:szCs w:val="22"/>
              </w:rPr>
              <w:t>SNF</w:t>
            </w:r>
            <w:proofErr w:type="spellEnd"/>
            <w:r w:rsidRPr="00FE0DDD">
              <w:rPr>
                <w:sz w:val="22"/>
                <w:szCs w:val="22"/>
              </w:rPr>
              <w:t xml:space="preserve"> </w:t>
            </w:r>
            <w:r w:rsidR="7BC8681E" w:rsidRPr="00FE0DDD">
              <w:rPr>
                <w:sz w:val="22"/>
                <w:szCs w:val="22"/>
              </w:rPr>
              <w:t>fees</w:t>
            </w:r>
            <w:r w:rsidRPr="00FE0DDD">
              <w:rPr>
                <w:sz w:val="22"/>
                <w:szCs w:val="22"/>
              </w:rPr>
              <w:t xml:space="preserve">, which provided additional revenue to offset part of the imbalance for a 2-year period, and the </w:t>
            </w:r>
            <w:r w:rsidR="6DD5D4E6" w:rsidRPr="00FE0DDD">
              <w:rPr>
                <w:sz w:val="22"/>
                <w:szCs w:val="22"/>
              </w:rPr>
              <w:t>s</w:t>
            </w:r>
            <w:r w:rsidRPr="00FE0DDD">
              <w:rPr>
                <w:sz w:val="22"/>
                <w:szCs w:val="22"/>
              </w:rPr>
              <w:t>ecretariat, under the guidance of the CWG-FHR, was instructed to submit proposals for a revised framework.</w:t>
            </w:r>
          </w:p>
          <w:p w14:paraId="19FADE4D" w14:textId="0C927134" w:rsidR="00FE3FD6" w:rsidRPr="00FE0DDD" w:rsidRDefault="00FE3FD6" w:rsidP="00704841">
            <w:pPr>
              <w:spacing w:before="100"/>
              <w:jc w:val="both"/>
              <w:rPr>
                <w:sz w:val="22"/>
                <w:szCs w:val="18"/>
              </w:rPr>
            </w:pPr>
            <w:r w:rsidRPr="00FE0DDD">
              <w:rPr>
                <w:sz w:val="22"/>
                <w:szCs w:val="18"/>
              </w:rPr>
              <w:t xml:space="preserve">The proposal in this document seeks to address the recent discussions and concerns by delegates, by proposing an activity-based costing model which will provide for a more accurate methodology for calculating costs across ITU, and aligning </w:t>
            </w:r>
            <w:proofErr w:type="spellStart"/>
            <w:r w:rsidRPr="00FE0DDD">
              <w:rPr>
                <w:sz w:val="22"/>
                <w:szCs w:val="18"/>
              </w:rPr>
              <w:t>SNF</w:t>
            </w:r>
            <w:proofErr w:type="spellEnd"/>
            <w:r w:rsidRPr="00FE0DDD">
              <w:rPr>
                <w:sz w:val="22"/>
                <w:szCs w:val="18"/>
              </w:rPr>
              <w:t xml:space="preserve"> fees with those costs, using cost causation principles. </w:t>
            </w:r>
          </w:p>
          <w:p w14:paraId="25A38FEF" w14:textId="77777777" w:rsidR="00AD3606" w:rsidRPr="00FE0DDD" w:rsidRDefault="00AD3606" w:rsidP="00954C49">
            <w:pPr>
              <w:spacing w:before="160"/>
              <w:rPr>
                <w:b/>
                <w:bCs/>
                <w:sz w:val="26"/>
                <w:szCs w:val="26"/>
              </w:rPr>
            </w:pPr>
            <w:r w:rsidRPr="00FE0DDD">
              <w:rPr>
                <w:b/>
                <w:bCs/>
                <w:sz w:val="26"/>
                <w:szCs w:val="26"/>
              </w:rPr>
              <w:t>Action required</w:t>
            </w:r>
            <w:r w:rsidR="00F16BAB" w:rsidRPr="00FE0DDD">
              <w:rPr>
                <w:b/>
                <w:bCs/>
                <w:sz w:val="26"/>
                <w:szCs w:val="26"/>
              </w:rPr>
              <w:t xml:space="preserve"> by the Council</w:t>
            </w:r>
          </w:p>
          <w:p w14:paraId="0ED58949" w14:textId="79FBF67F" w:rsidR="00722551" w:rsidRPr="00FE0DDD" w:rsidRDefault="00FE3FD6" w:rsidP="002140AC">
            <w:pPr>
              <w:jc w:val="both"/>
              <w:rPr>
                <w:sz w:val="22"/>
                <w:szCs w:val="18"/>
              </w:rPr>
            </w:pPr>
            <w:r w:rsidRPr="00FE0DDD">
              <w:rPr>
                <w:sz w:val="22"/>
                <w:szCs w:val="18"/>
              </w:rPr>
              <w:t xml:space="preserve">The Council is requested to </w:t>
            </w:r>
            <w:r w:rsidRPr="00FE0DDD">
              <w:rPr>
                <w:b/>
                <w:sz w:val="22"/>
                <w:szCs w:val="18"/>
              </w:rPr>
              <w:t>review</w:t>
            </w:r>
            <w:r w:rsidRPr="00FE0DDD">
              <w:rPr>
                <w:sz w:val="22"/>
                <w:szCs w:val="18"/>
              </w:rPr>
              <w:t xml:space="preserve"> and </w:t>
            </w:r>
            <w:r w:rsidRPr="00FE0DDD">
              <w:rPr>
                <w:b/>
                <w:sz w:val="22"/>
                <w:szCs w:val="18"/>
              </w:rPr>
              <w:t>endorse</w:t>
            </w:r>
            <w:r w:rsidRPr="00FE0DDD">
              <w:rPr>
                <w:sz w:val="22"/>
                <w:szCs w:val="18"/>
              </w:rPr>
              <w:t xml:space="preserve"> the proposed methodology set out in this document.</w:t>
            </w:r>
          </w:p>
          <w:p w14:paraId="3100779C" w14:textId="77777777" w:rsidR="00722551" w:rsidRPr="00FE0DDD" w:rsidRDefault="00722551" w:rsidP="00954C49">
            <w:pPr>
              <w:spacing w:before="160"/>
              <w:rPr>
                <w:b/>
                <w:bCs/>
                <w:sz w:val="26"/>
                <w:szCs w:val="26"/>
              </w:rPr>
            </w:pPr>
            <w:r w:rsidRPr="00FE0DDD">
              <w:rPr>
                <w:b/>
                <w:bCs/>
                <w:sz w:val="26"/>
                <w:szCs w:val="26"/>
              </w:rPr>
              <w:t>Relevant link</w:t>
            </w:r>
            <w:r w:rsidR="00176F47" w:rsidRPr="00FE0DDD">
              <w:rPr>
                <w:b/>
                <w:bCs/>
                <w:sz w:val="26"/>
                <w:szCs w:val="26"/>
              </w:rPr>
              <w:t>(s)</w:t>
            </w:r>
            <w:r w:rsidRPr="00FE0DDD">
              <w:rPr>
                <w:b/>
                <w:bCs/>
                <w:sz w:val="26"/>
                <w:szCs w:val="26"/>
              </w:rPr>
              <w:t xml:space="preserve"> with the Strategic Plan</w:t>
            </w:r>
          </w:p>
          <w:p w14:paraId="79F95716" w14:textId="599F2D0A" w:rsidR="00722551" w:rsidRPr="00FE0DDD" w:rsidRDefault="00E013CD" w:rsidP="00954C49">
            <w:pPr>
              <w:rPr>
                <w:sz w:val="22"/>
                <w:szCs w:val="18"/>
              </w:rPr>
            </w:pPr>
            <w:r w:rsidRPr="00FE0DDD">
              <w:rPr>
                <w:sz w:val="22"/>
                <w:szCs w:val="18"/>
              </w:rPr>
              <w:t xml:space="preserve">Universal connectivity; </w:t>
            </w:r>
            <w:r w:rsidR="00DE543C" w:rsidRPr="00FE0DDD">
              <w:rPr>
                <w:sz w:val="22"/>
                <w:szCs w:val="18"/>
              </w:rPr>
              <w:t>spectrum for space and terrestrial services</w:t>
            </w:r>
            <w:r w:rsidRPr="00FE0DDD">
              <w:rPr>
                <w:sz w:val="22"/>
                <w:szCs w:val="18"/>
              </w:rPr>
              <w:t xml:space="preserve">; </w:t>
            </w:r>
            <w:r w:rsidR="00DE543C" w:rsidRPr="00FE0DDD">
              <w:rPr>
                <w:sz w:val="22"/>
                <w:szCs w:val="18"/>
              </w:rPr>
              <w:t xml:space="preserve">development </w:t>
            </w:r>
            <w:r w:rsidRPr="00FE0DDD">
              <w:rPr>
                <w:sz w:val="22"/>
                <w:szCs w:val="18"/>
              </w:rPr>
              <w:t xml:space="preserve">and application of the ITU Administrative Regulations; </w:t>
            </w:r>
            <w:r w:rsidR="00DE543C" w:rsidRPr="00FE0DDD">
              <w:rPr>
                <w:sz w:val="22"/>
                <w:szCs w:val="18"/>
              </w:rPr>
              <w:t xml:space="preserve">allocation </w:t>
            </w:r>
            <w:r w:rsidRPr="00FE0DDD">
              <w:rPr>
                <w:sz w:val="22"/>
                <w:szCs w:val="18"/>
              </w:rPr>
              <w:t>and management of resources.</w:t>
            </w:r>
            <w:r w:rsidR="008E75C3" w:rsidRPr="00FE0DDD" w:rsidDel="008E75C3">
              <w:rPr>
                <w:sz w:val="22"/>
                <w:szCs w:val="18"/>
              </w:rPr>
              <w:t xml:space="preserve"> </w:t>
            </w:r>
          </w:p>
          <w:p w14:paraId="6D8EE8C4" w14:textId="77777777" w:rsidR="00722551" w:rsidRPr="00FE0DDD" w:rsidRDefault="00722551" w:rsidP="005302DA">
            <w:pPr>
              <w:rPr>
                <w:b/>
                <w:bCs/>
                <w:sz w:val="26"/>
                <w:szCs w:val="26"/>
              </w:rPr>
            </w:pPr>
            <w:r w:rsidRPr="00FE0DDD">
              <w:rPr>
                <w:b/>
                <w:bCs/>
                <w:sz w:val="26"/>
                <w:szCs w:val="26"/>
              </w:rPr>
              <w:t>Financial implications</w:t>
            </w:r>
          </w:p>
          <w:p w14:paraId="1E84981F" w14:textId="021FC9D3" w:rsidR="00453079" w:rsidRPr="00FE0DDD" w:rsidRDefault="00DE5964" w:rsidP="000E7541">
            <w:pPr>
              <w:spacing w:before="160"/>
              <w:jc w:val="both"/>
            </w:pPr>
            <w:r w:rsidRPr="00FE0DDD">
              <w:rPr>
                <w:sz w:val="22"/>
                <w:szCs w:val="18"/>
              </w:rPr>
              <w:t xml:space="preserve">The overall total costs of </w:t>
            </w:r>
            <w:proofErr w:type="spellStart"/>
            <w:r w:rsidRPr="00FE0DDD">
              <w:rPr>
                <w:sz w:val="22"/>
                <w:szCs w:val="18"/>
              </w:rPr>
              <w:t>SNF</w:t>
            </w:r>
            <w:proofErr w:type="spellEnd"/>
            <w:r w:rsidRPr="00FE0DDD">
              <w:rPr>
                <w:sz w:val="22"/>
                <w:szCs w:val="18"/>
              </w:rPr>
              <w:t xml:space="preserve"> are calculated at CHF 15</w:t>
            </w:r>
            <w:r w:rsidR="00DE543C" w:rsidRPr="00FE0DDD">
              <w:rPr>
                <w:sz w:val="22"/>
                <w:szCs w:val="18"/>
              </w:rPr>
              <w:t> </w:t>
            </w:r>
            <w:r w:rsidRPr="00FE0DDD">
              <w:rPr>
                <w:sz w:val="22"/>
                <w:szCs w:val="18"/>
              </w:rPr>
              <w:t>753</w:t>
            </w:r>
            <w:r w:rsidR="00DE543C" w:rsidRPr="00FE0DDD">
              <w:rPr>
                <w:sz w:val="22"/>
                <w:szCs w:val="18"/>
              </w:rPr>
              <w:t> </w:t>
            </w:r>
            <w:r w:rsidRPr="00FE0DDD">
              <w:rPr>
                <w:sz w:val="22"/>
                <w:szCs w:val="18"/>
              </w:rPr>
              <w:t xml:space="preserve">700, of which direct costs amount to </w:t>
            </w:r>
            <w:proofErr w:type="gramStart"/>
            <w:r w:rsidRPr="00FE0DDD">
              <w:rPr>
                <w:sz w:val="22"/>
                <w:szCs w:val="18"/>
              </w:rPr>
              <w:t>CHF 12</w:t>
            </w:r>
            <w:r w:rsidR="00DE543C" w:rsidRPr="00FE0DDD">
              <w:rPr>
                <w:sz w:val="22"/>
                <w:szCs w:val="18"/>
              </w:rPr>
              <w:t> </w:t>
            </w:r>
            <w:r w:rsidRPr="00FE0DDD">
              <w:rPr>
                <w:sz w:val="22"/>
                <w:szCs w:val="18"/>
              </w:rPr>
              <w:t>735</w:t>
            </w:r>
            <w:r w:rsidR="00DE543C" w:rsidRPr="00FE0DDD">
              <w:rPr>
                <w:sz w:val="22"/>
                <w:szCs w:val="18"/>
              </w:rPr>
              <w:t> </w:t>
            </w:r>
            <w:r w:rsidRPr="00FE0DDD">
              <w:rPr>
                <w:sz w:val="22"/>
                <w:szCs w:val="18"/>
              </w:rPr>
              <w:t>900</w:t>
            </w:r>
            <w:proofErr w:type="gramEnd"/>
            <w:r w:rsidRPr="00FE0DDD">
              <w:rPr>
                <w:sz w:val="22"/>
                <w:szCs w:val="18"/>
              </w:rPr>
              <w:t xml:space="preserve"> and the total indirect costs are CHF 3</w:t>
            </w:r>
            <w:r w:rsidR="000E7541">
              <w:rPr>
                <w:sz w:val="22"/>
                <w:szCs w:val="18"/>
              </w:rPr>
              <w:t> </w:t>
            </w:r>
            <w:r w:rsidRPr="00FE0DDD">
              <w:rPr>
                <w:sz w:val="22"/>
                <w:szCs w:val="18"/>
              </w:rPr>
              <w:t>017</w:t>
            </w:r>
            <w:r w:rsidR="000E7541">
              <w:rPr>
                <w:sz w:val="22"/>
                <w:szCs w:val="18"/>
              </w:rPr>
              <w:t> </w:t>
            </w:r>
            <w:r w:rsidRPr="00FE0DDD">
              <w:rPr>
                <w:sz w:val="22"/>
                <w:szCs w:val="18"/>
              </w:rPr>
              <w:t>800</w:t>
            </w:r>
            <w:r w:rsidR="00454E55" w:rsidRPr="00FE0DDD">
              <w:rPr>
                <w:sz w:val="22"/>
                <w:szCs w:val="18"/>
              </w:rPr>
              <w:t xml:space="preserve"> (the details of which are set out in this document)</w:t>
            </w:r>
            <w:r w:rsidRPr="00FE0DDD">
              <w:rPr>
                <w:sz w:val="22"/>
                <w:szCs w:val="18"/>
              </w:rPr>
              <w:t>.</w:t>
            </w:r>
            <w:r w:rsidR="007E37CF" w:rsidRPr="00FE0DDD" w:rsidDel="007E37CF">
              <w:rPr>
                <w:sz w:val="22"/>
                <w:szCs w:val="18"/>
              </w:rPr>
              <w:t xml:space="preserve"> </w:t>
            </w:r>
          </w:p>
          <w:p w14:paraId="5FCCACE9" w14:textId="77777777" w:rsidR="00C0458D" w:rsidRPr="00FE0DDD" w:rsidRDefault="00C0458D" w:rsidP="00954C49">
            <w:r w:rsidRPr="00FE0DDD">
              <w:t>_______________</w:t>
            </w:r>
          </w:p>
          <w:p w14:paraId="4A1243B5" w14:textId="77777777" w:rsidR="00AD3606" w:rsidRPr="00FE0DDD" w:rsidRDefault="00AD3606" w:rsidP="00954C49">
            <w:pPr>
              <w:spacing w:before="160"/>
              <w:rPr>
                <w:b/>
                <w:bCs/>
                <w:sz w:val="26"/>
                <w:szCs w:val="26"/>
              </w:rPr>
            </w:pPr>
            <w:r w:rsidRPr="00FE0DDD">
              <w:rPr>
                <w:b/>
                <w:bCs/>
                <w:sz w:val="26"/>
                <w:szCs w:val="26"/>
              </w:rPr>
              <w:t>References</w:t>
            </w:r>
          </w:p>
          <w:p w14:paraId="39BC4129" w14:textId="46BBAB13" w:rsidR="00AD3606" w:rsidRPr="00FE0DDD" w:rsidRDefault="00DE543C" w:rsidP="00704841">
            <w:pPr>
              <w:spacing w:before="80" w:after="120"/>
              <w:rPr>
                <w:i/>
                <w:iCs/>
                <w:sz w:val="22"/>
                <w:szCs w:val="22"/>
              </w:rPr>
            </w:pPr>
            <w:r w:rsidRPr="00FE0DDD">
              <w:rPr>
                <w:i/>
                <w:iCs/>
                <w:sz w:val="22"/>
                <w:szCs w:val="22"/>
              </w:rPr>
              <w:t xml:space="preserve">Documents </w:t>
            </w:r>
            <w:hyperlink r:id="rId11">
              <w:proofErr w:type="spellStart"/>
              <w:r w:rsidR="00BD0A2A" w:rsidRPr="00FE0DDD">
                <w:rPr>
                  <w:rStyle w:val="Hyperlink"/>
                  <w:i/>
                  <w:iCs/>
                  <w:sz w:val="22"/>
                  <w:szCs w:val="22"/>
                </w:rPr>
                <w:t>C25</w:t>
              </w:r>
              <w:proofErr w:type="spellEnd"/>
              <w:r w:rsidR="00BD0A2A" w:rsidRPr="00FE0DDD">
                <w:rPr>
                  <w:rStyle w:val="Hyperlink"/>
                  <w:i/>
                  <w:iCs/>
                  <w:sz w:val="22"/>
                  <w:szCs w:val="22"/>
                </w:rPr>
                <w:t>/10</w:t>
              </w:r>
            </w:hyperlink>
            <w:r w:rsidRPr="00FE0DDD">
              <w:rPr>
                <w:i/>
                <w:iCs/>
                <w:sz w:val="22"/>
                <w:szCs w:val="22"/>
              </w:rPr>
              <w:t xml:space="preserve"> and</w:t>
            </w:r>
            <w:r w:rsidR="00EC5B68" w:rsidRPr="00FE0DDD">
              <w:rPr>
                <w:i/>
                <w:iCs/>
                <w:sz w:val="22"/>
                <w:szCs w:val="22"/>
              </w:rPr>
              <w:t xml:space="preserve"> </w:t>
            </w:r>
            <w:hyperlink r:id="rId12">
              <w:proofErr w:type="spellStart"/>
              <w:r w:rsidR="00EC5B68" w:rsidRPr="00FE0DDD">
                <w:rPr>
                  <w:rStyle w:val="Hyperlink"/>
                  <w:i/>
                  <w:iCs/>
                  <w:sz w:val="22"/>
                  <w:szCs w:val="22"/>
                </w:rPr>
                <w:t>C25</w:t>
              </w:r>
              <w:proofErr w:type="spellEnd"/>
              <w:r w:rsidR="00EC5B68" w:rsidRPr="00FE0DDD">
                <w:rPr>
                  <w:rStyle w:val="Hyperlink"/>
                  <w:i/>
                  <w:iCs/>
                  <w:sz w:val="22"/>
                  <w:szCs w:val="22"/>
                </w:rPr>
                <w:t>/64</w:t>
              </w:r>
            </w:hyperlink>
            <w:r w:rsidRPr="00FE0DDD">
              <w:rPr>
                <w:i/>
                <w:iCs/>
                <w:sz w:val="22"/>
                <w:szCs w:val="22"/>
              </w:rPr>
              <w:t xml:space="preserve">; Council Decision </w:t>
            </w:r>
            <w:hyperlink r:id="rId13">
              <w:r w:rsidR="00BD0A2A" w:rsidRPr="00FE0DDD">
                <w:rPr>
                  <w:rStyle w:val="Hyperlink"/>
                  <w:rFonts w:cs="Calibri"/>
                  <w:i/>
                  <w:iCs/>
                  <w:sz w:val="22"/>
                  <w:szCs w:val="22"/>
                </w:rPr>
                <w:t>535 (Modified 2014)</w:t>
              </w:r>
            </w:hyperlink>
            <w:r w:rsidRPr="00FE0DDD">
              <w:rPr>
                <w:i/>
                <w:iCs/>
                <w:sz w:val="22"/>
                <w:szCs w:val="22"/>
              </w:rPr>
              <w:t xml:space="preserve">; </w:t>
            </w:r>
            <w:r w:rsidR="002140AC" w:rsidRPr="00FE0DDD">
              <w:rPr>
                <w:i/>
                <w:iCs/>
                <w:sz w:val="22"/>
                <w:szCs w:val="22"/>
              </w:rPr>
              <w:t xml:space="preserve">Resolution </w:t>
            </w:r>
            <w:hyperlink r:id="rId14">
              <w:r w:rsidR="002140AC" w:rsidRPr="00FE0DDD">
                <w:rPr>
                  <w:rStyle w:val="Hyperlink"/>
                  <w:i/>
                  <w:iCs/>
                  <w:sz w:val="22"/>
                  <w:szCs w:val="22"/>
                </w:rPr>
                <w:t>91 (Rev. Guadalajara, 2010)</w:t>
              </w:r>
            </w:hyperlink>
            <w:r w:rsidR="002140AC" w:rsidRPr="00FE0DDD">
              <w:rPr>
                <w:i/>
                <w:iCs/>
                <w:sz w:val="22"/>
                <w:szCs w:val="22"/>
              </w:rPr>
              <w:t xml:space="preserve"> of the Plenipotentiary Conference</w:t>
            </w:r>
          </w:p>
        </w:tc>
      </w:tr>
    </w:tbl>
    <w:p w14:paraId="0EEED6BF" w14:textId="77777777" w:rsidR="00E227F3" w:rsidRPr="00FE0DD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7BB104CC" w14:textId="77777777" w:rsidR="0090147A" w:rsidRPr="00FE0DD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FE0DDD">
        <w:br w:type="page"/>
      </w:r>
    </w:p>
    <w:bookmarkEnd w:id="5"/>
    <w:bookmarkEnd w:id="10"/>
    <w:p w14:paraId="11FA66EA" w14:textId="77777777" w:rsidR="000642A9" w:rsidRPr="00FE0DDD" w:rsidRDefault="000642A9" w:rsidP="000642A9">
      <w:pPr>
        <w:pStyle w:val="Heading1"/>
      </w:pPr>
      <w:r w:rsidRPr="00FE0DDD">
        <w:lastRenderedPageBreak/>
        <w:t>1</w:t>
      </w:r>
      <w:r w:rsidRPr="00FE0DDD">
        <w:tab/>
        <w:t>Summary of current situation</w:t>
      </w:r>
    </w:p>
    <w:p w14:paraId="4E4AE584" w14:textId="5589106C" w:rsidR="000642A9" w:rsidRPr="00654A42" w:rsidRDefault="18E1D537" w:rsidP="000642A9">
      <w:pPr>
        <w:jc w:val="both"/>
        <w:rPr>
          <w:spacing w:val="-2"/>
        </w:rPr>
      </w:pPr>
      <w:r w:rsidRPr="00654A42">
        <w:rPr>
          <w:spacing w:val="-2"/>
        </w:rPr>
        <w:t>At the January 2026 meeting of CWG-FHR</w:t>
      </w:r>
      <w:r w:rsidR="1D44FACB" w:rsidRPr="00654A42">
        <w:rPr>
          <w:spacing w:val="-2"/>
        </w:rPr>
        <w:t>,</w:t>
      </w:r>
      <w:r w:rsidRPr="00654A42">
        <w:rPr>
          <w:spacing w:val="-2"/>
        </w:rPr>
        <w:t xml:space="preserve"> the </w:t>
      </w:r>
      <w:r w:rsidR="496B08BB" w:rsidRPr="00654A42">
        <w:rPr>
          <w:spacing w:val="-2"/>
        </w:rPr>
        <w:t>s</w:t>
      </w:r>
      <w:r w:rsidRPr="00654A42">
        <w:rPr>
          <w:spacing w:val="-2"/>
        </w:rPr>
        <w:t xml:space="preserve">ecretariat presented Document </w:t>
      </w:r>
      <w:hyperlink r:id="rId15">
        <w:r w:rsidRPr="00654A42">
          <w:rPr>
            <w:rStyle w:val="Hyperlink"/>
            <w:spacing w:val="-2"/>
          </w:rPr>
          <w:t>CWG-FHR-22/2</w:t>
        </w:r>
      </w:hyperlink>
      <w:r w:rsidRPr="00654A42">
        <w:rPr>
          <w:spacing w:val="-2"/>
        </w:rPr>
        <w:t xml:space="preserve">, which provided various principles for revisions to the methodology for recovering the costs associated with </w:t>
      </w:r>
      <w:r w:rsidR="1D44FACB" w:rsidRPr="00654A42">
        <w:rPr>
          <w:spacing w:val="-2"/>
        </w:rPr>
        <w:t xml:space="preserve">satellite network filings </w:t>
      </w:r>
      <w:r w:rsidRPr="00654A42">
        <w:rPr>
          <w:spacing w:val="-2"/>
        </w:rPr>
        <w:t>(</w:t>
      </w:r>
      <w:proofErr w:type="spellStart"/>
      <w:r w:rsidRPr="00654A42">
        <w:rPr>
          <w:spacing w:val="-2"/>
        </w:rPr>
        <w:t>SNF</w:t>
      </w:r>
      <w:proofErr w:type="spellEnd"/>
      <w:r w:rsidRPr="00654A42">
        <w:rPr>
          <w:spacing w:val="-2"/>
        </w:rPr>
        <w:t>). These proposals were discussed in detail at the meeting</w:t>
      </w:r>
      <w:r w:rsidR="4C98EEC2" w:rsidRPr="00654A42">
        <w:rPr>
          <w:spacing w:val="-2"/>
        </w:rPr>
        <w:t>.</w:t>
      </w:r>
      <w:r w:rsidRPr="00654A42">
        <w:rPr>
          <w:spacing w:val="-2"/>
        </w:rPr>
        <w:t xml:space="preserve"> </w:t>
      </w:r>
      <w:r w:rsidR="2F755BBE" w:rsidRPr="00654A42">
        <w:rPr>
          <w:spacing w:val="-2"/>
        </w:rPr>
        <w:t>I</w:t>
      </w:r>
      <w:r w:rsidRPr="00654A42">
        <w:rPr>
          <w:spacing w:val="-2"/>
        </w:rPr>
        <w:t xml:space="preserve">n this document the </w:t>
      </w:r>
      <w:r w:rsidR="2BED584F" w:rsidRPr="00654A42">
        <w:rPr>
          <w:spacing w:val="-2"/>
        </w:rPr>
        <w:t>s</w:t>
      </w:r>
      <w:r w:rsidRPr="00654A42">
        <w:rPr>
          <w:spacing w:val="-2"/>
        </w:rPr>
        <w:t xml:space="preserve">ecretariat provides responses to the issues raised and provides a revised document </w:t>
      </w:r>
      <w:proofErr w:type="gramStart"/>
      <w:r w:rsidRPr="00654A42">
        <w:rPr>
          <w:spacing w:val="-2"/>
        </w:rPr>
        <w:t>taking into account</w:t>
      </w:r>
      <w:proofErr w:type="gramEnd"/>
      <w:r w:rsidRPr="00654A42">
        <w:rPr>
          <w:spacing w:val="-2"/>
        </w:rPr>
        <w:t xml:space="preserve"> the deliberations of CWG-FHR.</w:t>
      </w:r>
    </w:p>
    <w:p w14:paraId="2A53CFDF" w14:textId="28425866" w:rsidR="000642A9" w:rsidRPr="00FE0DDD" w:rsidRDefault="36F1BF37" w:rsidP="000642A9">
      <w:pPr>
        <w:jc w:val="both"/>
      </w:pPr>
      <w:r w:rsidRPr="00FE0DDD">
        <w:rPr>
          <w:spacing w:val="-2"/>
        </w:rPr>
        <w:t>The overarching objective is to establish a transparent, equitable, and financially sustainable model that aligns contributions with actual usage and benefits, eliminates structural underfunding, and provides BR with the stable resources needed to modernize systems, reduce backlogs, and fulfil its mandate in an efficient and timely manner.</w:t>
      </w:r>
    </w:p>
    <w:p w14:paraId="6C5A6C76" w14:textId="0D01A628" w:rsidR="000642A9" w:rsidRPr="00FE0DDD" w:rsidRDefault="2E04B32B" w:rsidP="000642A9">
      <w:pPr>
        <w:jc w:val="both"/>
      </w:pPr>
      <w:r w:rsidRPr="00FE0DDD">
        <w:t>A</w:t>
      </w:r>
      <w:r w:rsidR="00F775FB" w:rsidRPr="00FE0DDD">
        <w:t xml:space="preserve"> </w:t>
      </w:r>
      <w:r w:rsidRPr="00FE0DDD">
        <w:t xml:space="preserve">detailed summary of the questions and concerns raised at that meeting, together with responses by the Secretariat is provided in Annex below. </w:t>
      </w:r>
    </w:p>
    <w:p w14:paraId="63FFCB86" w14:textId="77777777" w:rsidR="000642A9" w:rsidRPr="00FE0DDD" w:rsidRDefault="000642A9" w:rsidP="00654A42">
      <w:pPr>
        <w:pStyle w:val="Heading1"/>
      </w:pPr>
      <w:r w:rsidRPr="00FE0DDD">
        <w:t>2</w:t>
      </w:r>
      <w:r w:rsidRPr="00FE0DDD">
        <w:tab/>
        <w:t xml:space="preserve">Proposed </w:t>
      </w:r>
      <w:r w:rsidRPr="00654A42">
        <w:t>methodology</w:t>
      </w:r>
      <w:r w:rsidRPr="00FE0DDD">
        <w:t xml:space="preserve"> for </w:t>
      </w:r>
      <w:proofErr w:type="spellStart"/>
      <w:r w:rsidRPr="00FE0DDD">
        <w:t>SNF</w:t>
      </w:r>
      <w:proofErr w:type="spellEnd"/>
      <w:r w:rsidRPr="00FE0DDD">
        <w:t xml:space="preserve"> fee calculation</w:t>
      </w:r>
    </w:p>
    <w:p w14:paraId="672FB9CE" w14:textId="77777777" w:rsidR="000642A9" w:rsidRPr="00FE0DDD" w:rsidRDefault="000642A9" w:rsidP="000642A9">
      <w:pPr>
        <w:pStyle w:val="Heading2"/>
      </w:pPr>
      <w:r w:rsidRPr="00FE0DDD">
        <w:t>2.1</w:t>
      </w:r>
      <w:r w:rsidRPr="00FE0DDD">
        <w:tab/>
        <w:t>Overview of the methodology</w:t>
      </w:r>
    </w:p>
    <w:p w14:paraId="2CF803C8" w14:textId="77777777" w:rsidR="000642A9" w:rsidRPr="00654A42" w:rsidRDefault="000642A9" w:rsidP="000642A9">
      <w:pPr>
        <w:jc w:val="both"/>
        <w:rPr>
          <w:spacing w:val="-2"/>
        </w:rPr>
      </w:pPr>
      <w:r w:rsidRPr="00654A42">
        <w:rPr>
          <w:spacing w:val="-2"/>
        </w:rPr>
        <w:t>Generally, recovery of the costs for any service requires consideration of the following key steps:</w:t>
      </w:r>
    </w:p>
    <w:p w14:paraId="41B5D15E" w14:textId="77777777" w:rsidR="000642A9" w:rsidRPr="00FE0DDD" w:rsidRDefault="000642A9" w:rsidP="00AB6EE9">
      <w:pPr>
        <w:pStyle w:val="enumlev1"/>
      </w:pPr>
      <w:proofErr w:type="spellStart"/>
      <w:r w:rsidRPr="00FE0DDD">
        <w:rPr>
          <w:rFonts w:eastAsiaTheme="minorEastAsia"/>
        </w:rPr>
        <w:t>i</w:t>
      </w:r>
      <w:proofErr w:type="spellEnd"/>
      <w:r w:rsidRPr="00FE0DDD">
        <w:rPr>
          <w:rFonts w:eastAsiaTheme="minorEastAsia"/>
        </w:rPr>
        <w:t>)</w:t>
      </w:r>
      <w:r w:rsidRPr="00FE0DDD">
        <w:rPr>
          <w:rFonts w:eastAsiaTheme="minorEastAsia"/>
        </w:rPr>
        <w:tab/>
      </w:r>
      <w:r w:rsidRPr="00FE0DDD">
        <w:t>Establishment of the principles for cost recovery</w:t>
      </w:r>
    </w:p>
    <w:p w14:paraId="772DE873" w14:textId="77777777" w:rsidR="000642A9" w:rsidRPr="00FE0DDD" w:rsidRDefault="000642A9" w:rsidP="00AB6EE9">
      <w:pPr>
        <w:pStyle w:val="enumlev1"/>
      </w:pPr>
      <w:r w:rsidRPr="00FE0DDD">
        <w:rPr>
          <w:rFonts w:eastAsiaTheme="minorEastAsia"/>
        </w:rPr>
        <w:t>ii)</w:t>
      </w:r>
      <w:r w:rsidRPr="00FE0DDD">
        <w:rPr>
          <w:rFonts w:eastAsiaTheme="minorEastAsia"/>
        </w:rPr>
        <w:tab/>
      </w:r>
      <w:r w:rsidRPr="00FE0DDD">
        <w:t>Determination of the cost components that will be eligible for recovery</w:t>
      </w:r>
    </w:p>
    <w:p w14:paraId="373B73CC" w14:textId="77777777" w:rsidR="000642A9" w:rsidRPr="00FE0DDD" w:rsidRDefault="000642A9" w:rsidP="00AB6EE9">
      <w:pPr>
        <w:pStyle w:val="enumlev1"/>
      </w:pPr>
      <w:r w:rsidRPr="00FE0DDD">
        <w:rPr>
          <w:rFonts w:eastAsiaTheme="minorEastAsia"/>
        </w:rPr>
        <w:t>iii)</w:t>
      </w:r>
      <w:r w:rsidRPr="00FE0DDD">
        <w:rPr>
          <w:rFonts w:eastAsiaTheme="minorEastAsia"/>
        </w:rPr>
        <w:tab/>
      </w:r>
      <w:r w:rsidRPr="00FE0DDD">
        <w:t>Calculation of the relevant costs using staff time and other resource estimates</w:t>
      </w:r>
    </w:p>
    <w:p w14:paraId="7ED621DC" w14:textId="77777777" w:rsidR="000642A9" w:rsidRPr="00FE0DDD" w:rsidRDefault="000642A9" w:rsidP="00AB6EE9">
      <w:pPr>
        <w:pStyle w:val="enumlev1"/>
      </w:pPr>
      <w:r w:rsidRPr="00FE0DDD">
        <w:rPr>
          <w:rFonts w:eastAsiaTheme="minorEastAsia"/>
        </w:rPr>
        <w:t>iv)</w:t>
      </w:r>
      <w:r w:rsidRPr="00FE0DDD">
        <w:rPr>
          <w:rFonts w:eastAsiaTheme="minorEastAsia"/>
        </w:rPr>
        <w:tab/>
      </w:r>
      <w:r w:rsidRPr="00FE0DDD">
        <w:t>Establishment and application of a cost allocation methodology</w:t>
      </w:r>
    </w:p>
    <w:p w14:paraId="77DE036F" w14:textId="77777777" w:rsidR="000642A9" w:rsidRPr="00FE0DDD" w:rsidRDefault="000642A9" w:rsidP="00AB6EE9">
      <w:pPr>
        <w:pStyle w:val="enumlev1"/>
      </w:pPr>
      <w:r w:rsidRPr="00FE0DDD">
        <w:rPr>
          <w:rFonts w:eastAsiaTheme="minorEastAsia"/>
        </w:rPr>
        <w:t>v)</w:t>
      </w:r>
      <w:r w:rsidRPr="00FE0DDD">
        <w:rPr>
          <w:rFonts w:eastAsiaTheme="minorEastAsia"/>
        </w:rPr>
        <w:tab/>
      </w:r>
      <w:r w:rsidRPr="00FE0DDD">
        <w:t>Demand forecasting to estimate the service volumes for which fees will be charged</w:t>
      </w:r>
    </w:p>
    <w:p w14:paraId="1B36A5BF" w14:textId="77777777" w:rsidR="000642A9" w:rsidRPr="00FE0DDD" w:rsidRDefault="000642A9" w:rsidP="00AB6EE9">
      <w:pPr>
        <w:pStyle w:val="enumlev1"/>
      </w:pPr>
      <w:r w:rsidRPr="00FE0DDD">
        <w:rPr>
          <w:rFonts w:eastAsiaTheme="minorEastAsia"/>
        </w:rPr>
        <w:t>vi)</w:t>
      </w:r>
      <w:r w:rsidRPr="00FE0DDD">
        <w:rPr>
          <w:rFonts w:eastAsiaTheme="minorEastAsia"/>
        </w:rPr>
        <w:tab/>
      </w:r>
      <w:r w:rsidRPr="00FE0DDD">
        <w:t>Determination and approval of fees</w:t>
      </w:r>
    </w:p>
    <w:p w14:paraId="1A8163EF" w14:textId="77777777" w:rsidR="000642A9" w:rsidRPr="00FE0DDD" w:rsidRDefault="000642A9" w:rsidP="00AB6EE9">
      <w:pPr>
        <w:pStyle w:val="enumlev1"/>
      </w:pPr>
      <w:r w:rsidRPr="00FE0DDD">
        <w:rPr>
          <w:rFonts w:eastAsiaTheme="minorEastAsia"/>
        </w:rPr>
        <w:t>vii)</w:t>
      </w:r>
      <w:r w:rsidRPr="00FE0DDD">
        <w:rPr>
          <w:rFonts w:eastAsiaTheme="minorEastAsia"/>
        </w:rPr>
        <w:tab/>
      </w:r>
      <w:r w:rsidRPr="00FE0DDD">
        <w:t>Periodic review and evaluation.</w:t>
      </w:r>
    </w:p>
    <w:p w14:paraId="70E38F9A" w14:textId="77777777" w:rsidR="000642A9" w:rsidRPr="00FE0DDD" w:rsidRDefault="000642A9" w:rsidP="000642A9">
      <w:pPr>
        <w:jc w:val="both"/>
      </w:pPr>
      <w:r w:rsidRPr="00FE0DDD">
        <w:t>Each of these steps is explored in further detail in the subsections below.</w:t>
      </w:r>
    </w:p>
    <w:p w14:paraId="65090798" w14:textId="77777777" w:rsidR="000642A9" w:rsidRPr="00FE0DDD" w:rsidRDefault="000642A9" w:rsidP="000642A9">
      <w:pPr>
        <w:pStyle w:val="Heading2"/>
      </w:pPr>
      <w:r w:rsidRPr="00FE0DDD">
        <w:t>2.2</w:t>
      </w:r>
      <w:r w:rsidRPr="00FE0DDD">
        <w:tab/>
        <w:t>Principles of cost recovery</w:t>
      </w:r>
    </w:p>
    <w:p w14:paraId="26754DC7" w14:textId="7DB876BA" w:rsidR="000642A9" w:rsidRPr="00FE0DDD" w:rsidRDefault="2E04B32B" w:rsidP="000642A9">
      <w:pPr>
        <w:jc w:val="both"/>
      </w:pPr>
      <w:r w:rsidRPr="00FE0DDD">
        <w:t xml:space="preserve">The principles for the recovery of costs for ITU products and services are established in Resolution 91 (Rev. Guadalajara, 2010). Considering these principles, there remains a lack of clarity on the following matters which should be addressed by </w:t>
      </w:r>
      <w:r w:rsidR="555DFE23" w:rsidRPr="00FE0DDD">
        <w:t xml:space="preserve">the </w:t>
      </w:r>
      <w:r w:rsidRPr="00FE0DDD">
        <w:t xml:space="preserve">Council to ensure a robust framework for </w:t>
      </w:r>
      <w:proofErr w:type="spellStart"/>
      <w:r w:rsidRPr="00FE0DDD">
        <w:t>SNF</w:t>
      </w:r>
      <w:proofErr w:type="spellEnd"/>
      <w:r w:rsidRPr="00FE0DDD">
        <w:t xml:space="preserve"> fees. </w:t>
      </w:r>
    </w:p>
    <w:p w14:paraId="7D3592EC" w14:textId="77777777" w:rsidR="000642A9" w:rsidRPr="00FE0DDD" w:rsidRDefault="000642A9" w:rsidP="000642A9">
      <w:pPr>
        <w:pStyle w:val="Headingb"/>
      </w:pPr>
      <w:r w:rsidRPr="00FE0DDD">
        <w:t>Full cost recovery</w:t>
      </w:r>
    </w:p>
    <w:p w14:paraId="0B525A74" w14:textId="6185FBE0" w:rsidR="000642A9" w:rsidRPr="00FE0DDD" w:rsidRDefault="6262FE9B" w:rsidP="000642A9">
      <w:pPr>
        <w:jc w:val="both"/>
      </w:pPr>
      <w:r w:rsidRPr="00FE0DDD">
        <w:t xml:space="preserve">According to </w:t>
      </w:r>
      <w:r w:rsidR="36F1BF37" w:rsidRPr="00FE0DDD">
        <w:t xml:space="preserve">Resolution 91, </w:t>
      </w:r>
      <w:r w:rsidR="36F1BF37" w:rsidRPr="00FE0DDD">
        <w:rPr>
          <w:i/>
          <w:iCs/>
        </w:rPr>
        <w:t>resolves</w:t>
      </w:r>
      <w:r w:rsidR="36F1BF37" w:rsidRPr="00FE0DDD">
        <w:t xml:space="preserve"> 4 </w:t>
      </w:r>
      <w:proofErr w:type="spellStart"/>
      <w:r w:rsidR="36F1BF37" w:rsidRPr="00FE0DDD">
        <w:t>i</w:t>
      </w:r>
      <w:proofErr w:type="spellEnd"/>
      <w:r w:rsidR="36F1BF37" w:rsidRPr="00FE0DDD">
        <w:t xml:space="preserve">), the direct and indirect costs of processing </w:t>
      </w:r>
      <w:proofErr w:type="spellStart"/>
      <w:r w:rsidR="27CD2DCA" w:rsidRPr="00FE0DDD">
        <w:t>SNF</w:t>
      </w:r>
      <w:proofErr w:type="spellEnd"/>
      <w:r w:rsidR="27CD2DCA" w:rsidRPr="00FE0DDD">
        <w:t> </w:t>
      </w:r>
      <w:r w:rsidR="36F1BF37" w:rsidRPr="00FE0DDD">
        <w:t xml:space="preserve">should be covered by </w:t>
      </w:r>
      <w:proofErr w:type="spellStart"/>
      <w:r w:rsidR="36F1BF37" w:rsidRPr="00FE0DDD">
        <w:t>SNF</w:t>
      </w:r>
      <w:proofErr w:type="spellEnd"/>
      <w:r w:rsidR="36F1BF37" w:rsidRPr="00FE0DDD">
        <w:t xml:space="preserve"> fees. This should include all costs incurred in delivering filings.</w:t>
      </w:r>
    </w:p>
    <w:p w14:paraId="7164CB36" w14:textId="00B8204E" w:rsidR="000642A9" w:rsidRPr="00FE0DDD" w:rsidRDefault="2E04B32B" w:rsidP="000642A9">
      <w:pPr>
        <w:jc w:val="both"/>
      </w:pPr>
      <w:r w:rsidRPr="00FE0DDD">
        <w:t xml:space="preserve">The </w:t>
      </w:r>
      <w:r w:rsidR="2690406D" w:rsidRPr="00FE0DDD">
        <w:t>s</w:t>
      </w:r>
      <w:r w:rsidRPr="00FE0DDD">
        <w:t xml:space="preserve">ecretariat suggests that this clearly establishes that the principle of full cost recovery should be applied to all </w:t>
      </w:r>
      <w:proofErr w:type="spellStart"/>
      <w:r w:rsidRPr="00FE0DDD">
        <w:t>SNF</w:t>
      </w:r>
      <w:proofErr w:type="spellEnd"/>
      <w:r w:rsidRPr="00FE0DDD">
        <w:t xml:space="preserve"> cost calculations, subject to ensuring that allocation of any indirect costs must be done using a consistent</w:t>
      </w:r>
      <w:r w:rsidR="00E05137" w:rsidRPr="00FE0DDD">
        <w:t>,</w:t>
      </w:r>
      <w:r w:rsidRPr="00FE0DDD">
        <w:t xml:space="preserve"> transparent allocation methodology.</w:t>
      </w:r>
    </w:p>
    <w:p w14:paraId="42D4C3DD" w14:textId="77777777" w:rsidR="000642A9" w:rsidRPr="00FE0DDD" w:rsidRDefault="000642A9" w:rsidP="000642A9">
      <w:pPr>
        <w:pStyle w:val="Headingb"/>
      </w:pPr>
      <w:r w:rsidRPr="00FE0DDD">
        <w:t>Treatment of free entitlements</w:t>
      </w:r>
    </w:p>
    <w:p w14:paraId="776AC8D4" w14:textId="77777777" w:rsidR="000642A9" w:rsidRPr="00FE0DDD" w:rsidRDefault="000642A9" w:rsidP="000642A9">
      <w:pPr>
        <w:jc w:val="both"/>
      </w:pPr>
      <w:r w:rsidRPr="00FE0DDD">
        <w:t xml:space="preserve">Resolution 91 allows for an adequate level of products and services subject to cost recovery to be provided to all Member States free of charge, it is unclear whether the current framework for free entitlements is fully compliant with </w:t>
      </w:r>
      <w:r w:rsidRPr="00FE0DDD">
        <w:rPr>
          <w:i/>
          <w:iCs/>
        </w:rPr>
        <w:t>resolves</w:t>
      </w:r>
      <w:r w:rsidRPr="00FE0DDD">
        <w:t xml:space="preserve"> 3 ii) and 4 vii). </w:t>
      </w:r>
    </w:p>
    <w:p w14:paraId="56A75B29" w14:textId="4CA58A91" w:rsidR="000642A9" w:rsidRPr="00FE0DDD" w:rsidRDefault="18E1D537" w:rsidP="000642A9">
      <w:pPr>
        <w:jc w:val="both"/>
      </w:pPr>
      <w:r w:rsidRPr="00FE0DDD">
        <w:lastRenderedPageBreak/>
        <w:t xml:space="preserve">This requirement is implemented by Council Decision 482, through “free entitlements”. The free entitlement is a benefit available to all Member States which allows one free filing per Member State per year, allowing the </w:t>
      </w:r>
      <w:r w:rsidR="29C1721B" w:rsidRPr="00FE0DDD">
        <w:t>M</w:t>
      </w:r>
      <w:r w:rsidRPr="00FE0DDD">
        <w:t xml:space="preserve">ember </w:t>
      </w:r>
      <w:r w:rsidR="3BA2108F" w:rsidRPr="00FE0DDD">
        <w:t>S</w:t>
      </w:r>
      <w:r w:rsidRPr="00FE0DDD">
        <w:t xml:space="preserve">tate to select which of its satellite networks will benefit from the free entitlement. A Member State with multiple filings (generally large, developed </w:t>
      </w:r>
      <w:r w:rsidR="1F7CE64C" w:rsidRPr="00FE0DDD">
        <w:t>M</w:t>
      </w:r>
      <w:r w:rsidRPr="00FE0DDD">
        <w:t xml:space="preserve">ember </w:t>
      </w:r>
      <w:r w:rsidR="314A9607" w:rsidRPr="00FE0DDD">
        <w:t>S</w:t>
      </w:r>
      <w:r w:rsidRPr="00FE0DDD">
        <w:t>tates) can select which of their filings is most complex (most expensive), thereby maximizing the benefit of the free entitlement to a disproportionate level compared to less frequent</w:t>
      </w:r>
      <w:r w:rsidR="57810A82" w:rsidRPr="00FE0DDD">
        <w:t>ly</w:t>
      </w:r>
      <w:r w:rsidRPr="00FE0DDD">
        <w:t xml:space="preserve"> notifying administrations. A Member State with a single filing in a year can only use the benefit for that filing. It can be argued that this fails to properly account for the varied level of use of </w:t>
      </w:r>
      <w:proofErr w:type="spellStart"/>
      <w:r w:rsidRPr="00FE0DDD">
        <w:t>SNF</w:t>
      </w:r>
      <w:proofErr w:type="spellEnd"/>
      <w:r w:rsidRPr="00FE0DDD">
        <w:t xml:space="preserve"> by a few Member States (contrary to Res</w:t>
      </w:r>
      <w:r w:rsidR="3D7376CA" w:rsidRPr="00FE0DDD">
        <w:t xml:space="preserve">olution </w:t>
      </w:r>
      <w:r w:rsidRPr="00FE0DDD">
        <w:t xml:space="preserve">91, </w:t>
      </w:r>
      <w:r w:rsidRPr="00FE0DDD">
        <w:rPr>
          <w:i/>
          <w:iCs/>
        </w:rPr>
        <w:t>resolves</w:t>
      </w:r>
      <w:r w:rsidRPr="00FE0DDD">
        <w:t xml:space="preserve"> 3 ii)), and provides discriminatory use of the service contrary to the principle of “adequate level” established in Resolution 91, </w:t>
      </w:r>
      <w:r w:rsidRPr="00FE0DDD">
        <w:rPr>
          <w:i/>
          <w:iCs/>
        </w:rPr>
        <w:t>resolves</w:t>
      </w:r>
      <w:r w:rsidRPr="00FE0DDD">
        <w:t> 4 vii).</w:t>
      </w:r>
    </w:p>
    <w:p w14:paraId="6D610E55" w14:textId="77777777" w:rsidR="000642A9" w:rsidRPr="00FE0DDD" w:rsidRDefault="000642A9" w:rsidP="000642A9">
      <w:pPr>
        <w:jc w:val="both"/>
      </w:pPr>
      <w:r w:rsidRPr="00FE0DDD">
        <w:t xml:space="preserve">The free entitlement regime, in its uniformity, also does not take account of the special needs of developing countries, as required by Resolution 91, </w:t>
      </w:r>
      <w:r w:rsidRPr="00FE0DDD">
        <w:rPr>
          <w:i/>
          <w:iCs/>
        </w:rPr>
        <w:t>resolves</w:t>
      </w:r>
      <w:r w:rsidRPr="00FE0DDD">
        <w:t xml:space="preserve"> 4 vi). These countries receive no special consideration and sometimes use their free entitlement in shared benefit arrangements with large multinational commercial satellite network providers, based in developed countries.</w:t>
      </w:r>
    </w:p>
    <w:p w14:paraId="3F6FB5EF" w14:textId="32765B51" w:rsidR="000642A9" w:rsidRPr="00FE0DDD" w:rsidRDefault="2E04B32B" w:rsidP="000642A9">
      <w:pPr>
        <w:jc w:val="both"/>
      </w:pPr>
      <w:r w:rsidRPr="00FE0DDD">
        <w:t xml:space="preserve">Some delegations argued during the January 2026 meetings of the CWG-FHR that the secretariat’s direct and indirect costs of processing the satellite network filings for which free entitlement is applied should be funded by the ITU regular budget and not using cost recovery methodology. Currently, since the total costs incurred by the </w:t>
      </w:r>
      <w:r w:rsidR="6C3E1B85" w:rsidRPr="00FE0DDD">
        <w:t>s</w:t>
      </w:r>
      <w:r w:rsidRPr="00FE0DDD">
        <w:t xml:space="preserve">ecretariat to process </w:t>
      </w:r>
      <w:proofErr w:type="spellStart"/>
      <w:r w:rsidRPr="00FE0DDD">
        <w:t>SNF</w:t>
      </w:r>
      <w:proofErr w:type="spellEnd"/>
      <w:r w:rsidRPr="00FE0DDD">
        <w:t xml:space="preserve"> has not recovered in the past five years (by more than the cost of free filings) the cost of free filings is entirely funded by the Assessed Contributions of ITU membership, however the </w:t>
      </w:r>
      <w:r w:rsidR="0ED2160C" w:rsidRPr="00FE0DDD">
        <w:t>s</w:t>
      </w:r>
      <w:r w:rsidRPr="00FE0DDD">
        <w:t xml:space="preserve">ecretariat submits that this is inconsistent with PP Resolution 91. </w:t>
      </w:r>
    </w:p>
    <w:p w14:paraId="3BA370C2" w14:textId="2CBDBAB3" w:rsidR="000642A9" w:rsidRPr="00FE0DDD" w:rsidRDefault="2E04B32B" w:rsidP="000642A9">
      <w:pPr>
        <w:jc w:val="both"/>
      </w:pPr>
      <w:r w:rsidRPr="00FE0DDD">
        <w:t xml:space="preserve">A combined reading of PP Resolution 91 and Council Decision 482 indicates that the </w:t>
      </w:r>
      <w:proofErr w:type="spellStart"/>
      <w:r w:rsidRPr="00FE0DDD">
        <w:t>SNF</w:t>
      </w:r>
      <w:proofErr w:type="spellEnd"/>
      <w:r w:rsidRPr="00FE0DDD">
        <w:t xml:space="preserve"> service forms part of ITU’s cost-recovery regime and that the Council’s detailed implementation rules must be read consistently with that higher-level framework. Although Decision 482 grants each Member State a limited annual free entitlement for one filing, that entitlement should, in the </w:t>
      </w:r>
      <w:r w:rsidR="5A1D2F08" w:rsidRPr="00FE0DDD">
        <w:t>s</w:t>
      </w:r>
      <w:r w:rsidRPr="00FE0DDD">
        <w:t xml:space="preserve">ecretariat’s view, be understood as a feature of the charging model rather than as a basis for excluding the related costs from the overall </w:t>
      </w:r>
      <w:proofErr w:type="spellStart"/>
      <w:r w:rsidRPr="00FE0DDD">
        <w:t>SNF</w:t>
      </w:r>
      <w:proofErr w:type="spellEnd"/>
      <w:r w:rsidRPr="00FE0DDD">
        <w:t xml:space="preserve"> cost-recovery calculation. On that basis, the </w:t>
      </w:r>
      <w:r w:rsidR="7EC97BDB" w:rsidRPr="00FE0DDD">
        <w:t>s</w:t>
      </w:r>
      <w:r w:rsidRPr="00FE0DDD">
        <w:t xml:space="preserve">ecretariat interprets these provisions as providing that free entitlement costs, being costs incurred in processing </w:t>
      </w:r>
      <w:proofErr w:type="spellStart"/>
      <w:r w:rsidRPr="00FE0DDD">
        <w:t>SNF</w:t>
      </w:r>
      <w:proofErr w:type="spellEnd"/>
      <w:r w:rsidRPr="00FE0DDD">
        <w:t xml:space="preserve"> which is subject to cost recovery, should be included in the total costs recovered from </w:t>
      </w:r>
      <w:proofErr w:type="spellStart"/>
      <w:r w:rsidRPr="00FE0DDD">
        <w:t>SNF</w:t>
      </w:r>
      <w:proofErr w:type="spellEnd"/>
      <w:r w:rsidRPr="00FE0DDD">
        <w:t>.</w:t>
      </w:r>
    </w:p>
    <w:p w14:paraId="0829A1A4" w14:textId="23BA197C" w:rsidR="000642A9" w:rsidRPr="00FE0DDD" w:rsidRDefault="2E04B32B" w:rsidP="000642A9">
      <w:pPr>
        <w:jc w:val="both"/>
      </w:pPr>
      <w:r w:rsidRPr="00FE0DDD">
        <w:t xml:space="preserve">Based on the foregoing, the </w:t>
      </w:r>
      <w:r w:rsidR="5E31F098" w:rsidRPr="00FE0DDD">
        <w:t>s</w:t>
      </w:r>
      <w:r w:rsidRPr="00FE0DDD">
        <w:t>ecretariat recommends that the Council consider:</w:t>
      </w:r>
    </w:p>
    <w:p w14:paraId="402AB7EA" w14:textId="15339B18" w:rsidR="000642A9" w:rsidRPr="00FE0DDD" w:rsidRDefault="00AB6EE9" w:rsidP="00AB6EE9">
      <w:pPr>
        <w:pStyle w:val="enumlev1"/>
        <w:jc w:val="both"/>
      </w:pPr>
      <w:r w:rsidRPr="00FE0DDD">
        <w:t>–</w:t>
      </w:r>
      <w:r w:rsidRPr="00FE0DDD">
        <w:tab/>
      </w:r>
      <w:r w:rsidR="000642A9" w:rsidRPr="00FE0DDD">
        <w:t xml:space="preserve">revising Decision 482 to remove the Member State’s ability to select the specific satellite network to which its free entitlement will apply and instead apply the free entitlement to the least expensive filing for the year. The implications of this proposal for 2024 would have amounted to an increase in revenue of CHF 989 166; or </w:t>
      </w:r>
    </w:p>
    <w:p w14:paraId="41DE73B5" w14:textId="3343FA4F" w:rsidR="000642A9" w:rsidRPr="00FE0DDD" w:rsidRDefault="00AB6EE9" w:rsidP="00AB6EE9">
      <w:pPr>
        <w:pStyle w:val="enumlev1"/>
        <w:jc w:val="both"/>
      </w:pPr>
      <w:r w:rsidRPr="00FE0DDD">
        <w:t>–</w:t>
      </w:r>
      <w:r w:rsidRPr="00FE0DDD">
        <w:tab/>
      </w:r>
      <w:r w:rsidR="000642A9" w:rsidRPr="00FE0DDD">
        <w:t xml:space="preserve">revising Decision 482 to </w:t>
      </w:r>
      <w:r w:rsidRPr="00FE0DDD">
        <w:t xml:space="preserve">limit </w:t>
      </w:r>
      <w:r w:rsidR="000642A9" w:rsidRPr="00FE0DDD">
        <w:t xml:space="preserve">the free entitlement to </w:t>
      </w:r>
      <w:proofErr w:type="spellStart"/>
      <w:r w:rsidR="000642A9" w:rsidRPr="00FE0DDD">
        <w:t>LDCs</w:t>
      </w:r>
      <w:proofErr w:type="spellEnd"/>
      <w:r w:rsidR="000642A9" w:rsidRPr="00FE0DDD">
        <w:t xml:space="preserve">, SIDS, </w:t>
      </w:r>
      <w:proofErr w:type="spellStart"/>
      <w:r w:rsidR="000642A9" w:rsidRPr="00FE0DDD">
        <w:t>LLDCs</w:t>
      </w:r>
      <w:proofErr w:type="spellEnd"/>
      <w:r w:rsidR="000642A9" w:rsidRPr="00FE0DDD">
        <w:t xml:space="preserve"> and countries with economies in transition. The implication of this proposal for 2024 would have amounted to increased revenue from </w:t>
      </w:r>
      <w:proofErr w:type="spellStart"/>
      <w:r w:rsidR="000642A9" w:rsidRPr="00FE0DDD">
        <w:t>SNF</w:t>
      </w:r>
      <w:proofErr w:type="spellEnd"/>
      <w:r w:rsidR="000642A9" w:rsidRPr="00FE0DDD">
        <w:t xml:space="preserve"> of approximately CHF 772</w:t>
      </w:r>
      <w:r w:rsidRPr="00FE0DDD">
        <w:t> </w:t>
      </w:r>
      <w:r w:rsidR="000642A9" w:rsidRPr="00FE0DDD">
        <w:t>000.</w:t>
      </w:r>
    </w:p>
    <w:p w14:paraId="0E09CF95" w14:textId="19A25F6B" w:rsidR="000642A9" w:rsidRPr="00FE0DDD" w:rsidRDefault="2E04B32B" w:rsidP="00224BAD">
      <w:pPr>
        <w:pStyle w:val="enumlev1"/>
        <w:widowControl w:val="0"/>
        <w:ind w:left="0" w:firstLine="0"/>
        <w:jc w:val="both"/>
      </w:pPr>
      <w:r w:rsidRPr="00FE0DDD">
        <w:t xml:space="preserve">In either case, the </w:t>
      </w:r>
      <w:r w:rsidR="62044DC6" w:rsidRPr="00FE0DDD">
        <w:t>s</w:t>
      </w:r>
      <w:r w:rsidRPr="00FE0DDD">
        <w:t xml:space="preserve">ecretariat believes that based on the provisions of PP Resolution 91, the expenses of the </w:t>
      </w:r>
      <w:r w:rsidR="61DC4FA1" w:rsidRPr="00FE0DDD">
        <w:t>s</w:t>
      </w:r>
      <w:r w:rsidRPr="00FE0DDD">
        <w:t xml:space="preserve">ecretariat related to free entitlements should continue to be included in the calculation of direct and indirect costs to be recovered from </w:t>
      </w:r>
      <w:proofErr w:type="spellStart"/>
      <w:r w:rsidRPr="00FE0DDD">
        <w:t>SNF</w:t>
      </w:r>
      <w:proofErr w:type="spellEnd"/>
      <w:r w:rsidRPr="00FE0DDD">
        <w:t xml:space="preserve"> fees.</w:t>
      </w:r>
    </w:p>
    <w:p w14:paraId="296D3F07" w14:textId="77777777" w:rsidR="000642A9" w:rsidRPr="00FE0DDD" w:rsidRDefault="000642A9" w:rsidP="000642A9">
      <w:pPr>
        <w:pStyle w:val="Heading2"/>
      </w:pPr>
      <w:r w:rsidRPr="00FE0DDD">
        <w:t>2.3</w:t>
      </w:r>
      <w:r w:rsidRPr="00FE0DDD">
        <w:tab/>
        <w:t>Determination of the cost components to be recovered</w:t>
      </w:r>
    </w:p>
    <w:p w14:paraId="5F17B659" w14:textId="1DB1725F" w:rsidR="000642A9" w:rsidRPr="00FE0DDD" w:rsidRDefault="36F1BF37" w:rsidP="000642A9">
      <w:pPr>
        <w:jc w:val="both"/>
      </w:pPr>
      <w:r w:rsidRPr="00FE0DDD">
        <w:rPr>
          <w:spacing w:val="-2"/>
        </w:rPr>
        <w:t xml:space="preserve">The cost components that </w:t>
      </w:r>
      <w:r w:rsidR="00C85598" w:rsidRPr="00FE0DDD">
        <w:rPr>
          <w:spacing w:val="-2"/>
        </w:rPr>
        <w:t>are</w:t>
      </w:r>
      <w:r w:rsidRPr="00FE0DDD">
        <w:rPr>
          <w:spacing w:val="-2"/>
        </w:rPr>
        <w:t xml:space="preserve"> eligible for recovery, and the specific principles applied to determine allocation of costs</w:t>
      </w:r>
      <w:r w:rsidR="00C85598" w:rsidRPr="00FE0DDD">
        <w:rPr>
          <w:spacing w:val="-2"/>
        </w:rPr>
        <w:t xml:space="preserve"> are </w:t>
      </w:r>
      <w:r w:rsidR="00290F30" w:rsidRPr="00FE0DDD">
        <w:rPr>
          <w:spacing w:val="-2"/>
        </w:rPr>
        <w:t xml:space="preserve">detailed </w:t>
      </w:r>
      <w:r w:rsidR="00AF1086" w:rsidRPr="00FE0DDD">
        <w:rPr>
          <w:spacing w:val="-2"/>
        </w:rPr>
        <w:t>under</w:t>
      </w:r>
      <w:r w:rsidRPr="00FE0DDD">
        <w:rPr>
          <w:spacing w:val="-2"/>
        </w:rPr>
        <w:t xml:space="preserve"> the following categories.</w:t>
      </w:r>
    </w:p>
    <w:p w14:paraId="4F6FF497" w14:textId="2C76EDA5" w:rsidR="000642A9" w:rsidRPr="00FE0DDD" w:rsidRDefault="000642A9" w:rsidP="00BA4F4F">
      <w:pPr>
        <w:pStyle w:val="Headingb"/>
      </w:pPr>
      <w:r w:rsidRPr="00FE0DDD">
        <w:lastRenderedPageBreak/>
        <w:t xml:space="preserve">Direct </w:t>
      </w:r>
      <w:r w:rsidR="00BA4F4F" w:rsidRPr="00FE0DDD">
        <w:t>costs</w:t>
      </w:r>
    </w:p>
    <w:p w14:paraId="15072704" w14:textId="77777777" w:rsidR="000642A9" w:rsidRPr="00FE0DDD" w:rsidRDefault="000642A9" w:rsidP="006B4BF1">
      <w:pPr>
        <w:spacing w:before="100"/>
        <w:jc w:val="both"/>
      </w:pPr>
      <w:r w:rsidRPr="00FE0DDD">
        <w:t xml:space="preserve">Direct costs represent the resources that are clearly and directly attributable to the processing of </w:t>
      </w:r>
      <w:proofErr w:type="spellStart"/>
      <w:r w:rsidRPr="00FE0DDD">
        <w:t>SNF</w:t>
      </w:r>
      <w:proofErr w:type="spellEnd"/>
      <w:r w:rsidRPr="00FE0DDD">
        <w:t xml:space="preserve">. These include the staff costs within the Radiocommunication Bureau (BR) responsible for technical examination, coordination activities, regulatory processing, and related operational support. These costs are fully attributable to </w:t>
      </w:r>
      <w:proofErr w:type="spellStart"/>
      <w:r w:rsidRPr="00FE0DDD">
        <w:t>SNF</w:t>
      </w:r>
      <w:proofErr w:type="spellEnd"/>
      <w:r w:rsidRPr="00FE0DDD">
        <w:t xml:space="preserve"> activities and therefore form the core of the cost-recovery model. This is shown in the tables below. </w:t>
      </w:r>
    </w:p>
    <w:p w14:paraId="4B6AFA7F" w14:textId="77777777" w:rsidR="000642A9" w:rsidRPr="00FE0DDD" w:rsidRDefault="000642A9" w:rsidP="00224BAD">
      <w:pPr>
        <w:pStyle w:val="Figure"/>
        <w:spacing w:after="120"/>
        <w:rPr>
          <w:rFonts w:asciiTheme="minorHAnsi" w:hAnsiTheme="minorHAnsi" w:cstheme="minorHAnsi"/>
        </w:rPr>
      </w:pPr>
      <w:r w:rsidRPr="00FE0DDD">
        <w:rPr>
          <w:noProof/>
        </w:rPr>
        <w:drawing>
          <wp:inline distT="0" distB="0" distL="0" distR="0" wp14:anchorId="46281B3A" wp14:editId="662315E3">
            <wp:extent cx="2952000" cy="3039471"/>
            <wp:effectExtent l="0" t="0" r="1270" b="8890"/>
            <wp:docPr id="1868997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000" cy="3039471"/>
                    </a:xfrm>
                    <a:prstGeom prst="rect">
                      <a:avLst/>
                    </a:prstGeom>
                    <a:noFill/>
                    <a:ln>
                      <a:noFill/>
                    </a:ln>
                  </pic:spPr>
                </pic:pic>
              </a:graphicData>
            </a:graphic>
          </wp:inline>
        </w:drawing>
      </w:r>
    </w:p>
    <w:p w14:paraId="49C9EA37" w14:textId="77777777" w:rsidR="005C4429" w:rsidRPr="00FE0DDD" w:rsidRDefault="005C4429" w:rsidP="00654A42">
      <w:pPr>
        <w:pStyle w:val="Headingb"/>
      </w:pPr>
      <w:proofErr w:type="spellStart"/>
      <w:r w:rsidRPr="00FE0DDD">
        <w:t>SNF</w:t>
      </w:r>
      <w:proofErr w:type="spellEnd"/>
      <w:r w:rsidRPr="00FE0DDD">
        <w:t xml:space="preserve"> core systems and modernization capacity</w:t>
      </w:r>
    </w:p>
    <w:p w14:paraId="622B1A58" w14:textId="77777777" w:rsidR="005C4429" w:rsidRPr="00654A42" w:rsidRDefault="005C4429" w:rsidP="006B4BF1">
      <w:pPr>
        <w:pStyle w:val="enumlev1"/>
        <w:spacing w:before="60"/>
        <w:jc w:val="both"/>
        <w:rPr>
          <w:spacing w:val="-3"/>
        </w:rPr>
      </w:pPr>
      <w:r w:rsidRPr="00654A42">
        <w:rPr>
          <w:spacing w:val="-3"/>
        </w:rPr>
        <w:tab/>
        <w:t xml:space="preserve">Council 2025 approved the allocation of CHF 0.5 million per annum from fees collected from </w:t>
      </w:r>
      <w:proofErr w:type="spellStart"/>
      <w:r w:rsidRPr="00654A42">
        <w:rPr>
          <w:spacing w:val="-3"/>
        </w:rPr>
        <w:t>SNF</w:t>
      </w:r>
      <w:proofErr w:type="spellEnd"/>
      <w:r w:rsidRPr="00654A42">
        <w:rPr>
          <w:spacing w:val="-3"/>
        </w:rPr>
        <w:t xml:space="preserve"> to the ICT Capital Fund for BR software development for the period of 2026-2027.</w:t>
      </w:r>
    </w:p>
    <w:p w14:paraId="2A9E7E0F" w14:textId="2273C7DC" w:rsidR="005C4429" w:rsidRPr="00FE0DDD" w:rsidRDefault="005C4429" w:rsidP="006B4BF1">
      <w:pPr>
        <w:pStyle w:val="enumlev1"/>
        <w:spacing w:before="60"/>
        <w:jc w:val="both"/>
      </w:pPr>
      <w:r w:rsidRPr="00FE0DDD">
        <w:tab/>
        <w:t xml:space="preserve">While this proposed investment represents an important step, it does not fully cover the requirements for the continued development and enhancement of </w:t>
      </w:r>
      <w:proofErr w:type="spellStart"/>
      <w:r w:rsidRPr="00FE0DDD">
        <w:t>SNF</w:t>
      </w:r>
      <w:proofErr w:type="spellEnd"/>
      <w:r w:rsidRPr="00FE0DDD">
        <w:t xml:space="preserve">-related systems. The continued </w:t>
      </w:r>
      <w:r w:rsidR="00EA5710" w:rsidRPr="00FE0DDD">
        <w:t xml:space="preserve">capital </w:t>
      </w:r>
      <w:r w:rsidRPr="00FE0DDD">
        <w:t xml:space="preserve">funding of CHF 500,000 per year has therefore been included to ensure the delivery of critical functionalities and to support the evolving operational and regulatory demands associated with </w:t>
      </w:r>
      <w:proofErr w:type="spellStart"/>
      <w:r w:rsidRPr="00FE0DDD">
        <w:t>SNF</w:t>
      </w:r>
      <w:proofErr w:type="spellEnd"/>
      <w:r w:rsidRPr="00FE0DDD">
        <w:t xml:space="preserve"> processing.</w:t>
      </w:r>
    </w:p>
    <w:p w14:paraId="2AEEF8C6" w14:textId="4FC60A83" w:rsidR="000642A9" w:rsidRPr="00FE0DDD" w:rsidRDefault="000642A9" w:rsidP="006B4BF1">
      <w:pPr>
        <w:spacing w:before="100"/>
        <w:jc w:val="both"/>
      </w:pPr>
      <w:r w:rsidRPr="00FE0DDD">
        <w:t xml:space="preserve">ITU also incurs costs within </w:t>
      </w:r>
      <w:proofErr w:type="spellStart"/>
      <w:r w:rsidRPr="00FE0DDD">
        <w:t>ISD</w:t>
      </w:r>
      <w:proofErr w:type="spellEnd"/>
      <w:r w:rsidRPr="00FE0DDD">
        <w:t xml:space="preserve">, </w:t>
      </w:r>
      <w:proofErr w:type="spellStart"/>
      <w:r w:rsidRPr="00FE0DDD">
        <w:t>FRMD</w:t>
      </w:r>
      <w:proofErr w:type="spellEnd"/>
      <w:r w:rsidRPr="00FE0DDD">
        <w:t xml:space="preserve"> and </w:t>
      </w:r>
      <w:proofErr w:type="spellStart"/>
      <w:r w:rsidRPr="00FE0DDD">
        <w:t>C&amp;P</w:t>
      </w:r>
      <w:proofErr w:type="spellEnd"/>
      <w:r w:rsidRPr="00FE0DDD">
        <w:t xml:space="preserve">, which are directly attributable to the processing of </w:t>
      </w:r>
      <w:proofErr w:type="spellStart"/>
      <w:r w:rsidRPr="00FE0DDD">
        <w:t>SNF</w:t>
      </w:r>
      <w:proofErr w:type="spellEnd"/>
      <w:r w:rsidRPr="00FE0DDD">
        <w:t xml:space="preserve">. These include: </w:t>
      </w:r>
    </w:p>
    <w:p w14:paraId="7394FCEE" w14:textId="76B89C7B" w:rsidR="000642A9" w:rsidRPr="00654A42" w:rsidRDefault="00CB3296" w:rsidP="006B4BF1">
      <w:pPr>
        <w:pStyle w:val="Figure"/>
        <w:spacing w:before="100" w:after="100"/>
      </w:pPr>
      <w:r w:rsidRPr="00FE0DDD">
        <w:t xml:space="preserve"> </w:t>
      </w:r>
      <w:r w:rsidRPr="00654A42">
        <w:rPr>
          <w:noProof/>
        </w:rPr>
        <w:drawing>
          <wp:inline distT="0" distB="0" distL="0" distR="0" wp14:anchorId="1935AB14" wp14:editId="5585748E">
            <wp:extent cx="5580000" cy="2766933"/>
            <wp:effectExtent l="0" t="0" r="1905" b="0"/>
            <wp:docPr id="1633535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535607" name=""/>
                    <pic:cNvPicPr/>
                  </pic:nvPicPr>
                  <pic:blipFill>
                    <a:blip r:embed="rId17"/>
                    <a:stretch>
                      <a:fillRect/>
                    </a:stretch>
                  </pic:blipFill>
                  <pic:spPr>
                    <a:xfrm>
                      <a:off x="0" y="0"/>
                      <a:ext cx="5580000" cy="2766933"/>
                    </a:xfrm>
                    <a:prstGeom prst="rect">
                      <a:avLst/>
                    </a:prstGeom>
                  </pic:spPr>
                </pic:pic>
              </a:graphicData>
            </a:graphic>
          </wp:inline>
        </w:drawing>
      </w:r>
    </w:p>
    <w:p w14:paraId="74166BF5" w14:textId="1F5AED3D" w:rsidR="000642A9" w:rsidRPr="00FE0DDD" w:rsidRDefault="000642A9" w:rsidP="00BA4F4F">
      <w:pPr>
        <w:pStyle w:val="Headingb"/>
      </w:pPr>
      <w:r w:rsidRPr="00FE0DDD">
        <w:lastRenderedPageBreak/>
        <w:t xml:space="preserve">Indirect </w:t>
      </w:r>
      <w:r w:rsidR="00BA4F4F" w:rsidRPr="00FE0DDD">
        <w:t>costs</w:t>
      </w:r>
    </w:p>
    <w:p w14:paraId="1B38898C" w14:textId="77777777" w:rsidR="000642A9" w:rsidRPr="00FE0DDD" w:rsidRDefault="000642A9" w:rsidP="00BA4F4F">
      <w:pPr>
        <w:jc w:val="both"/>
      </w:pPr>
      <w:r w:rsidRPr="00FE0DDD">
        <w:t xml:space="preserve">In addition to direct costs, </w:t>
      </w:r>
      <w:proofErr w:type="spellStart"/>
      <w:r w:rsidRPr="00FE0DDD">
        <w:t>SNF</w:t>
      </w:r>
      <w:proofErr w:type="spellEnd"/>
      <w:r w:rsidRPr="00FE0DDD">
        <w:t xml:space="preserve"> activities rely on a range of corporate services that support the functioning of the </w:t>
      </w:r>
      <w:proofErr w:type="gramStart"/>
      <w:r w:rsidRPr="00FE0DDD">
        <w:t>organization as a whole</w:t>
      </w:r>
      <w:proofErr w:type="gramEnd"/>
      <w:r w:rsidRPr="00FE0DDD">
        <w:t xml:space="preserve">. To ensure that the full cost of delivering </w:t>
      </w:r>
      <w:proofErr w:type="spellStart"/>
      <w:r w:rsidRPr="00FE0DDD">
        <w:t>SNF</w:t>
      </w:r>
      <w:proofErr w:type="spellEnd"/>
      <w:r w:rsidRPr="00FE0DDD">
        <w:t xml:space="preserve"> services is appropriately captured, relevant portions of these support services are allocated to </w:t>
      </w:r>
      <w:proofErr w:type="spellStart"/>
      <w:r w:rsidRPr="00FE0DDD">
        <w:t>SNF</w:t>
      </w:r>
      <w:proofErr w:type="spellEnd"/>
      <w:r w:rsidRPr="00FE0DDD">
        <w:t xml:space="preserve"> based on practical and measurable drivers that reflect actual usage for </w:t>
      </w:r>
      <w:proofErr w:type="spellStart"/>
      <w:r w:rsidRPr="00FE0DDD">
        <w:t>SNF</w:t>
      </w:r>
      <w:proofErr w:type="spellEnd"/>
      <w:r w:rsidRPr="00FE0DDD">
        <w:t xml:space="preserve"> processing.</w:t>
      </w:r>
    </w:p>
    <w:p w14:paraId="4A3C75B5" w14:textId="77777777" w:rsidR="000642A9" w:rsidRPr="00FE0DDD" w:rsidRDefault="000642A9" w:rsidP="00BA4F4F">
      <w:pPr>
        <w:jc w:val="both"/>
      </w:pPr>
      <w:r w:rsidRPr="00FE0DDD">
        <w:t>The allocation bases have been determined through consultations with the relevant service departments and are designed to balance transparency, operational practicality, and data availability.</w:t>
      </w:r>
    </w:p>
    <w:p w14:paraId="1D80B604" w14:textId="77777777" w:rsidR="000642A9" w:rsidRPr="00FE0DDD" w:rsidRDefault="000642A9" w:rsidP="00BA4F4F">
      <w:pPr>
        <w:jc w:val="both"/>
      </w:pPr>
      <w:r w:rsidRPr="00FE0DDD">
        <w:t>The principal support service allocations are summarized below:</w:t>
      </w:r>
    </w:p>
    <w:p w14:paraId="64076F21" w14:textId="650DC0BF" w:rsidR="000642A9" w:rsidRPr="00FE0DDD" w:rsidRDefault="00BA4F4F" w:rsidP="00BA4F4F">
      <w:pPr>
        <w:pStyle w:val="enumlev1"/>
        <w:rPr>
          <w:b/>
          <w:bCs/>
        </w:rPr>
      </w:pPr>
      <w:r w:rsidRPr="00FE0DDD">
        <w:rPr>
          <w:b/>
          <w:bCs/>
        </w:rPr>
        <w:t>–</w:t>
      </w:r>
      <w:r w:rsidRPr="00FE0DDD">
        <w:rPr>
          <w:b/>
          <w:bCs/>
        </w:rPr>
        <w:tab/>
      </w:r>
      <w:r w:rsidR="000642A9" w:rsidRPr="00FE0DDD">
        <w:rPr>
          <w:b/>
          <w:bCs/>
        </w:rPr>
        <w:t xml:space="preserve">Senior </w:t>
      </w:r>
      <w:r w:rsidRPr="00FE0DDD">
        <w:rPr>
          <w:b/>
          <w:bCs/>
        </w:rPr>
        <w:t>leadership</w:t>
      </w:r>
    </w:p>
    <w:p w14:paraId="0C3F3336" w14:textId="3F837570" w:rsidR="000642A9" w:rsidRPr="00FE0DDD" w:rsidRDefault="00BA4F4F" w:rsidP="00BA4F4F">
      <w:pPr>
        <w:pStyle w:val="enumlev1"/>
        <w:jc w:val="both"/>
      </w:pPr>
      <w:r w:rsidRPr="00FE0DDD">
        <w:tab/>
      </w:r>
      <w:r w:rsidR="000642A9" w:rsidRPr="00FE0DDD">
        <w:t xml:space="preserve">A limited proportion of senior leadership time is included within the </w:t>
      </w:r>
      <w:proofErr w:type="spellStart"/>
      <w:r w:rsidR="000642A9" w:rsidRPr="00FE0DDD">
        <w:t>SNF</w:t>
      </w:r>
      <w:proofErr w:type="spellEnd"/>
      <w:r w:rsidR="000642A9" w:rsidRPr="00FE0DDD">
        <w:t xml:space="preserve"> cost framework to reflect high level strategic and operational decision making, and necessary membership engagement and oversight responsibilities undertaken by the Secretary-General and Deputy Secretary-General in relation to satellite network filings.</w:t>
      </w:r>
    </w:p>
    <w:p w14:paraId="5C22C796" w14:textId="33813DC3" w:rsidR="000642A9" w:rsidRPr="00FE0DDD" w:rsidRDefault="00BA4F4F" w:rsidP="00BA4F4F">
      <w:pPr>
        <w:pStyle w:val="enumlev1"/>
        <w:jc w:val="both"/>
      </w:pPr>
      <w:r w:rsidRPr="00FE0DDD">
        <w:tab/>
      </w:r>
      <w:r w:rsidR="000642A9" w:rsidRPr="00FE0DDD">
        <w:t>For the purposes of the costing model, this contribution has been conservatively estimated at 2</w:t>
      </w:r>
      <w:r w:rsidRPr="00FE0DDD">
        <w:t xml:space="preserve"> per cent</w:t>
      </w:r>
      <w:r w:rsidR="000642A9" w:rsidRPr="00FE0DDD">
        <w:t xml:space="preserve"> (CHF 18.1 thousand) of leadership time, reflecting only those activities that are directly attributable to </w:t>
      </w:r>
      <w:proofErr w:type="spellStart"/>
      <w:r w:rsidR="000642A9" w:rsidRPr="00FE0DDD">
        <w:t>SNF</w:t>
      </w:r>
      <w:proofErr w:type="spellEnd"/>
      <w:r w:rsidR="000642A9" w:rsidRPr="00FE0DDD">
        <w:t>-related matters. The associated costs are apportioned using the same principles applied to other indirect cost pools, ensuring consistency and proportionality within the overall methodology.</w:t>
      </w:r>
    </w:p>
    <w:p w14:paraId="0F1BDC22" w14:textId="2CE2F5EB" w:rsidR="00BA4F4F" w:rsidRPr="00FE0DDD" w:rsidRDefault="00BA4F4F" w:rsidP="00BA4F4F">
      <w:pPr>
        <w:pStyle w:val="enumlev1"/>
        <w:rPr>
          <w:b/>
          <w:bCs/>
        </w:rPr>
      </w:pPr>
      <w:r w:rsidRPr="00FE0DDD">
        <w:rPr>
          <w:b/>
          <w:bCs/>
        </w:rPr>
        <w:t>–</w:t>
      </w:r>
      <w:r w:rsidRPr="00FE0DDD">
        <w:rPr>
          <w:b/>
          <w:bCs/>
        </w:rPr>
        <w:tab/>
      </w:r>
      <w:r w:rsidR="000642A9" w:rsidRPr="00FE0DDD">
        <w:rPr>
          <w:b/>
          <w:bCs/>
        </w:rPr>
        <w:t>Information Services Department (</w:t>
      </w:r>
      <w:proofErr w:type="spellStart"/>
      <w:r w:rsidR="000642A9" w:rsidRPr="00FE0DDD">
        <w:rPr>
          <w:b/>
          <w:bCs/>
        </w:rPr>
        <w:t>ISD</w:t>
      </w:r>
      <w:proofErr w:type="spellEnd"/>
      <w:r w:rsidR="000642A9" w:rsidRPr="00FE0DDD">
        <w:rPr>
          <w:b/>
          <w:bCs/>
        </w:rPr>
        <w:t>)</w:t>
      </w:r>
    </w:p>
    <w:p w14:paraId="34AB7A04" w14:textId="61BD1D7D" w:rsidR="000642A9" w:rsidRPr="00654A42" w:rsidRDefault="00BA4F4F" w:rsidP="00BA4F4F">
      <w:pPr>
        <w:pStyle w:val="enumlev1"/>
        <w:jc w:val="both"/>
        <w:rPr>
          <w:spacing w:val="-3"/>
        </w:rPr>
      </w:pPr>
      <w:r w:rsidRPr="00654A42">
        <w:rPr>
          <w:spacing w:val="-3"/>
        </w:rPr>
        <w:tab/>
      </w:r>
      <w:proofErr w:type="spellStart"/>
      <w:r w:rsidR="000642A9" w:rsidRPr="00654A42">
        <w:rPr>
          <w:spacing w:val="-3"/>
        </w:rPr>
        <w:t>ISD</w:t>
      </w:r>
      <w:proofErr w:type="spellEnd"/>
      <w:r w:rsidR="000642A9" w:rsidRPr="00654A42">
        <w:rPr>
          <w:spacing w:val="-3"/>
        </w:rPr>
        <w:t xml:space="preserve"> provides IT infrastructure, cybersecurity, enterprise systems, and technical support used by </w:t>
      </w:r>
      <w:proofErr w:type="spellStart"/>
      <w:r w:rsidR="000642A9" w:rsidRPr="00654A42">
        <w:rPr>
          <w:spacing w:val="-3"/>
        </w:rPr>
        <w:t>SNF</w:t>
      </w:r>
      <w:proofErr w:type="spellEnd"/>
      <w:r w:rsidR="000642A9" w:rsidRPr="00654A42">
        <w:rPr>
          <w:spacing w:val="-3"/>
        </w:rPr>
        <w:t xml:space="preserve"> staff. These costs are largely allocated based on </w:t>
      </w:r>
      <w:proofErr w:type="spellStart"/>
      <w:r w:rsidR="000642A9" w:rsidRPr="00654A42">
        <w:rPr>
          <w:spacing w:val="-3"/>
        </w:rPr>
        <w:t>SNF</w:t>
      </w:r>
      <w:proofErr w:type="spellEnd"/>
      <w:r w:rsidR="000642A9" w:rsidRPr="00654A42">
        <w:rPr>
          <w:spacing w:val="-3"/>
        </w:rPr>
        <w:t xml:space="preserve"> headcount relative to total ITU headcount, reflecting the general use of IT infrastructure by staff across the Union.</w:t>
      </w:r>
    </w:p>
    <w:p w14:paraId="6485C529" w14:textId="77777777" w:rsidR="000642A9" w:rsidRPr="00FE0DDD" w:rsidRDefault="000642A9" w:rsidP="00BA4F4F">
      <w:pPr>
        <w:pStyle w:val="Figure"/>
        <w:rPr>
          <w:rFonts w:asciiTheme="minorHAnsi" w:hAnsiTheme="minorHAnsi" w:cstheme="minorHAnsi"/>
        </w:rPr>
      </w:pPr>
      <w:r w:rsidRPr="00FE0DDD">
        <w:rPr>
          <w:noProof/>
        </w:rPr>
        <w:drawing>
          <wp:inline distT="0" distB="0" distL="0" distR="0" wp14:anchorId="669075DF" wp14:editId="4F06CE78">
            <wp:extent cx="4170045" cy="1341755"/>
            <wp:effectExtent l="0" t="0" r="1905" b="0"/>
            <wp:docPr id="12254240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0045" cy="1341755"/>
                    </a:xfrm>
                    <a:prstGeom prst="rect">
                      <a:avLst/>
                    </a:prstGeom>
                    <a:noFill/>
                    <a:ln>
                      <a:noFill/>
                    </a:ln>
                  </pic:spPr>
                </pic:pic>
              </a:graphicData>
            </a:graphic>
          </wp:inline>
        </w:drawing>
      </w:r>
    </w:p>
    <w:p w14:paraId="754A701F" w14:textId="5C790D59" w:rsidR="00BA4F4F" w:rsidRPr="00FE0DDD" w:rsidRDefault="00AC076C" w:rsidP="00BA4F4F">
      <w:pPr>
        <w:pStyle w:val="enumlev1"/>
        <w:rPr>
          <w:b/>
          <w:bCs/>
        </w:rPr>
      </w:pPr>
      <w:r w:rsidRPr="00FE0DDD">
        <w:rPr>
          <w:b/>
          <w:bCs/>
        </w:rPr>
        <w:t>–</w:t>
      </w:r>
      <w:r w:rsidRPr="00FE0DDD">
        <w:rPr>
          <w:b/>
          <w:bCs/>
        </w:rPr>
        <w:tab/>
      </w:r>
      <w:r w:rsidR="000642A9" w:rsidRPr="00FE0DDD">
        <w:rPr>
          <w:b/>
          <w:bCs/>
        </w:rPr>
        <w:t>Facilities Management</w:t>
      </w:r>
    </w:p>
    <w:p w14:paraId="728E73AA" w14:textId="2B01F2EA" w:rsidR="000642A9" w:rsidRPr="00FE0DDD" w:rsidRDefault="00AC076C" w:rsidP="00AC076C">
      <w:pPr>
        <w:pStyle w:val="enumlev1"/>
        <w:jc w:val="both"/>
        <w:rPr>
          <w:rFonts w:asciiTheme="minorHAnsi" w:hAnsiTheme="minorHAnsi" w:cstheme="minorHAnsi"/>
        </w:rPr>
      </w:pPr>
      <w:r w:rsidRPr="00FE0DDD">
        <w:rPr>
          <w:rFonts w:asciiTheme="minorHAnsi" w:hAnsiTheme="minorHAnsi" w:cstheme="minorHAnsi"/>
        </w:rPr>
        <w:tab/>
      </w:r>
      <w:r w:rsidR="000642A9" w:rsidRPr="00FE0DDD">
        <w:rPr>
          <w:rFonts w:asciiTheme="minorHAnsi" w:hAnsiTheme="minorHAnsi" w:cstheme="minorHAnsi"/>
        </w:rPr>
        <w:t xml:space="preserve">Facilities costs include building occupancy, workspace maintenance, utilities, and other premises-related services used by </w:t>
      </w:r>
      <w:proofErr w:type="spellStart"/>
      <w:r w:rsidR="000642A9" w:rsidRPr="00FE0DDD">
        <w:rPr>
          <w:rFonts w:asciiTheme="minorHAnsi" w:hAnsiTheme="minorHAnsi" w:cstheme="minorHAnsi"/>
        </w:rPr>
        <w:t>SNF</w:t>
      </w:r>
      <w:proofErr w:type="spellEnd"/>
      <w:r w:rsidR="000642A9" w:rsidRPr="00FE0DDD">
        <w:rPr>
          <w:rFonts w:asciiTheme="minorHAnsi" w:hAnsiTheme="minorHAnsi" w:cstheme="minorHAnsi"/>
        </w:rPr>
        <w:t xml:space="preserve"> staff. These costs are allocated based on the office space occupied by </w:t>
      </w:r>
      <w:proofErr w:type="spellStart"/>
      <w:r w:rsidR="000642A9" w:rsidRPr="00FE0DDD">
        <w:rPr>
          <w:rFonts w:asciiTheme="minorHAnsi" w:hAnsiTheme="minorHAnsi" w:cstheme="minorHAnsi"/>
        </w:rPr>
        <w:t>SNF</w:t>
      </w:r>
      <w:proofErr w:type="spellEnd"/>
      <w:r w:rsidR="000642A9" w:rsidRPr="00FE0DDD">
        <w:rPr>
          <w:rFonts w:asciiTheme="minorHAnsi" w:hAnsiTheme="minorHAnsi" w:cstheme="minorHAnsi"/>
        </w:rPr>
        <w:t xml:space="preserve"> staff (measured in square metres) relative to total ITU office space, which provides a practical representation of the consumption of facilities resources.</w:t>
      </w:r>
    </w:p>
    <w:p w14:paraId="18486A76" w14:textId="76C1605A" w:rsidR="000642A9" w:rsidRPr="00FE0DDD" w:rsidRDefault="00ED0C29" w:rsidP="00AC076C">
      <w:pPr>
        <w:pStyle w:val="Figure"/>
        <w:rPr>
          <w:rFonts w:asciiTheme="minorHAnsi" w:hAnsiTheme="minorHAnsi" w:cstheme="minorHAnsi"/>
        </w:rPr>
      </w:pPr>
      <w:r w:rsidRPr="00FE0DDD">
        <w:rPr>
          <w:noProof/>
        </w:rPr>
        <w:drawing>
          <wp:inline distT="0" distB="0" distL="0" distR="0" wp14:anchorId="61D8AC75" wp14:editId="739A618A">
            <wp:extent cx="3744000" cy="734400"/>
            <wp:effectExtent l="0" t="0" r="0" b="8890"/>
            <wp:docPr id="20831277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44000" cy="734400"/>
                    </a:xfrm>
                    <a:prstGeom prst="rect">
                      <a:avLst/>
                    </a:prstGeom>
                    <a:noFill/>
                    <a:ln>
                      <a:noFill/>
                    </a:ln>
                  </pic:spPr>
                </pic:pic>
              </a:graphicData>
            </a:graphic>
          </wp:inline>
        </w:drawing>
      </w:r>
    </w:p>
    <w:p w14:paraId="44AFB3F0" w14:textId="3802B205" w:rsidR="00BA4F4F" w:rsidRPr="00FE0DDD" w:rsidRDefault="00AC076C" w:rsidP="00224BAD">
      <w:pPr>
        <w:pStyle w:val="enumlev1"/>
        <w:keepNext/>
        <w:jc w:val="both"/>
        <w:rPr>
          <w:b/>
          <w:bCs/>
        </w:rPr>
      </w:pPr>
      <w:r w:rsidRPr="00FE0DDD">
        <w:rPr>
          <w:b/>
          <w:bCs/>
        </w:rPr>
        <w:lastRenderedPageBreak/>
        <w:t>–</w:t>
      </w:r>
      <w:r w:rsidRPr="00FE0DDD">
        <w:rPr>
          <w:b/>
          <w:bCs/>
        </w:rPr>
        <w:tab/>
      </w:r>
      <w:r w:rsidR="000642A9" w:rsidRPr="00FE0DDD">
        <w:rPr>
          <w:b/>
          <w:bCs/>
        </w:rPr>
        <w:t>Finance and Resource Management Department (</w:t>
      </w:r>
      <w:proofErr w:type="spellStart"/>
      <w:r w:rsidR="000642A9" w:rsidRPr="00FE0DDD">
        <w:rPr>
          <w:b/>
          <w:bCs/>
        </w:rPr>
        <w:t>FRMD</w:t>
      </w:r>
      <w:proofErr w:type="spellEnd"/>
      <w:r w:rsidR="000642A9" w:rsidRPr="00FE0DDD">
        <w:rPr>
          <w:b/>
          <w:bCs/>
        </w:rPr>
        <w:t>)</w:t>
      </w:r>
    </w:p>
    <w:p w14:paraId="168A6199" w14:textId="5A744650" w:rsidR="000642A9" w:rsidRPr="00FE0DDD" w:rsidRDefault="00AC076C" w:rsidP="00AC076C">
      <w:pPr>
        <w:pStyle w:val="enumlev1"/>
        <w:jc w:val="both"/>
      </w:pPr>
      <w:r w:rsidRPr="00FE0DDD">
        <w:tab/>
      </w:r>
      <w:r w:rsidR="000642A9" w:rsidRPr="00FE0DDD">
        <w:t xml:space="preserve">In addition to the direct costs from </w:t>
      </w:r>
      <w:proofErr w:type="spellStart"/>
      <w:r w:rsidR="000642A9" w:rsidRPr="00FE0DDD">
        <w:t>FRMD</w:t>
      </w:r>
      <w:proofErr w:type="spellEnd"/>
      <w:r w:rsidR="000642A9" w:rsidRPr="00FE0DDD">
        <w:t xml:space="preserve"> related to </w:t>
      </w:r>
      <w:proofErr w:type="spellStart"/>
      <w:r w:rsidR="000642A9" w:rsidRPr="00FE0DDD">
        <w:t>SNF</w:t>
      </w:r>
      <w:proofErr w:type="spellEnd"/>
      <w:r w:rsidR="000642A9" w:rsidRPr="00FE0DDD">
        <w:t xml:space="preserve"> work noted above, there are other indirect costs noted below, namely, asset management and other financial support functions. </w:t>
      </w:r>
    </w:p>
    <w:p w14:paraId="7E1B00BF" w14:textId="77777777" w:rsidR="000642A9" w:rsidRPr="00FE0DDD" w:rsidRDefault="000642A9" w:rsidP="00AC076C">
      <w:pPr>
        <w:pStyle w:val="Figure"/>
        <w:rPr>
          <w:rFonts w:asciiTheme="minorHAnsi" w:hAnsiTheme="minorHAnsi" w:cstheme="minorHAnsi"/>
        </w:rPr>
      </w:pPr>
      <w:r w:rsidRPr="00FE0DDD">
        <w:rPr>
          <w:noProof/>
        </w:rPr>
        <w:drawing>
          <wp:inline distT="0" distB="0" distL="0" distR="0" wp14:anchorId="71D7702C" wp14:editId="70F74B1B">
            <wp:extent cx="4421505" cy="1105535"/>
            <wp:effectExtent l="0" t="0" r="0" b="0"/>
            <wp:docPr id="9783493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21505" cy="1105535"/>
                    </a:xfrm>
                    <a:prstGeom prst="rect">
                      <a:avLst/>
                    </a:prstGeom>
                    <a:noFill/>
                    <a:ln>
                      <a:noFill/>
                    </a:ln>
                  </pic:spPr>
                </pic:pic>
              </a:graphicData>
            </a:graphic>
          </wp:inline>
        </w:drawing>
      </w:r>
    </w:p>
    <w:p w14:paraId="78E73A9A" w14:textId="366177F3" w:rsidR="00BA4F4F" w:rsidRPr="00FE0DDD" w:rsidRDefault="00AC076C" w:rsidP="00BA4F4F">
      <w:pPr>
        <w:pStyle w:val="enumlev1"/>
        <w:rPr>
          <w:b/>
          <w:bCs/>
        </w:rPr>
      </w:pPr>
      <w:r w:rsidRPr="00FE0DDD">
        <w:rPr>
          <w:b/>
          <w:bCs/>
        </w:rPr>
        <w:t>–</w:t>
      </w:r>
      <w:r w:rsidRPr="00FE0DDD">
        <w:rPr>
          <w:b/>
          <w:bCs/>
        </w:rPr>
        <w:tab/>
      </w:r>
      <w:r w:rsidR="000642A9" w:rsidRPr="00FE0DDD">
        <w:rPr>
          <w:b/>
          <w:bCs/>
        </w:rPr>
        <w:t>Human Resources Management (HRMD), Legal (JUR) and Oversight (OU)</w:t>
      </w:r>
    </w:p>
    <w:p w14:paraId="15A6EC99" w14:textId="5443657D" w:rsidR="000642A9" w:rsidRPr="00FE0DDD" w:rsidRDefault="00AC076C" w:rsidP="00AC076C">
      <w:pPr>
        <w:pStyle w:val="enumlev1"/>
        <w:jc w:val="both"/>
      </w:pPr>
      <w:r w:rsidRPr="00FE0DDD">
        <w:tab/>
      </w:r>
      <w:r w:rsidR="000642A9" w:rsidRPr="00FE0DDD">
        <w:t xml:space="preserve">Human Resources (HRMD), legal and oversight functions supporting </w:t>
      </w:r>
      <w:proofErr w:type="spellStart"/>
      <w:r w:rsidR="000642A9" w:rsidRPr="00FE0DDD">
        <w:t>SNF</w:t>
      </w:r>
      <w:proofErr w:type="spellEnd"/>
      <w:r w:rsidR="000642A9" w:rsidRPr="00FE0DDD">
        <w:t xml:space="preserve"> activities—such as recruitment, contract administration, payroll processing, staff development, legal review, compliance, audit and governance support—are included within the indirect cost pools. These services are allocated using the same apportionment methodology applied to other corporate support services, namely based on the number of </w:t>
      </w:r>
      <w:proofErr w:type="spellStart"/>
      <w:r w:rsidR="000642A9" w:rsidRPr="00FE0DDD">
        <w:t>SNF</w:t>
      </w:r>
      <w:proofErr w:type="spellEnd"/>
      <w:r w:rsidR="000642A9" w:rsidRPr="00FE0DDD">
        <w:t xml:space="preserve"> staff relative to total ITU staff.</w:t>
      </w:r>
    </w:p>
    <w:p w14:paraId="1522CCBB" w14:textId="77777777" w:rsidR="000642A9" w:rsidRPr="00FE0DDD" w:rsidRDefault="000642A9" w:rsidP="00AC076C">
      <w:pPr>
        <w:pStyle w:val="Figure"/>
        <w:rPr>
          <w:rFonts w:asciiTheme="minorHAnsi" w:hAnsiTheme="minorHAnsi" w:cstheme="minorHAnsi"/>
        </w:rPr>
      </w:pPr>
      <w:r w:rsidRPr="00FE0DDD">
        <w:rPr>
          <w:noProof/>
        </w:rPr>
        <w:drawing>
          <wp:inline distT="0" distB="0" distL="0" distR="0" wp14:anchorId="5A094637" wp14:editId="30D78C1D">
            <wp:extent cx="4456430" cy="1341755"/>
            <wp:effectExtent l="0" t="0" r="1270" b="0"/>
            <wp:docPr id="1377613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6430" cy="1341755"/>
                    </a:xfrm>
                    <a:prstGeom prst="rect">
                      <a:avLst/>
                    </a:prstGeom>
                    <a:noFill/>
                    <a:ln>
                      <a:noFill/>
                    </a:ln>
                  </pic:spPr>
                </pic:pic>
              </a:graphicData>
            </a:graphic>
          </wp:inline>
        </w:drawing>
      </w:r>
    </w:p>
    <w:p w14:paraId="02ECBC11" w14:textId="6E27B2F0" w:rsidR="000642A9" w:rsidRPr="004056B0" w:rsidRDefault="000642A9" w:rsidP="004056B0">
      <w:pPr>
        <w:pStyle w:val="Figure"/>
      </w:pPr>
      <w:r w:rsidRPr="004056B0">
        <w:rPr>
          <w:noProof/>
        </w:rPr>
        <w:drawing>
          <wp:inline distT="0" distB="0" distL="0" distR="0" wp14:anchorId="58271019" wp14:editId="6DA16792">
            <wp:extent cx="4456430" cy="1341755"/>
            <wp:effectExtent l="0" t="0" r="1270" b="0"/>
            <wp:docPr id="61380939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56430" cy="1341755"/>
                    </a:xfrm>
                    <a:prstGeom prst="rect">
                      <a:avLst/>
                    </a:prstGeom>
                    <a:noFill/>
                    <a:ln>
                      <a:noFill/>
                    </a:ln>
                  </pic:spPr>
                </pic:pic>
              </a:graphicData>
            </a:graphic>
          </wp:inline>
        </w:drawing>
      </w:r>
    </w:p>
    <w:p w14:paraId="0C16BBEE" w14:textId="526AAABB" w:rsidR="000642A9" w:rsidRPr="004056B0" w:rsidRDefault="000642A9" w:rsidP="004056B0">
      <w:pPr>
        <w:pStyle w:val="Figure"/>
      </w:pPr>
      <w:r w:rsidRPr="004056B0">
        <w:rPr>
          <w:noProof/>
        </w:rPr>
        <w:drawing>
          <wp:inline distT="0" distB="0" distL="0" distR="0" wp14:anchorId="640F39BB" wp14:editId="3726B824">
            <wp:extent cx="4456430" cy="1341755"/>
            <wp:effectExtent l="0" t="0" r="1270" b="0"/>
            <wp:docPr id="123865928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56430" cy="1341755"/>
                    </a:xfrm>
                    <a:prstGeom prst="rect">
                      <a:avLst/>
                    </a:prstGeom>
                    <a:noFill/>
                    <a:ln>
                      <a:noFill/>
                    </a:ln>
                  </pic:spPr>
                </pic:pic>
              </a:graphicData>
            </a:graphic>
          </wp:inline>
        </w:drawing>
      </w:r>
    </w:p>
    <w:p w14:paraId="3DCCF6D6" w14:textId="4BFBDAE2" w:rsidR="00AC076C" w:rsidRPr="00FE0DDD" w:rsidRDefault="00AC076C" w:rsidP="00AC076C">
      <w:pPr>
        <w:pStyle w:val="enumlev1"/>
        <w:rPr>
          <w:b/>
          <w:bCs/>
        </w:rPr>
      </w:pPr>
      <w:r w:rsidRPr="00FE0DDD">
        <w:rPr>
          <w:b/>
          <w:bCs/>
        </w:rPr>
        <w:t>–</w:t>
      </w:r>
      <w:r w:rsidRPr="00FE0DDD">
        <w:rPr>
          <w:b/>
          <w:bCs/>
        </w:rPr>
        <w:tab/>
      </w:r>
      <w:r w:rsidR="000642A9" w:rsidRPr="00FE0DDD">
        <w:rPr>
          <w:b/>
          <w:bCs/>
        </w:rPr>
        <w:t>Funding of ASHI liability</w:t>
      </w:r>
    </w:p>
    <w:p w14:paraId="73675124" w14:textId="6D8C50B3" w:rsidR="002755FC" w:rsidRPr="00FE0DDD" w:rsidRDefault="00AC076C" w:rsidP="00AC076C">
      <w:pPr>
        <w:pStyle w:val="enumlev1"/>
        <w:jc w:val="both"/>
      </w:pPr>
      <w:r w:rsidRPr="00FE0DDD">
        <w:tab/>
      </w:r>
      <w:r w:rsidR="36F1BF37" w:rsidRPr="00FE0DDD">
        <w:t xml:space="preserve">The apportionment of the ASHI liability is based on headcount of </w:t>
      </w:r>
      <w:proofErr w:type="spellStart"/>
      <w:r w:rsidR="36F1BF37" w:rsidRPr="00FE0DDD">
        <w:t>SNF</w:t>
      </w:r>
      <w:proofErr w:type="spellEnd"/>
      <w:r w:rsidR="36F1BF37" w:rsidRPr="00FE0DDD">
        <w:t xml:space="preserve"> staff to total staff across the Union.</w:t>
      </w:r>
    </w:p>
    <w:p w14:paraId="5DA0D9B2" w14:textId="77777777" w:rsidR="000642A9" w:rsidRPr="00FE0DDD" w:rsidRDefault="000642A9" w:rsidP="000642A9">
      <w:pPr>
        <w:pStyle w:val="Heading2"/>
      </w:pPr>
      <w:r w:rsidRPr="00FE0DDD">
        <w:lastRenderedPageBreak/>
        <w:t>2.4</w:t>
      </w:r>
      <w:r w:rsidRPr="00FE0DDD">
        <w:tab/>
        <w:t>Preliminary application of the proposed cost allocation methodology</w:t>
      </w:r>
    </w:p>
    <w:p w14:paraId="2FDD8527" w14:textId="25F30111" w:rsidR="00933A58" w:rsidRPr="00FE0DDD" w:rsidRDefault="00933A58" w:rsidP="00933A58">
      <w:r w:rsidRPr="00FE0DDD">
        <w:t>The results of the analyses set out in section</w:t>
      </w:r>
      <w:r w:rsidR="00B45243" w:rsidRPr="00FE0DDD">
        <w:t>s</w:t>
      </w:r>
      <w:r w:rsidRPr="00FE0DDD">
        <w:t xml:space="preserve"> above is summarized in the table </w:t>
      </w:r>
      <w:r w:rsidR="00B45243" w:rsidRPr="00FE0DDD">
        <w:t>below</w:t>
      </w:r>
      <w:r w:rsidRPr="00FE0DDD">
        <w:t xml:space="preserve">. The overall total costs of </w:t>
      </w:r>
      <w:proofErr w:type="spellStart"/>
      <w:r w:rsidRPr="00FE0DDD">
        <w:t>SNF</w:t>
      </w:r>
      <w:proofErr w:type="spellEnd"/>
      <w:r w:rsidRPr="00FE0DDD">
        <w:t xml:space="preserve"> are calculated at CHF 15,753,700, of which direct costs amount to CHF 12,</w:t>
      </w:r>
      <w:r w:rsidR="00F13DC6" w:rsidRPr="00FE0DDD">
        <w:t>7</w:t>
      </w:r>
      <w:r w:rsidRPr="00FE0DDD">
        <w:t>35,900 and the total indirect costs are CHF 3,</w:t>
      </w:r>
      <w:r w:rsidR="00F13DC6" w:rsidRPr="00FE0DDD">
        <w:t>0</w:t>
      </w:r>
      <w:r w:rsidRPr="00FE0DDD">
        <w:t>17,800.</w:t>
      </w:r>
    </w:p>
    <w:p w14:paraId="7ECC792C" w14:textId="047B9EC3" w:rsidR="000642A9" w:rsidRPr="00FE0DDD" w:rsidRDefault="001A273E" w:rsidP="004056B0">
      <w:pPr>
        <w:pStyle w:val="Figure"/>
      </w:pPr>
      <w:r w:rsidRPr="00FE0DDD">
        <w:rPr>
          <w:noProof/>
        </w:rPr>
        <w:drawing>
          <wp:inline distT="0" distB="0" distL="0" distR="0" wp14:anchorId="277D71E0" wp14:editId="4F7BC3FF">
            <wp:extent cx="5760085" cy="3262630"/>
            <wp:effectExtent l="0" t="0" r="0" b="0"/>
            <wp:docPr id="1382232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232237" name=""/>
                    <pic:cNvPicPr/>
                  </pic:nvPicPr>
                  <pic:blipFill>
                    <a:blip r:embed="rId24"/>
                    <a:stretch>
                      <a:fillRect/>
                    </a:stretch>
                  </pic:blipFill>
                  <pic:spPr>
                    <a:xfrm>
                      <a:off x="0" y="0"/>
                      <a:ext cx="5760085" cy="3262630"/>
                    </a:xfrm>
                    <a:prstGeom prst="rect">
                      <a:avLst/>
                    </a:prstGeom>
                  </pic:spPr>
                </pic:pic>
              </a:graphicData>
            </a:graphic>
          </wp:inline>
        </w:drawing>
      </w:r>
    </w:p>
    <w:p w14:paraId="23016F03" w14:textId="1A2D60E2" w:rsidR="000642A9" w:rsidRPr="00FE0DDD" w:rsidRDefault="18E1D537" w:rsidP="00AC076C">
      <w:pPr>
        <w:jc w:val="both"/>
      </w:pPr>
      <w:r w:rsidRPr="00FE0DDD">
        <w:t xml:space="preserve">It should be noted that based on the foregoing indirect costs amount to </w:t>
      </w:r>
      <w:r w:rsidR="00AF6144" w:rsidRPr="00FE0DDD">
        <w:t>23</w:t>
      </w:r>
      <w:r w:rsidR="7C62E80A" w:rsidRPr="00FE0DDD">
        <w:t>.7</w:t>
      </w:r>
      <w:r w:rsidR="32063B12" w:rsidRPr="00FE0DDD">
        <w:t xml:space="preserve"> per cent </w:t>
      </w:r>
      <w:r w:rsidRPr="00FE0DDD">
        <w:t xml:space="preserve">of the total costs, consistent with the benchmarks of similar organizations conducted by the </w:t>
      </w:r>
      <w:r w:rsidR="028A2557" w:rsidRPr="00FE0DDD">
        <w:t>s</w:t>
      </w:r>
      <w:r w:rsidRPr="00FE0DDD">
        <w:t xml:space="preserve">ecretariat in </w:t>
      </w:r>
      <w:r w:rsidR="32063B12" w:rsidRPr="00FE0DDD">
        <w:t xml:space="preserve">Document </w:t>
      </w:r>
      <w:r w:rsidRPr="00FE0DDD">
        <w:t>CWG-FHR-22/2.</w:t>
      </w:r>
    </w:p>
    <w:p w14:paraId="090C9D29" w14:textId="77777777" w:rsidR="000642A9" w:rsidRPr="00FE0DDD" w:rsidRDefault="000642A9" w:rsidP="00AC076C">
      <w:pPr>
        <w:pStyle w:val="Heading2"/>
      </w:pPr>
      <w:r w:rsidRPr="00FE0DDD">
        <w:t>2.5</w:t>
      </w:r>
      <w:r w:rsidRPr="00FE0DDD">
        <w:tab/>
        <w:t>Demand forecasting to estimate service volumes for charged services</w:t>
      </w:r>
    </w:p>
    <w:p w14:paraId="43F5E3EB" w14:textId="1DEE3FD7" w:rsidR="000642A9" w:rsidRPr="00FE0DDD" w:rsidRDefault="2E04B32B" w:rsidP="000642A9">
      <w:pPr>
        <w:jc w:val="both"/>
      </w:pPr>
      <w:r w:rsidRPr="00FE0DDD">
        <w:t xml:space="preserve">To support the application of Decision 482, the </w:t>
      </w:r>
      <w:r w:rsidR="597B9FF2" w:rsidRPr="00FE0DDD">
        <w:t>s</w:t>
      </w:r>
      <w:r w:rsidRPr="00FE0DDD">
        <w:t xml:space="preserve">ecretariat will strengthen demand forecasting by </w:t>
      </w:r>
      <w:r w:rsidR="0132876A" w:rsidRPr="00FE0DDD">
        <w:t>analysing</w:t>
      </w:r>
      <w:r w:rsidRPr="00FE0DDD">
        <w:t xml:space="preserve"> historical filing trends, expected growth in constellation filings, and the distribution of activity across Member States. Forecasting should also consider complexity drivers that influence processing effort and the anticipated operational capacity of BR. This will ensure that fee calculations are based on a realistic estimate of the volume and nature of filings for which cost recovery will apply.</w:t>
      </w:r>
    </w:p>
    <w:p w14:paraId="4B3586C9" w14:textId="77777777" w:rsidR="000642A9" w:rsidRPr="00FE0DDD" w:rsidRDefault="000642A9" w:rsidP="00AC076C">
      <w:pPr>
        <w:pStyle w:val="Heading2"/>
      </w:pPr>
      <w:r w:rsidRPr="00FE0DDD">
        <w:t>2.6</w:t>
      </w:r>
      <w:r w:rsidRPr="00FE0DDD">
        <w:tab/>
        <w:t>Determination of fees</w:t>
      </w:r>
    </w:p>
    <w:p w14:paraId="5F80B3BF" w14:textId="0AE49887" w:rsidR="000642A9" w:rsidRPr="00FE0DDD" w:rsidRDefault="36F1BF37" w:rsidP="000642A9">
      <w:pPr>
        <w:jc w:val="both"/>
      </w:pPr>
      <w:r w:rsidRPr="00FE0DDD">
        <w:t xml:space="preserve">In line with Decision 482 and the cost-recovery principles in Resolution 91, fees will be determined by applying full cost recovery to the forecasted demand. Costing models such as </w:t>
      </w:r>
      <w:r w:rsidR="4018E7CF" w:rsidRPr="00FE0DDD">
        <w:t>activity-based costing</w:t>
      </w:r>
      <w:r w:rsidRPr="00FE0DDD">
        <w:t>, the total direct, indirect, and capital costs will be allocated across filing categories according to the expected resource requirements. The fee schedule will incorporate the cost of processing free entitlements and will be presented transparently to allow Members to see how costs and demand translate into proposed fee levels.</w:t>
      </w:r>
    </w:p>
    <w:p w14:paraId="677C8159" w14:textId="36B9327C" w:rsidR="000642A9" w:rsidRPr="00FE0DDD" w:rsidRDefault="36F1BF37" w:rsidP="00AC076C">
      <w:pPr>
        <w:pStyle w:val="Heading2"/>
      </w:pPr>
      <w:r w:rsidRPr="00FE0DDD">
        <w:t>2.7</w:t>
      </w:r>
      <w:r w:rsidR="000642A9" w:rsidRPr="00FE0DDD">
        <w:tab/>
      </w:r>
      <w:r w:rsidRPr="00FE0DDD">
        <w:t xml:space="preserve">Periodic review and evaluation </w:t>
      </w:r>
    </w:p>
    <w:p w14:paraId="2E7B20CE" w14:textId="77777777" w:rsidR="000642A9" w:rsidRPr="00FE0DDD" w:rsidRDefault="000642A9" w:rsidP="000642A9">
      <w:pPr>
        <w:pStyle w:val="Headingb"/>
      </w:pPr>
      <w:r w:rsidRPr="00FE0DDD">
        <w:t>Changes in ITU costs</w:t>
      </w:r>
    </w:p>
    <w:p w14:paraId="44A640C6" w14:textId="5670CF08" w:rsidR="000642A9" w:rsidRPr="00FE0DDD" w:rsidRDefault="18E1D537" w:rsidP="000642A9">
      <w:pPr>
        <w:jc w:val="both"/>
      </w:pPr>
      <w:r w:rsidRPr="00FE0DDD">
        <w:t xml:space="preserve">The </w:t>
      </w:r>
      <w:r w:rsidR="2F7BE1DF" w:rsidRPr="00FE0DDD">
        <w:t>s</w:t>
      </w:r>
      <w:r w:rsidRPr="00FE0DDD">
        <w:t xml:space="preserve">ecretariat proposes that the methodology and fees be reviewed at least every </w:t>
      </w:r>
      <w:r w:rsidR="001E6432" w:rsidRPr="00FE0DDD">
        <w:t>two years</w:t>
      </w:r>
      <w:r w:rsidR="2E04B32B" w:rsidRPr="00FE0DDD">
        <w:t xml:space="preserve">, </w:t>
      </w:r>
      <w:r w:rsidR="008D636C" w:rsidRPr="00FE0DDD">
        <w:t xml:space="preserve">with a </w:t>
      </w:r>
      <w:r w:rsidRPr="00FE0DDD">
        <w:t>four</w:t>
      </w:r>
      <w:r w:rsidR="008D636C" w:rsidRPr="00FE0DDD">
        <w:t>-year review</w:t>
      </w:r>
      <w:r w:rsidRPr="00FE0DDD">
        <w:t xml:space="preserve"> in line with WRC decisions, to allow for changes in ITU costs, such as increased personnel expenses, technology upgrades, or evolving regulatory demands that </w:t>
      </w:r>
      <w:r w:rsidRPr="00FE0DDD">
        <w:lastRenderedPageBreak/>
        <w:t xml:space="preserve">may directly affect the underlying costs associated with </w:t>
      </w:r>
      <w:proofErr w:type="spellStart"/>
      <w:r w:rsidRPr="00FE0DDD">
        <w:t>SNF</w:t>
      </w:r>
      <w:proofErr w:type="spellEnd"/>
      <w:r w:rsidRPr="00FE0DDD">
        <w:t xml:space="preserve"> processing. As these costs fluctuate, it is essential to have a robust and transparent fee methodology that can adapt accordingly, ensuring fees remain justifiable to stakeholders. Establishing a clear process for regularly reviewing and updating the methodology will enable the </w:t>
      </w:r>
      <w:r w:rsidR="6812A75A" w:rsidRPr="00FE0DDD">
        <w:t>s</w:t>
      </w:r>
      <w:r w:rsidRPr="00FE0DDD">
        <w:t xml:space="preserve">ecretariat to maintain consistency, fairness, and accountability in fee-setting. This approach supports alignment with recognized regulatory benchmarks and reinforces the validity of the cost-recovery principles underlying the </w:t>
      </w:r>
      <w:proofErr w:type="spellStart"/>
      <w:r w:rsidRPr="00FE0DDD">
        <w:t>SNF</w:t>
      </w:r>
      <w:proofErr w:type="spellEnd"/>
      <w:r w:rsidRPr="00FE0DDD">
        <w:t xml:space="preserve"> fee structure. </w:t>
      </w:r>
    </w:p>
    <w:p w14:paraId="390FBFC6" w14:textId="77777777" w:rsidR="000642A9" w:rsidRPr="00FE0DDD" w:rsidRDefault="000642A9" w:rsidP="000642A9">
      <w:pPr>
        <w:pStyle w:val="Headingb"/>
      </w:pPr>
      <w:r w:rsidRPr="00FE0DDD">
        <w:t>Revenue fluctuations</w:t>
      </w:r>
    </w:p>
    <w:p w14:paraId="0FA3BA03" w14:textId="3B00CD47" w:rsidR="000642A9" w:rsidRPr="00FE0DDD" w:rsidRDefault="36F1BF37" w:rsidP="004056B0">
      <w:pPr>
        <w:jc w:val="both"/>
      </w:pPr>
      <w:r w:rsidRPr="00FE0DDD">
        <w:t xml:space="preserve">Another key challenge for ITU in recent years is that volumes of </w:t>
      </w:r>
      <w:proofErr w:type="spellStart"/>
      <w:r w:rsidRPr="00FE0DDD">
        <w:t>SNF</w:t>
      </w:r>
      <w:proofErr w:type="spellEnd"/>
      <w:r w:rsidRPr="00FE0DDD">
        <w:t xml:space="preserve"> have fluctuated from year to year, resulting in unpredictable revenue levels that jeopardize ITU’s financial stability. </w:t>
      </w:r>
      <w:r w:rsidR="00712DE8" w:rsidRPr="00FE0DDD">
        <w:t>At the CWG-FHR</w:t>
      </w:r>
      <w:r w:rsidR="007B6D61" w:rsidRPr="00FE0DDD">
        <w:t xml:space="preserve"> in January 2026, the secretariat </w:t>
      </w:r>
      <w:r w:rsidR="005A2FC4" w:rsidRPr="00FE0DDD">
        <w:t>introduced a p</w:t>
      </w:r>
      <w:r w:rsidR="00B75AD2" w:rsidRPr="00FE0DDD">
        <w:t xml:space="preserve">roposal </w:t>
      </w:r>
      <w:r w:rsidR="00C15AF2" w:rsidRPr="00FE0DDD">
        <w:t xml:space="preserve">for a </w:t>
      </w:r>
      <w:r w:rsidR="18E1D537" w:rsidRPr="00FE0DDD">
        <w:t xml:space="preserve">true-up/true-down mechanism to address revenue fluctuations. A true-up/true-down mechanism would operate by conducting a review in which the total actual costs incurred in processing </w:t>
      </w:r>
      <w:proofErr w:type="spellStart"/>
      <w:r w:rsidR="18E1D537" w:rsidRPr="00FE0DDD">
        <w:t>SNF</w:t>
      </w:r>
      <w:proofErr w:type="spellEnd"/>
      <w:r w:rsidR="18E1D537" w:rsidRPr="00FE0DDD">
        <w:t xml:space="preserve"> filings are compared to the total </w:t>
      </w:r>
      <w:proofErr w:type="spellStart"/>
      <w:r w:rsidR="18E1D537" w:rsidRPr="00FE0DDD">
        <w:t>SNF</w:t>
      </w:r>
      <w:proofErr w:type="spellEnd"/>
      <w:r w:rsidR="18E1D537" w:rsidRPr="00FE0DDD">
        <w:t xml:space="preserve"> fee revenue collected for that period. If a surplus or deficit is identified — meaning fee income exceeds or falls short of the actual regulatory expenditure— an analysis would be performed to explain the variance. </w:t>
      </w:r>
      <w:r w:rsidR="00446F96" w:rsidRPr="00FE0DDD">
        <w:t xml:space="preserve">Given the complexity of such </w:t>
      </w:r>
      <w:r w:rsidR="001F40C0" w:rsidRPr="00FE0DDD">
        <w:t>tr</w:t>
      </w:r>
      <w:r w:rsidR="004F5878" w:rsidRPr="00FE0DDD">
        <w:t>u</w:t>
      </w:r>
      <w:r w:rsidR="001F40C0" w:rsidRPr="00FE0DDD">
        <w:t>e-up</w:t>
      </w:r>
      <w:r w:rsidR="004F5878" w:rsidRPr="00FE0DDD">
        <w:t xml:space="preserve"> / true-down</w:t>
      </w:r>
      <w:r w:rsidR="00446F96" w:rsidRPr="00FE0DDD">
        <w:t xml:space="preserve"> model this </w:t>
      </w:r>
      <w:r w:rsidR="00115496" w:rsidRPr="00FE0DDD">
        <w:t xml:space="preserve">proposal is not being </w:t>
      </w:r>
      <w:r w:rsidR="00BB0ED5" w:rsidRPr="00FE0DDD">
        <w:t>pursed as a way forward</w:t>
      </w:r>
      <w:r w:rsidR="004D2EDC" w:rsidRPr="00FE0DDD">
        <w:t xml:space="preserve"> to managing shortfalls or surpluses. The </w:t>
      </w:r>
      <w:r w:rsidR="00A00F72" w:rsidRPr="00FE0DDD">
        <w:t xml:space="preserve">above-mentioned methodology and fees review every two should </w:t>
      </w:r>
      <w:r w:rsidR="00560146" w:rsidRPr="00FE0DDD">
        <w:t xml:space="preserve">suffice to align </w:t>
      </w:r>
      <w:r w:rsidR="00C559C5" w:rsidRPr="00FE0DDD">
        <w:t>revenues</w:t>
      </w:r>
      <w:r w:rsidR="000F0DB6" w:rsidRPr="00FE0DDD">
        <w:t xml:space="preserve">, </w:t>
      </w:r>
      <w:r w:rsidR="00C559C5" w:rsidRPr="00FE0DDD">
        <w:t xml:space="preserve">budget </w:t>
      </w:r>
      <w:r w:rsidR="00A73AD4" w:rsidRPr="00FE0DDD">
        <w:t>and related cost</w:t>
      </w:r>
      <w:r w:rsidR="00802970" w:rsidRPr="00FE0DDD">
        <w:t>s</w:t>
      </w:r>
      <w:r w:rsidR="00A73AD4" w:rsidRPr="00FE0DDD">
        <w:t xml:space="preserve"> </w:t>
      </w:r>
      <w:r w:rsidR="00C559C5" w:rsidRPr="00FE0DDD">
        <w:t>going forward.</w:t>
      </w:r>
    </w:p>
    <w:p w14:paraId="1723CFF2" w14:textId="77777777" w:rsidR="000642A9" w:rsidRPr="00FE0DDD" w:rsidRDefault="000642A9" w:rsidP="000642A9">
      <w:pPr>
        <w:pStyle w:val="Heading1"/>
      </w:pPr>
      <w:r w:rsidRPr="00FE0DDD">
        <w:t>3</w:t>
      </w:r>
      <w:r w:rsidRPr="00FE0DDD">
        <w:tab/>
        <w:t>Implementation timelines</w:t>
      </w:r>
    </w:p>
    <w:p w14:paraId="4ABD12FA" w14:textId="77777777" w:rsidR="004056B0" w:rsidRDefault="36F1BF37" w:rsidP="004056B0">
      <w:pPr>
        <w:jc w:val="both"/>
      </w:pPr>
      <w:r w:rsidRPr="00FE0DDD">
        <w:t xml:space="preserve">The proposed methodology is intended to take effect from 2028, following the expiry of the temporary fee increase approved at Council 2025. Accordingly, the review and final approval of a revised methodology </w:t>
      </w:r>
      <w:r w:rsidR="2ADCCC86" w:rsidRPr="00FE0DDD">
        <w:t xml:space="preserve">and new final </w:t>
      </w:r>
      <w:proofErr w:type="spellStart"/>
      <w:r w:rsidR="2ADCCC86" w:rsidRPr="00FE0DDD">
        <w:t>SNF</w:t>
      </w:r>
      <w:proofErr w:type="spellEnd"/>
      <w:r w:rsidR="2ADCCC86" w:rsidRPr="00FE0DDD">
        <w:t xml:space="preserve"> fees </w:t>
      </w:r>
      <w:r w:rsidR="000642A9" w:rsidRPr="00FE0DDD">
        <w:t>need</w:t>
      </w:r>
      <w:r w:rsidRPr="00FE0DDD">
        <w:t xml:space="preserve"> to be approved by Council 2027. </w:t>
      </w:r>
    </w:p>
    <w:p w14:paraId="72351699" w14:textId="28CFE626" w:rsidR="000642A9" w:rsidRPr="00FE0DDD" w:rsidRDefault="000642A9" w:rsidP="006B4BF1">
      <w:pPr>
        <w:pStyle w:val="Normalaftertitle"/>
        <w:spacing w:before="2400"/>
      </w:pPr>
      <w:r w:rsidRPr="00FE0DDD">
        <w:rPr>
          <w:b/>
          <w:bCs/>
        </w:rPr>
        <w:t>Annex</w:t>
      </w:r>
      <w:r w:rsidR="008A4841" w:rsidRPr="00FE0DDD">
        <w:rPr>
          <w:b/>
          <w:bCs/>
        </w:rPr>
        <w:t xml:space="preserve">: </w:t>
      </w:r>
      <w:r w:rsidR="008A4841" w:rsidRPr="00FE0DDD">
        <w:t>1</w:t>
      </w:r>
    </w:p>
    <w:p w14:paraId="79B0F06D" w14:textId="77777777" w:rsidR="000642A9" w:rsidRPr="00FE0DDD" w:rsidRDefault="000642A9" w:rsidP="000642A9">
      <w:pPr>
        <w:jc w:val="center"/>
        <w:sectPr w:rsidR="000642A9" w:rsidRPr="00FE0DDD" w:rsidSect="00531BDD">
          <w:footerReference w:type="default" r:id="rId25"/>
          <w:headerReference w:type="first" r:id="rId26"/>
          <w:footerReference w:type="first" r:id="rId27"/>
          <w:pgSz w:w="11907" w:h="16834"/>
          <w:pgMar w:top="1134" w:right="1418" w:bottom="1134" w:left="1418" w:header="397" w:footer="397" w:gutter="0"/>
          <w:paperSrc w:first="7" w:other="7"/>
          <w:cols w:space="720"/>
          <w:titlePg/>
          <w:docGrid w:linePitch="326"/>
        </w:sectPr>
      </w:pPr>
    </w:p>
    <w:p w14:paraId="6A317159" w14:textId="77777777" w:rsidR="000642A9" w:rsidRPr="00FE0DDD" w:rsidRDefault="000642A9" w:rsidP="005A053E">
      <w:pPr>
        <w:pStyle w:val="AnnexNo"/>
        <w:spacing w:before="120"/>
      </w:pPr>
      <w:r w:rsidRPr="00FE0DDD">
        <w:lastRenderedPageBreak/>
        <w:t>ANNEX 1</w:t>
      </w:r>
    </w:p>
    <w:p w14:paraId="05D66543" w14:textId="05051A08" w:rsidR="000642A9" w:rsidRPr="00FE0DDD" w:rsidRDefault="4018E7CF" w:rsidP="008A4841">
      <w:pPr>
        <w:pStyle w:val="Annextitle"/>
      </w:pPr>
      <w:r w:rsidRPr="00FE0DDD">
        <w:t>Secretariat responses to comments at CWG-FHR December 2025 session</w:t>
      </w:r>
    </w:p>
    <w:tbl>
      <w:tblPr>
        <w:tblStyle w:val="TableGrid"/>
        <w:tblW w:w="14742" w:type="dxa"/>
        <w:jc w:val="center"/>
        <w:tblLayout w:type="fixed"/>
        <w:tblCellMar>
          <w:left w:w="57" w:type="dxa"/>
          <w:right w:w="57" w:type="dxa"/>
        </w:tblCellMar>
        <w:tblLook w:val="04A0" w:firstRow="1" w:lastRow="0" w:firstColumn="1" w:lastColumn="0" w:noHBand="0" w:noVBand="1"/>
      </w:tblPr>
      <w:tblGrid>
        <w:gridCol w:w="2208"/>
        <w:gridCol w:w="4178"/>
        <w:gridCol w:w="4178"/>
        <w:gridCol w:w="4178"/>
      </w:tblGrid>
      <w:tr w:rsidR="000642A9" w:rsidRPr="004E47EA" w14:paraId="5FAC542D" w14:textId="77777777" w:rsidTr="004E47EA">
        <w:trPr>
          <w:tblHeader/>
          <w:jc w:val="center"/>
        </w:trPr>
        <w:tc>
          <w:tcPr>
            <w:tcW w:w="2122" w:type="dxa"/>
          </w:tcPr>
          <w:p w14:paraId="0B2F5BEE" w14:textId="77777777" w:rsidR="000642A9" w:rsidRPr="004E47EA" w:rsidRDefault="000642A9" w:rsidP="008A4841">
            <w:pPr>
              <w:pStyle w:val="Tablehead"/>
              <w:rPr>
                <w:sz w:val="20"/>
                <w:szCs w:val="20"/>
              </w:rPr>
            </w:pPr>
            <w:r w:rsidRPr="004E47EA">
              <w:rPr>
                <w:sz w:val="20"/>
                <w:szCs w:val="20"/>
              </w:rPr>
              <w:t>Category</w:t>
            </w:r>
          </w:p>
        </w:tc>
        <w:tc>
          <w:tcPr>
            <w:tcW w:w="4016" w:type="dxa"/>
          </w:tcPr>
          <w:p w14:paraId="32E669F1" w14:textId="77777777" w:rsidR="000642A9" w:rsidRPr="004E47EA" w:rsidRDefault="000642A9" w:rsidP="008A4841">
            <w:pPr>
              <w:pStyle w:val="Tablehead"/>
              <w:rPr>
                <w:sz w:val="20"/>
                <w:szCs w:val="20"/>
              </w:rPr>
            </w:pPr>
            <w:r w:rsidRPr="004E47EA">
              <w:rPr>
                <w:sz w:val="20"/>
                <w:szCs w:val="20"/>
              </w:rPr>
              <w:t>Concern</w:t>
            </w:r>
          </w:p>
        </w:tc>
        <w:tc>
          <w:tcPr>
            <w:tcW w:w="4016" w:type="dxa"/>
          </w:tcPr>
          <w:p w14:paraId="4C7B0A08" w14:textId="00624208" w:rsidR="000642A9" w:rsidRPr="004E47EA" w:rsidRDefault="000642A9" w:rsidP="008A4841">
            <w:pPr>
              <w:pStyle w:val="Tablehead"/>
              <w:rPr>
                <w:sz w:val="20"/>
                <w:szCs w:val="20"/>
              </w:rPr>
            </w:pPr>
            <w:r w:rsidRPr="004E47EA">
              <w:rPr>
                <w:sz w:val="20"/>
                <w:szCs w:val="20"/>
              </w:rPr>
              <w:t xml:space="preserve">Secretariat </w:t>
            </w:r>
            <w:r w:rsidR="008A4841" w:rsidRPr="004E47EA">
              <w:rPr>
                <w:sz w:val="20"/>
                <w:szCs w:val="20"/>
              </w:rPr>
              <w:t>response</w:t>
            </w:r>
          </w:p>
        </w:tc>
        <w:tc>
          <w:tcPr>
            <w:tcW w:w="4016" w:type="dxa"/>
          </w:tcPr>
          <w:p w14:paraId="273CB9B0" w14:textId="77777777" w:rsidR="000642A9" w:rsidRPr="004E47EA" w:rsidRDefault="000642A9" w:rsidP="008A4841">
            <w:pPr>
              <w:pStyle w:val="Tablehead"/>
              <w:rPr>
                <w:sz w:val="20"/>
                <w:szCs w:val="20"/>
              </w:rPr>
            </w:pPr>
            <w:r w:rsidRPr="004E47EA">
              <w:rPr>
                <w:sz w:val="20"/>
                <w:szCs w:val="20"/>
              </w:rPr>
              <w:t>Proposal</w:t>
            </w:r>
          </w:p>
        </w:tc>
      </w:tr>
      <w:tr w:rsidR="000642A9" w:rsidRPr="004E47EA" w14:paraId="4B4D6B54" w14:textId="77777777" w:rsidTr="004E47EA">
        <w:trPr>
          <w:jc w:val="center"/>
        </w:trPr>
        <w:tc>
          <w:tcPr>
            <w:tcW w:w="2122" w:type="dxa"/>
            <w:vMerge w:val="restart"/>
            <w:vAlign w:val="center"/>
          </w:tcPr>
          <w:p w14:paraId="5FD49AEF" w14:textId="49CC4BDA" w:rsidR="000642A9" w:rsidRPr="004E47EA" w:rsidRDefault="000642A9" w:rsidP="008A4841">
            <w:pPr>
              <w:pStyle w:val="Tabletext"/>
              <w:rPr>
                <w:sz w:val="20"/>
                <w:szCs w:val="20"/>
              </w:rPr>
            </w:pPr>
            <w:r w:rsidRPr="004E47EA">
              <w:rPr>
                <w:sz w:val="20"/>
                <w:szCs w:val="20"/>
              </w:rPr>
              <w:t>Cost definitions &amp; methodology</w:t>
            </w:r>
          </w:p>
        </w:tc>
        <w:tc>
          <w:tcPr>
            <w:tcW w:w="4016" w:type="dxa"/>
          </w:tcPr>
          <w:p w14:paraId="7A48A5A7" w14:textId="77777777" w:rsidR="000642A9" w:rsidRPr="004E47EA" w:rsidRDefault="000642A9" w:rsidP="008A4841">
            <w:pPr>
              <w:pStyle w:val="Tabletext"/>
              <w:rPr>
                <w:sz w:val="20"/>
                <w:szCs w:val="20"/>
              </w:rPr>
            </w:pPr>
            <w:r w:rsidRPr="004E47EA">
              <w:rPr>
                <w:sz w:val="20"/>
                <w:szCs w:val="20"/>
              </w:rPr>
              <w:t>Lack of Clear Definitions and Methodology for Cost Recovery.</w:t>
            </w:r>
          </w:p>
          <w:p w14:paraId="5A58B361" w14:textId="77777777" w:rsidR="000642A9" w:rsidRPr="004E47EA" w:rsidRDefault="000642A9" w:rsidP="008A4841">
            <w:pPr>
              <w:pStyle w:val="Tabletext"/>
              <w:rPr>
                <w:sz w:val="20"/>
                <w:szCs w:val="20"/>
              </w:rPr>
            </w:pPr>
            <w:r w:rsidRPr="004E47EA">
              <w:rPr>
                <w:sz w:val="20"/>
                <w:szCs w:val="20"/>
              </w:rPr>
              <w:t xml:space="preserve">A major recurring concern was the absence of clear, audited, and transparent formulas for determining the </w:t>
            </w:r>
            <w:proofErr w:type="spellStart"/>
            <w:r w:rsidRPr="004E47EA">
              <w:rPr>
                <w:sz w:val="20"/>
                <w:szCs w:val="20"/>
              </w:rPr>
              <w:t>SNF</w:t>
            </w:r>
            <w:proofErr w:type="spellEnd"/>
            <w:r w:rsidRPr="004E47EA">
              <w:rPr>
                <w:sz w:val="20"/>
                <w:szCs w:val="20"/>
              </w:rPr>
              <w:t xml:space="preserve"> cost recovery model. </w:t>
            </w:r>
          </w:p>
          <w:p w14:paraId="01B5D392" w14:textId="1DBB39E3" w:rsidR="000642A9" w:rsidRPr="004E47EA" w:rsidRDefault="000642A9" w:rsidP="00704841">
            <w:pPr>
              <w:pStyle w:val="Tabletext"/>
              <w:rPr>
                <w:sz w:val="20"/>
                <w:szCs w:val="20"/>
              </w:rPr>
            </w:pPr>
            <w:r w:rsidRPr="004E47EA">
              <w:rPr>
                <w:sz w:val="20"/>
                <w:szCs w:val="20"/>
              </w:rPr>
              <w:t>Delegates noted that for a decision to be made, a breakdown of cost components, including how costs are identified and allocated annually, would be needed.</w:t>
            </w:r>
          </w:p>
        </w:tc>
        <w:tc>
          <w:tcPr>
            <w:tcW w:w="4016" w:type="dxa"/>
          </w:tcPr>
          <w:p w14:paraId="08B40A65" w14:textId="636AB5FB" w:rsidR="000642A9" w:rsidRPr="004E47EA" w:rsidRDefault="2E04B32B" w:rsidP="008A4841">
            <w:pPr>
              <w:pStyle w:val="Tabletext"/>
              <w:rPr>
                <w:sz w:val="20"/>
                <w:szCs w:val="20"/>
              </w:rPr>
            </w:pPr>
            <w:r w:rsidRPr="004E47EA">
              <w:rPr>
                <w:sz w:val="20"/>
                <w:szCs w:val="20"/>
              </w:rPr>
              <w:t xml:space="preserve">Having received feedback from membership, noting that an ABC costing model was broadly acceptable, the </w:t>
            </w:r>
            <w:r w:rsidR="22EBDC36" w:rsidRPr="004E47EA">
              <w:rPr>
                <w:sz w:val="20"/>
                <w:szCs w:val="20"/>
              </w:rPr>
              <w:t>s</w:t>
            </w:r>
            <w:r w:rsidRPr="004E47EA">
              <w:rPr>
                <w:sz w:val="20"/>
                <w:szCs w:val="20"/>
              </w:rPr>
              <w:t xml:space="preserve">ecretariat has now applied the principles presented in Document </w:t>
            </w:r>
            <w:r w:rsidR="006A203D" w:rsidRPr="004E47EA">
              <w:rPr>
                <w:sz w:val="20"/>
                <w:szCs w:val="20"/>
              </w:rPr>
              <w:t>CWG-FHR-22/2</w:t>
            </w:r>
            <w:r w:rsidRPr="004E47EA">
              <w:rPr>
                <w:sz w:val="20"/>
                <w:szCs w:val="20"/>
              </w:rPr>
              <w:t xml:space="preserve">, and produced for </w:t>
            </w:r>
            <w:r w:rsidR="008F103E" w:rsidRPr="004E47EA">
              <w:rPr>
                <w:sz w:val="20"/>
                <w:szCs w:val="20"/>
              </w:rPr>
              <w:t xml:space="preserve">the </w:t>
            </w:r>
            <w:r w:rsidRPr="004E47EA">
              <w:rPr>
                <w:sz w:val="20"/>
                <w:szCs w:val="20"/>
              </w:rPr>
              <w:t xml:space="preserve">Council a detailed working of the actual costs for </w:t>
            </w:r>
            <w:r w:rsidR="00576FC1" w:rsidRPr="004E47EA">
              <w:rPr>
                <w:sz w:val="20"/>
                <w:szCs w:val="20"/>
              </w:rPr>
              <w:t>its</w:t>
            </w:r>
            <w:r w:rsidRPr="004E47EA">
              <w:rPr>
                <w:sz w:val="20"/>
                <w:szCs w:val="20"/>
              </w:rPr>
              <w:t xml:space="preserve"> consideration.</w:t>
            </w:r>
          </w:p>
        </w:tc>
        <w:tc>
          <w:tcPr>
            <w:tcW w:w="4016" w:type="dxa"/>
          </w:tcPr>
          <w:p w14:paraId="7DFF6EDF" w14:textId="4333B07F" w:rsidR="000642A9" w:rsidRPr="004E47EA" w:rsidRDefault="36F1BF37" w:rsidP="008A4841">
            <w:pPr>
              <w:pStyle w:val="Tabletext"/>
              <w:rPr>
                <w:sz w:val="20"/>
                <w:szCs w:val="20"/>
              </w:rPr>
            </w:pPr>
            <w:r w:rsidRPr="004E47EA">
              <w:rPr>
                <w:sz w:val="20"/>
                <w:szCs w:val="20"/>
              </w:rPr>
              <w:t>Details of the way in which the methodology will be applied, including identification of all cost components and how each will be treated, are provided in th</w:t>
            </w:r>
            <w:r w:rsidR="055F74A0" w:rsidRPr="004E47EA">
              <w:rPr>
                <w:sz w:val="20"/>
                <w:szCs w:val="20"/>
              </w:rPr>
              <w:t>is</w:t>
            </w:r>
            <w:r w:rsidRPr="004E47EA">
              <w:rPr>
                <w:sz w:val="20"/>
                <w:szCs w:val="20"/>
              </w:rPr>
              <w:t xml:space="preserve"> Council document.</w:t>
            </w:r>
          </w:p>
        </w:tc>
      </w:tr>
      <w:tr w:rsidR="000642A9" w:rsidRPr="004E47EA" w14:paraId="16F68198" w14:textId="77777777" w:rsidTr="004E47EA">
        <w:trPr>
          <w:jc w:val="center"/>
        </w:trPr>
        <w:tc>
          <w:tcPr>
            <w:tcW w:w="2122" w:type="dxa"/>
            <w:vMerge/>
          </w:tcPr>
          <w:p w14:paraId="741B5B57" w14:textId="77777777" w:rsidR="000642A9" w:rsidRPr="004E47EA" w:rsidRDefault="000642A9" w:rsidP="008A4841">
            <w:pPr>
              <w:pStyle w:val="Tabletext"/>
              <w:rPr>
                <w:sz w:val="20"/>
                <w:szCs w:val="20"/>
              </w:rPr>
            </w:pPr>
          </w:p>
        </w:tc>
        <w:tc>
          <w:tcPr>
            <w:tcW w:w="4016" w:type="dxa"/>
          </w:tcPr>
          <w:p w14:paraId="588C130A" w14:textId="77777777" w:rsidR="000642A9" w:rsidRPr="004E47EA" w:rsidRDefault="000642A9" w:rsidP="008A4841">
            <w:pPr>
              <w:pStyle w:val="Tabletext"/>
              <w:rPr>
                <w:sz w:val="20"/>
                <w:szCs w:val="20"/>
              </w:rPr>
            </w:pPr>
            <w:r w:rsidRPr="004E47EA">
              <w:rPr>
                <w:sz w:val="20"/>
                <w:szCs w:val="20"/>
              </w:rPr>
              <w:t>Delegates noted that the allocation of indirect human resource costs was not clearly defined and understood.</w:t>
            </w:r>
          </w:p>
          <w:p w14:paraId="2C6DC090" w14:textId="77777777" w:rsidR="000642A9" w:rsidRPr="004E47EA" w:rsidRDefault="000642A9" w:rsidP="008A4841">
            <w:pPr>
              <w:pStyle w:val="Tabletext"/>
              <w:rPr>
                <w:sz w:val="20"/>
                <w:szCs w:val="20"/>
              </w:rPr>
            </w:pPr>
            <w:r w:rsidRPr="004E47EA">
              <w:rPr>
                <w:sz w:val="20"/>
                <w:szCs w:val="20"/>
              </w:rPr>
              <w:t xml:space="preserve">Delegates stressed the needed for clear demonstration of the linkage between overhead and </w:t>
            </w:r>
            <w:proofErr w:type="spellStart"/>
            <w:r w:rsidRPr="004E47EA">
              <w:rPr>
                <w:sz w:val="20"/>
                <w:szCs w:val="20"/>
              </w:rPr>
              <w:t>SNF</w:t>
            </w:r>
            <w:proofErr w:type="spellEnd"/>
            <w:r w:rsidRPr="004E47EA">
              <w:rPr>
                <w:sz w:val="20"/>
                <w:szCs w:val="20"/>
              </w:rPr>
              <w:t xml:space="preserve"> delivery before inclusion.</w:t>
            </w:r>
          </w:p>
        </w:tc>
        <w:tc>
          <w:tcPr>
            <w:tcW w:w="4016" w:type="dxa"/>
          </w:tcPr>
          <w:p w14:paraId="098123D1" w14:textId="77777777" w:rsidR="000642A9" w:rsidRPr="004E47EA" w:rsidRDefault="000642A9" w:rsidP="008A4841">
            <w:pPr>
              <w:pStyle w:val="Tabletext"/>
              <w:rPr>
                <w:sz w:val="20"/>
                <w:szCs w:val="20"/>
              </w:rPr>
            </w:pPr>
            <w:r w:rsidRPr="004E47EA">
              <w:rPr>
                <w:sz w:val="20"/>
                <w:szCs w:val="20"/>
              </w:rPr>
              <w:t xml:space="preserve">The purpose of human resource management resources, financial resource management resources and other administrative resources, are to handle and support the necessary processes to enable ITU’s staff directly concerned with delivering products required by membership. </w:t>
            </w:r>
          </w:p>
          <w:p w14:paraId="6B787F95" w14:textId="77777777" w:rsidR="000642A9" w:rsidRPr="004E47EA" w:rsidRDefault="000642A9" w:rsidP="008A4841">
            <w:pPr>
              <w:pStyle w:val="Tabletext"/>
              <w:rPr>
                <w:sz w:val="20"/>
                <w:szCs w:val="20"/>
              </w:rPr>
            </w:pPr>
            <w:r w:rsidRPr="004E47EA">
              <w:rPr>
                <w:sz w:val="20"/>
                <w:szCs w:val="20"/>
              </w:rPr>
              <w:t xml:space="preserve">Each direct staff resource is hired, paid, has access to resources for matters such as determining and making benefits available and handling other ancillary tasks related to and necessary for their employment. </w:t>
            </w:r>
          </w:p>
          <w:p w14:paraId="4A0894C4" w14:textId="77777777" w:rsidR="000642A9" w:rsidRPr="004E47EA" w:rsidRDefault="000642A9" w:rsidP="008A4841">
            <w:pPr>
              <w:pStyle w:val="Tabletext"/>
              <w:rPr>
                <w:sz w:val="20"/>
                <w:szCs w:val="20"/>
              </w:rPr>
            </w:pPr>
            <w:r w:rsidRPr="004E47EA">
              <w:rPr>
                <w:sz w:val="20"/>
                <w:szCs w:val="20"/>
              </w:rPr>
              <w:t xml:space="preserve">This administrative work is directly driven by each member of staff or the transactions initiated by work done in the organization. </w:t>
            </w:r>
          </w:p>
          <w:p w14:paraId="20907886" w14:textId="77777777" w:rsidR="000642A9" w:rsidRPr="004E47EA" w:rsidRDefault="000642A9" w:rsidP="008A4841">
            <w:pPr>
              <w:pStyle w:val="Tabletext"/>
              <w:rPr>
                <w:sz w:val="20"/>
                <w:szCs w:val="20"/>
              </w:rPr>
            </w:pPr>
            <w:r w:rsidRPr="004E47EA">
              <w:rPr>
                <w:sz w:val="20"/>
                <w:szCs w:val="20"/>
              </w:rPr>
              <w:t xml:space="preserve">Indirect costs are determined based on the most appropriate driver which in this case is the total number of </w:t>
            </w:r>
            <w:proofErr w:type="spellStart"/>
            <w:r w:rsidRPr="004E47EA">
              <w:rPr>
                <w:sz w:val="20"/>
                <w:szCs w:val="20"/>
              </w:rPr>
              <w:t>SNF</w:t>
            </w:r>
            <w:proofErr w:type="spellEnd"/>
            <w:r w:rsidRPr="004E47EA">
              <w:rPr>
                <w:sz w:val="20"/>
                <w:szCs w:val="20"/>
              </w:rPr>
              <w:t xml:space="preserve"> staff compared to the total staff of the Union.</w:t>
            </w:r>
          </w:p>
        </w:tc>
        <w:tc>
          <w:tcPr>
            <w:tcW w:w="4016" w:type="dxa"/>
          </w:tcPr>
          <w:p w14:paraId="616C689F" w14:textId="77777777" w:rsidR="000642A9" w:rsidRPr="004E47EA" w:rsidRDefault="000642A9" w:rsidP="008A4841">
            <w:pPr>
              <w:pStyle w:val="Tabletext"/>
              <w:rPr>
                <w:sz w:val="20"/>
                <w:szCs w:val="20"/>
              </w:rPr>
            </w:pPr>
          </w:p>
        </w:tc>
      </w:tr>
      <w:tr w:rsidR="000642A9" w:rsidRPr="004E47EA" w14:paraId="14DE49EE" w14:textId="77777777" w:rsidTr="004E47EA">
        <w:trPr>
          <w:jc w:val="center"/>
        </w:trPr>
        <w:tc>
          <w:tcPr>
            <w:tcW w:w="2122" w:type="dxa"/>
          </w:tcPr>
          <w:p w14:paraId="7E11C34A" w14:textId="41AA8214" w:rsidR="000642A9" w:rsidRPr="004E47EA" w:rsidRDefault="000642A9" w:rsidP="00704841">
            <w:pPr>
              <w:pStyle w:val="Tabletext"/>
              <w:rPr>
                <w:sz w:val="20"/>
                <w:szCs w:val="20"/>
              </w:rPr>
            </w:pPr>
            <w:r w:rsidRPr="004E47EA">
              <w:rPr>
                <w:sz w:val="20"/>
                <w:szCs w:val="20"/>
              </w:rPr>
              <w:lastRenderedPageBreak/>
              <w:t xml:space="preserve">Treatment of </w:t>
            </w:r>
            <w:r w:rsidR="006B4BF1" w:rsidRPr="004E47EA">
              <w:rPr>
                <w:sz w:val="20"/>
                <w:szCs w:val="20"/>
              </w:rPr>
              <w:t>direct, indirect, and capital costs</w:t>
            </w:r>
          </w:p>
        </w:tc>
        <w:tc>
          <w:tcPr>
            <w:tcW w:w="4016" w:type="dxa"/>
          </w:tcPr>
          <w:p w14:paraId="6679BD9A" w14:textId="03C437FA" w:rsidR="000642A9" w:rsidRPr="004E47EA" w:rsidRDefault="000642A9" w:rsidP="00704841">
            <w:pPr>
              <w:pStyle w:val="Tabletext"/>
              <w:rPr>
                <w:sz w:val="20"/>
                <w:szCs w:val="20"/>
              </w:rPr>
            </w:pPr>
            <w:r w:rsidRPr="004E47EA">
              <w:rPr>
                <w:sz w:val="20"/>
                <w:szCs w:val="20"/>
              </w:rPr>
              <w:t xml:space="preserve">Some delegates insisted all direct and indirect costs must be recovered by cost recovery, per </w:t>
            </w:r>
            <w:r w:rsidR="00EF5A6F" w:rsidRPr="004E47EA">
              <w:rPr>
                <w:sz w:val="20"/>
                <w:szCs w:val="20"/>
              </w:rPr>
              <w:t xml:space="preserve">Res. </w:t>
            </w:r>
            <w:r w:rsidRPr="004E47EA">
              <w:rPr>
                <w:sz w:val="20"/>
                <w:szCs w:val="20"/>
              </w:rPr>
              <w:t>91.</w:t>
            </w:r>
          </w:p>
        </w:tc>
        <w:tc>
          <w:tcPr>
            <w:tcW w:w="4016" w:type="dxa"/>
          </w:tcPr>
          <w:p w14:paraId="676BBCFF" w14:textId="2E4E5622" w:rsidR="000642A9" w:rsidRPr="004E47EA" w:rsidRDefault="2E04B32B" w:rsidP="008A4841">
            <w:pPr>
              <w:pStyle w:val="Tabletext"/>
              <w:rPr>
                <w:sz w:val="20"/>
                <w:szCs w:val="20"/>
              </w:rPr>
            </w:pPr>
            <w:r w:rsidRPr="004E47EA">
              <w:rPr>
                <w:sz w:val="20"/>
                <w:szCs w:val="20"/>
              </w:rPr>
              <w:t xml:space="preserve">The </w:t>
            </w:r>
            <w:r w:rsidR="2D7E9175" w:rsidRPr="004E47EA">
              <w:rPr>
                <w:sz w:val="20"/>
                <w:szCs w:val="20"/>
              </w:rPr>
              <w:t>s</w:t>
            </w:r>
            <w:r w:rsidRPr="004E47EA">
              <w:rPr>
                <w:sz w:val="20"/>
                <w:szCs w:val="20"/>
              </w:rPr>
              <w:t xml:space="preserve">ecretariat considers the provisions of Res. 91 to be clear, and it clearly requires full recovery of both direct and indirect costs. In the absence of a change of the Resolution by a Plenipotentiary Conference, the </w:t>
            </w:r>
            <w:r w:rsidR="22C4EB84" w:rsidRPr="004E47EA">
              <w:rPr>
                <w:sz w:val="20"/>
                <w:szCs w:val="20"/>
              </w:rPr>
              <w:t>s</w:t>
            </w:r>
            <w:r w:rsidRPr="004E47EA">
              <w:rPr>
                <w:sz w:val="20"/>
                <w:szCs w:val="20"/>
              </w:rPr>
              <w:t xml:space="preserve">ecretariat cannot apply a model that does not meet this requirement. </w:t>
            </w:r>
          </w:p>
        </w:tc>
        <w:tc>
          <w:tcPr>
            <w:tcW w:w="4016" w:type="dxa"/>
          </w:tcPr>
          <w:p w14:paraId="2B3E6CBD" w14:textId="50894B96" w:rsidR="000642A9" w:rsidRPr="004E47EA" w:rsidRDefault="2E04B32B" w:rsidP="008A4841">
            <w:pPr>
              <w:pStyle w:val="Tabletext"/>
              <w:rPr>
                <w:sz w:val="20"/>
                <w:szCs w:val="20"/>
              </w:rPr>
            </w:pPr>
            <w:r w:rsidRPr="004E47EA">
              <w:rPr>
                <w:sz w:val="20"/>
                <w:szCs w:val="20"/>
              </w:rPr>
              <w:t xml:space="preserve">The </w:t>
            </w:r>
            <w:r w:rsidR="783A0F88" w:rsidRPr="004E47EA">
              <w:rPr>
                <w:sz w:val="20"/>
                <w:szCs w:val="20"/>
              </w:rPr>
              <w:t>s</w:t>
            </w:r>
            <w:r w:rsidRPr="004E47EA">
              <w:rPr>
                <w:sz w:val="20"/>
                <w:szCs w:val="20"/>
              </w:rPr>
              <w:t>ecretariat has proposed a methodology providing for full cost recovery, based on the provisions of Res. 91.</w:t>
            </w:r>
          </w:p>
        </w:tc>
      </w:tr>
      <w:tr w:rsidR="000642A9" w:rsidRPr="004E47EA" w14:paraId="46B9D468" w14:textId="77777777" w:rsidTr="004E47EA">
        <w:trPr>
          <w:jc w:val="center"/>
        </w:trPr>
        <w:tc>
          <w:tcPr>
            <w:tcW w:w="2122" w:type="dxa"/>
          </w:tcPr>
          <w:p w14:paraId="2EC6FCF0" w14:textId="77777777" w:rsidR="000642A9" w:rsidRPr="004E47EA" w:rsidRDefault="000642A9" w:rsidP="008A4841">
            <w:pPr>
              <w:pStyle w:val="Tabletext"/>
              <w:rPr>
                <w:sz w:val="20"/>
                <w:szCs w:val="20"/>
              </w:rPr>
            </w:pPr>
          </w:p>
        </w:tc>
        <w:tc>
          <w:tcPr>
            <w:tcW w:w="4016" w:type="dxa"/>
          </w:tcPr>
          <w:p w14:paraId="6009735F" w14:textId="49688415" w:rsidR="000642A9" w:rsidRPr="004E47EA" w:rsidRDefault="000642A9" w:rsidP="0055621E">
            <w:pPr>
              <w:pStyle w:val="Tabletext"/>
              <w:rPr>
                <w:sz w:val="20"/>
                <w:szCs w:val="20"/>
              </w:rPr>
            </w:pPr>
            <w:r w:rsidRPr="004E47EA">
              <w:rPr>
                <w:sz w:val="20"/>
                <w:szCs w:val="20"/>
              </w:rPr>
              <w:t xml:space="preserve">Capital expenses (e.g., depreciation of software systems) were particularly contentious. Delegates argued capital costs are not mentioned in </w:t>
            </w:r>
            <w:r w:rsidR="00EF5A6F" w:rsidRPr="004E47EA">
              <w:rPr>
                <w:sz w:val="20"/>
                <w:szCs w:val="20"/>
              </w:rPr>
              <w:t xml:space="preserve">Res. </w:t>
            </w:r>
            <w:r w:rsidRPr="004E47EA">
              <w:rPr>
                <w:sz w:val="20"/>
                <w:szCs w:val="20"/>
              </w:rPr>
              <w:t xml:space="preserve">91 and therefore should not be included. </w:t>
            </w:r>
          </w:p>
        </w:tc>
        <w:tc>
          <w:tcPr>
            <w:tcW w:w="4016" w:type="dxa"/>
          </w:tcPr>
          <w:p w14:paraId="659BE0A5" w14:textId="77777777" w:rsidR="000642A9" w:rsidRPr="00F62DE0" w:rsidRDefault="000642A9" w:rsidP="008A4841">
            <w:pPr>
              <w:pStyle w:val="Tabletext"/>
              <w:rPr>
                <w:spacing w:val="-3"/>
                <w:sz w:val="20"/>
                <w:szCs w:val="20"/>
              </w:rPr>
            </w:pPr>
            <w:r w:rsidRPr="00F62DE0">
              <w:rPr>
                <w:spacing w:val="-3"/>
                <w:sz w:val="20"/>
                <w:szCs w:val="20"/>
              </w:rPr>
              <w:t xml:space="preserve">The terms “Capital” and “Operating” expenses are based on accounting principles related to the </w:t>
            </w:r>
            <w:proofErr w:type="gramStart"/>
            <w:r w:rsidRPr="00F62DE0">
              <w:rPr>
                <w:spacing w:val="-3"/>
                <w:sz w:val="20"/>
                <w:szCs w:val="20"/>
              </w:rPr>
              <w:t>manner in which</w:t>
            </w:r>
            <w:proofErr w:type="gramEnd"/>
            <w:r w:rsidRPr="00F62DE0">
              <w:rPr>
                <w:spacing w:val="-3"/>
                <w:sz w:val="20"/>
                <w:szCs w:val="20"/>
              </w:rPr>
              <w:t xml:space="preserve"> the costs are accounted for. Capital expenses relate to the cost of assets that are used over multiple years and are accounted for across multiple years (depending on the useful life of the asset acquired) and impact the balance sheet of the organization, while operating expenses are accounted for immediately when incurred and impact the income statement. Capital costs create a depreciation expense in the income statement. </w:t>
            </w:r>
          </w:p>
          <w:p w14:paraId="280611AE" w14:textId="77777777" w:rsidR="000642A9" w:rsidRPr="00F62DE0" w:rsidRDefault="000642A9" w:rsidP="008A4841">
            <w:pPr>
              <w:pStyle w:val="Tabletext"/>
              <w:rPr>
                <w:spacing w:val="-3"/>
                <w:sz w:val="20"/>
                <w:szCs w:val="20"/>
              </w:rPr>
            </w:pPr>
            <w:r w:rsidRPr="00F62DE0">
              <w:rPr>
                <w:spacing w:val="-3"/>
                <w:sz w:val="20"/>
                <w:szCs w:val="20"/>
              </w:rPr>
              <w:t xml:space="preserve">Direct and Indirect refer to the purpose of the spending. If spending is directly for the purpose of delivering </w:t>
            </w:r>
            <w:proofErr w:type="spellStart"/>
            <w:r w:rsidRPr="00F62DE0">
              <w:rPr>
                <w:spacing w:val="-3"/>
                <w:sz w:val="20"/>
                <w:szCs w:val="20"/>
              </w:rPr>
              <w:t>SNF</w:t>
            </w:r>
            <w:proofErr w:type="spellEnd"/>
            <w:r w:rsidRPr="00F62DE0">
              <w:rPr>
                <w:spacing w:val="-3"/>
                <w:sz w:val="20"/>
                <w:szCs w:val="20"/>
              </w:rPr>
              <w:t xml:space="preserve">, it is a direct cost, whether it is a capital (long term) or operating (short term) expense. Similarly, if spending can be attributed to </w:t>
            </w:r>
            <w:proofErr w:type="spellStart"/>
            <w:r w:rsidRPr="00F62DE0">
              <w:rPr>
                <w:spacing w:val="-3"/>
                <w:sz w:val="20"/>
                <w:szCs w:val="20"/>
              </w:rPr>
              <w:t>SNF</w:t>
            </w:r>
            <w:proofErr w:type="spellEnd"/>
            <w:r w:rsidRPr="00F62DE0">
              <w:rPr>
                <w:spacing w:val="-3"/>
                <w:sz w:val="20"/>
                <w:szCs w:val="20"/>
              </w:rPr>
              <w:t xml:space="preserve"> indirectly (i.e. through providing support to a direct expense) it is an Indirect cost whether it is Capital or Operational. </w:t>
            </w:r>
          </w:p>
          <w:p w14:paraId="5172A747" w14:textId="77777777" w:rsidR="000642A9" w:rsidRPr="00F62DE0" w:rsidRDefault="000642A9" w:rsidP="008A4841">
            <w:pPr>
              <w:pStyle w:val="Tabletext"/>
              <w:rPr>
                <w:spacing w:val="-3"/>
                <w:sz w:val="20"/>
                <w:szCs w:val="20"/>
              </w:rPr>
            </w:pPr>
            <w:r w:rsidRPr="00F62DE0">
              <w:rPr>
                <w:spacing w:val="-3"/>
                <w:sz w:val="20"/>
                <w:szCs w:val="20"/>
              </w:rPr>
              <w:t>Accordingly, Direct and Indirect costs each may include costs that are Capital or Operational.</w:t>
            </w:r>
          </w:p>
          <w:p w14:paraId="23F57936" w14:textId="2BFC8FC4" w:rsidR="000642A9" w:rsidRPr="004E47EA" w:rsidRDefault="36F1BF37" w:rsidP="008A4841">
            <w:pPr>
              <w:pStyle w:val="Tabletext"/>
              <w:rPr>
                <w:sz w:val="20"/>
                <w:szCs w:val="20"/>
              </w:rPr>
            </w:pPr>
            <w:r w:rsidRPr="00F62DE0">
              <w:rPr>
                <w:spacing w:val="-3"/>
                <w:sz w:val="20"/>
                <w:szCs w:val="20"/>
              </w:rPr>
              <w:t xml:space="preserve">Taking the example of depreciation of software systems, this is a Capital expense which would be direct if the software is acquired specifically for the purpose of processing </w:t>
            </w:r>
            <w:proofErr w:type="spellStart"/>
            <w:r w:rsidRPr="00F62DE0">
              <w:rPr>
                <w:spacing w:val="-3"/>
                <w:sz w:val="20"/>
                <w:szCs w:val="20"/>
              </w:rPr>
              <w:t>SNF</w:t>
            </w:r>
            <w:proofErr w:type="spellEnd"/>
            <w:r w:rsidRPr="00F62DE0">
              <w:rPr>
                <w:spacing w:val="-3"/>
                <w:sz w:val="20"/>
                <w:szCs w:val="20"/>
              </w:rPr>
              <w:t xml:space="preserve"> only, while the annuali</w:t>
            </w:r>
            <w:r w:rsidR="1FCB7598" w:rsidRPr="00F62DE0">
              <w:rPr>
                <w:spacing w:val="-3"/>
                <w:sz w:val="20"/>
                <w:szCs w:val="20"/>
              </w:rPr>
              <w:t>z</w:t>
            </w:r>
            <w:r w:rsidRPr="00F62DE0">
              <w:rPr>
                <w:spacing w:val="-3"/>
                <w:sz w:val="20"/>
                <w:szCs w:val="20"/>
              </w:rPr>
              <w:t>ed cost of cyber-security software purchased for the whole of ITU might be included as an indirect expense.</w:t>
            </w:r>
          </w:p>
        </w:tc>
        <w:tc>
          <w:tcPr>
            <w:tcW w:w="4016" w:type="dxa"/>
          </w:tcPr>
          <w:p w14:paraId="1B37CCD5" w14:textId="77777777" w:rsidR="000642A9" w:rsidRPr="004E47EA" w:rsidRDefault="000642A9" w:rsidP="008A4841">
            <w:pPr>
              <w:pStyle w:val="Tabletext"/>
              <w:rPr>
                <w:sz w:val="20"/>
                <w:szCs w:val="20"/>
              </w:rPr>
            </w:pPr>
            <w:r w:rsidRPr="004E47EA">
              <w:rPr>
                <w:sz w:val="20"/>
                <w:szCs w:val="20"/>
              </w:rPr>
              <w:t xml:space="preserve">Both Operating and Capital expenses will be included as Direct and Indirect costs depending on the purpose for which the cost was incurred, provided the item has sufficient proximity to </w:t>
            </w:r>
            <w:proofErr w:type="spellStart"/>
            <w:r w:rsidRPr="004E47EA">
              <w:rPr>
                <w:sz w:val="20"/>
                <w:szCs w:val="20"/>
              </w:rPr>
              <w:t>SNF</w:t>
            </w:r>
            <w:proofErr w:type="spellEnd"/>
            <w:r w:rsidRPr="004E47EA">
              <w:rPr>
                <w:sz w:val="20"/>
                <w:szCs w:val="20"/>
              </w:rPr>
              <w:t>.</w:t>
            </w:r>
          </w:p>
        </w:tc>
      </w:tr>
      <w:tr w:rsidR="000642A9" w:rsidRPr="004E47EA" w14:paraId="3AE89D04" w14:textId="77777777" w:rsidTr="004E47EA">
        <w:trPr>
          <w:jc w:val="center"/>
        </w:trPr>
        <w:tc>
          <w:tcPr>
            <w:tcW w:w="2122" w:type="dxa"/>
          </w:tcPr>
          <w:p w14:paraId="62166921" w14:textId="36AED30E" w:rsidR="000642A9" w:rsidRPr="004E47EA" w:rsidRDefault="000642A9" w:rsidP="008A4841">
            <w:pPr>
              <w:pStyle w:val="Tabletext"/>
              <w:rPr>
                <w:sz w:val="20"/>
                <w:szCs w:val="20"/>
              </w:rPr>
            </w:pPr>
            <w:r w:rsidRPr="004E47EA">
              <w:rPr>
                <w:sz w:val="20"/>
                <w:szCs w:val="20"/>
              </w:rPr>
              <w:lastRenderedPageBreak/>
              <w:t xml:space="preserve">Free </w:t>
            </w:r>
            <w:r w:rsidR="006B4BF1" w:rsidRPr="004E47EA">
              <w:rPr>
                <w:sz w:val="20"/>
                <w:szCs w:val="20"/>
              </w:rPr>
              <w:t>filing entitlements</w:t>
            </w:r>
          </w:p>
        </w:tc>
        <w:tc>
          <w:tcPr>
            <w:tcW w:w="4016" w:type="dxa"/>
          </w:tcPr>
          <w:p w14:paraId="10CBFE8B" w14:textId="77777777" w:rsidR="000642A9" w:rsidRPr="004E47EA" w:rsidRDefault="000642A9" w:rsidP="008A4841">
            <w:pPr>
              <w:pStyle w:val="Tabletext"/>
              <w:rPr>
                <w:sz w:val="20"/>
                <w:szCs w:val="20"/>
              </w:rPr>
            </w:pPr>
            <w:r w:rsidRPr="004E47EA">
              <w:rPr>
                <w:sz w:val="20"/>
                <w:szCs w:val="20"/>
              </w:rPr>
              <w:t>Many delegates insisted that free filing entitlements are a core constitutional issue and must be funded by contributory units, not by cost recovery.</w:t>
            </w:r>
          </w:p>
          <w:p w14:paraId="3D42D952" w14:textId="193AA989" w:rsidR="000642A9" w:rsidRPr="004E47EA" w:rsidRDefault="000642A9" w:rsidP="008A4841">
            <w:pPr>
              <w:pStyle w:val="Tabletext"/>
              <w:rPr>
                <w:sz w:val="20"/>
                <w:szCs w:val="20"/>
              </w:rPr>
            </w:pPr>
            <w:r w:rsidRPr="004E47EA">
              <w:rPr>
                <w:sz w:val="20"/>
                <w:szCs w:val="20"/>
              </w:rPr>
              <w:t xml:space="preserve">Others argued free filings should be funded through cost recovery </w:t>
            </w:r>
            <w:proofErr w:type="gramStart"/>
            <w:r w:rsidRPr="004E47EA">
              <w:rPr>
                <w:sz w:val="20"/>
                <w:szCs w:val="20"/>
              </w:rPr>
              <w:t>as a result of</w:t>
            </w:r>
            <w:proofErr w:type="gramEnd"/>
            <w:r w:rsidRPr="004E47EA">
              <w:rPr>
                <w:sz w:val="20"/>
                <w:szCs w:val="20"/>
              </w:rPr>
              <w:t xml:space="preserve"> </w:t>
            </w:r>
            <w:r w:rsidR="00EF5A6F" w:rsidRPr="004E47EA">
              <w:rPr>
                <w:sz w:val="20"/>
                <w:szCs w:val="20"/>
              </w:rPr>
              <w:t xml:space="preserve">Res. </w:t>
            </w:r>
            <w:r w:rsidRPr="004E47EA">
              <w:rPr>
                <w:sz w:val="20"/>
                <w:szCs w:val="20"/>
              </w:rPr>
              <w:t>91.</w:t>
            </w:r>
          </w:p>
          <w:p w14:paraId="06332C4E" w14:textId="059E91CF" w:rsidR="000642A9" w:rsidRPr="004E47EA" w:rsidRDefault="000642A9" w:rsidP="008A4841">
            <w:pPr>
              <w:pStyle w:val="Tabletext"/>
              <w:rPr>
                <w:sz w:val="20"/>
                <w:szCs w:val="20"/>
              </w:rPr>
            </w:pPr>
            <w:r w:rsidRPr="004E47EA">
              <w:rPr>
                <w:sz w:val="20"/>
                <w:szCs w:val="20"/>
              </w:rPr>
              <w:t xml:space="preserve">The delegates discussed concerns of misuse of free entitlements. </w:t>
            </w:r>
          </w:p>
          <w:p w14:paraId="34599E44" w14:textId="77777777" w:rsidR="0055621E" w:rsidRPr="004E47EA" w:rsidRDefault="000642A9" w:rsidP="0055621E">
            <w:pPr>
              <w:pStyle w:val="Tabletext"/>
              <w:rPr>
                <w:sz w:val="20"/>
                <w:szCs w:val="20"/>
              </w:rPr>
            </w:pPr>
            <w:r w:rsidRPr="004E47EA">
              <w:rPr>
                <w:sz w:val="20"/>
                <w:szCs w:val="20"/>
              </w:rPr>
              <w:t>Some delegates noted that a small number of large multinational corporations benefit indirectly from free entitlements.</w:t>
            </w:r>
          </w:p>
          <w:p w14:paraId="0D632938" w14:textId="6D195830" w:rsidR="000642A9" w:rsidRPr="004E47EA" w:rsidRDefault="000642A9" w:rsidP="0055621E">
            <w:pPr>
              <w:pStyle w:val="Tabletext"/>
              <w:rPr>
                <w:sz w:val="20"/>
                <w:szCs w:val="20"/>
              </w:rPr>
            </w:pPr>
            <w:r w:rsidRPr="004E47EA">
              <w:rPr>
                <w:sz w:val="20"/>
                <w:szCs w:val="20"/>
              </w:rPr>
              <w:t>Calls were made to prevent misuse by aligning free filings with principles of equitable access.</w:t>
            </w:r>
          </w:p>
          <w:p w14:paraId="619C5EC1" w14:textId="00592034" w:rsidR="000642A9" w:rsidRPr="004E47EA" w:rsidRDefault="000642A9" w:rsidP="008A4841">
            <w:pPr>
              <w:pStyle w:val="Tabletext"/>
              <w:rPr>
                <w:sz w:val="20"/>
                <w:szCs w:val="20"/>
              </w:rPr>
            </w:pPr>
            <w:r w:rsidRPr="004E47EA">
              <w:rPr>
                <w:sz w:val="20"/>
                <w:szCs w:val="20"/>
              </w:rPr>
              <w:t xml:space="preserve">Some delegates noted that free filings must support developing countries, especially, </w:t>
            </w:r>
            <w:proofErr w:type="spellStart"/>
            <w:r w:rsidRPr="004E47EA">
              <w:rPr>
                <w:sz w:val="20"/>
                <w:szCs w:val="20"/>
              </w:rPr>
              <w:t>LDCs</w:t>
            </w:r>
            <w:proofErr w:type="spellEnd"/>
            <w:r w:rsidRPr="004E47EA">
              <w:rPr>
                <w:sz w:val="20"/>
                <w:szCs w:val="20"/>
              </w:rPr>
              <w:t xml:space="preserve">, </w:t>
            </w:r>
            <w:proofErr w:type="spellStart"/>
            <w:r w:rsidRPr="004E47EA">
              <w:rPr>
                <w:sz w:val="20"/>
                <w:szCs w:val="20"/>
              </w:rPr>
              <w:t>LLDCs</w:t>
            </w:r>
            <w:proofErr w:type="spellEnd"/>
            <w:r w:rsidRPr="004E47EA">
              <w:rPr>
                <w:sz w:val="20"/>
                <w:szCs w:val="20"/>
              </w:rPr>
              <w:t>, and SIDS.</w:t>
            </w:r>
          </w:p>
          <w:p w14:paraId="61F275C7" w14:textId="76351A9E" w:rsidR="000642A9" w:rsidRPr="004E47EA" w:rsidRDefault="000642A9" w:rsidP="0055621E">
            <w:pPr>
              <w:pStyle w:val="Tabletext"/>
              <w:rPr>
                <w:sz w:val="20"/>
                <w:szCs w:val="20"/>
              </w:rPr>
            </w:pPr>
            <w:r w:rsidRPr="004E47EA">
              <w:rPr>
                <w:sz w:val="20"/>
                <w:szCs w:val="20"/>
              </w:rPr>
              <w:t>Some proposed regional satellite initiatives as eligible for free filings.</w:t>
            </w:r>
          </w:p>
        </w:tc>
        <w:tc>
          <w:tcPr>
            <w:tcW w:w="4016" w:type="dxa"/>
          </w:tcPr>
          <w:p w14:paraId="2D9D4E40" w14:textId="77777777" w:rsidR="000642A9" w:rsidRPr="004E47EA" w:rsidRDefault="000642A9" w:rsidP="00CA5599">
            <w:pPr>
              <w:pStyle w:val="Tabletext"/>
              <w:rPr>
                <w:sz w:val="20"/>
                <w:szCs w:val="20"/>
              </w:rPr>
            </w:pPr>
            <w:r w:rsidRPr="004E47EA">
              <w:rPr>
                <w:sz w:val="20"/>
                <w:szCs w:val="20"/>
              </w:rPr>
              <w:t xml:space="preserve">The free filing entitlement is an outcome of the principles laid out in Res. 91, to provide equitable access to all member states. </w:t>
            </w:r>
          </w:p>
          <w:p w14:paraId="6C7FEA3D" w14:textId="25029F39" w:rsidR="000642A9" w:rsidRPr="004E47EA" w:rsidRDefault="18E1D537" w:rsidP="00CA5599">
            <w:pPr>
              <w:pStyle w:val="Tabletext"/>
              <w:rPr>
                <w:sz w:val="20"/>
                <w:szCs w:val="20"/>
              </w:rPr>
            </w:pPr>
            <w:r w:rsidRPr="004E47EA">
              <w:rPr>
                <w:sz w:val="20"/>
                <w:szCs w:val="20"/>
              </w:rPr>
              <w:t xml:space="preserve">Ordinarily equitable access is provided by making specific provision for those members that are disadvantaged. However, the free filing entitlement allows for free filings by all member states, whether those member states have the means to pay the fees which represent the recovered costs or not. Further, the </w:t>
            </w:r>
            <w:r w:rsidR="06307D5A" w:rsidRPr="004E47EA">
              <w:rPr>
                <w:sz w:val="20"/>
                <w:szCs w:val="20"/>
              </w:rPr>
              <w:t>s</w:t>
            </w:r>
            <w:r w:rsidRPr="004E47EA">
              <w:rPr>
                <w:sz w:val="20"/>
                <w:szCs w:val="20"/>
              </w:rPr>
              <w:t xml:space="preserve">ecretariat has noted that the Free Filings have often been applied to the most complex filings which therefore significantly impacts the extent to which the total costs have been recovered. </w:t>
            </w:r>
          </w:p>
          <w:p w14:paraId="71C2AEB3" w14:textId="7C8560A2" w:rsidR="000642A9" w:rsidRPr="004E47EA" w:rsidRDefault="2E04B32B" w:rsidP="00CA5599">
            <w:pPr>
              <w:pStyle w:val="Tabletext"/>
              <w:rPr>
                <w:sz w:val="20"/>
                <w:szCs w:val="20"/>
              </w:rPr>
            </w:pPr>
            <w:r w:rsidRPr="004E47EA">
              <w:rPr>
                <w:sz w:val="20"/>
                <w:szCs w:val="20"/>
              </w:rPr>
              <w:t xml:space="preserve">The question regarding whether funding of free filings should be from cost recovery. Currently, since the total costs incurred by the </w:t>
            </w:r>
            <w:r w:rsidR="583EAFB3" w:rsidRPr="004E47EA">
              <w:rPr>
                <w:sz w:val="20"/>
                <w:szCs w:val="20"/>
              </w:rPr>
              <w:t>s</w:t>
            </w:r>
            <w:r w:rsidRPr="004E47EA">
              <w:rPr>
                <w:sz w:val="20"/>
                <w:szCs w:val="20"/>
              </w:rPr>
              <w:t xml:space="preserve">ecretariat to process </w:t>
            </w:r>
            <w:proofErr w:type="spellStart"/>
            <w:r w:rsidRPr="004E47EA">
              <w:rPr>
                <w:sz w:val="20"/>
                <w:szCs w:val="20"/>
              </w:rPr>
              <w:t>SNF</w:t>
            </w:r>
            <w:proofErr w:type="spellEnd"/>
            <w:r w:rsidRPr="004E47EA">
              <w:rPr>
                <w:sz w:val="20"/>
                <w:szCs w:val="20"/>
              </w:rPr>
              <w:t xml:space="preserve"> has not recovered in the past five years (by more than the cost of free filings) the cost of free filings is entirely funded by the Assessed Contributions of ITU membership. </w:t>
            </w:r>
          </w:p>
          <w:p w14:paraId="3DE2BFB2" w14:textId="2B262FF6" w:rsidR="000642A9" w:rsidRPr="00CA5599" w:rsidRDefault="2E04B32B" w:rsidP="00CA5599">
            <w:pPr>
              <w:pStyle w:val="Tabletext"/>
              <w:rPr>
                <w:spacing w:val="-2"/>
                <w:sz w:val="20"/>
                <w:szCs w:val="20"/>
              </w:rPr>
            </w:pPr>
            <w:r w:rsidRPr="00CA5599">
              <w:rPr>
                <w:spacing w:val="-2"/>
                <w:sz w:val="20"/>
                <w:szCs w:val="20"/>
              </w:rPr>
              <w:t xml:space="preserve">A combined reading of PP </w:t>
            </w:r>
            <w:r w:rsidR="08A47833" w:rsidRPr="00CA5599">
              <w:rPr>
                <w:spacing w:val="-2"/>
                <w:sz w:val="20"/>
                <w:szCs w:val="20"/>
              </w:rPr>
              <w:t xml:space="preserve">Res. </w:t>
            </w:r>
            <w:r w:rsidRPr="00CA5599">
              <w:rPr>
                <w:spacing w:val="-2"/>
                <w:sz w:val="20"/>
                <w:szCs w:val="20"/>
              </w:rPr>
              <w:t xml:space="preserve">91 and Council Decision 482 indicates that the </w:t>
            </w:r>
            <w:proofErr w:type="spellStart"/>
            <w:r w:rsidRPr="00CA5599">
              <w:rPr>
                <w:spacing w:val="-2"/>
                <w:sz w:val="20"/>
                <w:szCs w:val="20"/>
              </w:rPr>
              <w:t>SNF</w:t>
            </w:r>
            <w:proofErr w:type="spellEnd"/>
            <w:r w:rsidRPr="00CA5599">
              <w:rPr>
                <w:spacing w:val="-2"/>
                <w:sz w:val="20"/>
                <w:szCs w:val="20"/>
              </w:rPr>
              <w:t xml:space="preserve"> service forms part of ITU’s cost-recovery regime and that the Council’s detailed implementation rules must be read consistently with that higher-level framework. Although Decision 482 grants each Member State a limited annual free entitlement for one filing, that entitlement should, in the </w:t>
            </w:r>
            <w:r w:rsidR="2FF2A902" w:rsidRPr="00CA5599">
              <w:rPr>
                <w:spacing w:val="-2"/>
                <w:sz w:val="20"/>
                <w:szCs w:val="20"/>
              </w:rPr>
              <w:t>s</w:t>
            </w:r>
            <w:r w:rsidRPr="00CA5599">
              <w:rPr>
                <w:spacing w:val="-2"/>
                <w:sz w:val="20"/>
                <w:szCs w:val="20"/>
              </w:rPr>
              <w:t xml:space="preserve">ecretariat’s view, be understood as a feature of the charging model rather than as a basis for excluding the related costs from the overall </w:t>
            </w:r>
            <w:proofErr w:type="spellStart"/>
            <w:r w:rsidRPr="00CA5599">
              <w:rPr>
                <w:spacing w:val="-2"/>
                <w:sz w:val="20"/>
                <w:szCs w:val="20"/>
              </w:rPr>
              <w:t>SNF</w:t>
            </w:r>
            <w:proofErr w:type="spellEnd"/>
            <w:r w:rsidRPr="00CA5599">
              <w:rPr>
                <w:spacing w:val="-2"/>
                <w:sz w:val="20"/>
                <w:szCs w:val="20"/>
              </w:rPr>
              <w:t xml:space="preserve"> cost-recovery calculation. On that basis, the </w:t>
            </w:r>
            <w:r w:rsidR="41F29354" w:rsidRPr="00CA5599">
              <w:rPr>
                <w:spacing w:val="-2"/>
                <w:sz w:val="20"/>
                <w:szCs w:val="20"/>
              </w:rPr>
              <w:t>s</w:t>
            </w:r>
            <w:r w:rsidRPr="00CA5599">
              <w:rPr>
                <w:spacing w:val="-2"/>
                <w:sz w:val="20"/>
                <w:szCs w:val="20"/>
              </w:rPr>
              <w:t xml:space="preserve">ecretariat considers that free entitlement costs </w:t>
            </w:r>
            <w:r w:rsidRPr="00CA5599">
              <w:rPr>
                <w:spacing w:val="-2"/>
                <w:sz w:val="20"/>
                <w:szCs w:val="20"/>
              </w:rPr>
              <w:lastRenderedPageBreak/>
              <w:t xml:space="preserve">should be included in the total costs recovered from </w:t>
            </w:r>
            <w:proofErr w:type="spellStart"/>
            <w:r w:rsidRPr="00CA5599">
              <w:rPr>
                <w:spacing w:val="-2"/>
                <w:sz w:val="20"/>
                <w:szCs w:val="20"/>
              </w:rPr>
              <w:t>SNF</w:t>
            </w:r>
            <w:proofErr w:type="spellEnd"/>
            <w:r w:rsidRPr="00CA5599">
              <w:rPr>
                <w:spacing w:val="-2"/>
                <w:sz w:val="20"/>
                <w:szCs w:val="20"/>
              </w:rPr>
              <w:t>.</w:t>
            </w:r>
          </w:p>
          <w:p w14:paraId="5528AE82" w14:textId="25DA3ED3" w:rsidR="000642A9" w:rsidRPr="004E47EA" w:rsidRDefault="18E1D537" w:rsidP="00CA5599">
            <w:pPr>
              <w:pStyle w:val="Tabletext"/>
              <w:rPr>
                <w:sz w:val="20"/>
                <w:szCs w:val="20"/>
              </w:rPr>
            </w:pPr>
            <w:r w:rsidRPr="004E47EA">
              <w:rPr>
                <w:sz w:val="20"/>
                <w:szCs w:val="20"/>
              </w:rPr>
              <w:t xml:space="preserve">The </w:t>
            </w:r>
            <w:r w:rsidR="6B1BEAB1" w:rsidRPr="004E47EA">
              <w:rPr>
                <w:sz w:val="20"/>
                <w:szCs w:val="20"/>
              </w:rPr>
              <w:t>s</w:t>
            </w:r>
            <w:r w:rsidRPr="004E47EA">
              <w:rPr>
                <w:sz w:val="20"/>
                <w:szCs w:val="20"/>
              </w:rPr>
              <w:t xml:space="preserve">ecretariat had proposed two options: </w:t>
            </w:r>
          </w:p>
          <w:p w14:paraId="14BB9CAD" w14:textId="385812E9" w:rsidR="000642A9" w:rsidRPr="004E47EA" w:rsidRDefault="003E4AD7" w:rsidP="00CA5599">
            <w:pPr>
              <w:pStyle w:val="Tabletext"/>
              <w:ind w:left="284" w:hanging="284"/>
              <w:rPr>
                <w:sz w:val="20"/>
                <w:szCs w:val="20"/>
              </w:rPr>
            </w:pPr>
            <w:r w:rsidRPr="004E47EA">
              <w:rPr>
                <w:rFonts w:eastAsiaTheme="minorEastAsia" w:cs="Calibri"/>
                <w:sz w:val="20"/>
                <w:szCs w:val="20"/>
              </w:rPr>
              <w:t>1</w:t>
            </w:r>
            <w:r w:rsidRPr="004E47EA">
              <w:rPr>
                <w:rFonts w:eastAsiaTheme="minorEastAsia" w:cs="Calibri"/>
                <w:sz w:val="20"/>
                <w:szCs w:val="20"/>
              </w:rPr>
              <w:tab/>
            </w:r>
            <w:r w:rsidR="000642A9" w:rsidRPr="004E47EA">
              <w:rPr>
                <w:sz w:val="20"/>
                <w:szCs w:val="20"/>
              </w:rPr>
              <w:t xml:space="preserve">to limit the filing to the first </w:t>
            </w:r>
            <w:r w:rsidR="00CA5599" w:rsidRPr="004E47EA">
              <w:rPr>
                <w:sz w:val="20"/>
                <w:szCs w:val="20"/>
              </w:rPr>
              <w:t xml:space="preserve">filing </w:t>
            </w:r>
            <w:r w:rsidR="000642A9" w:rsidRPr="004E47EA">
              <w:rPr>
                <w:sz w:val="20"/>
                <w:szCs w:val="20"/>
              </w:rPr>
              <w:t xml:space="preserve">for the year, or </w:t>
            </w:r>
          </w:p>
          <w:p w14:paraId="7C765E74" w14:textId="45CA346F" w:rsidR="000642A9" w:rsidRPr="004E47EA" w:rsidRDefault="003E4AD7" w:rsidP="00CA5599">
            <w:pPr>
              <w:pStyle w:val="Tabletext"/>
              <w:ind w:left="284" w:hanging="284"/>
              <w:rPr>
                <w:sz w:val="20"/>
                <w:szCs w:val="20"/>
              </w:rPr>
            </w:pPr>
            <w:r w:rsidRPr="004E47EA">
              <w:rPr>
                <w:rFonts w:eastAsiaTheme="minorEastAsia" w:cs="Calibri"/>
                <w:sz w:val="20"/>
                <w:szCs w:val="20"/>
              </w:rPr>
              <w:t>2</w:t>
            </w:r>
            <w:r w:rsidRPr="004E47EA">
              <w:rPr>
                <w:rFonts w:eastAsiaTheme="minorEastAsia" w:cs="Calibri"/>
                <w:sz w:val="20"/>
                <w:szCs w:val="20"/>
              </w:rPr>
              <w:tab/>
            </w:r>
            <w:r w:rsidR="000642A9" w:rsidRPr="004E47EA">
              <w:rPr>
                <w:sz w:val="20"/>
                <w:szCs w:val="20"/>
              </w:rPr>
              <w:t xml:space="preserve">to apply the free filing to the cheapest filing by any filing administration in each year. </w:t>
            </w:r>
          </w:p>
          <w:p w14:paraId="348CDA95" w14:textId="77777777" w:rsidR="000642A9" w:rsidRPr="004E47EA" w:rsidRDefault="36F1BF37" w:rsidP="00CA5599">
            <w:pPr>
              <w:pStyle w:val="Tabletext"/>
              <w:rPr>
                <w:sz w:val="20"/>
                <w:szCs w:val="20"/>
              </w:rPr>
            </w:pPr>
            <w:r w:rsidRPr="004E47EA">
              <w:rPr>
                <w:sz w:val="20"/>
                <w:szCs w:val="20"/>
              </w:rPr>
              <w:t>In the first instance, it was noted that this would not necessarily make a difference as multiple filing entities would simply ensure that they planned for the cheapest to be filed first.</w:t>
            </w:r>
          </w:p>
          <w:p w14:paraId="15899AC2" w14:textId="3A4F9515" w:rsidR="000642A9" w:rsidRPr="004E47EA" w:rsidRDefault="2E04B32B" w:rsidP="00CA5599">
            <w:pPr>
              <w:pStyle w:val="Tabletext"/>
              <w:rPr>
                <w:sz w:val="20"/>
                <w:szCs w:val="20"/>
              </w:rPr>
            </w:pPr>
            <w:r w:rsidRPr="004E47EA">
              <w:rPr>
                <w:sz w:val="20"/>
                <w:szCs w:val="20"/>
              </w:rPr>
              <w:t xml:space="preserve">For the second option, it was argued that this would eliminate the benefit of the free filing. The </w:t>
            </w:r>
            <w:r w:rsidR="6EFC7298" w:rsidRPr="004E47EA">
              <w:rPr>
                <w:sz w:val="20"/>
                <w:szCs w:val="20"/>
              </w:rPr>
              <w:t>s</w:t>
            </w:r>
            <w:r w:rsidRPr="004E47EA">
              <w:rPr>
                <w:sz w:val="20"/>
                <w:szCs w:val="20"/>
              </w:rPr>
              <w:t>ecretariat notes that this would only limit the benefit for the larger entities making multiple filings per year, who it can be argued it was not intended to benefit anyway.</w:t>
            </w:r>
          </w:p>
        </w:tc>
        <w:tc>
          <w:tcPr>
            <w:tcW w:w="4016" w:type="dxa"/>
          </w:tcPr>
          <w:p w14:paraId="5B02D134" w14:textId="7854984A" w:rsidR="000642A9" w:rsidRPr="004E47EA" w:rsidRDefault="2E04B32B" w:rsidP="008A4841">
            <w:pPr>
              <w:pStyle w:val="Tabletext"/>
              <w:rPr>
                <w:sz w:val="20"/>
                <w:szCs w:val="20"/>
              </w:rPr>
            </w:pPr>
            <w:r w:rsidRPr="004E47EA">
              <w:rPr>
                <w:sz w:val="20"/>
                <w:szCs w:val="20"/>
              </w:rPr>
              <w:lastRenderedPageBreak/>
              <w:t xml:space="preserve">The </w:t>
            </w:r>
            <w:r w:rsidR="1F39D0E0" w:rsidRPr="004E47EA">
              <w:rPr>
                <w:sz w:val="20"/>
                <w:szCs w:val="20"/>
              </w:rPr>
              <w:t>s</w:t>
            </w:r>
            <w:r w:rsidRPr="004E47EA">
              <w:rPr>
                <w:sz w:val="20"/>
                <w:szCs w:val="20"/>
              </w:rPr>
              <w:t>ecretariat proposes that Council consider one of the following possible approaches to the free filing regime:</w:t>
            </w:r>
          </w:p>
          <w:p w14:paraId="7A83849A" w14:textId="487252DC" w:rsidR="000642A9" w:rsidRPr="004E47EA" w:rsidRDefault="003E4AD7" w:rsidP="00704841">
            <w:pPr>
              <w:pStyle w:val="Tabletext"/>
              <w:ind w:left="284" w:hanging="284"/>
              <w:rPr>
                <w:sz w:val="20"/>
                <w:szCs w:val="20"/>
              </w:rPr>
            </w:pPr>
            <w:r w:rsidRPr="004E47EA">
              <w:rPr>
                <w:rFonts w:eastAsiaTheme="minorEastAsia" w:cs="Calibri"/>
                <w:sz w:val="20"/>
                <w:szCs w:val="20"/>
              </w:rPr>
              <w:t>1.</w:t>
            </w:r>
            <w:r w:rsidRPr="004E47EA">
              <w:rPr>
                <w:rFonts w:eastAsiaTheme="minorEastAsia" w:cs="Calibri"/>
                <w:sz w:val="20"/>
                <w:szCs w:val="20"/>
              </w:rPr>
              <w:tab/>
            </w:r>
            <w:r w:rsidR="000642A9" w:rsidRPr="004E47EA">
              <w:rPr>
                <w:sz w:val="20"/>
                <w:szCs w:val="20"/>
              </w:rPr>
              <w:t>Apply the free filing entitlement to the cheapest filing by any filing administration in each year.</w:t>
            </w:r>
          </w:p>
          <w:p w14:paraId="228307B3" w14:textId="41C869DF" w:rsidR="000642A9" w:rsidRPr="004E47EA" w:rsidRDefault="003E4AD7" w:rsidP="00704841">
            <w:pPr>
              <w:pStyle w:val="Tabletext"/>
              <w:ind w:left="284" w:hanging="284"/>
              <w:rPr>
                <w:sz w:val="20"/>
                <w:szCs w:val="20"/>
              </w:rPr>
            </w:pPr>
            <w:r w:rsidRPr="004E47EA">
              <w:rPr>
                <w:rFonts w:eastAsiaTheme="minorEastAsia" w:cs="Calibri"/>
                <w:sz w:val="20"/>
                <w:szCs w:val="20"/>
              </w:rPr>
              <w:t>2.</w:t>
            </w:r>
            <w:r w:rsidRPr="004E47EA">
              <w:rPr>
                <w:rFonts w:eastAsiaTheme="minorEastAsia" w:cs="Calibri"/>
                <w:sz w:val="20"/>
                <w:szCs w:val="20"/>
              </w:rPr>
              <w:tab/>
            </w:r>
            <w:r w:rsidR="000642A9" w:rsidRPr="004E47EA">
              <w:rPr>
                <w:sz w:val="20"/>
                <w:szCs w:val="20"/>
              </w:rPr>
              <w:t xml:space="preserve">Limit the free entitlement to </w:t>
            </w:r>
            <w:proofErr w:type="spellStart"/>
            <w:r w:rsidR="000642A9" w:rsidRPr="004E47EA">
              <w:rPr>
                <w:sz w:val="20"/>
                <w:szCs w:val="20"/>
              </w:rPr>
              <w:t>LDCs</w:t>
            </w:r>
            <w:proofErr w:type="spellEnd"/>
            <w:r w:rsidR="000642A9" w:rsidRPr="004E47EA">
              <w:rPr>
                <w:sz w:val="20"/>
                <w:szCs w:val="20"/>
              </w:rPr>
              <w:t xml:space="preserve">, SIDS, </w:t>
            </w:r>
            <w:proofErr w:type="spellStart"/>
            <w:r w:rsidR="000642A9" w:rsidRPr="004E47EA">
              <w:rPr>
                <w:sz w:val="20"/>
                <w:szCs w:val="20"/>
              </w:rPr>
              <w:t>LLDCs</w:t>
            </w:r>
            <w:proofErr w:type="spellEnd"/>
            <w:r w:rsidR="000642A9" w:rsidRPr="004E47EA">
              <w:rPr>
                <w:sz w:val="20"/>
                <w:szCs w:val="20"/>
              </w:rPr>
              <w:t xml:space="preserve"> and countries with economies in transition.</w:t>
            </w:r>
          </w:p>
          <w:p w14:paraId="6870653C" w14:textId="2D1E7316" w:rsidR="000642A9" w:rsidRPr="004E47EA" w:rsidRDefault="2E04B32B" w:rsidP="008A4841">
            <w:pPr>
              <w:pStyle w:val="Tabletext"/>
              <w:rPr>
                <w:sz w:val="20"/>
                <w:szCs w:val="20"/>
              </w:rPr>
            </w:pPr>
            <w:r w:rsidRPr="004E47EA">
              <w:rPr>
                <w:sz w:val="20"/>
                <w:szCs w:val="20"/>
              </w:rPr>
              <w:t xml:space="preserve">In each case, the </w:t>
            </w:r>
            <w:r w:rsidR="4F0D6B0A" w:rsidRPr="004E47EA">
              <w:rPr>
                <w:sz w:val="20"/>
                <w:szCs w:val="20"/>
              </w:rPr>
              <w:t>s</w:t>
            </w:r>
            <w:r w:rsidRPr="004E47EA">
              <w:rPr>
                <w:sz w:val="20"/>
                <w:szCs w:val="20"/>
              </w:rPr>
              <w:t xml:space="preserve">ecretariat believes that the correct approach is to include the cost of processing free entitlements in the overall costs of </w:t>
            </w:r>
            <w:proofErr w:type="spellStart"/>
            <w:proofErr w:type="gramStart"/>
            <w:r w:rsidRPr="004E47EA">
              <w:rPr>
                <w:sz w:val="20"/>
                <w:szCs w:val="20"/>
              </w:rPr>
              <w:t>SNF</w:t>
            </w:r>
            <w:proofErr w:type="spellEnd"/>
            <w:r w:rsidRPr="004E47EA">
              <w:rPr>
                <w:sz w:val="20"/>
                <w:szCs w:val="20"/>
              </w:rPr>
              <w:t>, and</w:t>
            </w:r>
            <w:proofErr w:type="gramEnd"/>
            <w:r w:rsidRPr="004E47EA">
              <w:rPr>
                <w:sz w:val="20"/>
                <w:szCs w:val="20"/>
              </w:rPr>
              <w:t xml:space="preserve"> recover the full costs from the </w:t>
            </w:r>
            <w:proofErr w:type="spellStart"/>
            <w:r w:rsidRPr="004E47EA">
              <w:rPr>
                <w:sz w:val="20"/>
                <w:szCs w:val="20"/>
              </w:rPr>
              <w:t>SNF</w:t>
            </w:r>
            <w:proofErr w:type="spellEnd"/>
            <w:r w:rsidRPr="004E47EA">
              <w:rPr>
                <w:sz w:val="20"/>
                <w:szCs w:val="20"/>
              </w:rPr>
              <w:t xml:space="preserve"> fees.</w:t>
            </w:r>
          </w:p>
        </w:tc>
      </w:tr>
      <w:tr w:rsidR="000642A9" w:rsidRPr="004E47EA" w14:paraId="3F841E0B" w14:textId="77777777" w:rsidTr="004E47EA">
        <w:trPr>
          <w:jc w:val="center"/>
        </w:trPr>
        <w:tc>
          <w:tcPr>
            <w:tcW w:w="2122" w:type="dxa"/>
          </w:tcPr>
          <w:p w14:paraId="08DC83B7" w14:textId="77777777" w:rsidR="000642A9" w:rsidRPr="004E47EA" w:rsidRDefault="000642A9" w:rsidP="008A4841">
            <w:pPr>
              <w:pStyle w:val="Tabletext"/>
              <w:rPr>
                <w:sz w:val="20"/>
                <w:szCs w:val="20"/>
              </w:rPr>
            </w:pPr>
          </w:p>
        </w:tc>
        <w:tc>
          <w:tcPr>
            <w:tcW w:w="4016" w:type="dxa"/>
          </w:tcPr>
          <w:p w14:paraId="71FBAF58" w14:textId="77777777" w:rsidR="0055621E" w:rsidRPr="004E47EA" w:rsidRDefault="000642A9" w:rsidP="0055621E">
            <w:pPr>
              <w:pStyle w:val="Tabletext"/>
              <w:rPr>
                <w:sz w:val="20"/>
                <w:szCs w:val="20"/>
              </w:rPr>
            </w:pPr>
            <w:r w:rsidRPr="004E47EA">
              <w:rPr>
                <w:sz w:val="20"/>
                <w:szCs w:val="20"/>
              </w:rPr>
              <w:t>Scope of free filings:</w:t>
            </w:r>
          </w:p>
          <w:p w14:paraId="6AE575EF" w14:textId="5F82B9A7" w:rsidR="000642A9" w:rsidRPr="004E47EA" w:rsidRDefault="000642A9" w:rsidP="0055621E">
            <w:pPr>
              <w:pStyle w:val="Tabletext"/>
              <w:ind w:left="284" w:hanging="284"/>
              <w:rPr>
                <w:sz w:val="20"/>
                <w:szCs w:val="20"/>
              </w:rPr>
            </w:pPr>
            <w:r w:rsidRPr="004E47EA">
              <w:rPr>
                <w:sz w:val="20"/>
                <w:szCs w:val="20"/>
              </w:rPr>
              <w:t>–</w:t>
            </w:r>
            <w:r w:rsidR="00704841" w:rsidRPr="004E47EA">
              <w:rPr>
                <w:sz w:val="20"/>
                <w:szCs w:val="20"/>
              </w:rPr>
              <w:tab/>
            </w:r>
            <w:r w:rsidRPr="004E47EA">
              <w:rPr>
                <w:sz w:val="20"/>
                <w:szCs w:val="20"/>
              </w:rPr>
              <w:t>Proposal to limit free filings to complete satellite systems and exclude modifications.</w:t>
            </w:r>
          </w:p>
          <w:p w14:paraId="596B3E88" w14:textId="10B7F6D0" w:rsidR="000642A9" w:rsidRPr="004E47EA" w:rsidRDefault="000642A9" w:rsidP="0055621E">
            <w:pPr>
              <w:pStyle w:val="Tabletext"/>
              <w:ind w:left="284" w:hanging="284"/>
              <w:rPr>
                <w:sz w:val="20"/>
                <w:szCs w:val="20"/>
              </w:rPr>
            </w:pPr>
            <w:r w:rsidRPr="004E47EA">
              <w:rPr>
                <w:sz w:val="20"/>
                <w:szCs w:val="20"/>
              </w:rPr>
              <w:t>–</w:t>
            </w:r>
            <w:r w:rsidR="00704841" w:rsidRPr="004E47EA">
              <w:rPr>
                <w:sz w:val="20"/>
                <w:szCs w:val="20"/>
              </w:rPr>
              <w:tab/>
            </w:r>
            <w:r w:rsidRPr="004E47EA">
              <w:rPr>
                <w:sz w:val="20"/>
                <w:szCs w:val="20"/>
              </w:rPr>
              <w:t>Questions about whether non</w:t>
            </w:r>
            <w:r w:rsidRPr="004E47EA">
              <w:rPr>
                <w:sz w:val="20"/>
                <w:szCs w:val="20"/>
              </w:rPr>
              <w:noBreakHyphen/>
              <w:t>GSO filings should be eligible, given recent exclusions.</w:t>
            </w:r>
          </w:p>
        </w:tc>
        <w:tc>
          <w:tcPr>
            <w:tcW w:w="4016" w:type="dxa"/>
          </w:tcPr>
          <w:p w14:paraId="01672703" w14:textId="433F827E" w:rsidR="0621C57B" w:rsidRPr="00F62DE0" w:rsidRDefault="0621C57B" w:rsidP="00F62DE0">
            <w:pPr>
              <w:spacing w:before="40" w:after="20"/>
              <w:rPr>
                <w:rFonts w:eastAsia="Calibri" w:cs="Calibri"/>
                <w:spacing w:val="-3"/>
                <w:sz w:val="20"/>
                <w:szCs w:val="20"/>
              </w:rPr>
            </w:pPr>
            <w:r w:rsidRPr="00F62DE0">
              <w:rPr>
                <w:rFonts w:eastAsia="Calibri" w:cs="Calibri"/>
                <w:spacing w:val="-3"/>
                <w:sz w:val="20"/>
                <w:szCs w:val="20"/>
              </w:rPr>
              <w:t xml:space="preserve">Limiting free filings to complete satellite systems and exclude modifications could be easily bypassed and ultimately counterproductive: instead of submitting modifications, complete satellite systems including the intended modifications would be submitted, which would bypass the measure but also uselessly increase the workload of the Radiocommunication Bureau. </w:t>
            </w:r>
          </w:p>
          <w:p w14:paraId="0084EFE3" w14:textId="69062270" w:rsidR="0621C57B" w:rsidRPr="004E47EA" w:rsidRDefault="0621C57B" w:rsidP="00F62DE0">
            <w:pPr>
              <w:spacing w:before="20" w:after="20"/>
              <w:rPr>
                <w:rFonts w:eastAsia="Calibri" w:cs="Calibri"/>
                <w:sz w:val="20"/>
                <w:szCs w:val="20"/>
              </w:rPr>
            </w:pPr>
            <w:r w:rsidRPr="00F62DE0">
              <w:rPr>
                <w:rFonts w:eastAsia="Calibri" w:cs="Calibri"/>
                <w:spacing w:val="-3"/>
                <w:sz w:val="20"/>
                <w:szCs w:val="20"/>
              </w:rPr>
              <w:t xml:space="preserve">Non-GSO filings are very diverse, ranging from small amateur academic projects to very complex single scientific satellites or large constellations of communication satellites. The revision of Decision 482 adopted by the 2025 session of the Council excludes from the application of free filings large and complex non-GSO filings. Since this exclusion has only entered into force on 1 January 2026, </w:t>
            </w:r>
            <w:r w:rsidRPr="00F62DE0">
              <w:rPr>
                <w:rFonts w:eastAsia="Calibri" w:cs="Calibri"/>
                <w:spacing w:val="-3"/>
                <w:sz w:val="20"/>
                <w:szCs w:val="20"/>
              </w:rPr>
              <w:lastRenderedPageBreak/>
              <w:t xml:space="preserve">experience on the efficiency of the measure is still very limited.  </w:t>
            </w:r>
          </w:p>
        </w:tc>
        <w:tc>
          <w:tcPr>
            <w:tcW w:w="4016" w:type="dxa"/>
          </w:tcPr>
          <w:p w14:paraId="1A7B48F1" w14:textId="56D8A96A" w:rsidR="0621C57B" w:rsidRPr="004E47EA" w:rsidRDefault="0621C57B" w:rsidP="005302DA">
            <w:pPr>
              <w:spacing w:before="40" w:after="40"/>
              <w:rPr>
                <w:rFonts w:eastAsia="Calibri" w:cs="Calibri"/>
                <w:sz w:val="20"/>
                <w:szCs w:val="20"/>
              </w:rPr>
            </w:pPr>
            <w:r w:rsidRPr="004E47EA">
              <w:rPr>
                <w:rFonts w:eastAsia="Calibri" w:cs="Calibri"/>
                <w:sz w:val="20"/>
                <w:szCs w:val="20"/>
              </w:rPr>
              <w:lastRenderedPageBreak/>
              <w:t xml:space="preserve">The proposal to limit free filings to complete satellite systems and exclude modifications should not be pursued further. </w:t>
            </w:r>
          </w:p>
          <w:p w14:paraId="2CE26463" w14:textId="1876723F" w:rsidR="0621C57B" w:rsidRPr="004E47EA" w:rsidRDefault="0621C57B">
            <w:pPr>
              <w:spacing w:before="40" w:after="40"/>
              <w:rPr>
                <w:rFonts w:eastAsia="Calibri" w:cs="Calibri"/>
                <w:sz w:val="20"/>
                <w:szCs w:val="20"/>
              </w:rPr>
            </w:pPr>
            <w:r w:rsidRPr="004E47EA">
              <w:rPr>
                <w:rFonts w:eastAsia="Calibri" w:cs="Calibri"/>
                <w:sz w:val="20"/>
                <w:szCs w:val="20"/>
              </w:rPr>
              <w:t xml:space="preserve">Concerning the eligibility of non-GSO filings, the 2027 session of Council should review the first year of implementation of the decisions by Council 2025 and assess whether additional measures are necessary. </w:t>
            </w:r>
          </w:p>
        </w:tc>
      </w:tr>
      <w:tr w:rsidR="000642A9" w:rsidRPr="004E47EA" w14:paraId="0AC42C3B" w14:textId="77777777" w:rsidTr="004E47EA">
        <w:trPr>
          <w:jc w:val="center"/>
        </w:trPr>
        <w:tc>
          <w:tcPr>
            <w:tcW w:w="2122" w:type="dxa"/>
          </w:tcPr>
          <w:p w14:paraId="4A815424" w14:textId="44D8E582" w:rsidR="000642A9" w:rsidRPr="004E47EA" w:rsidRDefault="000642A9" w:rsidP="008A4841">
            <w:pPr>
              <w:pStyle w:val="Tabletext"/>
              <w:rPr>
                <w:sz w:val="20"/>
                <w:szCs w:val="20"/>
              </w:rPr>
            </w:pPr>
            <w:r w:rsidRPr="004E47EA">
              <w:rPr>
                <w:sz w:val="20"/>
                <w:szCs w:val="20"/>
              </w:rPr>
              <w:t xml:space="preserve">Predictability and </w:t>
            </w:r>
            <w:r w:rsidR="00F62DE0" w:rsidRPr="004E47EA">
              <w:rPr>
                <w:sz w:val="20"/>
                <w:szCs w:val="20"/>
              </w:rPr>
              <w:t>stability of fees</w:t>
            </w:r>
          </w:p>
        </w:tc>
        <w:tc>
          <w:tcPr>
            <w:tcW w:w="4016" w:type="dxa"/>
          </w:tcPr>
          <w:p w14:paraId="5E85D6EC" w14:textId="35193115" w:rsidR="000642A9" w:rsidRPr="004E47EA" w:rsidRDefault="000642A9" w:rsidP="008A4841">
            <w:pPr>
              <w:pStyle w:val="Tabletext"/>
              <w:rPr>
                <w:sz w:val="20"/>
                <w:szCs w:val="20"/>
              </w:rPr>
            </w:pPr>
            <w:r w:rsidRPr="004E47EA">
              <w:rPr>
                <w:sz w:val="20"/>
                <w:szCs w:val="20"/>
              </w:rPr>
              <w:t>Concerns were raised about the proposed “true</w:t>
            </w:r>
            <w:r w:rsidRPr="004E47EA">
              <w:rPr>
                <w:sz w:val="20"/>
                <w:szCs w:val="20"/>
              </w:rPr>
              <w:noBreakHyphen/>
              <w:t>up, true</w:t>
            </w:r>
            <w:r w:rsidRPr="004E47EA">
              <w:rPr>
                <w:sz w:val="20"/>
                <w:szCs w:val="20"/>
              </w:rPr>
              <w:noBreakHyphen/>
              <w:t>down” mechanism, due to perceived risk transfer to operators.</w:t>
            </w:r>
          </w:p>
          <w:p w14:paraId="58AB9C07" w14:textId="77777777" w:rsidR="00704841" w:rsidRPr="004E47EA" w:rsidRDefault="000642A9" w:rsidP="008A4841">
            <w:pPr>
              <w:pStyle w:val="Tabletext"/>
              <w:rPr>
                <w:sz w:val="20"/>
                <w:szCs w:val="20"/>
              </w:rPr>
            </w:pPr>
            <w:r w:rsidRPr="004E47EA">
              <w:rPr>
                <w:sz w:val="20"/>
                <w:szCs w:val="20"/>
              </w:rPr>
              <w:t>Some delegates requested:</w:t>
            </w:r>
          </w:p>
          <w:p w14:paraId="3E1C92FB" w14:textId="77777777" w:rsidR="00704841" w:rsidRPr="004E47EA" w:rsidRDefault="00704841" w:rsidP="008A4841">
            <w:pPr>
              <w:pStyle w:val="Tabletext"/>
              <w:rPr>
                <w:sz w:val="20"/>
                <w:szCs w:val="20"/>
              </w:rPr>
            </w:pPr>
            <w:r w:rsidRPr="004E47EA">
              <w:rPr>
                <w:sz w:val="20"/>
                <w:szCs w:val="20"/>
              </w:rPr>
              <w:t>–</w:t>
            </w:r>
            <w:r w:rsidRPr="004E47EA">
              <w:rPr>
                <w:sz w:val="20"/>
                <w:szCs w:val="20"/>
              </w:rPr>
              <w:tab/>
            </w:r>
            <w:r w:rsidR="000642A9" w:rsidRPr="004E47EA">
              <w:rPr>
                <w:sz w:val="20"/>
                <w:szCs w:val="20"/>
              </w:rPr>
              <w:t>Multi</w:t>
            </w:r>
            <w:r w:rsidR="000642A9" w:rsidRPr="004E47EA">
              <w:rPr>
                <w:sz w:val="20"/>
                <w:szCs w:val="20"/>
              </w:rPr>
              <w:noBreakHyphen/>
              <w:t>year planning frameworks</w:t>
            </w:r>
          </w:p>
          <w:p w14:paraId="4201D7AB" w14:textId="77777777" w:rsidR="00704841" w:rsidRPr="004E47EA" w:rsidRDefault="000642A9" w:rsidP="008A4841">
            <w:pPr>
              <w:pStyle w:val="Tabletext"/>
              <w:rPr>
                <w:sz w:val="20"/>
                <w:szCs w:val="20"/>
              </w:rPr>
            </w:pPr>
            <w:r w:rsidRPr="004E47EA">
              <w:rPr>
                <w:sz w:val="20"/>
                <w:szCs w:val="20"/>
              </w:rPr>
              <w:t>–</w:t>
            </w:r>
            <w:r w:rsidR="00704841" w:rsidRPr="004E47EA">
              <w:rPr>
                <w:sz w:val="20"/>
                <w:szCs w:val="20"/>
              </w:rPr>
              <w:tab/>
            </w:r>
            <w:r w:rsidRPr="004E47EA">
              <w:rPr>
                <w:sz w:val="20"/>
                <w:szCs w:val="20"/>
              </w:rPr>
              <w:t>Clear ceilings and floors</w:t>
            </w:r>
          </w:p>
          <w:p w14:paraId="4F930083" w14:textId="10903FF3" w:rsidR="000642A9" w:rsidRPr="004E47EA" w:rsidRDefault="000642A9" w:rsidP="008A4841">
            <w:pPr>
              <w:pStyle w:val="Tabletext"/>
              <w:rPr>
                <w:sz w:val="20"/>
                <w:szCs w:val="20"/>
              </w:rPr>
            </w:pPr>
            <w:r w:rsidRPr="004E47EA">
              <w:rPr>
                <w:sz w:val="20"/>
                <w:szCs w:val="20"/>
              </w:rPr>
              <w:t>–</w:t>
            </w:r>
            <w:r w:rsidR="00704841" w:rsidRPr="004E47EA">
              <w:rPr>
                <w:sz w:val="20"/>
                <w:szCs w:val="20"/>
              </w:rPr>
              <w:tab/>
            </w:r>
            <w:r w:rsidRPr="004E47EA">
              <w:rPr>
                <w:sz w:val="20"/>
                <w:szCs w:val="20"/>
              </w:rPr>
              <w:t>Stable, auditable forecasting</w:t>
            </w:r>
            <w:r w:rsidR="004E47EA" w:rsidRPr="004E47EA">
              <w:rPr>
                <w:sz w:val="20"/>
                <w:szCs w:val="20"/>
              </w:rPr>
              <w:t>.</w:t>
            </w:r>
          </w:p>
          <w:p w14:paraId="61959D13" w14:textId="5012BF1B" w:rsidR="000642A9" w:rsidRPr="004E47EA" w:rsidRDefault="000642A9" w:rsidP="00704841">
            <w:pPr>
              <w:pStyle w:val="Tabletext"/>
              <w:rPr>
                <w:sz w:val="20"/>
                <w:szCs w:val="20"/>
              </w:rPr>
            </w:pPr>
            <w:r w:rsidRPr="004E47EA">
              <w:rPr>
                <w:sz w:val="20"/>
                <w:szCs w:val="20"/>
              </w:rPr>
              <w:t xml:space="preserve">Delegates linked fee stability to market access predictability for both GSO and </w:t>
            </w:r>
            <w:r w:rsidR="00704841" w:rsidRPr="004E47EA">
              <w:rPr>
                <w:sz w:val="20"/>
                <w:szCs w:val="20"/>
              </w:rPr>
              <w:t>non</w:t>
            </w:r>
            <w:r w:rsidR="00704841" w:rsidRPr="004E47EA">
              <w:rPr>
                <w:sz w:val="20"/>
                <w:szCs w:val="20"/>
              </w:rPr>
              <w:noBreakHyphen/>
            </w:r>
            <w:r w:rsidRPr="004E47EA">
              <w:rPr>
                <w:sz w:val="20"/>
                <w:szCs w:val="20"/>
              </w:rPr>
              <w:t>GSO operators.</w:t>
            </w:r>
          </w:p>
        </w:tc>
        <w:tc>
          <w:tcPr>
            <w:tcW w:w="4016" w:type="dxa"/>
          </w:tcPr>
          <w:p w14:paraId="43B7C495" w14:textId="63589B85" w:rsidR="000642A9" w:rsidRPr="004E47EA" w:rsidRDefault="18E1D537" w:rsidP="008A4841">
            <w:pPr>
              <w:pStyle w:val="Tabletext"/>
              <w:rPr>
                <w:sz w:val="20"/>
                <w:szCs w:val="20"/>
              </w:rPr>
            </w:pPr>
            <w:r w:rsidRPr="004E47EA">
              <w:rPr>
                <w:sz w:val="20"/>
                <w:szCs w:val="20"/>
              </w:rPr>
              <w:t xml:space="preserve">These concerns are appreciated, yet the requirements of Res. 91, requiring full cost recovery, necessitate a mechanism for addressing the current fluctuations in the markets. The </w:t>
            </w:r>
            <w:r w:rsidR="60954DDB" w:rsidRPr="004E47EA">
              <w:rPr>
                <w:sz w:val="20"/>
                <w:szCs w:val="20"/>
              </w:rPr>
              <w:t>s</w:t>
            </w:r>
            <w:r w:rsidRPr="004E47EA">
              <w:rPr>
                <w:sz w:val="20"/>
                <w:szCs w:val="20"/>
              </w:rPr>
              <w:t xml:space="preserve">ecretariat notes that this would benefit the industry in years where the recovery increases. </w:t>
            </w:r>
          </w:p>
          <w:p w14:paraId="43E90A27" w14:textId="4DC16D70" w:rsidR="000642A9" w:rsidRPr="004E47EA" w:rsidRDefault="009B5F14" w:rsidP="008A4841">
            <w:pPr>
              <w:pStyle w:val="Tabletext"/>
              <w:rPr>
                <w:sz w:val="20"/>
                <w:szCs w:val="20"/>
              </w:rPr>
            </w:pPr>
            <w:r w:rsidRPr="004E47EA">
              <w:rPr>
                <w:sz w:val="20"/>
                <w:szCs w:val="20"/>
              </w:rPr>
              <w:t xml:space="preserve">Given the level of complexity </w:t>
            </w:r>
            <w:r w:rsidR="006E2995" w:rsidRPr="004E47EA">
              <w:rPr>
                <w:sz w:val="20"/>
                <w:szCs w:val="20"/>
              </w:rPr>
              <w:t>of this mechanism and the 2</w:t>
            </w:r>
            <w:r w:rsidR="004E47EA" w:rsidRPr="004E47EA">
              <w:rPr>
                <w:sz w:val="20"/>
                <w:szCs w:val="20"/>
              </w:rPr>
              <w:t>-</w:t>
            </w:r>
            <w:r w:rsidR="006E2995" w:rsidRPr="004E47EA">
              <w:rPr>
                <w:sz w:val="20"/>
                <w:szCs w:val="20"/>
              </w:rPr>
              <w:t>year review of fe</w:t>
            </w:r>
            <w:r w:rsidR="00DE747B" w:rsidRPr="004E47EA">
              <w:rPr>
                <w:sz w:val="20"/>
                <w:szCs w:val="20"/>
              </w:rPr>
              <w:t>e</w:t>
            </w:r>
            <w:r w:rsidR="006E2995" w:rsidRPr="004E47EA">
              <w:rPr>
                <w:sz w:val="20"/>
                <w:szCs w:val="20"/>
              </w:rPr>
              <w:t>s</w:t>
            </w:r>
            <w:r w:rsidR="00B40F6A" w:rsidRPr="004E47EA">
              <w:rPr>
                <w:sz w:val="20"/>
                <w:szCs w:val="20"/>
              </w:rPr>
              <w:t>, revenue and budget</w:t>
            </w:r>
            <w:r w:rsidR="006E2995" w:rsidRPr="004E47EA">
              <w:rPr>
                <w:sz w:val="20"/>
                <w:szCs w:val="20"/>
              </w:rPr>
              <w:t xml:space="preserve"> the </w:t>
            </w:r>
            <w:r w:rsidR="508CBD59" w:rsidRPr="004E47EA">
              <w:rPr>
                <w:sz w:val="20"/>
                <w:szCs w:val="20"/>
              </w:rPr>
              <w:t>s</w:t>
            </w:r>
            <w:r w:rsidR="2E04B32B" w:rsidRPr="004E47EA">
              <w:rPr>
                <w:sz w:val="20"/>
                <w:szCs w:val="20"/>
              </w:rPr>
              <w:t xml:space="preserve">ecretariat </w:t>
            </w:r>
            <w:r w:rsidR="006E2995" w:rsidRPr="004E47EA">
              <w:rPr>
                <w:sz w:val="20"/>
                <w:szCs w:val="20"/>
              </w:rPr>
              <w:t xml:space="preserve">is proposing to drop this </w:t>
            </w:r>
            <w:r w:rsidR="00766AB3" w:rsidRPr="004E47EA">
              <w:rPr>
                <w:sz w:val="20"/>
                <w:szCs w:val="20"/>
              </w:rPr>
              <w:t>proposal</w:t>
            </w:r>
            <w:r w:rsidR="2E04B32B" w:rsidRPr="004E47EA">
              <w:rPr>
                <w:sz w:val="20"/>
                <w:szCs w:val="20"/>
              </w:rPr>
              <w:t>.</w:t>
            </w:r>
          </w:p>
        </w:tc>
        <w:tc>
          <w:tcPr>
            <w:tcW w:w="4016" w:type="dxa"/>
          </w:tcPr>
          <w:p w14:paraId="5E374E50" w14:textId="46550CEF" w:rsidR="000642A9" w:rsidRPr="004E47EA" w:rsidRDefault="18E1D537" w:rsidP="008A4841">
            <w:pPr>
              <w:pStyle w:val="Tabletext"/>
              <w:rPr>
                <w:sz w:val="20"/>
                <w:szCs w:val="20"/>
              </w:rPr>
            </w:pPr>
            <w:r w:rsidRPr="004E47EA">
              <w:rPr>
                <w:sz w:val="20"/>
                <w:szCs w:val="20"/>
              </w:rPr>
              <w:t xml:space="preserve">The </w:t>
            </w:r>
            <w:r w:rsidR="6D5A6A4D" w:rsidRPr="004E47EA">
              <w:rPr>
                <w:sz w:val="20"/>
                <w:szCs w:val="20"/>
              </w:rPr>
              <w:t>s</w:t>
            </w:r>
            <w:r w:rsidRPr="004E47EA">
              <w:rPr>
                <w:sz w:val="20"/>
                <w:szCs w:val="20"/>
              </w:rPr>
              <w:t>ecretariat has proposed that the review be every two years, rather than annual, and has also proposed a cap of 10% on increases or decreases resulting from these reviews.</w:t>
            </w:r>
          </w:p>
        </w:tc>
      </w:tr>
      <w:tr w:rsidR="000642A9" w:rsidRPr="004E47EA" w14:paraId="14D6110D" w14:textId="77777777" w:rsidTr="004E47EA">
        <w:trPr>
          <w:jc w:val="center"/>
        </w:trPr>
        <w:tc>
          <w:tcPr>
            <w:tcW w:w="2122" w:type="dxa"/>
          </w:tcPr>
          <w:p w14:paraId="22E18CC1" w14:textId="05434F5B" w:rsidR="000642A9" w:rsidRPr="004E47EA" w:rsidRDefault="000642A9" w:rsidP="008A4841">
            <w:pPr>
              <w:pStyle w:val="Tabletext"/>
              <w:rPr>
                <w:sz w:val="20"/>
                <w:szCs w:val="20"/>
              </w:rPr>
            </w:pPr>
            <w:r w:rsidRPr="004E47EA">
              <w:rPr>
                <w:sz w:val="20"/>
                <w:szCs w:val="20"/>
              </w:rPr>
              <w:t xml:space="preserve">Need for </w:t>
            </w:r>
            <w:r w:rsidR="00F62DE0" w:rsidRPr="004E47EA">
              <w:rPr>
                <w:sz w:val="20"/>
                <w:szCs w:val="20"/>
              </w:rPr>
              <w:t>greater transparency and audited data</w:t>
            </w:r>
          </w:p>
        </w:tc>
        <w:tc>
          <w:tcPr>
            <w:tcW w:w="4016" w:type="dxa"/>
          </w:tcPr>
          <w:p w14:paraId="07CCC24A" w14:textId="332F3A91" w:rsidR="000642A9" w:rsidRPr="004E47EA" w:rsidRDefault="36432964" w:rsidP="00704841">
            <w:pPr>
              <w:pStyle w:val="Tabletext"/>
              <w:rPr>
                <w:sz w:val="20"/>
                <w:szCs w:val="20"/>
              </w:rPr>
            </w:pPr>
            <w:r w:rsidRPr="004E47EA">
              <w:rPr>
                <w:sz w:val="20"/>
                <w:szCs w:val="20"/>
              </w:rPr>
              <w:t>The s</w:t>
            </w:r>
            <w:r w:rsidR="2E04B32B" w:rsidRPr="004E47EA">
              <w:rPr>
                <w:sz w:val="20"/>
                <w:szCs w:val="20"/>
              </w:rPr>
              <w:t>ecretariat’s proposals should be based on audited operational data from BR</w:t>
            </w:r>
          </w:p>
        </w:tc>
        <w:tc>
          <w:tcPr>
            <w:tcW w:w="4016" w:type="dxa"/>
          </w:tcPr>
          <w:p w14:paraId="065CD0B5" w14:textId="6F1DFAC7" w:rsidR="000642A9" w:rsidRPr="004E47EA" w:rsidRDefault="000642A9" w:rsidP="0055621E">
            <w:pPr>
              <w:pStyle w:val="Tabletext"/>
              <w:rPr>
                <w:sz w:val="20"/>
                <w:szCs w:val="20"/>
              </w:rPr>
            </w:pPr>
            <w:r w:rsidRPr="004E47EA">
              <w:rPr>
                <w:sz w:val="20"/>
                <w:szCs w:val="20"/>
              </w:rPr>
              <w:t xml:space="preserve">The proposals are based on ITU’s financial statements, including Human Resource </w:t>
            </w:r>
            <w:r w:rsidR="0055621E" w:rsidRPr="004E47EA">
              <w:rPr>
                <w:sz w:val="20"/>
                <w:szCs w:val="20"/>
              </w:rPr>
              <w:t>data,</w:t>
            </w:r>
            <w:r w:rsidRPr="004E47EA">
              <w:rPr>
                <w:sz w:val="20"/>
                <w:szCs w:val="20"/>
              </w:rPr>
              <w:t xml:space="preserve"> which is audited, though ITU uses the most up to date information available and therefore they may be pre-audit. Using data from audited statements will result in the use of </w:t>
            </w:r>
            <w:r w:rsidR="0055621E" w:rsidRPr="004E47EA">
              <w:rPr>
                <w:sz w:val="20"/>
                <w:szCs w:val="20"/>
              </w:rPr>
              <w:t>two-year-old</w:t>
            </w:r>
            <w:r w:rsidRPr="004E47EA">
              <w:rPr>
                <w:sz w:val="20"/>
                <w:szCs w:val="20"/>
              </w:rPr>
              <w:t xml:space="preserve"> financial data, which would not align with current market information.</w:t>
            </w:r>
          </w:p>
        </w:tc>
        <w:tc>
          <w:tcPr>
            <w:tcW w:w="4016" w:type="dxa"/>
          </w:tcPr>
          <w:p w14:paraId="31BF596A" w14:textId="77777777" w:rsidR="000642A9" w:rsidRPr="004E47EA" w:rsidRDefault="000642A9" w:rsidP="008A4841">
            <w:pPr>
              <w:pStyle w:val="Tabletext"/>
              <w:rPr>
                <w:sz w:val="20"/>
                <w:szCs w:val="20"/>
              </w:rPr>
            </w:pPr>
          </w:p>
        </w:tc>
      </w:tr>
      <w:tr w:rsidR="000642A9" w:rsidRPr="004E47EA" w14:paraId="66BC3462" w14:textId="77777777" w:rsidTr="004E47EA">
        <w:trPr>
          <w:jc w:val="center"/>
        </w:trPr>
        <w:tc>
          <w:tcPr>
            <w:tcW w:w="2122" w:type="dxa"/>
          </w:tcPr>
          <w:p w14:paraId="7358D585" w14:textId="77777777" w:rsidR="000642A9" w:rsidRPr="004E47EA" w:rsidRDefault="000642A9" w:rsidP="008A4841">
            <w:pPr>
              <w:pStyle w:val="Tabletext"/>
              <w:rPr>
                <w:sz w:val="20"/>
                <w:szCs w:val="20"/>
              </w:rPr>
            </w:pPr>
          </w:p>
        </w:tc>
        <w:tc>
          <w:tcPr>
            <w:tcW w:w="4016" w:type="dxa"/>
          </w:tcPr>
          <w:p w14:paraId="6712D99A" w14:textId="28BFBCF4" w:rsidR="000642A9" w:rsidRPr="004E47EA" w:rsidRDefault="000642A9" w:rsidP="00704841">
            <w:pPr>
              <w:pStyle w:val="Tabletext"/>
              <w:rPr>
                <w:sz w:val="20"/>
                <w:szCs w:val="20"/>
              </w:rPr>
            </w:pPr>
            <w:r w:rsidRPr="004E47EA">
              <w:rPr>
                <w:sz w:val="20"/>
                <w:szCs w:val="20"/>
              </w:rPr>
              <w:t>How will efficiency improvements be measured and reported?</w:t>
            </w:r>
          </w:p>
        </w:tc>
        <w:tc>
          <w:tcPr>
            <w:tcW w:w="4016" w:type="dxa"/>
          </w:tcPr>
          <w:p w14:paraId="0C72BEAB" w14:textId="24942BCE" w:rsidR="000642A9" w:rsidRPr="004E47EA" w:rsidRDefault="36F1BF37" w:rsidP="00704841">
            <w:pPr>
              <w:pStyle w:val="Tabletext"/>
              <w:rPr>
                <w:sz w:val="20"/>
                <w:szCs w:val="20"/>
              </w:rPr>
            </w:pPr>
            <w:r w:rsidRPr="004E47EA">
              <w:rPr>
                <w:sz w:val="20"/>
                <w:szCs w:val="20"/>
              </w:rPr>
              <w:t xml:space="preserve">Efficiency improvements will result in less costs to produce greater outputs, therefore this would be reflected in the operational reports produced by the BR and presented annually to </w:t>
            </w:r>
            <w:r w:rsidR="05DFE1DD" w:rsidRPr="004E47EA">
              <w:rPr>
                <w:sz w:val="20"/>
                <w:szCs w:val="20"/>
              </w:rPr>
              <w:t>R</w:t>
            </w:r>
            <w:r w:rsidR="000642A9" w:rsidRPr="004E47EA">
              <w:rPr>
                <w:sz w:val="20"/>
                <w:szCs w:val="20"/>
              </w:rPr>
              <w:t>AG</w:t>
            </w:r>
            <w:r w:rsidRPr="004E47EA">
              <w:rPr>
                <w:sz w:val="20"/>
                <w:szCs w:val="20"/>
              </w:rPr>
              <w:t>.</w:t>
            </w:r>
          </w:p>
        </w:tc>
        <w:tc>
          <w:tcPr>
            <w:tcW w:w="4016" w:type="dxa"/>
          </w:tcPr>
          <w:p w14:paraId="29095986" w14:textId="77777777" w:rsidR="000642A9" w:rsidRPr="004E47EA" w:rsidRDefault="000642A9" w:rsidP="008A4841">
            <w:pPr>
              <w:pStyle w:val="Tabletext"/>
              <w:rPr>
                <w:sz w:val="20"/>
                <w:szCs w:val="20"/>
              </w:rPr>
            </w:pPr>
          </w:p>
        </w:tc>
      </w:tr>
      <w:tr w:rsidR="000642A9" w:rsidRPr="004E47EA" w14:paraId="7957E4D0" w14:textId="77777777" w:rsidTr="004E47EA">
        <w:trPr>
          <w:jc w:val="center"/>
        </w:trPr>
        <w:tc>
          <w:tcPr>
            <w:tcW w:w="2122" w:type="dxa"/>
          </w:tcPr>
          <w:p w14:paraId="5D32711C" w14:textId="77777777" w:rsidR="000642A9" w:rsidRPr="004E47EA" w:rsidRDefault="000642A9" w:rsidP="008A4841">
            <w:pPr>
              <w:pStyle w:val="Tabletext"/>
              <w:rPr>
                <w:sz w:val="20"/>
                <w:szCs w:val="20"/>
              </w:rPr>
            </w:pPr>
          </w:p>
        </w:tc>
        <w:tc>
          <w:tcPr>
            <w:tcW w:w="4016" w:type="dxa"/>
          </w:tcPr>
          <w:p w14:paraId="35022C3D" w14:textId="5021E423" w:rsidR="000642A9" w:rsidRPr="004E47EA" w:rsidRDefault="2E04B32B" w:rsidP="00704841">
            <w:pPr>
              <w:pStyle w:val="Tabletext"/>
              <w:rPr>
                <w:sz w:val="20"/>
                <w:szCs w:val="20"/>
              </w:rPr>
            </w:pPr>
            <w:r w:rsidRPr="004E47EA">
              <w:rPr>
                <w:sz w:val="20"/>
                <w:szCs w:val="20"/>
              </w:rPr>
              <w:t xml:space="preserve">How will the </w:t>
            </w:r>
            <w:r w:rsidR="38332BDF" w:rsidRPr="004E47EA">
              <w:rPr>
                <w:sz w:val="20"/>
                <w:szCs w:val="20"/>
              </w:rPr>
              <w:t>s</w:t>
            </w:r>
            <w:r w:rsidRPr="004E47EA">
              <w:rPr>
                <w:sz w:val="20"/>
                <w:szCs w:val="20"/>
              </w:rPr>
              <w:t>ecretariat ensure that cost recovery does not become budget recovery?</w:t>
            </w:r>
          </w:p>
        </w:tc>
        <w:tc>
          <w:tcPr>
            <w:tcW w:w="4016" w:type="dxa"/>
          </w:tcPr>
          <w:p w14:paraId="2F6800E5" w14:textId="772247E7" w:rsidR="000642A9" w:rsidRPr="004E47EA" w:rsidRDefault="18E1D537" w:rsidP="008A4841">
            <w:pPr>
              <w:pStyle w:val="Tabletext"/>
              <w:rPr>
                <w:sz w:val="20"/>
                <w:szCs w:val="20"/>
              </w:rPr>
            </w:pPr>
            <w:r w:rsidRPr="004E47EA">
              <w:rPr>
                <w:sz w:val="20"/>
                <w:szCs w:val="20"/>
              </w:rPr>
              <w:t xml:space="preserve">Cost recovery is, by nature, partial budget recovery. The intent of cost recovery is that the part of the revenue which pays for </w:t>
            </w:r>
            <w:proofErr w:type="spellStart"/>
            <w:r w:rsidRPr="004E47EA">
              <w:rPr>
                <w:sz w:val="20"/>
                <w:szCs w:val="20"/>
              </w:rPr>
              <w:t>SNF</w:t>
            </w:r>
            <w:proofErr w:type="spellEnd"/>
            <w:r w:rsidRPr="004E47EA">
              <w:rPr>
                <w:sz w:val="20"/>
                <w:szCs w:val="20"/>
              </w:rPr>
              <w:t xml:space="preserve"> costs (which are in ITU’s budget) should not be greater than the expenses which ITU incurs for </w:t>
            </w:r>
            <w:proofErr w:type="spellStart"/>
            <w:r w:rsidRPr="004E47EA">
              <w:rPr>
                <w:sz w:val="20"/>
                <w:szCs w:val="20"/>
              </w:rPr>
              <w:t>SNF</w:t>
            </w:r>
            <w:proofErr w:type="spellEnd"/>
            <w:r w:rsidRPr="004E47EA">
              <w:rPr>
                <w:sz w:val="20"/>
                <w:szCs w:val="20"/>
              </w:rPr>
              <w:t xml:space="preserve"> processing. </w:t>
            </w:r>
          </w:p>
        </w:tc>
        <w:tc>
          <w:tcPr>
            <w:tcW w:w="4016" w:type="dxa"/>
          </w:tcPr>
          <w:p w14:paraId="43F717C6" w14:textId="77777777" w:rsidR="000642A9" w:rsidRPr="004E47EA" w:rsidRDefault="000642A9" w:rsidP="008A4841">
            <w:pPr>
              <w:pStyle w:val="Tabletext"/>
              <w:rPr>
                <w:sz w:val="20"/>
                <w:szCs w:val="20"/>
              </w:rPr>
            </w:pPr>
          </w:p>
        </w:tc>
      </w:tr>
      <w:tr w:rsidR="000642A9" w:rsidRPr="004E47EA" w14:paraId="4D3FD455" w14:textId="77777777" w:rsidTr="004E47EA">
        <w:trPr>
          <w:jc w:val="center"/>
        </w:trPr>
        <w:tc>
          <w:tcPr>
            <w:tcW w:w="2122" w:type="dxa"/>
          </w:tcPr>
          <w:p w14:paraId="3BF1F041" w14:textId="77777777" w:rsidR="000642A9" w:rsidRPr="004E47EA" w:rsidRDefault="000642A9" w:rsidP="00F62DE0">
            <w:pPr>
              <w:pStyle w:val="Tabletext"/>
              <w:keepNext/>
              <w:keepLines/>
              <w:rPr>
                <w:sz w:val="20"/>
                <w:szCs w:val="20"/>
              </w:rPr>
            </w:pPr>
          </w:p>
        </w:tc>
        <w:tc>
          <w:tcPr>
            <w:tcW w:w="4016" w:type="dxa"/>
          </w:tcPr>
          <w:p w14:paraId="5B9B6C0A" w14:textId="77777777" w:rsidR="00704841" w:rsidRPr="004E47EA" w:rsidRDefault="000642A9" w:rsidP="00F62DE0">
            <w:pPr>
              <w:pStyle w:val="Tabletext"/>
              <w:keepNext/>
              <w:keepLines/>
              <w:rPr>
                <w:sz w:val="20"/>
                <w:szCs w:val="20"/>
              </w:rPr>
            </w:pPr>
            <w:r w:rsidRPr="004E47EA">
              <w:rPr>
                <w:sz w:val="20"/>
                <w:szCs w:val="20"/>
              </w:rPr>
              <w:t>Delegates requested annual statistics on:</w:t>
            </w:r>
          </w:p>
          <w:p w14:paraId="20709FC7" w14:textId="66FF0110" w:rsidR="00704841" w:rsidRPr="004E47EA" w:rsidRDefault="000642A9" w:rsidP="00F62DE0">
            <w:pPr>
              <w:pStyle w:val="Tabletext"/>
              <w:keepNext/>
              <w:keepLines/>
              <w:ind w:left="284" w:hanging="284"/>
              <w:rPr>
                <w:sz w:val="20"/>
                <w:szCs w:val="20"/>
              </w:rPr>
            </w:pPr>
            <w:r w:rsidRPr="004E47EA">
              <w:rPr>
                <w:sz w:val="20"/>
                <w:szCs w:val="20"/>
              </w:rPr>
              <w:t>–</w:t>
            </w:r>
            <w:r w:rsidR="00704841" w:rsidRPr="004E47EA">
              <w:rPr>
                <w:sz w:val="20"/>
                <w:szCs w:val="20"/>
              </w:rPr>
              <w:tab/>
            </w:r>
            <w:r w:rsidRPr="004E47EA">
              <w:rPr>
                <w:sz w:val="20"/>
                <w:szCs w:val="20"/>
              </w:rPr>
              <w:t>Use of free entitlements</w:t>
            </w:r>
          </w:p>
          <w:p w14:paraId="52B9A3ED" w14:textId="188AAFF7" w:rsidR="00704841" w:rsidRPr="004E47EA" w:rsidRDefault="000642A9" w:rsidP="00F62DE0">
            <w:pPr>
              <w:pStyle w:val="Tabletext"/>
              <w:keepNext/>
              <w:keepLines/>
              <w:ind w:left="284" w:hanging="284"/>
              <w:rPr>
                <w:sz w:val="20"/>
                <w:szCs w:val="20"/>
              </w:rPr>
            </w:pPr>
            <w:r w:rsidRPr="004E47EA">
              <w:rPr>
                <w:sz w:val="20"/>
                <w:szCs w:val="20"/>
              </w:rPr>
              <w:t>–</w:t>
            </w:r>
            <w:r w:rsidR="00704841" w:rsidRPr="004E47EA">
              <w:rPr>
                <w:sz w:val="20"/>
                <w:szCs w:val="20"/>
              </w:rPr>
              <w:tab/>
            </w:r>
            <w:r w:rsidRPr="004E47EA">
              <w:rPr>
                <w:sz w:val="20"/>
                <w:szCs w:val="20"/>
              </w:rPr>
              <w:t>Financial implications of filings within large constellations</w:t>
            </w:r>
          </w:p>
          <w:p w14:paraId="4B9ACEA5" w14:textId="192AA4FC" w:rsidR="000642A9" w:rsidRPr="004E47EA" w:rsidRDefault="000642A9" w:rsidP="00F62DE0">
            <w:pPr>
              <w:pStyle w:val="Tabletext"/>
              <w:keepNext/>
              <w:keepLines/>
              <w:ind w:left="284" w:hanging="284"/>
              <w:rPr>
                <w:sz w:val="20"/>
                <w:szCs w:val="20"/>
              </w:rPr>
            </w:pPr>
            <w:r w:rsidRPr="004E47EA">
              <w:rPr>
                <w:sz w:val="20"/>
                <w:szCs w:val="20"/>
              </w:rPr>
              <w:t>–</w:t>
            </w:r>
            <w:r w:rsidR="00704841" w:rsidRPr="004E47EA">
              <w:rPr>
                <w:sz w:val="20"/>
                <w:szCs w:val="20"/>
              </w:rPr>
              <w:tab/>
            </w:r>
            <w:r w:rsidRPr="004E47EA">
              <w:rPr>
                <w:sz w:val="20"/>
                <w:szCs w:val="20"/>
              </w:rPr>
              <w:t>Efficiency benchmarks and workflow improvements</w:t>
            </w:r>
          </w:p>
        </w:tc>
        <w:tc>
          <w:tcPr>
            <w:tcW w:w="4016" w:type="dxa"/>
          </w:tcPr>
          <w:p w14:paraId="20A08DE7" w14:textId="77777777" w:rsidR="00720C3E" w:rsidRPr="004E47EA" w:rsidRDefault="00720C3E" w:rsidP="00F62DE0">
            <w:pPr>
              <w:pStyle w:val="Tabletext"/>
              <w:keepNext/>
              <w:keepLines/>
              <w:rPr>
                <w:b/>
                <w:bCs/>
                <w:sz w:val="20"/>
                <w:szCs w:val="20"/>
              </w:rPr>
            </w:pPr>
            <w:r w:rsidRPr="004E47EA">
              <w:rPr>
                <w:b/>
                <w:bCs/>
                <w:sz w:val="20"/>
                <w:szCs w:val="20"/>
              </w:rPr>
              <w:t>Use of free entitlements</w:t>
            </w:r>
          </w:p>
          <w:tbl>
            <w:tblPr>
              <w:tblW w:w="3969" w:type="dxa"/>
              <w:jc w:val="center"/>
              <w:tblCellMar>
                <w:left w:w="28" w:type="dxa"/>
                <w:right w:w="28" w:type="dxa"/>
              </w:tblCellMar>
              <w:tblLook w:val="04A0" w:firstRow="1" w:lastRow="0" w:firstColumn="1" w:lastColumn="0" w:noHBand="0" w:noVBand="1"/>
            </w:tblPr>
            <w:tblGrid>
              <w:gridCol w:w="737"/>
              <w:gridCol w:w="1074"/>
              <w:gridCol w:w="761"/>
              <w:gridCol w:w="1397"/>
            </w:tblGrid>
            <w:tr w:rsidR="00720C3E" w:rsidRPr="004E47EA" w14:paraId="24B717C6" w14:textId="77777777" w:rsidTr="004E47EA">
              <w:trPr>
                <w:jc w:val="center"/>
              </w:trPr>
              <w:tc>
                <w:tcPr>
                  <w:tcW w:w="960" w:type="dxa"/>
                  <w:tcBorders>
                    <w:top w:val="single" w:sz="4" w:space="0" w:color="auto"/>
                    <w:left w:val="single" w:sz="4" w:space="0" w:color="auto"/>
                    <w:bottom w:val="single" w:sz="4" w:space="0" w:color="auto"/>
                    <w:right w:val="single" w:sz="4" w:space="0" w:color="auto"/>
                  </w:tcBorders>
                  <w:noWrap/>
                  <w:hideMark/>
                </w:tcPr>
                <w:p w14:paraId="4A709D33"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Free filings</w:t>
                  </w:r>
                </w:p>
              </w:tc>
              <w:tc>
                <w:tcPr>
                  <w:tcW w:w="1410" w:type="dxa"/>
                  <w:tcBorders>
                    <w:top w:val="single" w:sz="4" w:space="0" w:color="auto"/>
                    <w:left w:val="nil"/>
                    <w:bottom w:val="single" w:sz="4" w:space="0" w:color="auto"/>
                    <w:right w:val="single" w:sz="4" w:space="0" w:color="auto"/>
                  </w:tcBorders>
                  <w:noWrap/>
                  <w:hideMark/>
                </w:tcPr>
                <w:p w14:paraId="5D4B95E7"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Amount (CHF)</w:t>
                  </w:r>
                </w:p>
              </w:tc>
              <w:tc>
                <w:tcPr>
                  <w:tcW w:w="992" w:type="dxa"/>
                  <w:tcBorders>
                    <w:top w:val="single" w:sz="4" w:space="0" w:color="auto"/>
                    <w:left w:val="nil"/>
                    <w:bottom w:val="single" w:sz="4" w:space="0" w:color="auto"/>
                    <w:right w:val="single" w:sz="4" w:space="0" w:color="auto"/>
                  </w:tcBorders>
                  <w:noWrap/>
                  <w:hideMark/>
                </w:tcPr>
                <w:p w14:paraId="37C299BB"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Number</w:t>
                  </w:r>
                </w:p>
              </w:tc>
              <w:tc>
                <w:tcPr>
                  <w:tcW w:w="1843" w:type="dxa"/>
                  <w:tcBorders>
                    <w:top w:val="single" w:sz="4" w:space="0" w:color="auto"/>
                    <w:left w:val="nil"/>
                    <w:bottom w:val="single" w:sz="4" w:space="0" w:color="auto"/>
                    <w:right w:val="single" w:sz="4" w:space="0" w:color="auto"/>
                  </w:tcBorders>
                  <w:noWrap/>
                  <w:hideMark/>
                </w:tcPr>
                <w:p w14:paraId="3F907A78"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Average value of free filings (CHF)</w:t>
                  </w:r>
                </w:p>
              </w:tc>
            </w:tr>
            <w:tr w:rsidR="00720C3E" w:rsidRPr="004E47EA" w14:paraId="3CD93B31" w14:textId="77777777" w:rsidTr="00957B60">
              <w:trPr>
                <w:jc w:val="center"/>
              </w:trPr>
              <w:tc>
                <w:tcPr>
                  <w:tcW w:w="960" w:type="dxa"/>
                  <w:tcBorders>
                    <w:top w:val="nil"/>
                    <w:left w:val="single" w:sz="4" w:space="0" w:color="auto"/>
                    <w:bottom w:val="single" w:sz="4" w:space="0" w:color="auto"/>
                    <w:right w:val="single" w:sz="4" w:space="0" w:color="auto"/>
                  </w:tcBorders>
                  <w:noWrap/>
                  <w:vAlign w:val="center"/>
                  <w:hideMark/>
                </w:tcPr>
                <w:p w14:paraId="1F17DA07"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2022</w:t>
                  </w:r>
                </w:p>
              </w:tc>
              <w:tc>
                <w:tcPr>
                  <w:tcW w:w="1410" w:type="dxa"/>
                  <w:tcBorders>
                    <w:top w:val="nil"/>
                    <w:left w:val="nil"/>
                    <w:bottom w:val="single" w:sz="4" w:space="0" w:color="auto"/>
                    <w:right w:val="single" w:sz="4" w:space="0" w:color="auto"/>
                  </w:tcBorders>
                  <w:noWrap/>
                  <w:vAlign w:val="center"/>
                  <w:hideMark/>
                </w:tcPr>
                <w:p w14:paraId="711402E0" w14:textId="5DBEB9E0"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1</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040</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149.00 </w:t>
                  </w:r>
                </w:p>
              </w:tc>
              <w:tc>
                <w:tcPr>
                  <w:tcW w:w="992" w:type="dxa"/>
                  <w:tcBorders>
                    <w:top w:val="nil"/>
                    <w:left w:val="nil"/>
                    <w:bottom w:val="single" w:sz="4" w:space="0" w:color="auto"/>
                    <w:right w:val="single" w:sz="4" w:space="0" w:color="auto"/>
                  </w:tcBorders>
                  <w:noWrap/>
                  <w:vAlign w:val="center"/>
                  <w:hideMark/>
                </w:tcPr>
                <w:p w14:paraId="27BF3E64"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34</w:t>
                  </w:r>
                </w:p>
              </w:tc>
              <w:tc>
                <w:tcPr>
                  <w:tcW w:w="1843" w:type="dxa"/>
                  <w:tcBorders>
                    <w:top w:val="nil"/>
                    <w:left w:val="nil"/>
                    <w:bottom w:val="single" w:sz="4" w:space="0" w:color="auto"/>
                    <w:right w:val="single" w:sz="4" w:space="0" w:color="auto"/>
                  </w:tcBorders>
                  <w:noWrap/>
                  <w:vAlign w:val="center"/>
                  <w:hideMark/>
                </w:tcPr>
                <w:p w14:paraId="6EC95545" w14:textId="50A39E95"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30</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592.62 </w:t>
                  </w:r>
                </w:p>
              </w:tc>
            </w:tr>
            <w:tr w:rsidR="00720C3E" w:rsidRPr="004E47EA" w14:paraId="6D106CC0" w14:textId="77777777" w:rsidTr="00957B60">
              <w:trPr>
                <w:jc w:val="center"/>
              </w:trPr>
              <w:tc>
                <w:tcPr>
                  <w:tcW w:w="960" w:type="dxa"/>
                  <w:tcBorders>
                    <w:top w:val="nil"/>
                    <w:left w:val="single" w:sz="4" w:space="0" w:color="auto"/>
                    <w:bottom w:val="single" w:sz="4" w:space="0" w:color="auto"/>
                    <w:right w:val="single" w:sz="4" w:space="0" w:color="auto"/>
                  </w:tcBorders>
                  <w:noWrap/>
                  <w:vAlign w:val="center"/>
                  <w:hideMark/>
                </w:tcPr>
                <w:p w14:paraId="74C09BD7"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2023</w:t>
                  </w:r>
                </w:p>
              </w:tc>
              <w:tc>
                <w:tcPr>
                  <w:tcW w:w="1410" w:type="dxa"/>
                  <w:tcBorders>
                    <w:top w:val="nil"/>
                    <w:left w:val="nil"/>
                    <w:bottom w:val="single" w:sz="4" w:space="0" w:color="auto"/>
                    <w:right w:val="single" w:sz="4" w:space="0" w:color="auto"/>
                  </w:tcBorders>
                  <w:noWrap/>
                  <w:vAlign w:val="center"/>
                  <w:hideMark/>
                </w:tcPr>
                <w:p w14:paraId="1C278D88" w14:textId="0AB6CBFB"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1</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371</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521.00 </w:t>
                  </w:r>
                </w:p>
              </w:tc>
              <w:tc>
                <w:tcPr>
                  <w:tcW w:w="992" w:type="dxa"/>
                  <w:tcBorders>
                    <w:top w:val="nil"/>
                    <w:left w:val="nil"/>
                    <w:bottom w:val="single" w:sz="4" w:space="0" w:color="auto"/>
                    <w:right w:val="single" w:sz="4" w:space="0" w:color="auto"/>
                  </w:tcBorders>
                  <w:noWrap/>
                  <w:vAlign w:val="center"/>
                  <w:hideMark/>
                </w:tcPr>
                <w:p w14:paraId="346D48CA"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45</w:t>
                  </w:r>
                </w:p>
              </w:tc>
              <w:tc>
                <w:tcPr>
                  <w:tcW w:w="1843" w:type="dxa"/>
                  <w:tcBorders>
                    <w:top w:val="nil"/>
                    <w:left w:val="nil"/>
                    <w:bottom w:val="single" w:sz="4" w:space="0" w:color="auto"/>
                    <w:right w:val="single" w:sz="4" w:space="0" w:color="auto"/>
                  </w:tcBorders>
                  <w:noWrap/>
                  <w:vAlign w:val="center"/>
                  <w:hideMark/>
                </w:tcPr>
                <w:p w14:paraId="5F8E3191" w14:textId="4940FA94"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30</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478.24 </w:t>
                  </w:r>
                </w:p>
              </w:tc>
            </w:tr>
            <w:tr w:rsidR="00720C3E" w:rsidRPr="004E47EA" w14:paraId="14C6772E" w14:textId="77777777" w:rsidTr="00957B60">
              <w:trPr>
                <w:jc w:val="center"/>
              </w:trPr>
              <w:tc>
                <w:tcPr>
                  <w:tcW w:w="960" w:type="dxa"/>
                  <w:tcBorders>
                    <w:top w:val="nil"/>
                    <w:left w:val="single" w:sz="4" w:space="0" w:color="auto"/>
                    <w:bottom w:val="single" w:sz="4" w:space="0" w:color="auto"/>
                    <w:right w:val="single" w:sz="4" w:space="0" w:color="auto"/>
                  </w:tcBorders>
                  <w:noWrap/>
                  <w:vAlign w:val="center"/>
                  <w:hideMark/>
                </w:tcPr>
                <w:p w14:paraId="2A29033A"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2024</w:t>
                  </w:r>
                </w:p>
              </w:tc>
              <w:tc>
                <w:tcPr>
                  <w:tcW w:w="1410" w:type="dxa"/>
                  <w:tcBorders>
                    <w:top w:val="nil"/>
                    <w:left w:val="nil"/>
                    <w:bottom w:val="single" w:sz="4" w:space="0" w:color="auto"/>
                    <w:right w:val="single" w:sz="4" w:space="0" w:color="auto"/>
                  </w:tcBorders>
                  <w:noWrap/>
                  <w:vAlign w:val="center"/>
                  <w:hideMark/>
                </w:tcPr>
                <w:p w14:paraId="026D9D1E" w14:textId="3CE82721"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1</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209</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753.00 </w:t>
                  </w:r>
                </w:p>
              </w:tc>
              <w:tc>
                <w:tcPr>
                  <w:tcW w:w="992" w:type="dxa"/>
                  <w:tcBorders>
                    <w:top w:val="nil"/>
                    <w:left w:val="nil"/>
                    <w:bottom w:val="single" w:sz="4" w:space="0" w:color="auto"/>
                    <w:right w:val="single" w:sz="4" w:space="0" w:color="auto"/>
                  </w:tcBorders>
                  <w:noWrap/>
                  <w:vAlign w:val="center"/>
                  <w:hideMark/>
                </w:tcPr>
                <w:p w14:paraId="42314198"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39</w:t>
                  </w:r>
                </w:p>
              </w:tc>
              <w:tc>
                <w:tcPr>
                  <w:tcW w:w="1843" w:type="dxa"/>
                  <w:tcBorders>
                    <w:top w:val="nil"/>
                    <w:left w:val="nil"/>
                    <w:bottom w:val="single" w:sz="4" w:space="0" w:color="auto"/>
                    <w:right w:val="single" w:sz="4" w:space="0" w:color="auto"/>
                  </w:tcBorders>
                  <w:noWrap/>
                  <w:vAlign w:val="center"/>
                  <w:hideMark/>
                </w:tcPr>
                <w:p w14:paraId="76AE38D0" w14:textId="66A89FBC"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31</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019.31 </w:t>
                  </w:r>
                </w:p>
              </w:tc>
            </w:tr>
            <w:tr w:rsidR="00720C3E" w:rsidRPr="004E47EA" w14:paraId="38A7B06B" w14:textId="77777777" w:rsidTr="00957B60">
              <w:trPr>
                <w:jc w:val="center"/>
              </w:trPr>
              <w:tc>
                <w:tcPr>
                  <w:tcW w:w="960" w:type="dxa"/>
                  <w:tcBorders>
                    <w:top w:val="nil"/>
                    <w:left w:val="single" w:sz="4" w:space="0" w:color="auto"/>
                    <w:bottom w:val="single" w:sz="4" w:space="0" w:color="auto"/>
                    <w:right w:val="single" w:sz="4" w:space="0" w:color="auto"/>
                  </w:tcBorders>
                  <w:noWrap/>
                  <w:vAlign w:val="center"/>
                  <w:hideMark/>
                </w:tcPr>
                <w:p w14:paraId="1CD6DDAE"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2025</w:t>
                  </w:r>
                </w:p>
              </w:tc>
              <w:tc>
                <w:tcPr>
                  <w:tcW w:w="1410" w:type="dxa"/>
                  <w:tcBorders>
                    <w:top w:val="nil"/>
                    <w:left w:val="nil"/>
                    <w:bottom w:val="single" w:sz="4" w:space="0" w:color="auto"/>
                    <w:right w:val="single" w:sz="4" w:space="0" w:color="auto"/>
                  </w:tcBorders>
                  <w:noWrap/>
                  <w:vAlign w:val="center"/>
                  <w:hideMark/>
                </w:tcPr>
                <w:p w14:paraId="7A031800" w14:textId="02B53DDC"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1</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838</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756.00 </w:t>
                  </w:r>
                </w:p>
              </w:tc>
              <w:tc>
                <w:tcPr>
                  <w:tcW w:w="992" w:type="dxa"/>
                  <w:tcBorders>
                    <w:top w:val="nil"/>
                    <w:left w:val="nil"/>
                    <w:bottom w:val="single" w:sz="4" w:space="0" w:color="auto"/>
                    <w:right w:val="single" w:sz="4" w:space="0" w:color="auto"/>
                  </w:tcBorders>
                  <w:noWrap/>
                  <w:vAlign w:val="center"/>
                  <w:hideMark/>
                </w:tcPr>
                <w:p w14:paraId="63BCB641" w14:textId="77777777"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center"/>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53</w:t>
                  </w:r>
                </w:p>
              </w:tc>
              <w:tc>
                <w:tcPr>
                  <w:tcW w:w="1843" w:type="dxa"/>
                  <w:tcBorders>
                    <w:top w:val="nil"/>
                    <w:left w:val="nil"/>
                    <w:bottom w:val="single" w:sz="4" w:space="0" w:color="auto"/>
                    <w:right w:val="single" w:sz="4" w:space="0" w:color="auto"/>
                  </w:tcBorders>
                  <w:noWrap/>
                  <w:vAlign w:val="center"/>
                  <w:hideMark/>
                </w:tcPr>
                <w:p w14:paraId="59A8B800" w14:textId="32B8E6C0" w:rsidR="00720C3E" w:rsidRPr="004E47EA" w:rsidRDefault="00720C3E" w:rsidP="00F62DE0">
                  <w:pPr>
                    <w:keepNext/>
                    <w:keepLines/>
                    <w:tabs>
                      <w:tab w:val="clear" w:pos="567"/>
                      <w:tab w:val="clear" w:pos="1134"/>
                      <w:tab w:val="clear" w:pos="1701"/>
                      <w:tab w:val="clear" w:pos="2268"/>
                      <w:tab w:val="clear" w:pos="2835"/>
                    </w:tabs>
                    <w:overflowPunct/>
                    <w:autoSpaceDE/>
                    <w:autoSpaceDN/>
                    <w:adjustRightInd/>
                    <w:spacing w:before="0"/>
                    <w:jc w:val="right"/>
                    <w:textAlignment w:val="auto"/>
                    <w:rPr>
                      <w:rFonts w:asciiTheme="minorHAnsi" w:hAnsiTheme="minorHAnsi" w:cstheme="minorHAnsi"/>
                      <w:color w:val="000000"/>
                      <w:sz w:val="18"/>
                      <w:szCs w:val="18"/>
                      <w:lang w:eastAsia="en-GB"/>
                    </w:rPr>
                  </w:pPr>
                  <w:r w:rsidRPr="004E47EA">
                    <w:rPr>
                      <w:rFonts w:asciiTheme="minorHAnsi" w:hAnsiTheme="minorHAnsi" w:cstheme="minorHAnsi"/>
                      <w:color w:val="000000"/>
                      <w:sz w:val="18"/>
                      <w:szCs w:val="18"/>
                      <w:lang w:eastAsia="en-GB"/>
                    </w:rPr>
                    <w:t>34</w:t>
                  </w:r>
                  <w:r w:rsidR="00957B60" w:rsidRPr="004E47EA">
                    <w:rPr>
                      <w:rFonts w:asciiTheme="minorHAnsi" w:hAnsiTheme="minorHAnsi" w:cstheme="minorHAnsi"/>
                      <w:color w:val="000000"/>
                      <w:sz w:val="18"/>
                      <w:szCs w:val="18"/>
                      <w:lang w:eastAsia="en-GB"/>
                    </w:rPr>
                    <w:t> </w:t>
                  </w:r>
                  <w:r w:rsidRPr="004E47EA">
                    <w:rPr>
                      <w:rFonts w:asciiTheme="minorHAnsi" w:hAnsiTheme="minorHAnsi" w:cstheme="minorHAnsi"/>
                      <w:color w:val="000000"/>
                      <w:sz w:val="18"/>
                      <w:szCs w:val="18"/>
                      <w:lang w:eastAsia="en-GB"/>
                    </w:rPr>
                    <w:t xml:space="preserve">693.51 </w:t>
                  </w:r>
                </w:p>
              </w:tc>
            </w:tr>
          </w:tbl>
          <w:p w14:paraId="1427B93D" w14:textId="77777777" w:rsidR="00720C3E" w:rsidRPr="004E47EA" w:rsidRDefault="00720C3E" w:rsidP="00F62DE0">
            <w:pPr>
              <w:pStyle w:val="Tabletext"/>
              <w:keepNext/>
              <w:keepLines/>
              <w:rPr>
                <w:sz w:val="20"/>
                <w:szCs w:val="20"/>
              </w:rPr>
            </w:pPr>
            <w:r w:rsidRPr="004E47EA">
              <w:rPr>
                <w:sz w:val="20"/>
                <w:szCs w:val="20"/>
              </w:rPr>
              <w:t>The average value of free filings is relatively stable over the last four years and could be used as a basis to assess the impact of the increase of countries applying for free entitlement (which is likely to increase together with the increase of the number of countries who submit filings) on the budget.</w:t>
            </w:r>
          </w:p>
          <w:p w14:paraId="5DEEB8F2" w14:textId="77777777" w:rsidR="00720C3E" w:rsidRPr="004E47EA" w:rsidRDefault="00720C3E" w:rsidP="00F62DE0">
            <w:pPr>
              <w:pStyle w:val="Tabletext"/>
              <w:keepNext/>
              <w:keepLines/>
              <w:rPr>
                <w:b/>
                <w:bCs/>
                <w:sz w:val="20"/>
                <w:szCs w:val="20"/>
              </w:rPr>
            </w:pPr>
            <w:r w:rsidRPr="004E47EA">
              <w:rPr>
                <w:b/>
                <w:bCs/>
                <w:sz w:val="20"/>
                <w:szCs w:val="20"/>
              </w:rPr>
              <w:t>Financial implications of filings within large constellations</w:t>
            </w:r>
          </w:p>
          <w:p w14:paraId="2A3A0437" w14:textId="77777777" w:rsidR="00720C3E" w:rsidRPr="004E47EA" w:rsidRDefault="00720C3E" w:rsidP="00F62DE0">
            <w:pPr>
              <w:pStyle w:val="Tabletext"/>
              <w:keepNext/>
              <w:keepLines/>
              <w:rPr>
                <w:sz w:val="20"/>
                <w:szCs w:val="20"/>
              </w:rPr>
            </w:pPr>
            <w:r w:rsidRPr="004E47EA">
              <w:rPr>
                <w:sz w:val="20"/>
                <w:szCs w:val="20"/>
              </w:rPr>
              <w:t>Before the entry into force of the 2025 version of Decision 482 on 1</w:t>
            </w:r>
            <w:r w:rsidRPr="004E47EA">
              <w:rPr>
                <w:sz w:val="20"/>
                <w:szCs w:val="20"/>
                <w:vertAlign w:val="superscript"/>
              </w:rPr>
              <w:t>st</w:t>
            </w:r>
            <w:r w:rsidRPr="004E47EA">
              <w:rPr>
                <w:sz w:val="20"/>
                <w:szCs w:val="20"/>
              </w:rPr>
              <w:t xml:space="preserve"> January 2026, large constellations were the non-GSO filings with more 75 000 units. As reported to the Expert Group on Decision 482, the number of such satellite systems was low (3 received in 2021, 1 in 2022, 6 in 2023, 2 in 2024), which underestimated the number of filings requiring higher workload. This led the Expert Group to propose a new formula for the computation of units, which the Council adopted in 2025. Since this formula has entered into force on 1</w:t>
            </w:r>
            <w:r w:rsidRPr="004E47EA">
              <w:rPr>
                <w:sz w:val="20"/>
                <w:szCs w:val="20"/>
                <w:vertAlign w:val="superscript"/>
              </w:rPr>
              <w:t>st</w:t>
            </w:r>
            <w:r w:rsidRPr="004E47EA">
              <w:rPr>
                <w:sz w:val="20"/>
                <w:szCs w:val="20"/>
              </w:rPr>
              <w:t xml:space="preserve"> January 2026, more time is necessary to assess whether the new formula appropriately reflects the processing workload.</w:t>
            </w:r>
          </w:p>
          <w:p w14:paraId="0ADAD34F" w14:textId="77777777" w:rsidR="00720C3E" w:rsidRPr="004E47EA" w:rsidRDefault="00720C3E" w:rsidP="00F62DE0">
            <w:pPr>
              <w:pStyle w:val="Tabletext"/>
              <w:keepNext/>
              <w:keepLines/>
              <w:rPr>
                <w:b/>
                <w:bCs/>
                <w:sz w:val="20"/>
                <w:szCs w:val="20"/>
              </w:rPr>
            </w:pPr>
            <w:r w:rsidRPr="004E47EA">
              <w:rPr>
                <w:b/>
                <w:bCs/>
                <w:sz w:val="20"/>
                <w:szCs w:val="20"/>
              </w:rPr>
              <w:t>Efficiency benchmarks and workflow improvements</w:t>
            </w:r>
          </w:p>
          <w:p w14:paraId="07E94782" w14:textId="77777777" w:rsidR="00720C3E" w:rsidRPr="004E47EA" w:rsidRDefault="00720C3E" w:rsidP="00F62DE0">
            <w:pPr>
              <w:pStyle w:val="Tabletext"/>
              <w:keepNext/>
              <w:keepLines/>
              <w:rPr>
                <w:sz w:val="20"/>
                <w:szCs w:val="20"/>
              </w:rPr>
            </w:pPr>
            <w:r w:rsidRPr="004E47EA">
              <w:rPr>
                <w:sz w:val="20"/>
                <w:szCs w:val="20"/>
              </w:rPr>
              <w:t xml:space="preserve">Satellite network processing key performance indicators are regularly reported to the Radio Regulations Board and annually to the </w:t>
            </w:r>
            <w:r w:rsidRPr="004E47EA">
              <w:rPr>
                <w:sz w:val="20"/>
                <w:szCs w:val="20"/>
              </w:rPr>
              <w:lastRenderedPageBreak/>
              <w:t>Radiocommunication Advisory Group. Most of these indicators correspond to regulatory requirements set forth in the Radio Regulations, which can only be modified by a competent World Radiocommunication Conference.</w:t>
            </w:r>
          </w:p>
          <w:p w14:paraId="0CF67267" w14:textId="1B68F67C" w:rsidR="000642A9" w:rsidRPr="004E47EA" w:rsidRDefault="00720C3E" w:rsidP="00F62DE0">
            <w:pPr>
              <w:pStyle w:val="Tabletext"/>
              <w:keepNext/>
              <w:keepLines/>
              <w:rPr>
                <w:sz w:val="20"/>
                <w:szCs w:val="20"/>
              </w:rPr>
            </w:pPr>
            <w:r w:rsidRPr="004E47EA">
              <w:rPr>
                <w:sz w:val="20"/>
                <w:szCs w:val="20"/>
              </w:rPr>
              <w:t>Similarly, workflow improvements through increased automation are reported annually to the Radiocommunication Advisory Group. These workflows being the implementation of regulatory procedures contained in the Radio Regulations, their improvement beyond increased automation requires that they are modified by a World Radiocommunication Conference.</w:t>
            </w:r>
          </w:p>
        </w:tc>
        <w:tc>
          <w:tcPr>
            <w:tcW w:w="4016" w:type="dxa"/>
          </w:tcPr>
          <w:p w14:paraId="23ACD928" w14:textId="77777777" w:rsidR="00271725" w:rsidRPr="004E47EA" w:rsidRDefault="00271725" w:rsidP="00F62DE0">
            <w:pPr>
              <w:pStyle w:val="Tabletext"/>
              <w:keepNext/>
              <w:keepLines/>
              <w:rPr>
                <w:sz w:val="20"/>
                <w:szCs w:val="20"/>
              </w:rPr>
            </w:pPr>
            <w:r w:rsidRPr="004E47EA">
              <w:rPr>
                <w:sz w:val="20"/>
                <w:szCs w:val="20"/>
              </w:rPr>
              <w:lastRenderedPageBreak/>
              <w:t xml:space="preserve">The Secretariat will include in its annual report to Council on the implementation of Decision 482 any concern that may arise from the rise of free entitlements as well as from the new formula from computing units. </w:t>
            </w:r>
          </w:p>
          <w:p w14:paraId="39139C96" w14:textId="77777777" w:rsidR="00271725" w:rsidRPr="004E47EA" w:rsidRDefault="00271725" w:rsidP="00F62DE0">
            <w:pPr>
              <w:pStyle w:val="Tabletext"/>
              <w:keepNext/>
              <w:keepLines/>
              <w:rPr>
                <w:sz w:val="20"/>
                <w:szCs w:val="20"/>
              </w:rPr>
            </w:pPr>
          </w:p>
          <w:p w14:paraId="658F8074" w14:textId="406B0427" w:rsidR="000642A9" w:rsidRPr="004E47EA" w:rsidRDefault="00271725" w:rsidP="00F62DE0">
            <w:pPr>
              <w:pStyle w:val="Tabletext"/>
              <w:keepNext/>
              <w:keepLines/>
              <w:rPr>
                <w:sz w:val="20"/>
                <w:szCs w:val="20"/>
              </w:rPr>
            </w:pPr>
            <w:r w:rsidRPr="004E47EA">
              <w:rPr>
                <w:sz w:val="20"/>
                <w:szCs w:val="20"/>
              </w:rPr>
              <w:t>Concerning workflow improvements beyond increased automation, the Director of the Radiocommunication Bureau will report the identified issues and suggestions to solve them, to the next competent World Radiocommunication Conference or to the Radio Regulations Board.</w:t>
            </w:r>
          </w:p>
        </w:tc>
      </w:tr>
      <w:tr w:rsidR="000642A9" w:rsidRPr="004E47EA" w14:paraId="76EE81A5" w14:textId="77777777" w:rsidTr="004E47EA">
        <w:trPr>
          <w:jc w:val="center"/>
        </w:trPr>
        <w:tc>
          <w:tcPr>
            <w:tcW w:w="2122" w:type="dxa"/>
          </w:tcPr>
          <w:p w14:paraId="24C193D4" w14:textId="77777777" w:rsidR="000642A9" w:rsidRPr="004E47EA" w:rsidRDefault="000642A9" w:rsidP="008A4841">
            <w:pPr>
              <w:pStyle w:val="Tabletext"/>
              <w:rPr>
                <w:sz w:val="20"/>
                <w:szCs w:val="20"/>
              </w:rPr>
            </w:pPr>
          </w:p>
        </w:tc>
        <w:tc>
          <w:tcPr>
            <w:tcW w:w="4016" w:type="dxa"/>
          </w:tcPr>
          <w:p w14:paraId="070AD168" w14:textId="14081C7C" w:rsidR="000642A9" w:rsidRPr="004E47EA" w:rsidRDefault="000642A9" w:rsidP="00704841">
            <w:pPr>
              <w:pStyle w:val="Tabletext"/>
              <w:rPr>
                <w:sz w:val="20"/>
                <w:szCs w:val="20"/>
              </w:rPr>
            </w:pPr>
            <w:r w:rsidRPr="004E47EA">
              <w:rPr>
                <w:sz w:val="20"/>
                <w:szCs w:val="20"/>
              </w:rPr>
              <w:t xml:space="preserve">A widespread view was that </w:t>
            </w:r>
            <w:proofErr w:type="spellStart"/>
            <w:r w:rsidRPr="004E47EA">
              <w:rPr>
                <w:sz w:val="20"/>
                <w:szCs w:val="20"/>
              </w:rPr>
              <w:t>SNF</w:t>
            </w:r>
            <w:proofErr w:type="spellEnd"/>
            <w:r w:rsidRPr="004E47EA">
              <w:rPr>
                <w:sz w:val="20"/>
                <w:szCs w:val="20"/>
              </w:rPr>
              <w:t xml:space="preserve"> fees should directly support BR operations, not the General Secretariat.</w:t>
            </w:r>
          </w:p>
        </w:tc>
        <w:tc>
          <w:tcPr>
            <w:tcW w:w="4016" w:type="dxa"/>
          </w:tcPr>
          <w:p w14:paraId="45102E8A" w14:textId="501565EA" w:rsidR="000642A9" w:rsidRPr="00F62DE0" w:rsidRDefault="000642A9" w:rsidP="008A4841">
            <w:pPr>
              <w:pStyle w:val="Tabletext"/>
              <w:rPr>
                <w:spacing w:val="-2"/>
                <w:sz w:val="20"/>
                <w:szCs w:val="20"/>
              </w:rPr>
            </w:pPr>
            <w:r w:rsidRPr="00F62DE0">
              <w:rPr>
                <w:spacing w:val="-2"/>
                <w:sz w:val="20"/>
                <w:szCs w:val="20"/>
              </w:rPr>
              <w:t xml:space="preserve">ITU’s regular budget is collective across the Union, and therefore all regular budget funds collected by ITU support </w:t>
            </w:r>
            <w:proofErr w:type="gramStart"/>
            <w:r w:rsidRPr="00F62DE0">
              <w:rPr>
                <w:spacing w:val="-2"/>
                <w:sz w:val="20"/>
                <w:szCs w:val="20"/>
              </w:rPr>
              <w:t>all of</w:t>
            </w:r>
            <w:proofErr w:type="gramEnd"/>
            <w:r w:rsidRPr="00F62DE0">
              <w:rPr>
                <w:spacing w:val="-2"/>
                <w:sz w:val="20"/>
                <w:szCs w:val="20"/>
              </w:rPr>
              <w:t xml:space="preserve"> ITU. </w:t>
            </w:r>
            <w:r w:rsidR="007510D0" w:rsidRPr="00F62DE0">
              <w:rPr>
                <w:spacing w:val="-2"/>
                <w:sz w:val="20"/>
                <w:szCs w:val="20"/>
              </w:rPr>
              <w:t>T</w:t>
            </w:r>
            <w:r w:rsidRPr="00F62DE0">
              <w:rPr>
                <w:spacing w:val="-2"/>
                <w:sz w:val="20"/>
                <w:szCs w:val="20"/>
              </w:rPr>
              <w:t xml:space="preserve">he Union’s regular budget (2025), the BR’s annual direct costs amount to CHF 30.145 million. Only CHF 8.7 million of that sum is recovered from </w:t>
            </w:r>
            <w:proofErr w:type="spellStart"/>
            <w:r w:rsidRPr="00F62DE0">
              <w:rPr>
                <w:spacing w:val="-2"/>
                <w:sz w:val="20"/>
                <w:szCs w:val="20"/>
              </w:rPr>
              <w:t>SNF</w:t>
            </w:r>
            <w:proofErr w:type="spellEnd"/>
            <w:r w:rsidRPr="00F62DE0">
              <w:rPr>
                <w:spacing w:val="-2"/>
                <w:sz w:val="20"/>
                <w:szCs w:val="20"/>
              </w:rPr>
              <w:t xml:space="preserve"> fees, while a further CHF 6.6 million is collected from ITU-R Sector members. Therefore, each year the Union’s Member States’ assessed contributions provide CHF 14.845 million of funding for BR direct costs.</w:t>
            </w:r>
          </w:p>
          <w:p w14:paraId="6E8745F4" w14:textId="2F55503A" w:rsidR="000642A9" w:rsidRPr="004E47EA" w:rsidRDefault="36F1BF37" w:rsidP="008A4841">
            <w:pPr>
              <w:pStyle w:val="Tabletext"/>
              <w:rPr>
                <w:sz w:val="20"/>
                <w:szCs w:val="20"/>
              </w:rPr>
            </w:pPr>
            <w:proofErr w:type="spellStart"/>
            <w:r w:rsidRPr="00F62DE0">
              <w:rPr>
                <w:spacing w:val="-2"/>
                <w:sz w:val="20"/>
                <w:szCs w:val="20"/>
              </w:rPr>
              <w:t>SNF</w:t>
            </w:r>
            <w:proofErr w:type="spellEnd"/>
            <w:r w:rsidRPr="00F62DE0">
              <w:rPr>
                <w:spacing w:val="-2"/>
                <w:sz w:val="20"/>
                <w:szCs w:val="20"/>
              </w:rPr>
              <w:t xml:space="preserve"> and the BR’s other work also generate expenses in the General Secretariat</w:t>
            </w:r>
            <w:r w:rsidR="00AD3B4B" w:rsidRPr="00F62DE0">
              <w:rPr>
                <w:spacing w:val="-2"/>
                <w:sz w:val="20"/>
                <w:szCs w:val="20"/>
              </w:rPr>
              <w:t xml:space="preserve"> (</w:t>
            </w:r>
            <w:proofErr w:type="spellStart"/>
            <w:r w:rsidR="00AD3B4B" w:rsidRPr="00F62DE0">
              <w:rPr>
                <w:spacing w:val="-2"/>
                <w:sz w:val="20"/>
                <w:szCs w:val="20"/>
              </w:rPr>
              <w:t>ISD</w:t>
            </w:r>
            <w:proofErr w:type="spellEnd"/>
            <w:r w:rsidR="00AD3B4B" w:rsidRPr="00F62DE0">
              <w:rPr>
                <w:spacing w:val="-2"/>
                <w:sz w:val="20"/>
                <w:szCs w:val="20"/>
              </w:rPr>
              <w:t xml:space="preserve"> services, facilities management, </w:t>
            </w:r>
            <w:r w:rsidR="005A2E14" w:rsidRPr="00F62DE0">
              <w:rPr>
                <w:spacing w:val="-2"/>
                <w:sz w:val="20"/>
                <w:szCs w:val="20"/>
              </w:rPr>
              <w:t xml:space="preserve">Conference and publications services, </w:t>
            </w:r>
            <w:r w:rsidR="0035528D" w:rsidRPr="00F62DE0">
              <w:rPr>
                <w:spacing w:val="-2"/>
                <w:sz w:val="20"/>
                <w:szCs w:val="20"/>
              </w:rPr>
              <w:t>HR, budget and finance related services</w:t>
            </w:r>
            <w:r w:rsidR="005A2E14" w:rsidRPr="00F62DE0">
              <w:rPr>
                <w:spacing w:val="-2"/>
                <w:sz w:val="20"/>
                <w:szCs w:val="20"/>
              </w:rPr>
              <w:t>, etc)</w:t>
            </w:r>
            <w:r w:rsidRPr="00F62DE0">
              <w:rPr>
                <w:spacing w:val="-2"/>
                <w:sz w:val="20"/>
                <w:szCs w:val="20"/>
              </w:rPr>
              <w:t xml:space="preserve"> which are allocated to cover a range of administrative and overhead costs of the BR. These are incurred by the General Secretariat, but are attributable to the work of the BR. </w:t>
            </w:r>
          </w:p>
        </w:tc>
        <w:tc>
          <w:tcPr>
            <w:tcW w:w="4016" w:type="dxa"/>
          </w:tcPr>
          <w:p w14:paraId="56939601" w14:textId="77777777" w:rsidR="000642A9" w:rsidRPr="004E47EA" w:rsidRDefault="000642A9" w:rsidP="008A4841">
            <w:pPr>
              <w:pStyle w:val="Tabletext"/>
              <w:rPr>
                <w:sz w:val="20"/>
                <w:szCs w:val="20"/>
              </w:rPr>
            </w:pPr>
          </w:p>
        </w:tc>
      </w:tr>
    </w:tbl>
    <w:p w14:paraId="36F09C9D" w14:textId="405F5FE9" w:rsidR="000642A9" w:rsidRPr="00FE0DDD" w:rsidRDefault="000642A9" w:rsidP="000642A9">
      <w:pPr>
        <w:jc w:val="center"/>
      </w:pPr>
      <w:r w:rsidRPr="00FE0DDD">
        <w:t>______________</w:t>
      </w:r>
    </w:p>
    <w:sectPr w:rsidR="000642A9" w:rsidRPr="00FE0DDD" w:rsidSect="000642A9">
      <w:pgSz w:w="16834" w:h="11907" w:orient="landscape"/>
      <w:pgMar w:top="1418" w:right="1418" w:bottom="1418" w:left="1418" w:header="567" w:footer="567"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E58AD" w14:textId="77777777" w:rsidR="00AE03DC" w:rsidRDefault="00AE03DC">
      <w:r>
        <w:separator/>
      </w:r>
    </w:p>
  </w:endnote>
  <w:endnote w:type="continuationSeparator" w:id="0">
    <w:p w14:paraId="35078582" w14:textId="77777777" w:rsidR="00AE03DC" w:rsidRDefault="00AE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58C25920" w14:textId="77777777">
      <w:trPr>
        <w:jc w:val="center"/>
      </w:trPr>
      <w:tc>
        <w:tcPr>
          <w:tcW w:w="1803" w:type="dxa"/>
          <w:vAlign w:val="center"/>
        </w:tcPr>
        <w:p w14:paraId="03A142AD" w14:textId="77777777" w:rsidR="00EE49E8" w:rsidRDefault="00C6520B" w:rsidP="00EE49E8">
          <w:pPr>
            <w:pStyle w:val="Header"/>
            <w:jc w:val="left"/>
            <w:rPr>
              <w:noProof/>
            </w:rPr>
          </w:pPr>
          <w:r>
            <w:rPr>
              <w:noProof/>
            </w:rPr>
            <w:t>gDoc #</w:t>
          </w:r>
        </w:p>
      </w:tc>
      <w:tc>
        <w:tcPr>
          <w:tcW w:w="8261" w:type="dxa"/>
        </w:tcPr>
        <w:p w14:paraId="5C879740" w14:textId="022AF65C"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8A4841">
            <w:rPr>
              <w:bCs/>
            </w:rPr>
            <w:t>19</w:t>
          </w:r>
          <w:r w:rsidRPr="00623AE3">
            <w:rPr>
              <w:bCs/>
            </w:rPr>
            <w:t>-E</w:t>
          </w:r>
          <w:r>
            <w:rPr>
              <w:bCs/>
            </w:rPr>
            <w:tab/>
          </w:r>
          <w:r>
            <w:fldChar w:fldCharType="begin"/>
          </w:r>
          <w:r>
            <w:instrText>PAGE</w:instrText>
          </w:r>
          <w:r>
            <w:fldChar w:fldCharType="separate"/>
          </w:r>
          <w:r>
            <w:t>1</w:t>
          </w:r>
          <w:r>
            <w:rPr>
              <w:noProof/>
            </w:rPr>
            <w:fldChar w:fldCharType="end"/>
          </w:r>
        </w:p>
      </w:tc>
    </w:tr>
  </w:tbl>
  <w:p w14:paraId="32E20987"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56830CFD" w14:textId="77777777" w:rsidTr="006B77F1">
      <w:trPr>
        <w:jc w:val="center"/>
      </w:trPr>
      <w:tc>
        <w:tcPr>
          <w:tcW w:w="1803" w:type="dxa"/>
          <w:vAlign w:val="center"/>
        </w:tcPr>
        <w:p w14:paraId="7D40C404" w14:textId="77777777" w:rsidR="00EE49E8" w:rsidRPr="006B77F1" w:rsidRDefault="00DE532B" w:rsidP="00EE49E8">
          <w:pPr>
            <w:pStyle w:val="Header"/>
            <w:jc w:val="left"/>
            <w:rPr>
              <w:noProof/>
            </w:rPr>
          </w:pPr>
          <w:hyperlink r:id="rId1" w:history="1">
            <w:proofErr w:type="spellStart"/>
            <w:r>
              <w:rPr>
                <w:rStyle w:val="Hyperlink"/>
                <w:u w:val="none"/>
              </w:rPr>
              <w:t>council.itu.int</w:t>
            </w:r>
            <w:proofErr w:type="spellEnd"/>
            <w:r>
              <w:rPr>
                <w:rStyle w:val="Hyperlink"/>
                <w:u w:val="none"/>
              </w:rPr>
              <w:t>/2026</w:t>
            </w:r>
          </w:hyperlink>
        </w:p>
      </w:tc>
      <w:tc>
        <w:tcPr>
          <w:tcW w:w="8261" w:type="dxa"/>
        </w:tcPr>
        <w:p w14:paraId="38ACC15E" w14:textId="0A273152"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DE532B">
            <w:rPr>
              <w:bCs/>
            </w:rPr>
            <w:t>6</w:t>
          </w:r>
          <w:proofErr w:type="spellEnd"/>
          <w:r w:rsidRPr="00623AE3">
            <w:rPr>
              <w:bCs/>
            </w:rPr>
            <w:t>/</w:t>
          </w:r>
          <w:r w:rsidR="00FE0DDD">
            <w:rPr>
              <w:bCs/>
            </w:rPr>
            <w:t>19</w:t>
          </w:r>
          <w:r w:rsidRPr="00623AE3">
            <w:rPr>
              <w:bCs/>
            </w:rPr>
            <w:t>-E</w:t>
          </w:r>
          <w:r>
            <w:rPr>
              <w:bCs/>
            </w:rPr>
            <w:tab/>
          </w:r>
          <w:r>
            <w:fldChar w:fldCharType="begin"/>
          </w:r>
          <w:r>
            <w:instrText>PAGE</w:instrText>
          </w:r>
          <w:r>
            <w:fldChar w:fldCharType="separate"/>
          </w:r>
          <w:r>
            <w:t>1</w:t>
          </w:r>
          <w:r>
            <w:rPr>
              <w:noProof/>
            </w:rPr>
            <w:fldChar w:fldCharType="end"/>
          </w:r>
        </w:p>
      </w:tc>
    </w:tr>
  </w:tbl>
  <w:p w14:paraId="7C961794"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43938" w14:textId="77777777" w:rsidR="00AE03DC" w:rsidRDefault="00AE03DC">
      <w:r>
        <w:t>____________________</w:t>
      </w:r>
    </w:p>
  </w:footnote>
  <w:footnote w:type="continuationSeparator" w:id="0">
    <w:p w14:paraId="69FD5DAF" w14:textId="77777777" w:rsidR="00AE03DC" w:rsidRDefault="00AE0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3354"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5E1FD1"/>
    <w:multiLevelType w:val="hybridMultilevel"/>
    <w:tmpl w:val="CE542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73070"/>
    <w:multiLevelType w:val="hybridMultilevel"/>
    <w:tmpl w:val="EDB6E3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69A01A3"/>
    <w:multiLevelType w:val="hybridMultilevel"/>
    <w:tmpl w:val="BB0C6EB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6A744DE"/>
    <w:multiLevelType w:val="hybridMultilevel"/>
    <w:tmpl w:val="678497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374816267">
    <w:abstractNumId w:val="0"/>
  </w:num>
  <w:num w:numId="2" w16cid:durableId="1112089869">
    <w:abstractNumId w:val="2"/>
  </w:num>
  <w:num w:numId="3" w16cid:durableId="1099057363">
    <w:abstractNumId w:val="1"/>
  </w:num>
  <w:num w:numId="4" w16cid:durableId="1187406880">
    <w:abstractNumId w:val="3"/>
  </w:num>
  <w:num w:numId="5" w16cid:durableId="1232958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1A7"/>
    <w:rsid w:val="0001034E"/>
    <w:rsid w:val="00015405"/>
    <w:rsid w:val="000210D4"/>
    <w:rsid w:val="00027F99"/>
    <w:rsid w:val="00030488"/>
    <w:rsid w:val="000425FE"/>
    <w:rsid w:val="000469FF"/>
    <w:rsid w:val="000540B8"/>
    <w:rsid w:val="0005661E"/>
    <w:rsid w:val="0006007D"/>
    <w:rsid w:val="000601CC"/>
    <w:rsid w:val="00063016"/>
    <w:rsid w:val="000642A9"/>
    <w:rsid w:val="00066795"/>
    <w:rsid w:val="0007106E"/>
    <w:rsid w:val="0007130A"/>
    <w:rsid w:val="000719D6"/>
    <w:rsid w:val="00076AF6"/>
    <w:rsid w:val="00085CF2"/>
    <w:rsid w:val="00086DEB"/>
    <w:rsid w:val="00090F08"/>
    <w:rsid w:val="00095674"/>
    <w:rsid w:val="000A7F52"/>
    <w:rsid w:val="000B156C"/>
    <w:rsid w:val="000B1705"/>
    <w:rsid w:val="000B531C"/>
    <w:rsid w:val="000C1EB8"/>
    <w:rsid w:val="000C30E2"/>
    <w:rsid w:val="000C376C"/>
    <w:rsid w:val="000D0D9E"/>
    <w:rsid w:val="000D75B2"/>
    <w:rsid w:val="000E372C"/>
    <w:rsid w:val="000E54CE"/>
    <w:rsid w:val="000E7541"/>
    <w:rsid w:val="000F0DB6"/>
    <w:rsid w:val="000F2F7C"/>
    <w:rsid w:val="000F5062"/>
    <w:rsid w:val="000F5DDB"/>
    <w:rsid w:val="00105704"/>
    <w:rsid w:val="001121F5"/>
    <w:rsid w:val="00115496"/>
    <w:rsid w:val="00116BBC"/>
    <w:rsid w:val="00116F6B"/>
    <w:rsid w:val="0013031A"/>
    <w:rsid w:val="00133224"/>
    <w:rsid w:val="001379FA"/>
    <w:rsid w:val="001400DC"/>
    <w:rsid w:val="00140CE1"/>
    <w:rsid w:val="001472D4"/>
    <w:rsid w:val="0015189A"/>
    <w:rsid w:val="001558BC"/>
    <w:rsid w:val="00156BF8"/>
    <w:rsid w:val="00164785"/>
    <w:rsid w:val="00166267"/>
    <w:rsid w:val="001668ED"/>
    <w:rsid w:val="00167A2E"/>
    <w:rsid w:val="0017539C"/>
    <w:rsid w:val="00175AC2"/>
    <w:rsid w:val="0017609F"/>
    <w:rsid w:val="00176F47"/>
    <w:rsid w:val="00195414"/>
    <w:rsid w:val="001959EF"/>
    <w:rsid w:val="00197734"/>
    <w:rsid w:val="001A159C"/>
    <w:rsid w:val="001A273E"/>
    <w:rsid w:val="001A3154"/>
    <w:rsid w:val="001A7D1D"/>
    <w:rsid w:val="001B51DD"/>
    <w:rsid w:val="001C05F7"/>
    <w:rsid w:val="001C2BA1"/>
    <w:rsid w:val="001C3BB4"/>
    <w:rsid w:val="001C593C"/>
    <w:rsid w:val="001C628E"/>
    <w:rsid w:val="001C66A1"/>
    <w:rsid w:val="001E0F7B"/>
    <w:rsid w:val="001E200F"/>
    <w:rsid w:val="001E6432"/>
    <w:rsid w:val="001F40C0"/>
    <w:rsid w:val="001F5569"/>
    <w:rsid w:val="0020487B"/>
    <w:rsid w:val="00204943"/>
    <w:rsid w:val="002119FD"/>
    <w:rsid w:val="002130E0"/>
    <w:rsid w:val="002131C7"/>
    <w:rsid w:val="002140AC"/>
    <w:rsid w:val="0021533D"/>
    <w:rsid w:val="00215AB6"/>
    <w:rsid w:val="00221F46"/>
    <w:rsid w:val="00222A13"/>
    <w:rsid w:val="00224BAD"/>
    <w:rsid w:val="00240C3D"/>
    <w:rsid w:val="00242ECD"/>
    <w:rsid w:val="002620A1"/>
    <w:rsid w:val="00264425"/>
    <w:rsid w:val="002654C9"/>
    <w:rsid w:val="00265875"/>
    <w:rsid w:val="002678AA"/>
    <w:rsid w:val="00271725"/>
    <w:rsid w:val="0027303B"/>
    <w:rsid w:val="002755FC"/>
    <w:rsid w:val="00277DEA"/>
    <w:rsid w:val="0028109B"/>
    <w:rsid w:val="00286D51"/>
    <w:rsid w:val="0029041A"/>
    <w:rsid w:val="00290F30"/>
    <w:rsid w:val="002916B4"/>
    <w:rsid w:val="002A0615"/>
    <w:rsid w:val="002A133E"/>
    <w:rsid w:val="002A2188"/>
    <w:rsid w:val="002B1F58"/>
    <w:rsid w:val="002C1C7A"/>
    <w:rsid w:val="002C3F32"/>
    <w:rsid w:val="002C54E2"/>
    <w:rsid w:val="002D0BBF"/>
    <w:rsid w:val="002D3278"/>
    <w:rsid w:val="002E50F5"/>
    <w:rsid w:val="002E5D1B"/>
    <w:rsid w:val="002E689D"/>
    <w:rsid w:val="002E75F8"/>
    <w:rsid w:val="003003BE"/>
    <w:rsid w:val="0030160F"/>
    <w:rsid w:val="003017D5"/>
    <w:rsid w:val="003066C4"/>
    <w:rsid w:val="003171DF"/>
    <w:rsid w:val="003178D9"/>
    <w:rsid w:val="00320223"/>
    <w:rsid w:val="00322D0D"/>
    <w:rsid w:val="00332A7E"/>
    <w:rsid w:val="00352279"/>
    <w:rsid w:val="003534D0"/>
    <w:rsid w:val="0035523F"/>
    <w:rsid w:val="0035528D"/>
    <w:rsid w:val="00361465"/>
    <w:rsid w:val="003768CF"/>
    <w:rsid w:val="003877F5"/>
    <w:rsid w:val="0039140F"/>
    <w:rsid w:val="003936D3"/>
    <w:rsid w:val="003942D4"/>
    <w:rsid w:val="00394573"/>
    <w:rsid w:val="003958A8"/>
    <w:rsid w:val="00397718"/>
    <w:rsid w:val="003A710B"/>
    <w:rsid w:val="003B29C2"/>
    <w:rsid w:val="003B4FAF"/>
    <w:rsid w:val="003C2533"/>
    <w:rsid w:val="003C3709"/>
    <w:rsid w:val="003D1B50"/>
    <w:rsid w:val="003D2C38"/>
    <w:rsid w:val="003D5A7F"/>
    <w:rsid w:val="003D62A2"/>
    <w:rsid w:val="003E4AD7"/>
    <w:rsid w:val="003E628B"/>
    <w:rsid w:val="003F0228"/>
    <w:rsid w:val="003F1570"/>
    <w:rsid w:val="003F43FD"/>
    <w:rsid w:val="00400607"/>
    <w:rsid w:val="00402461"/>
    <w:rsid w:val="0040435A"/>
    <w:rsid w:val="004056B0"/>
    <w:rsid w:val="00405F93"/>
    <w:rsid w:val="00411FD3"/>
    <w:rsid w:val="004163BF"/>
    <w:rsid w:val="00416A24"/>
    <w:rsid w:val="00420BEF"/>
    <w:rsid w:val="00426370"/>
    <w:rsid w:val="004318ED"/>
    <w:rsid w:val="00431D9E"/>
    <w:rsid w:val="00433CE8"/>
    <w:rsid w:val="00434A5C"/>
    <w:rsid w:val="00436C23"/>
    <w:rsid w:val="00442F6B"/>
    <w:rsid w:val="00443E26"/>
    <w:rsid w:val="00445B10"/>
    <w:rsid w:val="00446F96"/>
    <w:rsid w:val="0045254C"/>
    <w:rsid w:val="00453079"/>
    <w:rsid w:val="004544D9"/>
    <w:rsid w:val="00454E55"/>
    <w:rsid w:val="00465C35"/>
    <w:rsid w:val="00472BAD"/>
    <w:rsid w:val="0047648B"/>
    <w:rsid w:val="00484009"/>
    <w:rsid w:val="00487138"/>
    <w:rsid w:val="00490E72"/>
    <w:rsid w:val="00491157"/>
    <w:rsid w:val="00491BA9"/>
    <w:rsid w:val="004921C8"/>
    <w:rsid w:val="00492870"/>
    <w:rsid w:val="00493425"/>
    <w:rsid w:val="0049369C"/>
    <w:rsid w:val="004937BA"/>
    <w:rsid w:val="00495424"/>
    <w:rsid w:val="00495615"/>
    <w:rsid w:val="00495B0B"/>
    <w:rsid w:val="004A1B8B"/>
    <w:rsid w:val="004A3C30"/>
    <w:rsid w:val="004B5E3F"/>
    <w:rsid w:val="004B6E7F"/>
    <w:rsid w:val="004C5CA5"/>
    <w:rsid w:val="004C5F1E"/>
    <w:rsid w:val="004D1851"/>
    <w:rsid w:val="004D2609"/>
    <w:rsid w:val="004D2EDC"/>
    <w:rsid w:val="004D599D"/>
    <w:rsid w:val="004E2432"/>
    <w:rsid w:val="004E2EA5"/>
    <w:rsid w:val="004E3AEB"/>
    <w:rsid w:val="004E47EA"/>
    <w:rsid w:val="004F1CF8"/>
    <w:rsid w:val="004F1FC8"/>
    <w:rsid w:val="004F5878"/>
    <w:rsid w:val="0050223C"/>
    <w:rsid w:val="00512087"/>
    <w:rsid w:val="00517896"/>
    <w:rsid w:val="005203C9"/>
    <w:rsid w:val="005243FF"/>
    <w:rsid w:val="00527A97"/>
    <w:rsid w:val="005302DA"/>
    <w:rsid w:val="00531BDD"/>
    <w:rsid w:val="00532782"/>
    <w:rsid w:val="00534AF9"/>
    <w:rsid w:val="00542E7B"/>
    <w:rsid w:val="0055621E"/>
    <w:rsid w:val="00560146"/>
    <w:rsid w:val="0056218B"/>
    <w:rsid w:val="00564FBC"/>
    <w:rsid w:val="00570C0E"/>
    <w:rsid w:val="00570E6E"/>
    <w:rsid w:val="00576FC1"/>
    <w:rsid w:val="005800BC"/>
    <w:rsid w:val="00580AD7"/>
    <w:rsid w:val="00582442"/>
    <w:rsid w:val="00590413"/>
    <w:rsid w:val="005966F5"/>
    <w:rsid w:val="005A053E"/>
    <w:rsid w:val="005A1F38"/>
    <w:rsid w:val="005A2E14"/>
    <w:rsid w:val="005A2FC4"/>
    <w:rsid w:val="005A7916"/>
    <w:rsid w:val="005B0A0A"/>
    <w:rsid w:val="005B2E46"/>
    <w:rsid w:val="005B4386"/>
    <w:rsid w:val="005C01A0"/>
    <w:rsid w:val="005C4429"/>
    <w:rsid w:val="005D1394"/>
    <w:rsid w:val="005D17EA"/>
    <w:rsid w:val="005D2961"/>
    <w:rsid w:val="005D51C8"/>
    <w:rsid w:val="005E34D2"/>
    <w:rsid w:val="005F0774"/>
    <w:rsid w:val="005F3269"/>
    <w:rsid w:val="00600F16"/>
    <w:rsid w:val="0061071E"/>
    <w:rsid w:val="006110E2"/>
    <w:rsid w:val="00611FA7"/>
    <w:rsid w:val="00617E0B"/>
    <w:rsid w:val="00623AE3"/>
    <w:rsid w:val="00627241"/>
    <w:rsid w:val="00631E16"/>
    <w:rsid w:val="00632722"/>
    <w:rsid w:val="00634E92"/>
    <w:rsid w:val="006371B8"/>
    <w:rsid w:val="00637A23"/>
    <w:rsid w:val="00640699"/>
    <w:rsid w:val="0064737F"/>
    <w:rsid w:val="006535F1"/>
    <w:rsid w:val="00654A42"/>
    <w:rsid w:val="0065557D"/>
    <w:rsid w:val="00660D50"/>
    <w:rsid w:val="00662984"/>
    <w:rsid w:val="006716BB"/>
    <w:rsid w:val="0067222B"/>
    <w:rsid w:val="00682C09"/>
    <w:rsid w:val="0068766E"/>
    <w:rsid w:val="006956AB"/>
    <w:rsid w:val="006A203D"/>
    <w:rsid w:val="006A2F4B"/>
    <w:rsid w:val="006B0EF3"/>
    <w:rsid w:val="006B1859"/>
    <w:rsid w:val="006B4BF1"/>
    <w:rsid w:val="006B6680"/>
    <w:rsid w:val="006B6DCC"/>
    <w:rsid w:val="006B7220"/>
    <w:rsid w:val="006B77F1"/>
    <w:rsid w:val="006C15CA"/>
    <w:rsid w:val="006C263F"/>
    <w:rsid w:val="006E2995"/>
    <w:rsid w:val="006E3258"/>
    <w:rsid w:val="006EC351"/>
    <w:rsid w:val="006F03F6"/>
    <w:rsid w:val="006F4E87"/>
    <w:rsid w:val="00702DEF"/>
    <w:rsid w:val="00704841"/>
    <w:rsid w:val="00705EEA"/>
    <w:rsid w:val="00706861"/>
    <w:rsid w:val="007106D0"/>
    <w:rsid w:val="00712DE8"/>
    <w:rsid w:val="00720631"/>
    <w:rsid w:val="00720C3E"/>
    <w:rsid w:val="00722551"/>
    <w:rsid w:val="0072489F"/>
    <w:rsid w:val="00732218"/>
    <w:rsid w:val="00737E5D"/>
    <w:rsid w:val="00746A56"/>
    <w:rsid w:val="0075051B"/>
    <w:rsid w:val="007510D0"/>
    <w:rsid w:val="0075297B"/>
    <w:rsid w:val="00760325"/>
    <w:rsid w:val="00765C89"/>
    <w:rsid w:val="00766910"/>
    <w:rsid w:val="00766AB3"/>
    <w:rsid w:val="0077110E"/>
    <w:rsid w:val="00772C5D"/>
    <w:rsid w:val="00777558"/>
    <w:rsid w:val="0079055A"/>
    <w:rsid w:val="00793188"/>
    <w:rsid w:val="00794D34"/>
    <w:rsid w:val="007A3FCD"/>
    <w:rsid w:val="007A5DD6"/>
    <w:rsid w:val="007A6060"/>
    <w:rsid w:val="007B1862"/>
    <w:rsid w:val="007B19CF"/>
    <w:rsid w:val="007B6D61"/>
    <w:rsid w:val="007D01AF"/>
    <w:rsid w:val="007D03A7"/>
    <w:rsid w:val="007D455A"/>
    <w:rsid w:val="007E37CF"/>
    <w:rsid w:val="007E404A"/>
    <w:rsid w:val="007F3EFE"/>
    <w:rsid w:val="007F57ED"/>
    <w:rsid w:val="00802970"/>
    <w:rsid w:val="00812877"/>
    <w:rsid w:val="00813E5E"/>
    <w:rsid w:val="0081454D"/>
    <w:rsid w:val="008164D2"/>
    <w:rsid w:val="00816B61"/>
    <w:rsid w:val="00820ED8"/>
    <w:rsid w:val="00822158"/>
    <w:rsid w:val="008229D6"/>
    <w:rsid w:val="00822F75"/>
    <w:rsid w:val="00823FE7"/>
    <w:rsid w:val="008348E3"/>
    <w:rsid w:val="0083581B"/>
    <w:rsid w:val="008368E1"/>
    <w:rsid w:val="0084546D"/>
    <w:rsid w:val="00850D9F"/>
    <w:rsid w:val="00852435"/>
    <w:rsid w:val="008524E3"/>
    <w:rsid w:val="00856B53"/>
    <w:rsid w:val="00862150"/>
    <w:rsid w:val="00863874"/>
    <w:rsid w:val="00864AFF"/>
    <w:rsid w:val="00865925"/>
    <w:rsid w:val="00875750"/>
    <w:rsid w:val="00875EFB"/>
    <w:rsid w:val="008913D5"/>
    <w:rsid w:val="00893D10"/>
    <w:rsid w:val="00894B3E"/>
    <w:rsid w:val="008A2E45"/>
    <w:rsid w:val="008A3923"/>
    <w:rsid w:val="008A3C96"/>
    <w:rsid w:val="008A4841"/>
    <w:rsid w:val="008A6966"/>
    <w:rsid w:val="008B1304"/>
    <w:rsid w:val="008B4A5E"/>
    <w:rsid w:val="008B4A6A"/>
    <w:rsid w:val="008B5336"/>
    <w:rsid w:val="008B75E4"/>
    <w:rsid w:val="008C7E27"/>
    <w:rsid w:val="008D60A6"/>
    <w:rsid w:val="008D6212"/>
    <w:rsid w:val="008D636C"/>
    <w:rsid w:val="008E121C"/>
    <w:rsid w:val="008E22AE"/>
    <w:rsid w:val="008E2AE5"/>
    <w:rsid w:val="008E75C3"/>
    <w:rsid w:val="008F103E"/>
    <w:rsid w:val="008F5CAC"/>
    <w:rsid w:val="008F7448"/>
    <w:rsid w:val="008F7B8A"/>
    <w:rsid w:val="0090147A"/>
    <w:rsid w:val="00915905"/>
    <w:rsid w:val="009173EF"/>
    <w:rsid w:val="00924B63"/>
    <w:rsid w:val="00932906"/>
    <w:rsid w:val="00933A58"/>
    <w:rsid w:val="00953AF7"/>
    <w:rsid w:val="00954C49"/>
    <w:rsid w:val="00957B60"/>
    <w:rsid w:val="0096107E"/>
    <w:rsid w:val="00961B0B"/>
    <w:rsid w:val="00962D33"/>
    <w:rsid w:val="009642E1"/>
    <w:rsid w:val="00965ED7"/>
    <w:rsid w:val="009737F1"/>
    <w:rsid w:val="0097437E"/>
    <w:rsid w:val="009753E1"/>
    <w:rsid w:val="009842A1"/>
    <w:rsid w:val="009A76A8"/>
    <w:rsid w:val="009B38C3"/>
    <w:rsid w:val="009B5F14"/>
    <w:rsid w:val="009C0B34"/>
    <w:rsid w:val="009C30D7"/>
    <w:rsid w:val="009C721A"/>
    <w:rsid w:val="009E17BD"/>
    <w:rsid w:val="009E2A66"/>
    <w:rsid w:val="009E485A"/>
    <w:rsid w:val="009F0284"/>
    <w:rsid w:val="00A00F72"/>
    <w:rsid w:val="00A04CEC"/>
    <w:rsid w:val="00A109AF"/>
    <w:rsid w:val="00A11F28"/>
    <w:rsid w:val="00A1291A"/>
    <w:rsid w:val="00A1388C"/>
    <w:rsid w:val="00A1504C"/>
    <w:rsid w:val="00A2588C"/>
    <w:rsid w:val="00A27F92"/>
    <w:rsid w:val="00A30D15"/>
    <w:rsid w:val="00A32257"/>
    <w:rsid w:val="00A36D20"/>
    <w:rsid w:val="00A412E1"/>
    <w:rsid w:val="00A514A4"/>
    <w:rsid w:val="00A55622"/>
    <w:rsid w:val="00A67C8F"/>
    <w:rsid w:val="00A73AD4"/>
    <w:rsid w:val="00A7731D"/>
    <w:rsid w:val="00A83502"/>
    <w:rsid w:val="00A87EDD"/>
    <w:rsid w:val="00A94BAB"/>
    <w:rsid w:val="00A96088"/>
    <w:rsid w:val="00AA02DE"/>
    <w:rsid w:val="00AB4E98"/>
    <w:rsid w:val="00AB6EE9"/>
    <w:rsid w:val="00AB7B0A"/>
    <w:rsid w:val="00AC076C"/>
    <w:rsid w:val="00AD0594"/>
    <w:rsid w:val="00AD15B3"/>
    <w:rsid w:val="00AD3606"/>
    <w:rsid w:val="00AD3B4B"/>
    <w:rsid w:val="00AD4A3D"/>
    <w:rsid w:val="00AE03DC"/>
    <w:rsid w:val="00AE34DD"/>
    <w:rsid w:val="00AF1086"/>
    <w:rsid w:val="00AF198A"/>
    <w:rsid w:val="00AF6144"/>
    <w:rsid w:val="00AF6E49"/>
    <w:rsid w:val="00B04A67"/>
    <w:rsid w:val="00B0583C"/>
    <w:rsid w:val="00B0782A"/>
    <w:rsid w:val="00B2010E"/>
    <w:rsid w:val="00B22146"/>
    <w:rsid w:val="00B267C0"/>
    <w:rsid w:val="00B40A81"/>
    <w:rsid w:val="00B40F6A"/>
    <w:rsid w:val="00B44910"/>
    <w:rsid w:val="00B45243"/>
    <w:rsid w:val="00B472D2"/>
    <w:rsid w:val="00B516ED"/>
    <w:rsid w:val="00B531A7"/>
    <w:rsid w:val="00B55930"/>
    <w:rsid w:val="00B61879"/>
    <w:rsid w:val="00B65763"/>
    <w:rsid w:val="00B71251"/>
    <w:rsid w:val="00B72267"/>
    <w:rsid w:val="00B75AD2"/>
    <w:rsid w:val="00B76EB6"/>
    <w:rsid w:val="00B7737B"/>
    <w:rsid w:val="00B824C8"/>
    <w:rsid w:val="00B848F5"/>
    <w:rsid w:val="00B84B9D"/>
    <w:rsid w:val="00B87316"/>
    <w:rsid w:val="00B9131F"/>
    <w:rsid w:val="00BA036D"/>
    <w:rsid w:val="00BA045D"/>
    <w:rsid w:val="00BA4F4F"/>
    <w:rsid w:val="00BB007C"/>
    <w:rsid w:val="00BB0646"/>
    <w:rsid w:val="00BB0ED5"/>
    <w:rsid w:val="00BC251A"/>
    <w:rsid w:val="00BC4A20"/>
    <w:rsid w:val="00BD032B"/>
    <w:rsid w:val="00BD0A2A"/>
    <w:rsid w:val="00BD214C"/>
    <w:rsid w:val="00BE01C6"/>
    <w:rsid w:val="00BE1D6F"/>
    <w:rsid w:val="00BE2640"/>
    <w:rsid w:val="00BE28D9"/>
    <w:rsid w:val="00BE4502"/>
    <w:rsid w:val="00BE64D6"/>
    <w:rsid w:val="00BF1FDE"/>
    <w:rsid w:val="00BF7377"/>
    <w:rsid w:val="00C01189"/>
    <w:rsid w:val="00C0458D"/>
    <w:rsid w:val="00C05871"/>
    <w:rsid w:val="00C06B7F"/>
    <w:rsid w:val="00C15132"/>
    <w:rsid w:val="00C15AF2"/>
    <w:rsid w:val="00C16DF2"/>
    <w:rsid w:val="00C26CA3"/>
    <w:rsid w:val="00C271D4"/>
    <w:rsid w:val="00C33D94"/>
    <w:rsid w:val="00C374DE"/>
    <w:rsid w:val="00C46B9B"/>
    <w:rsid w:val="00C47AD4"/>
    <w:rsid w:val="00C50E91"/>
    <w:rsid w:val="00C52D81"/>
    <w:rsid w:val="00C55198"/>
    <w:rsid w:val="00C559C5"/>
    <w:rsid w:val="00C5605F"/>
    <w:rsid w:val="00C60BB1"/>
    <w:rsid w:val="00C6520B"/>
    <w:rsid w:val="00C660EF"/>
    <w:rsid w:val="00C70BC2"/>
    <w:rsid w:val="00C72A69"/>
    <w:rsid w:val="00C75816"/>
    <w:rsid w:val="00C82A21"/>
    <w:rsid w:val="00C85598"/>
    <w:rsid w:val="00C857F0"/>
    <w:rsid w:val="00C8721C"/>
    <w:rsid w:val="00C969DF"/>
    <w:rsid w:val="00CA48A1"/>
    <w:rsid w:val="00CA5599"/>
    <w:rsid w:val="00CA5756"/>
    <w:rsid w:val="00CA6393"/>
    <w:rsid w:val="00CA7995"/>
    <w:rsid w:val="00CB18FF"/>
    <w:rsid w:val="00CB3296"/>
    <w:rsid w:val="00CB4321"/>
    <w:rsid w:val="00CB4E93"/>
    <w:rsid w:val="00CD0C08"/>
    <w:rsid w:val="00CD41BA"/>
    <w:rsid w:val="00CD4A3E"/>
    <w:rsid w:val="00CD7B67"/>
    <w:rsid w:val="00CE03FB"/>
    <w:rsid w:val="00CE433C"/>
    <w:rsid w:val="00CF0161"/>
    <w:rsid w:val="00CF33F3"/>
    <w:rsid w:val="00CF4A2B"/>
    <w:rsid w:val="00CF7F50"/>
    <w:rsid w:val="00D024CA"/>
    <w:rsid w:val="00D06183"/>
    <w:rsid w:val="00D216C8"/>
    <w:rsid w:val="00D22C42"/>
    <w:rsid w:val="00D30556"/>
    <w:rsid w:val="00D401A2"/>
    <w:rsid w:val="00D42A72"/>
    <w:rsid w:val="00D573E0"/>
    <w:rsid w:val="00D63561"/>
    <w:rsid w:val="00D65041"/>
    <w:rsid w:val="00D67F7E"/>
    <w:rsid w:val="00D90664"/>
    <w:rsid w:val="00D971CD"/>
    <w:rsid w:val="00DA44EB"/>
    <w:rsid w:val="00DA74DB"/>
    <w:rsid w:val="00DB0F32"/>
    <w:rsid w:val="00DB1936"/>
    <w:rsid w:val="00DB3136"/>
    <w:rsid w:val="00DB384B"/>
    <w:rsid w:val="00DC3081"/>
    <w:rsid w:val="00DD09E0"/>
    <w:rsid w:val="00DD64F2"/>
    <w:rsid w:val="00DE2411"/>
    <w:rsid w:val="00DE3D34"/>
    <w:rsid w:val="00DE532B"/>
    <w:rsid w:val="00DE543C"/>
    <w:rsid w:val="00DE5964"/>
    <w:rsid w:val="00DE747B"/>
    <w:rsid w:val="00DF0189"/>
    <w:rsid w:val="00DF5B63"/>
    <w:rsid w:val="00E00FD4"/>
    <w:rsid w:val="00E013CD"/>
    <w:rsid w:val="00E05137"/>
    <w:rsid w:val="00E06FD5"/>
    <w:rsid w:val="00E07B9C"/>
    <w:rsid w:val="00E10E80"/>
    <w:rsid w:val="00E124F0"/>
    <w:rsid w:val="00E146D4"/>
    <w:rsid w:val="00E15D60"/>
    <w:rsid w:val="00E20FE4"/>
    <w:rsid w:val="00E227F3"/>
    <w:rsid w:val="00E236C5"/>
    <w:rsid w:val="00E26FC6"/>
    <w:rsid w:val="00E31149"/>
    <w:rsid w:val="00E469FD"/>
    <w:rsid w:val="00E545C6"/>
    <w:rsid w:val="00E56D69"/>
    <w:rsid w:val="00E60F04"/>
    <w:rsid w:val="00E621F9"/>
    <w:rsid w:val="00E65B24"/>
    <w:rsid w:val="00E70E6A"/>
    <w:rsid w:val="00E72008"/>
    <w:rsid w:val="00E845C5"/>
    <w:rsid w:val="00E84D38"/>
    <w:rsid w:val="00E854E4"/>
    <w:rsid w:val="00E86DBF"/>
    <w:rsid w:val="00E969AF"/>
    <w:rsid w:val="00E97AA6"/>
    <w:rsid w:val="00EA2726"/>
    <w:rsid w:val="00EA3F34"/>
    <w:rsid w:val="00EA5710"/>
    <w:rsid w:val="00EA612F"/>
    <w:rsid w:val="00EA6FBE"/>
    <w:rsid w:val="00EB0D6F"/>
    <w:rsid w:val="00EB2232"/>
    <w:rsid w:val="00EB39DC"/>
    <w:rsid w:val="00EC05E1"/>
    <w:rsid w:val="00EC1DE2"/>
    <w:rsid w:val="00EC5337"/>
    <w:rsid w:val="00EC5B68"/>
    <w:rsid w:val="00EC72B3"/>
    <w:rsid w:val="00ED0C29"/>
    <w:rsid w:val="00ED2554"/>
    <w:rsid w:val="00ED7106"/>
    <w:rsid w:val="00EE26E5"/>
    <w:rsid w:val="00EE49E8"/>
    <w:rsid w:val="00EE4D90"/>
    <w:rsid w:val="00EF48F7"/>
    <w:rsid w:val="00EF5A6F"/>
    <w:rsid w:val="00F11E4C"/>
    <w:rsid w:val="00F13DC6"/>
    <w:rsid w:val="00F16BAB"/>
    <w:rsid w:val="00F2150A"/>
    <w:rsid w:val="00F231D8"/>
    <w:rsid w:val="00F329D9"/>
    <w:rsid w:val="00F32CBB"/>
    <w:rsid w:val="00F37497"/>
    <w:rsid w:val="00F4148E"/>
    <w:rsid w:val="00F44C00"/>
    <w:rsid w:val="00F45D2C"/>
    <w:rsid w:val="00F46C5F"/>
    <w:rsid w:val="00F52114"/>
    <w:rsid w:val="00F56A08"/>
    <w:rsid w:val="00F600DC"/>
    <w:rsid w:val="00F62DE0"/>
    <w:rsid w:val="00F632C0"/>
    <w:rsid w:val="00F641E1"/>
    <w:rsid w:val="00F7182F"/>
    <w:rsid w:val="00F7343B"/>
    <w:rsid w:val="00F75B12"/>
    <w:rsid w:val="00F775FB"/>
    <w:rsid w:val="00F80990"/>
    <w:rsid w:val="00F94A63"/>
    <w:rsid w:val="00FA1C28"/>
    <w:rsid w:val="00FB1279"/>
    <w:rsid w:val="00FB48B5"/>
    <w:rsid w:val="00FB4A08"/>
    <w:rsid w:val="00FB6B76"/>
    <w:rsid w:val="00FB6F8A"/>
    <w:rsid w:val="00FB7596"/>
    <w:rsid w:val="00FB77DB"/>
    <w:rsid w:val="00FD335E"/>
    <w:rsid w:val="00FE0C94"/>
    <w:rsid w:val="00FE0DDD"/>
    <w:rsid w:val="00FE3FD6"/>
    <w:rsid w:val="00FE4077"/>
    <w:rsid w:val="00FE500D"/>
    <w:rsid w:val="00FE77D2"/>
    <w:rsid w:val="00FF1397"/>
    <w:rsid w:val="00FF39B1"/>
    <w:rsid w:val="00FF450C"/>
    <w:rsid w:val="00FF6619"/>
    <w:rsid w:val="00FF787B"/>
    <w:rsid w:val="0132876A"/>
    <w:rsid w:val="0162F6D7"/>
    <w:rsid w:val="017260A2"/>
    <w:rsid w:val="02028CEA"/>
    <w:rsid w:val="028A2557"/>
    <w:rsid w:val="03043390"/>
    <w:rsid w:val="0311C81C"/>
    <w:rsid w:val="033219BB"/>
    <w:rsid w:val="035C598F"/>
    <w:rsid w:val="03B0CE9C"/>
    <w:rsid w:val="0403442F"/>
    <w:rsid w:val="04D64781"/>
    <w:rsid w:val="050D2498"/>
    <w:rsid w:val="055F74A0"/>
    <w:rsid w:val="05DFE1DD"/>
    <w:rsid w:val="0621C57B"/>
    <w:rsid w:val="06307D5A"/>
    <w:rsid w:val="0672BA02"/>
    <w:rsid w:val="06B9E1C8"/>
    <w:rsid w:val="06DF7F59"/>
    <w:rsid w:val="070FEC8D"/>
    <w:rsid w:val="07392A63"/>
    <w:rsid w:val="07DF0A28"/>
    <w:rsid w:val="08A47833"/>
    <w:rsid w:val="0CA01528"/>
    <w:rsid w:val="0EC4043D"/>
    <w:rsid w:val="0ED2160C"/>
    <w:rsid w:val="0EF69395"/>
    <w:rsid w:val="11BE7D5C"/>
    <w:rsid w:val="1273ABE5"/>
    <w:rsid w:val="1608CB91"/>
    <w:rsid w:val="17F52D6C"/>
    <w:rsid w:val="18E1D537"/>
    <w:rsid w:val="18F30B5F"/>
    <w:rsid w:val="1B48A72E"/>
    <w:rsid w:val="1D44FACB"/>
    <w:rsid w:val="1D53F653"/>
    <w:rsid w:val="1DA7724F"/>
    <w:rsid w:val="1DE09EB3"/>
    <w:rsid w:val="1E5E4C2B"/>
    <w:rsid w:val="1EF6C688"/>
    <w:rsid w:val="1F39D0E0"/>
    <w:rsid w:val="1F7CE64C"/>
    <w:rsid w:val="1FBC4884"/>
    <w:rsid w:val="1FCB7598"/>
    <w:rsid w:val="2071FDBF"/>
    <w:rsid w:val="2091D8F1"/>
    <w:rsid w:val="209E66A8"/>
    <w:rsid w:val="20C74AEB"/>
    <w:rsid w:val="217E3E45"/>
    <w:rsid w:val="21E8A89E"/>
    <w:rsid w:val="220B60D1"/>
    <w:rsid w:val="22C4EB84"/>
    <w:rsid w:val="22EBDC36"/>
    <w:rsid w:val="243435D1"/>
    <w:rsid w:val="2461C76B"/>
    <w:rsid w:val="2574F098"/>
    <w:rsid w:val="26868EA3"/>
    <w:rsid w:val="2690406D"/>
    <w:rsid w:val="27CD2DCA"/>
    <w:rsid w:val="283557EB"/>
    <w:rsid w:val="2961F1A8"/>
    <w:rsid w:val="29C1721B"/>
    <w:rsid w:val="2ADCCC86"/>
    <w:rsid w:val="2B64586D"/>
    <w:rsid w:val="2B866031"/>
    <w:rsid w:val="2BCECE9C"/>
    <w:rsid w:val="2BED584F"/>
    <w:rsid w:val="2D31760F"/>
    <w:rsid w:val="2D785C58"/>
    <w:rsid w:val="2D7E9175"/>
    <w:rsid w:val="2DB1301C"/>
    <w:rsid w:val="2E04B32B"/>
    <w:rsid w:val="2E8697A1"/>
    <w:rsid w:val="2F755BBE"/>
    <w:rsid w:val="2F7BE1DF"/>
    <w:rsid w:val="2FA8FD56"/>
    <w:rsid w:val="2FF2A902"/>
    <w:rsid w:val="30993873"/>
    <w:rsid w:val="314A9607"/>
    <w:rsid w:val="31869B14"/>
    <w:rsid w:val="32063B12"/>
    <w:rsid w:val="338ED99A"/>
    <w:rsid w:val="34CC49BE"/>
    <w:rsid w:val="35066558"/>
    <w:rsid w:val="357F3932"/>
    <w:rsid w:val="36432964"/>
    <w:rsid w:val="36F1BF37"/>
    <w:rsid w:val="372CD3CF"/>
    <w:rsid w:val="38332BDF"/>
    <w:rsid w:val="3987887B"/>
    <w:rsid w:val="39A186DF"/>
    <w:rsid w:val="3BA2108F"/>
    <w:rsid w:val="3BB625FB"/>
    <w:rsid w:val="3D7376CA"/>
    <w:rsid w:val="3DAB417B"/>
    <w:rsid w:val="3E4FA8C0"/>
    <w:rsid w:val="3F76A007"/>
    <w:rsid w:val="4018E7CF"/>
    <w:rsid w:val="40495993"/>
    <w:rsid w:val="410B24C4"/>
    <w:rsid w:val="41F29354"/>
    <w:rsid w:val="42895427"/>
    <w:rsid w:val="42D96BAF"/>
    <w:rsid w:val="43436AB1"/>
    <w:rsid w:val="4856A7D5"/>
    <w:rsid w:val="488B3324"/>
    <w:rsid w:val="492C6399"/>
    <w:rsid w:val="493C208F"/>
    <w:rsid w:val="496B08BB"/>
    <w:rsid w:val="4A022ADD"/>
    <w:rsid w:val="4A9F2FBF"/>
    <w:rsid w:val="4C98EEC2"/>
    <w:rsid w:val="4D0D4EA6"/>
    <w:rsid w:val="4D970488"/>
    <w:rsid w:val="4E54ED64"/>
    <w:rsid w:val="4F0D6B0A"/>
    <w:rsid w:val="4F3B676C"/>
    <w:rsid w:val="508CBD59"/>
    <w:rsid w:val="50DCC933"/>
    <w:rsid w:val="51274325"/>
    <w:rsid w:val="5151F2E7"/>
    <w:rsid w:val="527A1F9C"/>
    <w:rsid w:val="53FD7DEC"/>
    <w:rsid w:val="5557B9F9"/>
    <w:rsid w:val="555DFE23"/>
    <w:rsid w:val="558DDB52"/>
    <w:rsid w:val="56EE6217"/>
    <w:rsid w:val="5731AE98"/>
    <w:rsid w:val="57810A82"/>
    <w:rsid w:val="583EAFB3"/>
    <w:rsid w:val="58A70BB0"/>
    <w:rsid w:val="593D8E20"/>
    <w:rsid w:val="597B9FF2"/>
    <w:rsid w:val="5A1D2F08"/>
    <w:rsid w:val="5CAC9589"/>
    <w:rsid w:val="5E31F098"/>
    <w:rsid w:val="5EB96E86"/>
    <w:rsid w:val="606AB52B"/>
    <w:rsid w:val="6081A44F"/>
    <w:rsid w:val="60954DDB"/>
    <w:rsid w:val="60AD4182"/>
    <w:rsid w:val="61DC4FA1"/>
    <w:rsid w:val="62044DC6"/>
    <w:rsid w:val="62435687"/>
    <w:rsid w:val="6262FE9B"/>
    <w:rsid w:val="62F284A4"/>
    <w:rsid w:val="63EDC0D4"/>
    <w:rsid w:val="64375D5D"/>
    <w:rsid w:val="64ED6D41"/>
    <w:rsid w:val="65C4FAAB"/>
    <w:rsid w:val="66057406"/>
    <w:rsid w:val="67456159"/>
    <w:rsid w:val="6812A75A"/>
    <w:rsid w:val="6882CA7F"/>
    <w:rsid w:val="6B1BEAB1"/>
    <w:rsid w:val="6B275A4C"/>
    <w:rsid w:val="6C3E1B85"/>
    <w:rsid w:val="6C40498B"/>
    <w:rsid w:val="6C59456D"/>
    <w:rsid w:val="6D5A6A4D"/>
    <w:rsid w:val="6D8F824F"/>
    <w:rsid w:val="6DD5D4E6"/>
    <w:rsid w:val="6E54B65F"/>
    <w:rsid w:val="6EDD2E54"/>
    <w:rsid w:val="6EFC7298"/>
    <w:rsid w:val="70E76006"/>
    <w:rsid w:val="718EE390"/>
    <w:rsid w:val="72B46E24"/>
    <w:rsid w:val="7612C30C"/>
    <w:rsid w:val="76FA8713"/>
    <w:rsid w:val="774C1C3F"/>
    <w:rsid w:val="77DBB60A"/>
    <w:rsid w:val="781459E0"/>
    <w:rsid w:val="783A0F88"/>
    <w:rsid w:val="783F6CB4"/>
    <w:rsid w:val="784BC6BC"/>
    <w:rsid w:val="7889659F"/>
    <w:rsid w:val="79A146E4"/>
    <w:rsid w:val="7A44D8CC"/>
    <w:rsid w:val="7A4EDC9E"/>
    <w:rsid w:val="7B39CC56"/>
    <w:rsid w:val="7B3C57AD"/>
    <w:rsid w:val="7BC8681E"/>
    <w:rsid w:val="7C62E80A"/>
    <w:rsid w:val="7C95DC4A"/>
    <w:rsid w:val="7CF9BA8A"/>
    <w:rsid w:val="7D46FF16"/>
    <w:rsid w:val="7E09384F"/>
    <w:rsid w:val="7EC97BDB"/>
    <w:rsid w:val="7F71312D"/>
    <w:rsid w:val="7F9A9B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5311F"/>
  <w15:docId w15:val="{377F60CC-E546-446D-AAD4-16F78ABE9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uiPriority w:val="9"/>
    <w:qFormat/>
    <w:rsid w:val="00B9131F"/>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531BDD"/>
    <w:pPr>
      <w:framePr w:hSpace="181" w:wrap="around" w:vAnchor="page" w:hAnchor="page" w:x="1589" w:y="2314"/>
      <w:spacing w:before="2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pPr>
    <w:rPr>
      <w:b w:val="0"/>
    </w:rPr>
  </w:style>
  <w:style w:type="paragraph" w:customStyle="1" w:styleId="Title2">
    <w:name w:val="Title 2"/>
    <w:basedOn w:val="Source"/>
    <w:next w:val="Title3"/>
    <w:rsid w:val="00813E5E"/>
    <w:pPr>
      <w:framePr w:wrap="around"/>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A4841"/>
    <w:pPr>
      <w:tabs>
        <w:tab w:val="clear" w:pos="567"/>
        <w:tab w:val="clear" w:pos="1134"/>
        <w:tab w:val="clear" w:pos="1701"/>
        <w:tab w:val="clear" w:pos="2268"/>
        <w:tab w:val="clear" w:pos="2835"/>
        <w:tab w:val="left" w:pos="284"/>
      </w:tabs>
      <w:spacing w:before="40" w:after="4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A4841"/>
    <w:pPr>
      <w:spacing w:before="80" w:after="8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Heading1Char">
    <w:name w:val="Heading 1 Char"/>
    <w:basedOn w:val="DefaultParagraphFont"/>
    <w:link w:val="Heading1"/>
    <w:uiPriority w:val="9"/>
    <w:rsid w:val="000642A9"/>
    <w:rPr>
      <w:rFonts w:ascii="Calibri" w:hAnsi="Calibri"/>
      <w:b/>
      <w:sz w:val="28"/>
      <w:lang w:val="en-GB" w:eastAsia="en-US"/>
    </w:rPr>
  </w:style>
  <w:style w:type="character" w:customStyle="1" w:styleId="Heading2Char">
    <w:name w:val="Heading 2 Char"/>
    <w:basedOn w:val="DefaultParagraphFont"/>
    <w:link w:val="Heading2"/>
    <w:uiPriority w:val="9"/>
    <w:rsid w:val="000642A9"/>
    <w:rPr>
      <w:rFonts w:ascii="Calibri" w:hAnsi="Calibri"/>
      <w:b/>
      <w:sz w:val="24"/>
      <w:lang w:val="en-GB" w:eastAsia="en-US"/>
    </w:rPr>
  </w:style>
  <w:style w:type="character" w:styleId="CommentReference">
    <w:name w:val="annotation reference"/>
    <w:basedOn w:val="DefaultParagraphFont"/>
    <w:uiPriority w:val="99"/>
    <w:semiHidden/>
    <w:unhideWhenUsed/>
    <w:rsid w:val="000642A9"/>
    <w:rPr>
      <w:sz w:val="16"/>
      <w:szCs w:val="16"/>
    </w:rPr>
  </w:style>
  <w:style w:type="paragraph" w:styleId="CommentText">
    <w:name w:val="annotation text"/>
    <w:basedOn w:val="Normal"/>
    <w:link w:val="CommentTextChar"/>
    <w:uiPriority w:val="99"/>
    <w:unhideWhenUsed/>
    <w:rsid w:val="000642A9"/>
    <w:pPr>
      <w:tabs>
        <w:tab w:val="clear" w:pos="567"/>
        <w:tab w:val="clear" w:pos="1134"/>
        <w:tab w:val="clear" w:pos="1701"/>
        <w:tab w:val="clear" w:pos="2268"/>
        <w:tab w:val="clear" w:pos="2835"/>
      </w:tabs>
      <w:overflowPunct/>
      <w:autoSpaceDE/>
      <w:autoSpaceDN/>
      <w:adjustRightInd/>
      <w:spacing w:before="0" w:after="200"/>
      <w:textAlignment w:val="auto"/>
    </w:pPr>
    <w:rPr>
      <w:rFonts w:eastAsiaTheme="minorEastAsia" w:cs="Calibri"/>
      <w:sz w:val="20"/>
      <w:lang w:val="en-US"/>
    </w:rPr>
  </w:style>
  <w:style w:type="character" w:customStyle="1" w:styleId="CommentTextChar">
    <w:name w:val="Comment Text Char"/>
    <w:basedOn w:val="DefaultParagraphFont"/>
    <w:link w:val="CommentText"/>
    <w:uiPriority w:val="99"/>
    <w:rsid w:val="000642A9"/>
    <w:rPr>
      <w:rFonts w:ascii="Calibri" w:eastAsiaTheme="minorEastAsia" w:hAnsi="Calibri" w:cs="Calibri"/>
      <w:lang w:eastAsia="en-US"/>
    </w:rPr>
  </w:style>
  <w:style w:type="character" w:styleId="Mention">
    <w:name w:val="Mention"/>
    <w:basedOn w:val="DefaultParagraphFont"/>
    <w:uiPriority w:val="99"/>
    <w:unhideWhenUsed/>
    <w:rsid w:val="000642A9"/>
    <w:rPr>
      <w:color w:val="2B579A"/>
      <w:shd w:val="clear" w:color="auto" w:fill="E1DFDD"/>
    </w:rPr>
  </w:style>
  <w:style w:type="paragraph" w:styleId="ListParagraph">
    <w:name w:val="List Paragraph"/>
    <w:basedOn w:val="Normal"/>
    <w:uiPriority w:val="34"/>
    <w:qFormat/>
    <w:rsid w:val="000642A9"/>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eastAsiaTheme="minorEastAsia" w:cs="Calibri"/>
      <w:sz w:val="22"/>
      <w:szCs w:val="22"/>
      <w:lang w:val="en-US"/>
    </w:rPr>
  </w:style>
  <w:style w:type="paragraph" w:styleId="CommentSubject">
    <w:name w:val="annotation subject"/>
    <w:basedOn w:val="CommentText"/>
    <w:next w:val="CommentText"/>
    <w:link w:val="CommentSubjectChar"/>
    <w:semiHidden/>
    <w:unhideWhenUsed/>
    <w:rsid w:val="00570C0E"/>
    <w:pPr>
      <w:tabs>
        <w:tab w:val="left" w:pos="567"/>
        <w:tab w:val="left" w:pos="1134"/>
        <w:tab w:val="left" w:pos="1701"/>
        <w:tab w:val="left" w:pos="2268"/>
        <w:tab w:val="left" w:pos="2835"/>
      </w:tabs>
      <w:overflowPunct w:val="0"/>
      <w:autoSpaceDE w:val="0"/>
      <w:autoSpaceDN w:val="0"/>
      <w:adjustRightInd w:val="0"/>
      <w:spacing w:before="120" w:after="0"/>
      <w:textAlignment w:val="baseline"/>
    </w:pPr>
    <w:rPr>
      <w:rFonts w:eastAsia="Times New Roman" w:cs="Times New Roman"/>
      <w:b/>
      <w:bCs/>
      <w:lang w:val="en-GB"/>
    </w:rPr>
  </w:style>
  <w:style w:type="character" w:customStyle="1" w:styleId="CommentSubjectChar">
    <w:name w:val="Comment Subject Char"/>
    <w:basedOn w:val="CommentTextChar"/>
    <w:link w:val="CommentSubject"/>
    <w:semiHidden/>
    <w:rsid w:val="00570C0E"/>
    <w:rPr>
      <w:rFonts w:ascii="Calibri" w:eastAsiaTheme="minorEastAsia" w:hAnsi="Calibri" w:cs="Calibri"/>
      <w:b/>
      <w:bCs/>
      <w:lang w:val="en-GB" w:eastAsia="en-US"/>
    </w:rPr>
  </w:style>
  <w:style w:type="paragraph" w:styleId="NormalWeb">
    <w:name w:val="Normal (Web)"/>
    <w:basedOn w:val="Normal"/>
    <w:semiHidden/>
    <w:unhideWhenUsed/>
    <w:rsid w:val="00FF787B"/>
    <w:rPr>
      <w:rFonts w:ascii="Times New Roman" w:hAnsi="Times New Roman"/>
      <w:szCs w:val="24"/>
    </w:rPr>
  </w:style>
  <w:style w:type="paragraph" w:styleId="Revision">
    <w:name w:val="Revision"/>
    <w:hidden/>
    <w:uiPriority w:val="99"/>
    <w:semiHidden/>
    <w:rsid w:val="00732218"/>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Documents/basic-texts-2023/RES-091-E.pdf" TargetMode="External"/><Relationship Id="rId18" Type="http://schemas.openxmlformats.org/officeDocument/2006/relationships/image" Target="media/image3.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s://www.itu.int/md/S25-CL-C-0064/en" TargetMode="External"/><Relationship Id="rId17" Type="http://schemas.openxmlformats.org/officeDocument/2006/relationships/image" Target="media/image2.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5-CL-C-0010/en" TargetMode="External"/><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hyperlink" Target="https://www.itu.int/md/S26-CWGFHR22-C-0002/en" TargetMode="External"/><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Documents/basic-texts-2023/RES-091-E.pdf" TargetMode="External"/><Relationship Id="rId22" Type="http://schemas.openxmlformats.org/officeDocument/2006/relationships/image" Target="media/image7.emf"/><Relationship Id="rId27" Type="http://schemas.openxmlformats.org/officeDocument/2006/relationships/footer" Target="footer2.xml"/><Relationship Id="rId30" Type="http://schemas.microsoft.com/office/2019/05/relationships/documenttasks" Target="documenttasks/documenttasks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documenttasks/documenttasks1.xml><?xml version="1.0" encoding="utf-8"?>
<t:Tasks xmlns:t="http://schemas.microsoft.com/office/tasks/2019/documenttasks" xmlns:oel="http://schemas.microsoft.com/office/2019/extlst">
  <t:Task id="{54D0B1D8-80F2-4E60-89BD-E99EEA7F0936}">
    <t:Anchor>
      <t:Comment id="2056759825"/>
    </t:Anchor>
    <t:History>
      <t:Event id="{0A44935E-7648-4A1F-8B81-B99B7806A87D}" time="2026-03-30T15:50:25.315Z">
        <t:Attribution userId="S::brian.elliott@itu.int::b326bcd8-57a1-4ffa-bffa-857085405c9b" userProvider="AD" userName="Elliott, Brian"/>
        <t:Anchor>
          <t:Comment id="1737444282"/>
        </t:Anchor>
        <t:Create/>
      </t:Event>
      <t:Event id="{9CA866F7-1256-4F7E-B556-38E3050312AB}" time="2026-03-30T15:50:25.315Z">
        <t:Attribution userId="S::brian.elliott@itu.int::b326bcd8-57a1-4ffa-bffa-857085405c9b" userProvider="AD" userName="Elliott, Brian"/>
        <t:Anchor>
          <t:Comment id="1737444282"/>
        </t:Anchor>
        <t:Assign userId="S::beatrice.pluchon@itu.int::00eb5bfe-70e2-4d39-b193-429ba5a4a3e0" userProvider="AD" userName="Pluchon, Beatrice"/>
      </t:Event>
      <t:Event id="{A608B902-B99C-4709-93C9-843E77B5E857}" time="2026-03-30T15:50:25.315Z">
        <t:Attribution userId="S::brian.elliott@itu.int::b326bcd8-57a1-4ffa-bffa-857085405c9b" userProvider="AD" userName="Elliott, Brian"/>
        <t:Anchor>
          <t:Comment id="1737444282"/>
        </t:Anchor>
        <t:SetTitle title="@Pluchon, Beatrice amended"/>
      </t:Event>
      <t:Event id="{5979D9CE-88CD-482A-8A39-AAE47B7A3F18}" time="2026-03-30T18:56:17.146Z">
        <t:Attribution userId="S::mariadolores.delarosatrivino@itu.int::02289291-ff58-4a30-8539-3487f892a766" userProvider="AD" userName="De La Rosa Trivino, Maria Dolore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9E76B-A3FA-417B-8E99-5F9DC3D3EA6B}">
  <ds:schemaRefs>
    <ds:schemaRef ds:uri="http://purl.org/dc/dcmitype/"/>
    <ds:schemaRef ds:uri="http://schemas.microsoft.com/office/2006/metadata/properties"/>
    <ds:schemaRef ds:uri="http://purl.org/dc/elements/1.1/"/>
    <ds:schemaRef ds:uri="a4c22657-7647-457b-a399-8471255bb166"/>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090E280D-7A72-4B0C-853C-6DD97816E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1E9D8DE6-9F88-4104-A4AB-46922BD8FD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PE_Council26.dotx</Template>
  <TotalTime>1</TotalTime>
  <Pages>15</Pages>
  <Words>4949</Words>
  <Characters>27567</Characters>
  <Application>Microsoft Office Word</Application>
  <DocSecurity>0</DocSecurity>
  <Lines>641</Lines>
  <Paragraphs>237</Paragraphs>
  <ScaleCrop>false</ScaleCrop>
  <HeadingPairs>
    <vt:vector size="2" baseType="variant">
      <vt:variant>
        <vt:lpstr>Title</vt:lpstr>
      </vt:variant>
      <vt:variant>
        <vt:i4>1</vt:i4>
      </vt:variant>
    </vt:vector>
  </HeadingPairs>
  <TitlesOfParts>
    <vt:vector size="1" baseType="lpstr">
      <vt:lpstr>Satellite network filings – Draft methodology</vt:lpstr>
    </vt:vector>
  </TitlesOfParts>
  <Manager>General Secretariat</Manager>
  <Company>International Telecommunication Union (ITU)</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Satellite network filings - Draft methodology</dc:title>
  <dc:subject>ITU Council 2026</dc:subject>
  <cp:keywords>C26; C2026; Council 2026; PP26</cp:keywords>
  <dc:description/>
  <cp:lastModifiedBy>GBS-LRT</cp:lastModifiedBy>
  <cp:revision>2</cp:revision>
  <cp:lastPrinted>2000-07-18T22:30:00Z</cp:lastPrinted>
  <dcterms:created xsi:type="dcterms:W3CDTF">2026-04-15T16:25:00Z</dcterms:created>
  <dcterms:modified xsi:type="dcterms:W3CDTF">2026-04-15T16:25:00Z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