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5"/>
        <w:gridCol w:w="2966"/>
      </w:tblGrid>
      <w:tr w:rsidR="007B0AA0" w14:paraId="348061DA" w14:textId="77777777" w:rsidTr="00F363FE">
        <w:tc>
          <w:tcPr>
            <w:tcW w:w="6512" w:type="dxa"/>
          </w:tcPr>
          <w:p w14:paraId="49D59B18" w14:textId="675A554B" w:rsidR="007B0AA0" w:rsidRPr="007B0AA0" w:rsidRDefault="007B0AA0" w:rsidP="00F363FE">
            <w:pPr>
              <w:spacing w:before="60" w:after="60" w:line="260" w:lineRule="exact"/>
              <w:rPr>
                <w:b/>
                <w:bCs/>
                <w:lang w:bidi="ar-EG"/>
              </w:rPr>
            </w:pPr>
            <w:r w:rsidRPr="007B0AA0">
              <w:rPr>
                <w:rFonts w:hint="cs"/>
                <w:b/>
                <w:bCs/>
                <w:rtl/>
                <w:lang w:bidi="ar-EG"/>
              </w:rPr>
              <w:t>بند جدول الأعمال:</w:t>
            </w:r>
            <w:r w:rsidR="007049E0">
              <w:rPr>
                <w:rFonts w:hint="cs"/>
                <w:b/>
                <w:bCs/>
                <w:rtl/>
                <w:lang w:bidi="ar-EG"/>
              </w:rPr>
              <w:t xml:space="preserve"> </w:t>
            </w:r>
            <w:r w:rsidR="007049E0">
              <w:rPr>
                <w:b/>
                <w:bCs/>
                <w:lang w:bidi="ar-EG"/>
              </w:rPr>
              <w:t>ADM 1</w:t>
            </w:r>
          </w:p>
        </w:tc>
        <w:tc>
          <w:tcPr>
            <w:tcW w:w="3117" w:type="dxa"/>
          </w:tcPr>
          <w:p w14:paraId="22ABD112" w14:textId="5859BDE4" w:rsidR="007B0AA0" w:rsidRPr="007B0AA0" w:rsidRDefault="007B0AA0" w:rsidP="00F363FE">
            <w:pPr>
              <w:spacing w:before="60" w:after="60" w:line="260" w:lineRule="exact"/>
              <w:rPr>
                <w:b/>
                <w:bCs/>
                <w:lang w:bidi="ar-EG"/>
              </w:rPr>
            </w:pPr>
            <w:r w:rsidRPr="007B0AA0">
              <w:rPr>
                <w:rFonts w:hint="cs"/>
                <w:b/>
                <w:bCs/>
                <w:rtl/>
                <w:lang w:bidi="ar-EG"/>
              </w:rPr>
              <w:t xml:space="preserve">الوثيقة </w:t>
            </w:r>
            <w:r w:rsidRPr="007B0AA0">
              <w:rPr>
                <w:b/>
                <w:bCs/>
                <w:lang w:bidi="ar-EG"/>
              </w:rPr>
              <w:t>C2</w:t>
            </w:r>
            <w:r w:rsidR="000116AF">
              <w:rPr>
                <w:b/>
                <w:bCs/>
                <w:lang w:bidi="ar-EG"/>
              </w:rPr>
              <w:t>6</w:t>
            </w:r>
            <w:r w:rsidRPr="007B0AA0">
              <w:rPr>
                <w:b/>
                <w:bCs/>
                <w:lang w:bidi="ar-EG"/>
              </w:rPr>
              <w:t>/</w:t>
            </w:r>
            <w:r w:rsidR="007049E0">
              <w:rPr>
                <w:b/>
                <w:bCs/>
                <w:lang w:bidi="ar-EG"/>
              </w:rPr>
              <w:t>19</w:t>
            </w:r>
            <w:r w:rsidRPr="007B0AA0">
              <w:rPr>
                <w:b/>
                <w:bCs/>
                <w:lang w:bidi="ar-EG"/>
              </w:rPr>
              <w:t>-A</w:t>
            </w:r>
          </w:p>
        </w:tc>
      </w:tr>
      <w:tr w:rsidR="007B0AA0" w14:paraId="46DC02D3" w14:textId="77777777" w:rsidTr="00F363FE">
        <w:tc>
          <w:tcPr>
            <w:tcW w:w="6512" w:type="dxa"/>
          </w:tcPr>
          <w:p w14:paraId="3C36B885" w14:textId="77777777" w:rsidR="007B0AA0" w:rsidRPr="007B0AA0" w:rsidRDefault="007B0AA0" w:rsidP="00F363FE">
            <w:pPr>
              <w:spacing w:before="60" w:after="60" w:line="260" w:lineRule="exact"/>
              <w:rPr>
                <w:b/>
                <w:bCs/>
                <w:rtl/>
                <w:lang w:bidi="ar-EG"/>
              </w:rPr>
            </w:pPr>
          </w:p>
        </w:tc>
        <w:tc>
          <w:tcPr>
            <w:tcW w:w="3117" w:type="dxa"/>
          </w:tcPr>
          <w:p w14:paraId="1A51955E" w14:textId="6AD769BA" w:rsidR="007B0AA0" w:rsidRPr="007B0AA0" w:rsidRDefault="007049E0" w:rsidP="00F363FE">
            <w:pPr>
              <w:spacing w:before="60" w:after="60" w:line="260" w:lineRule="exact"/>
              <w:rPr>
                <w:b/>
                <w:bCs/>
                <w:rtl/>
                <w:lang w:bidi="ar-EG"/>
              </w:rPr>
            </w:pPr>
            <w:r>
              <w:rPr>
                <w:rFonts w:hint="cs"/>
                <w:b/>
                <w:bCs/>
                <w:rtl/>
              </w:rPr>
              <w:t>‏19‏ مارس‏ 2026</w:t>
            </w:r>
          </w:p>
        </w:tc>
      </w:tr>
      <w:tr w:rsidR="007B0AA0" w14:paraId="12EF0239" w14:textId="77777777" w:rsidTr="00F363FE">
        <w:tc>
          <w:tcPr>
            <w:tcW w:w="6512" w:type="dxa"/>
          </w:tcPr>
          <w:p w14:paraId="01654407" w14:textId="77777777" w:rsidR="007B0AA0" w:rsidRPr="007B0AA0" w:rsidRDefault="007B0AA0" w:rsidP="00F363FE">
            <w:pPr>
              <w:spacing w:before="60" w:after="60" w:line="260" w:lineRule="exact"/>
              <w:rPr>
                <w:b/>
                <w:bCs/>
                <w:rtl/>
                <w:lang w:bidi="ar-EG"/>
              </w:rPr>
            </w:pPr>
          </w:p>
        </w:tc>
        <w:tc>
          <w:tcPr>
            <w:tcW w:w="3117" w:type="dxa"/>
          </w:tcPr>
          <w:p w14:paraId="24EF7F2F" w14:textId="77777777" w:rsidR="007B0AA0" w:rsidRPr="007B0AA0" w:rsidRDefault="001D64C7" w:rsidP="00F363FE">
            <w:pPr>
              <w:spacing w:before="60" w:after="60" w:line="260" w:lineRule="exact"/>
              <w:rPr>
                <w:b/>
                <w:bCs/>
                <w:rtl/>
                <w:lang w:bidi="ar-EG"/>
              </w:rPr>
            </w:pPr>
            <w:r w:rsidRPr="007B0AA0">
              <w:rPr>
                <w:rFonts w:hint="cs"/>
                <w:b/>
                <w:bCs/>
                <w:rtl/>
                <w:lang w:bidi="ar-EG"/>
              </w:rPr>
              <w:t>الأصل: بالإنكليزية</w:t>
            </w:r>
          </w:p>
        </w:tc>
      </w:tr>
      <w:tr w:rsidR="007B0AA0" w14:paraId="1575E218" w14:textId="77777777" w:rsidTr="00F363FE">
        <w:tc>
          <w:tcPr>
            <w:tcW w:w="6512" w:type="dxa"/>
          </w:tcPr>
          <w:p w14:paraId="76350302" w14:textId="77777777" w:rsidR="007B0AA0" w:rsidRDefault="007B0AA0" w:rsidP="00F363FE">
            <w:pPr>
              <w:spacing w:before="60" w:after="60" w:line="260" w:lineRule="exact"/>
              <w:rPr>
                <w:lang w:bidi="ar-EG"/>
              </w:rPr>
            </w:pPr>
          </w:p>
        </w:tc>
        <w:tc>
          <w:tcPr>
            <w:tcW w:w="3117" w:type="dxa"/>
          </w:tcPr>
          <w:p w14:paraId="6AC1520E" w14:textId="77777777" w:rsidR="007B0AA0" w:rsidRDefault="007B0AA0" w:rsidP="00F363FE">
            <w:pPr>
              <w:spacing w:before="60" w:after="60" w:line="260" w:lineRule="exact"/>
              <w:rPr>
                <w:rtl/>
                <w:lang w:bidi="ar-EG"/>
              </w:rPr>
            </w:pPr>
          </w:p>
        </w:tc>
      </w:tr>
      <w:tr w:rsidR="007B0AA0" w14:paraId="5A0105B9" w14:textId="77777777" w:rsidTr="00EE7446">
        <w:tc>
          <w:tcPr>
            <w:tcW w:w="9629" w:type="dxa"/>
            <w:gridSpan w:val="2"/>
          </w:tcPr>
          <w:p w14:paraId="666F619F" w14:textId="77777777" w:rsidR="007B0AA0" w:rsidRDefault="001D64C7" w:rsidP="007B0AA0">
            <w:pPr>
              <w:pStyle w:val="Source"/>
              <w:jc w:val="left"/>
              <w:rPr>
                <w:lang w:bidi="ar-EG"/>
              </w:rPr>
            </w:pPr>
            <w:r>
              <w:rPr>
                <w:rFonts w:hint="cs"/>
                <w:rtl/>
                <w:lang w:bidi="ar-EG"/>
              </w:rPr>
              <w:t>تقرير من الأمينة العامة</w:t>
            </w:r>
          </w:p>
        </w:tc>
      </w:tr>
      <w:tr w:rsidR="007B0AA0" w14:paraId="28382E36" w14:textId="77777777" w:rsidTr="007B0AA0">
        <w:tc>
          <w:tcPr>
            <w:tcW w:w="9629" w:type="dxa"/>
            <w:gridSpan w:val="2"/>
            <w:tcBorders>
              <w:bottom w:val="single" w:sz="4" w:space="0" w:color="auto"/>
            </w:tcBorders>
          </w:tcPr>
          <w:p w14:paraId="744578CC" w14:textId="3DA3173A" w:rsidR="007B0AA0" w:rsidRPr="005546CF" w:rsidRDefault="007049E0" w:rsidP="007B0AA0">
            <w:pPr>
              <w:pStyle w:val="Subtitle0"/>
              <w:rPr>
                <w:sz w:val="32"/>
                <w:szCs w:val="32"/>
              </w:rPr>
            </w:pPr>
            <w:r w:rsidRPr="007049E0">
              <w:rPr>
                <w:sz w:val="32"/>
                <w:szCs w:val="32"/>
                <w:rtl/>
              </w:rPr>
              <w:t>معالجة بطاقات التبليغ عن الشبكات الساتلية - مشروع منهجية</w:t>
            </w:r>
          </w:p>
        </w:tc>
      </w:tr>
      <w:tr w:rsidR="007B0AA0" w14:paraId="6051E1E4" w14:textId="77777777" w:rsidTr="007B0AA0">
        <w:tc>
          <w:tcPr>
            <w:tcW w:w="9629" w:type="dxa"/>
            <w:gridSpan w:val="2"/>
            <w:tcBorders>
              <w:top w:val="single" w:sz="4" w:space="0" w:color="auto"/>
              <w:bottom w:val="single" w:sz="4" w:space="0" w:color="auto"/>
            </w:tcBorders>
          </w:tcPr>
          <w:p w14:paraId="0E518A16" w14:textId="77777777" w:rsidR="007B0AA0" w:rsidRPr="007B0AA0" w:rsidRDefault="007B0AA0" w:rsidP="007B0AA0">
            <w:pPr>
              <w:rPr>
                <w:b/>
                <w:bCs/>
                <w:rtl/>
              </w:rPr>
            </w:pPr>
            <w:r w:rsidRPr="00494119">
              <w:rPr>
                <w:rFonts w:hint="cs"/>
                <w:b/>
                <w:bCs/>
                <w:rtl/>
              </w:rPr>
              <w:t>الغرض</w:t>
            </w:r>
          </w:p>
          <w:p w14:paraId="692B37DF" w14:textId="6EDB5A97" w:rsidR="007B0AA0" w:rsidRDefault="007049E0" w:rsidP="007B0AA0">
            <w:r w:rsidRPr="007049E0">
              <w:rPr>
                <w:rtl/>
              </w:rPr>
              <w:t xml:space="preserve">تعرض هذه الوثيقة الخطوط العريضة للمنهجية المقترحة من الأمانة لاسترداد تكاليف معالجة بطاقات التبليغ عن الشبكات الساتلية </w:t>
            </w:r>
            <w:r w:rsidRPr="007049E0">
              <w:t>(SNF)</w:t>
            </w:r>
            <w:r w:rsidRPr="007049E0">
              <w:rPr>
                <w:rtl/>
              </w:rPr>
              <w:t xml:space="preserve">. وفي الاجتماعات الأخيرة للمجلس وفريق العمل التابع للمجلس والمعني بالموارد المالية والبشرية </w:t>
            </w:r>
            <w:r w:rsidRPr="007049E0">
              <w:t>(CWG-FHR)</w:t>
            </w:r>
            <w:r w:rsidRPr="007049E0">
              <w:rPr>
                <w:rtl/>
              </w:rPr>
              <w:t xml:space="preserve">، أبلغت الأمانة المندوبين بأن الإيرادات المحصلة من رسوم </w:t>
            </w:r>
            <w:bookmarkStart w:id="0" w:name="_Hlk227675633"/>
            <w:r w:rsidR="001639BF" w:rsidRPr="001639BF">
              <w:rPr>
                <w:rtl/>
              </w:rPr>
              <w:t>معالجة بطاقات التبليغ عن الشبكات الساتلية</w:t>
            </w:r>
            <w:bookmarkEnd w:id="0"/>
            <w:r w:rsidRPr="007049E0">
              <w:rPr>
                <w:rtl/>
              </w:rPr>
              <w:t>، استنادا</w:t>
            </w:r>
            <w:r w:rsidR="008445FD">
              <w:rPr>
                <w:rFonts w:hint="cs"/>
                <w:rtl/>
              </w:rPr>
              <w:t>ً</w:t>
            </w:r>
            <w:r w:rsidRPr="007049E0">
              <w:rPr>
                <w:rtl/>
              </w:rPr>
              <w:t xml:space="preserve"> إلى</w:t>
            </w:r>
            <w:r w:rsidR="00305F86">
              <w:rPr>
                <w:rFonts w:hint="cs"/>
                <w:rtl/>
              </w:rPr>
              <w:t> </w:t>
            </w:r>
            <w:r w:rsidRPr="007049E0">
              <w:rPr>
                <w:rtl/>
              </w:rPr>
              <w:t xml:space="preserve">المنهجية الحالية، منذ عام 2021، لم تسترد التكاليف الكاملة للأعمال التي اضطلعت بها الأمانة في </w:t>
            </w:r>
            <w:r w:rsidR="001639BF" w:rsidRPr="001639BF">
              <w:rPr>
                <w:rtl/>
              </w:rPr>
              <w:t>معالجة بطاقات التبليغ عن الشبكات الساتلية</w:t>
            </w:r>
            <w:r w:rsidRPr="007049E0">
              <w:rPr>
                <w:rtl/>
              </w:rPr>
              <w:t>. وقد نتج هذا الوضع عن زيادات كبيرة في حجم بطاقات التبليغ وتعقدها، دون زيادات مقابلة ومتناسبة في الرسوم المفروضة. وبالتالي، جرى في السنوات الأخيرة دعم تكلفة معالجة بطاقات التبليغ عن الشبكات الساتلية باستخدام الميزانية العادية للاتحاد، خلافا</w:t>
            </w:r>
            <w:r w:rsidR="00305F86">
              <w:rPr>
                <w:rFonts w:hint="cs"/>
                <w:rtl/>
              </w:rPr>
              <w:t>ً</w:t>
            </w:r>
            <w:r w:rsidRPr="007049E0">
              <w:rPr>
                <w:rtl/>
              </w:rPr>
              <w:t xml:space="preserve"> لما توخاه القرار 91 (المراج</w:t>
            </w:r>
            <w:r w:rsidR="00305F86">
              <w:rPr>
                <w:rFonts w:hint="cs"/>
                <w:rtl/>
              </w:rPr>
              <w:t>َ</w:t>
            </w:r>
            <w:r w:rsidRPr="007049E0">
              <w:rPr>
                <w:rtl/>
              </w:rPr>
              <w:t>ع في بوخارست، 2022) لمؤتمر المندوبين المفوضين.</w:t>
            </w:r>
          </w:p>
          <w:p w14:paraId="07C9FA6B" w14:textId="2F499AC4" w:rsidR="007049E0" w:rsidRPr="00305F86" w:rsidRDefault="007049E0" w:rsidP="007049E0">
            <w:pPr>
              <w:rPr>
                <w:spacing w:val="-2"/>
                <w:rtl/>
              </w:rPr>
            </w:pPr>
            <w:r w:rsidRPr="00305F86">
              <w:rPr>
                <w:spacing w:val="-2"/>
                <w:rtl/>
              </w:rPr>
              <w:t>وعقب جهود الأمانة لإيضاح هذا الاختلال، أعرب المندوبون عن ضرورة توافر معلومات أكثر تفصيلا</w:t>
            </w:r>
            <w:r w:rsidR="00305F86" w:rsidRPr="00305F86">
              <w:rPr>
                <w:rFonts w:hint="cs"/>
                <w:spacing w:val="-2"/>
                <w:rtl/>
              </w:rPr>
              <w:t>ً</w:t>
            </w:r>
            <w:r w:rsidRPr="00305F86">
              <w:rPr>
                <w:spacing w:val="-2"/>
                <w:rtl/>
              </w:rPr>
              <w:t xml:space="preserve"> لدعم التكاليف </w:t>
            </w:r>
            <w:r w:rsidR="003D58C6" w:rsidRPr="00305F86">
              <w:rPr>
                <w:spacing w:val="-2"/>
                <w:rtl/>
              </w:rPr>
              <w:t>فيما</w:t>
            </w:r>
            <w:r w:rsidR="003D58C6">
              <w:rPr>
                <w:rFonts w:hint="cs"/>
                <w:spacing w:val="-2"/>
                <w:rtl/>
              </w:rPr>
              <w:t> </w:t>
            </w:r>
            <w:r w:rsidRPr="00305F86">
              <w:rPr>
                <w:spacing w:val="-2"/>
                <w:rtl/>
              </w:rPr>
              <w:t>يتعلق بعناصر التكلفة المباشرة وغير المباشرة المدرجة وللسماح باتخاذ قرارات قائمة على البيانات. وفي عام 2025، نفذ</w:t>
            </w:r>
            <w:r w:rsidR="00305F86">
              <w:rPr>
                <w:rFonts w:hint="cs"/>
                <w:spacing w:val="-2"/>
                <w:rtl/>
              </w:rPr>
              <w:t> </w:t>
            </w:r>
            <w:r w:rsidRPr="00305F86">
              <w:rPr>
                <w:spacing w:val="-2"/>
                <w:rtl/>
              </w:rPr>
              <w:t xml:space="preserve">المجلس زيادة مؤقتة في رسوم معالجة بطاقات التبليغ عن الشبكات الساتلية، أتاحت إيرادات إضافية لتعويض جزء من العجز لمدة عامين، وكُلِّفت الأمانة، بتوجيه من الفريق </w:t>
            </w:r>
            <w:r w:rsidRPr="00305F86">
              <w:rPr>
                <w:spacing w:val="-2"/>
              </w:rPr>
              <w:t>CWG-FHR</w:t>
            </w:r>
            <w:r w:rsidRPr="00305F86">
              <w:rPr>
                <w:spacing w:val="-2"/>
                <w:rtl/>
              </w:rPr>
              <w:t>، بتقديم مقترحات لوضع إطار مراجَع.</w:t>
            </w:r>
          </w:p>
          <w:p w14:paraId="71B46119" w14:textId="11B0C283" w:rsidR="007049E0" w:rsidRPr="006F08B7" w:rsidRDefault="007049E0" w:rsidP="007049E0">
            <w:pPr>
              <w:rPr>
                <w:spacing w:val="-2"/>
                <w:rtl/>
              </w:rPr>
            </w:pPr>
            <w:r w:rsidRPr="006F08B7">
              <w:rPr>
                <w:spacing w:val="-2"/>
                <w:rtl/>
              </w:rPr>
              <w:t>ويسعى المقترح الوارد في هذه الوثيقة إلى معالجة المناقشات ودواعي القلق التي أثارها المندوبون مؤخرا</w:t>
            </w:r>
            <w:r w:rsidR="006F08B7" w:rsidRPr="006F08B7">
              <w:rPr>
                <w:rFonts w:hint="cs"/>
                <w:spacing w:val="-2"/>
                <w:rtl/>
              </w:rPr>
              <w:t>ً</w:t>
            </w:r>
            <w:r w:rsidRPr="006F08B7">
              <w:rPr>
                <w:spacing w:val="-2"/>
                <w:rtl/>
              </w:rPr>
              <w:t xml:space="preserve">، من خلال اقتراح نموذج التكلفة حسب الأنشطة يوفر منهجية أدق لحساب التكاليف في جميع قطاعات الاتحاد، وتحقيق التواؤم بين رسوم </w:t>
            </w:r>
            <w:r w:rsidR="001639BF" w:rsidRPr="001639BF">
              <w:rPr>
                <w:spacing w:val="-2"/>
                <w:rtl/>
              </w:rPr>
              <w:t xml:space="preserve">معالجة بطاقات التبليغ عن الشبكات الساتلية </w:t>
            </w:r>
            <w:r w:rsidRPr="006F08B7">
              <w:rPr>
                <w:spacing w:val="-2"/>
                <w:rtl/>
              </w:rPr>
              <w:t>من جهة والتكاليف المذكورة من الجهة الأخرى، باستخدام مبادئ تحديد مسببات التكاليف.</w:t>
            </w:r>
          </w:p>
          <w:p w14:paraId="3A0B4399" w14:textId="77777777" w:rsidR="007B0AA0" w:rsidRPr="007B0AA0" w:rsidRDefault="007B0AA0" w:rsidP="007B0AA0">
            <w:pPr>
              <w:rPr>
                <w:b/>
                <w:bCs/>
                <w:rtl/>
              </w:rPr>
            </w:pPr>
            <w:r w:rsidRPr="007B0AA0">
              <w:rPr>
                <w:rFonts w:hint="cs"/>
                <w:b/>
                <w:bCs/>
                <w:rtl/>
              </w:rPr>
              <w:t>الإجراء المطلوب من المجلس</w:t>
            </w:r>
          </w:p>
          <w:p w14:paraId="5D2D1966" w14:textId="3C894668" w:rsidR="007B0AA0" w:rsidRDefault="007049E0" w:rsidP="007B0AA0">
            <w:pPr>
              <w:rPr>
                <w:rtl/>
              </w:rPr>
            </w:pPr>
            <w:r w:rsidRPr="007049E0">
              <w:rPr>
                <w:rtl/>
              </w:rPr>
              <w:t xml:space="preserve">يُدعى المجلس إلى </w:t>
            </w:r>
            <w:r w:rsidRPr="00DD08FF">
              <w:rPr>
                <w:b/>
                <w:bCs/>
                <w:rtl/>
              </w:rPr>
              <w:t>استعراض</w:t>
            </w:r>
            <w:r w:rsidRPr="007049E0">
              <w:rPr>
                <w:rtl/>
              </w:rPr>
              <w:t xml:space="preserve"> المنهجية المقترحة الواردة في هذه الوثيقة </w:t>
            </w:r>
            <w:r w:rsidRPr="00DD08FF">
              <w:rPr>
                <w:rtl/>
              </w:rPr>
              <w:t>و</w:t>
            </w:r>
            <w:r w:rsidRPr="00DD08FF">
              <w:rPr>
                <w:b/>
                <w:bCs/>
                <w:rtl/>
              </w:rPr>
              <w:t>إقرارها</w:t>
            </w:r>
            <w:r w:rsidRPr="007049E0">
              <w:rPr>
                <w:rtl/>
              </w:rPr>
              <w:t>.</w:t>
            </w:r>
          </w:p>
          <w:p w14:paraId="26344F93" w14:textId="77777777" w:rsidR="007B0AA0" w:rsidRPr="007B0AA0" w:rsidRDefault="00494119" w:rsidP="007B0AA0">
            <w:pPr>
              <w:rPr>
                <w:b/>
                <w:bCs/>
                <w:rtl/>
              </w:rPr>
            </w:pPr>
            <w:r>
              <w:rPr>
                <w:rFonts w:hint="cs"/>
                <w:b/>
                <w:bCs/>
                <w:rtl/>
                <w:lang w:bidi="ar-EG"/>
              </w:rPr>
              <w:t>الصلة</w:t>
            </w:r>
            <w:r w:rsidR="007B0AA0" w:rsidRPr="007B0AA0">
              <w:rPr>
                <w:b/>
                <w:bCs/>
                <w:rtl/>
              </w:rPr>
              <w:t xml:space="preserve"> بالخطة ال</w:t>
            </w:r>
            <w:r w:rsidR="007B0AA0" w:rsidRPr="007B0AA0">
              <w:rPr>
                <w:rFonts w:hint="cs"/>
                <w:b/>
                <w:bCs/>
                <w:rtl/>
              </w:rPr>
              <w:t>ا</w:t>
            </w:r>
            <w:r w:rsidR="007B0AA0" w:rsidRPr="007B0AA0">
              <w:rPr>
                <w:b/>
                <w:bCs/>
                <w:rtl/>
              </w:rPr>
              <w:t>ستراتيجية</w:t>
            </w:r>
          </w:p>
          <w:p w14:paraId="3FDD74FF" w14:textId="5AADE088" w:rsidR="007B0AA0" w:rsidRDefault="00DD08FF" w:rsidP="007B0AA0">
            <w:pPr>
              <w:rPr>
                <w:rtl/>
              </w:rPr>
            </w:pPr>
            <w:r w:rsidRPr="00DD08FF">
              <w:rPr>
                <w:rtl/>
              </w:rPr>
              <w:t>التوصيلية الشاملة؛ الطيف للخدمات الفضائية والأرضية؛ وضع لوائح الاتحاد الإدارية وتطبيقها؛ توزيع الموارد وإدارتها.</w:t>
            </w:r>
          </w:p>
          <w:p w14:paraId="2DDE3620" w14:textId="77777777" w:rsidR="007B0AA0" w:rsidRDefault="007B0AA0" w:rsidP="00B97F32">
            <w:pPr>
              <w:rPr>
                <w:b/>
                <w:bCs/>
              </w:rPr>
            </w:pPr>
            <w:r w:rsidRPr="007B0AA0">
              <w:rPr>
                <w:rFonts w:hint="cs"/>
                <w:b/>
                <w:bCs/>
                <w:rtl/>
              </w:rPr>
              <w:t>الآثار المالية</w:t>
            </w:r>
          </w:p>
          <w:p w14:paraId="40CF3B26" w14:textId="4D63D321" w:rsidR="006F363C" w:rsidRPr="00361D04" w:rsidRDefault="00BF0385" w:rsidP="007B0AA0">
            <w:pPr>
              <w:rPr>
                <w:spacing w:val="-4"/>
                <w:rtl/>
              </w:rPr>
            </w:pPr>
            <w:r w:rsidRPr="00361D04">
              <w:rPr>
                <w:spacing w:val="-4"/>
                <w:rtl/>
              </w:rPr>
              <w:t xml:space="preserve">جرى حساب إجمالي التكاليف الإجمالية لمعالجة بطاقات التبليغ عن الشبكات الساتلية </w:t>
            </w:r>
            <w:r w:rsidRPr="00361D04">
              <w:rPr>
                <w:spacing w:val="-4"/>
              </w:rPr>
              <w:t>(SNF)</w:t>
            </w:r>
            <w:r w:rsidRPr="00361D04">
              <w:rPr>
                <w:spacing w:val="-4"/>
                <w:rtl/>
              </w:rPr>
              <w:t xml:space="preserve"> بمبلغ </w:t>
            </w:r>
            <w:r w:rsidRPr="00361D04">
              <w:rPr>
                <w:spacing w:val="-4"/>
              </w:rPr>
              <w:t>15</w:t>
            </w:r>
            <w:r w:rsidR="006F08B7" w:rsidRPr="00361D04">
              <w:rPr>
                <w:spacing w:val="-4"/>
              </w:rPr>
              <w:t> </w:t>
            </w:r>
            <w:r w:rsidRPr="00361D04">
              <w:rPr>
                <w:spacing w:val="-4"/>
              </w:rPr>
              <w:t>753</w:t>
            </w:r>
            <w:r w:rsidR="006F08B7" w:rsidRPr="00361D04">
              <w:rPr>
                <w:spacing w:val="-4"/>
              </w:rPr>
              <w:t> </w:t>
            </w:r>
            <w:r w:rsidRPr="00361D04">
              <w:rPr>
                <w:spacing w:val="-4"/>
              </w:rPr>
              <w:t>700</w:t>
            </w:r>
            <w:r w:rsidRPr="00361D04">
              <w:rPr>
                <w:spacing w:val="-4"/>
                <w:rtl/>
              </w:rPr>
              <w:t xml:space="preserve"> فرنك سويسري، منها التكاليف المباشرة بمبلغ </w:t>
            </w:r>
            <w:r w:rsidRPr="00361D04">
              <w:rPr>
                <w:spacing w:val="-4"/>
              </w:rPr>
              <w:t>12</w:t>
            </w:r>
            <w:r w:rsidR="006F08B7" w:rsidRPr="00361D04">
              <w:rPr>
                <w:spacing w:val="-4"/>
              </w:rPr>
              <w:t> </w:t>
            </w:r>
            <w:r w:rsidRPr="00361D04">
              <w:rPr>
                <w:spacing w:val="-4"/>
              </w:rPr>
              <w:t>735</w:t>
            </w:r>
            <w:r w:rsidR="006F08B7" w:rsidRPr="00361D04">
              <w:rPr>
                <w:spacing w:val="-4"/>
              </w:rPr>
              <w:t> </w:t>
            </w:r>
            <w:r w:rsidRPr="00361D04">
              <w:rPr>
                <w:spacing w:val="-4"/>
              </w:rPr>
              <w:t>900</w:t>
            </w:r>
            <w:r w:rsidRPr="00361D04">
              <w:rPr>
                <w:spacing w:val="-4"/>
                <w:rtl/>
              </w:rPr>
              <w:t xml:space="preserve"> فرنك سويسري وإجمالي التكاليف غير المباشرة </w:t>
            </w:r>
            <w:r w:rsidRPr="00361D04">
              <w:rPr>
                <w:spacing w:val="-4"/>
              </w:rPr>
              <w:t>3</w:t>
            </w:r>
            <w:r w:rsidR="006F08B7" w:rsidRPr="00361D04">
              <w:rPr>
                <w:spacing w:val="-4"/>
              </w:rPr>
              <w:t> </w:t>
            </w:r>
            <w:r w:rsidRPr="00361D04">
              <w:rPr>
                <w:spacing w:val="-4"/>
              </w:rPr>
              <w:t>017</w:t>
            </w:r>
            <w:r w:rsidR="006F08B7" w:rsidRPr="00361D04">
              <w:rPr>
                <w:spacing w:val="-4"/>
              </w:rPr>
              <w:t> </w:t>
            </w:r>
            <w:r w:rsidRPr="00361D04">
              <w:rPr>
                <w:spacing w:val="-4"/>
              </w:rPr>
              <w:t>800</w:t>
            </w:r>
            <w:r w:rsidRPr="00361D04">
              <w:rPr>
                <w:spacing w:val="-4"/>
                <w:rtl/>
              </w:rPr>
              <w:t xml:space="preserve"> فرنك سويسري (ترد تفاصيلها في هذه الوثيقة).</w:t>
            </w:r>
          </w:p>
          <w:p w14:paraId="691CEC41" w14:textId="77777777" w:rsidR="007B0AA0" w:rsidRPr="007B0AA0" w:rsidRDefault="007B0AA0" w:rsidP="007B0AA0">
            <w:pPr>
              <w:rPr>
                <w:rFonts w:ascii="Traditional Arabic" w:hAnsi="Traditional Arabic" w:cs="Traditional Arabic"/>
                <w:sz w:val="30"/>
                <w:szCs w:val="30"/>
                <w:rtl/>
              </w:rPr>
            </w:pPr>
            <w:r w:rsidRPr="007B0AA0">
              <w:rPr>
                <w:rFonts w:ascii="Traditional Arabic" w:hAnsi="Traditional Arabic" w:cs="Traditional Arabic"/>
                <w:sz w:val="30"/>
                <w:szCs w:val="30"/>
                <w:rtl/>
              </w:rPr>
              <w:t>___________</w:t>
            </w:r>
          </w:p>
          <w:p w14:paraId="15A07672" w14:textId="77777777" w:rsidR="007B0AA0" w:rsidRPr="007B0AA0" w:rsidRDefault="007B0AA0" w:rsidP="006F08B7">
            <w:pPr>
              <w:keepNext/>
              <w:rPr>
                <w:b/>
                <w:bCs/>
                <w:rtl/>
              </w:rPr>
            </w:pPr>
            <w:r w:rsidRPr="007B0AA0">
              <w:rPr>
                <w:rFonts w:hint="cs"/>
                <w:b/>
                <w:bCs/>
                <w:rtl/>
              </w:rPr>
              <w:lastRenderedPageBreak/>
              <w:t>المراجع</w:t>
            </w:r>
          </w:p>
          <w:p w14:paraId="47ECBE6B" w14:textId="2D87BE29" w:rsidR="007B0AA0" w:rsidRPr="005546CF" w:rsidRDefault="00BF0385" w:rsidP="007B0AA0">
            <w:pPr>
              <w:rPr>
                <w:i/>
                <w:iCs/>
                <w:rtl/>
                <w:lang w:bidi="ar-EG"/>
              </w:rPr>
            </w:pPr>
            <w:r w:rsidRPr="00F92977">
              <w:rPr>
                <w:i/>
                <w:iCs/>
                <w:rtl/>
              </w:rPr>
              <w:t xml:space="preserve">الوثيقتان </w:t>
            </w:r>
            <w:hyperlink r:id="rId8" w:history="1">
              <w:r w:rsidRPr="00F92977">
                <w:rPr>
                  <w:rStyle w:val="Hyperlink"/>
                  <w:i/>
                  <w:iCs/>
                  <w:noProof w:val="0"/>
                  <w:lang w:val="en-US" w:eastAsia="zh-CN"/>
                </w:rPr>
                <w:t>C25/1</w:t>
              </w:r>
              <w:r w:rsidR="006F08B7" w:rsidRPr="00F92977">
                <w:rPr>
                  <w:rStyle w:val="Hyperlink"/>
                  <w:i/>
                  <w:iCs/>
                  <w:noProof w:val="0"/>
                  <w:lang w:val="en-US" w:eastAsia="zh-CN"/>
                </w:rPr>
                <w:t>0</w:t>
              </w:r>
            </w:hyperlink>
            <w:r w:rsidRPr="00F92977">
              <w:rPr>
                <w:i/>
                <w:iCs/>
                <w:rtl/>
              </w:rPr>
              <w:t xml:space="preserve"> و</w:t>
            </w:r>
            <w:hyperlink r:id="rId9" w:history="1">
              <w:r w:rsidRPr="00F92977">
                <w:rPr>
                  <w:rStyle w:val="Hyperlink"/>
                  <w:i/>
                  <w:iCs/>
                  <w:noProof w:val="0"/>
                  <w:lang w:val="en-US" w:eastAsia="zh-CN"/>
                </w:rPr>
                <w:t>C25/</w:t>
              </w:r>
              <w:r w:rsidR="006F08B7" w:rsidRPr="00F92977">
                <w:rPr>
                  <w:rStyle w:val="Hyperlink"/>
                  <w:i/>
                  <w:iCs/>
                  <w:noProof w:val="0"/>
                  <w:lang w:val="en-US" w:eastAsia="zh-CN"/>
                </w:rPr>
                <w:t>64</w:t>
              </w:r>
            </w:hyperlink>
            <w:r w:rsidRPr="00F92977">
              <w:rPr>
                <w:i/>
                <w:iCs/>
                <w:rtl/>
              </w:rPr>
              <w:t xml:space="preserve">؛ ومقرر المجلس </w:t>
            </w:r>
            <w:hyperlink r:id="rId10" w:history="1">
              <w:r w:rsidRPr="00F92977">
                <w:rPr>
                  <w:rStyle w:val="Hyperlink"/>
                  <w:i/>
                  <w:iCs/>
                  <w:noProof w:val="0"/>
                  <w:rtl/>
                  <w:lang w:val="en-US" w:eastAsia="zh-CN"/>
                </w:rPr>
                <w:t>535 (المعدَّل عام 2014)</w:t>
              </w:r>
            </w:hyperlink>
            <w:r w:rsidRPr="00F92977">
              <w:rPr>
                <w:i/>
                <w:iCs/>
                <w:rtl/>
              </w:rPr>
              <w:t xml:space="preserve">؛ والقرار </w:t>
            </w:r>
            <w:hyperlink r:id="rId11" w:history="1">
              <w:r w:rsidRPr="00F92977">
                <w:rPr>
                  <w:rStyle w:val="Hyperlink"/>
                  <w:i/>
                  <w:iCs/>
                  <w:noProof w:val="0"/>
                  <w:rtl/>
                  <w:lang w:val="en-US" w:eastAsia="zh-CN"/>
                </w:rPr>
                <w:t xml:space="preserve">91 (المراجَع في </w:t>
              </w:r>
              <w:proofErr w:type="spellStart"/>
              <w:r w:rsidRPr="00F92977">
                <w:rPr>
                  <w:rStyle w:val="Hyperlink"/>
                  <w:i/>
                  <w:iCs/>
                  <w:noProof w:val="0"/>
                  <w:rtl/>
                  <w:lang w:val="en-US" w:eastAsia="zh-CN"/>
                </w:rPr>
                <w:t>غوادالاخارا</w:t>
              </w:r>
              <w:proofErr w:type="spellEnd"/>
              <w:r w:rsidRPr="00F92977">
                <w:rPr>
                  <w:rStyle w:val="Hyperlink"/>
                  <w:i/>
                  <w:iCs/>
                  <w:noProof w:val="0"/>
                  <w:rtl/>
                  <w:lang w:val="en-US" w:eastAsia="zh-CN"/>
                </w:rPr>
                <w:t>، 2010)</w:t>
              </w:r>
            </w:hyperlink>
            <w:r w:rsidRPr="00F92977">
              <w:rPr>
                <w:i/>
                <w:iCs/>
                <w:rtl/>
              </w:rPr>
              <w:t xml:space="preserve"> لمؤتمر المندوبين المفوضين</w:t>
            </w:r>
          </w:p>
        </w:tc>
      </w:tr>
    </w:tbl>
    <w:p w14:paraId="4053CB8F" w14:textId="77777777" w:rsidR="00E61BE8" w:rsidRDefault="00E61BE8" w:rsidP="00E61BE8">
      <w:pPr>
        <w:rPr>
          <w:rtl/>
          <w:lang w:bidi="ar-EG"/>
        </w:rPr>
      </w:pPr>
    </w:p>
    <w:p w14:paraId="69B4FDB8" w14:textId="77777777" w:rsidR="00F50E3F" w:rsidRDefault="00F50E3F" w:rsidP="0043260A">
      <w:pPr>
        <w:rPr>
          <w:rtl/>
          <w:lang w:bidi="ar-EG"/>
        </w:rPr>
      </w:pPr>
      <w:r>
        <w:rPr>
          <w:rtl/>
          <w:lang w:bidi="ar-EG"/>
        </w:rPr>
        <w:br w:type="page"/>
      </w:r>
    </w:p>
    <w:p w14:paraId="12E0D030" w14:textId="77777777" w:rsidR="00BF0385" w:rsidRDefault="00BF0385" w:rsidP="00D53D83">
      <w:pPr>
        <w:pStyle w:val="Heading1"/>
        <w:rPr>
          <w:rtl/>
        </w:rPr>
      </w:pPr>
      <w:r>
        <w:rPr>
          <w:rtl/>
        </w:rPr>
        <w:lastRenderedPageBreak/>
        <w:t>1</w:t>
      </w:r>
      <w:r>
        <w:rPr>
          <w:rtl/>
        </w:rPr>
        <w:tab/>
        <w:t>ملخص الوضع الراهن</w:t>
      </w:r>
    </w:p>
    <w:p w14:paraId="559F8339" w14:textId="6A213F5D" w:rsidR="00BF0385" w:rsidRPr="00D53D83" w:rsidRDefault="00BF0385" w:rsidP="00BF0385">
      <w:pPr>
        <w:rPr>
          <w:spacing w:val="-2"/>
          <w:rtl/>
        </w:rPr>
      </w:pPr>
      <w:r w:rsidRPr="00D53D83">
        <w:rPr>
          <w:spacing w:val="-2"/>
          <w:rtl/>
        </w:rPr>
        <w:t>في اجتماع فريق العمل التابع للمجلس والمعني بالموارد المالية والبشرية (</w:t>
      </w:r>
      <w:r w:rsidRPr="00D53D83">
        <w:rPr>
          <w:spacing w:val="-2"/>
        </w:rPr>
        <w:t>CWG-FHR</w:t>
      </w:r>
      <w:r w:rsidRPr="00D53D83">
        <w:rPr>
          <w:spacing w:val="-2"/>
          <w:rtl/>
        </w:rPr>
        <w:t xml:space="preserve">) الذي عقد في يناير 2026، قدمت الأمانة الوثيقة </w:t>
      </w:r>
      <w:hyperlink r:id="rId12" w:history="1">
        <w:r w:rsidRPr="00D53D83">
          <w:rPr>
            <w:rStyle w:val="Hyperlink"/>
            <w:noProof w:val="0"/>
            <w:spacing w:val="-2"/>
            <w:lang w:val="en-US" w:eastAsia="zh-CN"/>
          </w:rPr>
          <w:t>CWG-FHR-22/2</w:t>
        </w:r>
      </w:hyperlink>
      <w:r w:rsidRPr="00D53D83">
        <w:rPr>
          <w:spacing w:val="-2"/>
          <w:rtl/>
        </w:rPr>
        <w:t xml:space="preserve"> التي تعرض مبادئ مختلفة لمراجعة منهجية استرداد التكاليف المرتبطة بمعالجة بطاقات التبليغ عن الشبكات الساتلية (</w:t>
      </w:r>
      <w:r w:rsidRPr="00D53D83">
        <w:rPr>
          <w:spacing w:val="-2"/>
        </w:rPr>
        <w:t>SNF</w:t>
      </w:r>
      <w:r w:rsidRPr="00D53D83">
        <w:rPr>
          <w:spacing w:val="-2"/>
          <w:rtl/>
        </w:rPr>
        <w:t>). ونوقشت هذه المقترحات بالتفصيل في الاجتماع. وتقدم الأمانة في هذه الوثيقة ردودا</w:t>
      </w:r>
      <w:r w:rsidR="00D53D83">
        <w:rPr>
          <w:rFonts w:hint="cs"/>
          <w:spacing w:val="-2"/>
          <w:rtl/>
        </w:rPr>
        <w:t>ً</w:t>
      </w:r>
      <w:r w:rsidRPr="00D53D83">
        <w:rPr>
          <w:spacing w:val="-2"/>
          <w:rtl/>
        </w:rPr>
        <w:t xml:space="preserve"> على القضايا المثارة، وتعرض وثيقة مراجَعة تأخذ في الاعتبار مداولات الفريق </w:t>
      </w:r>
      <w:r w:rsidRPr="00D53D83">
        <w:rPr>
          <w:spacing w:val="-2"/>
        </w:rPr>
        <w:t>CWG-FHR</w:t>
      </w:r>
      <w:r w:rsidR="00D53D83">
        <w:rPr>
          <w:rFonts w:hint="cs"/>
          <w:spacing w:val="-2"/>
          <w:rtl/>
        </w:rPr>
        <w:t>.</w:t>
      </w:r>
    </w:p>
    <w:p w14:paraId="637A0DFA" w14:textId="7D4368BB" w:rsidR="00BF0385" w:rsidRPr="00D53D83" w:rsidRDefault="00BF0385" w:rsidP="00BF0385">
      <w:pPr>
        <w:rPr>
          <w:spacing w:val="-2"/>
          <w:rtl/>
        </w:rPr>
      </w:pPr>
      <w:r w:rsidRPr="00D53D83">
        <w:rPr>
          <w:spacing w:val="-2"/>
          <w:rtl/>
        </w:rPr>
        <w:t>ويتمثل الهدف الرئيسي في إنشاء نموذج شفاف وعادل ومستدام ماليا</w:t>
      </w:r>
      <w:r w:rsidR="00D53D83" w:rsidRPr="00D53D83">
        <w:rPr>
          <w:rFonts w:hint="cs"/>
          <w:spacing w:val="-2"/>
          <w:rtl/>
        </w:rPr>
        <w:t>ً</w:t>
      </w:r>
      <w:r w:rsidRPr="00D53D83">
        <w:rPr>
          <w:spacing w:val="-2"/>
          <w:rtl/>
        </w:rPr>
        <w:t xml:space="preserve"> يحقق التواؤم بين المساهمات والاستخدام الفعلي والفوائد، ويحل مشكلة نقص التمويل الهيكلي، ويزود مكتب الاتصالات الراديوية (</w:t>
      </w:r>
      <w:r w:rsidRPr="00D53D83">
        <w:rPr>
          <w:spacing w:val="-2"/>
        </w:rPr>
        <w:t>BR</w:t>
      </w:r>
      <w:r w:rsidRPr="00D53D83">
        <w:rPr>
          <w:spacing w:val="-2"/>
          <w:rtl/>
        </w:rPr>
        <w:t>) بالموارد المستقرة اللازمة لتحديث الأنظمة والحد من الأعمال المتراكمة والوفاء بولايته بكفاءة وفي الوقت المناسب.</w:t>
      </w:r>
    </w:p>
    <w:p w14:paraId="5C771BB7" w14:textId="4F5BBBE6" w:rsidR="00BF0385" w:rsidRDefault="00BF0385" w:rsidP="00BF0385">
      <w:pPr>
        <w:rPr>
          <w:rtl/>
        </w:rPr>
      </w:pPr>
      <w:r>
        <w:rPr>
          <w:rtl/>
        </w:rPr>
        <w:t>ويرد في الملحق أدناه ملخص مفصل للأسئلة ودواعي القلق التي أثيرت في ذلك الاجتماع إلى جانب ردود الأمانة.</w:t>
      </w:r>
    </w:p>
    <w:p w14:paraId="606F2AE6" w14:textId="5D531F8B" w:rsidR="00BF0385" w:rsidRDefault="00D53D83" w:rsidP="00D53D83">
      <w:pPr>
        <w:pStyle w:val="Heading1"/>
        <w:rPr>
          <w:rtl/>
        </w:rPr>
      </w:pPr>
      <w:r>
        <w:t>2</w:t>
      </w:r>
      <w:r w:rsidR="00BF0385">
        <w:rPr>
          <w:rtl/>
        </w:rPr>
        <w:tab/>
        <w:t>منهجية مقترحة لحساب رسوم معالجة بطاقات التبليغ عن الشبكات الساتلية</w:t>
      </w:r>
    </w:p>
    <w:p w14:paraId="23CD9738" w14:textId="1921F42E" w:rsidR="00BF0385" w:rsidRDefault="00D53D83" w:rsidP="00D53D83">
      <w:pPr>
        <w:pStyle w:val="Heading2"/>
        <w:rPr>
          <w:rtl/>
        </w:rPr>
      </w:pPr>
      <w:r>
        <w:t>1.2</w:t>
      </w:r>
      <w:r w:rsidR="00BF0385">
        <w:rPr>
          <w:rtl/>
        </w:rPr>
        <w:tab/>
        <w:t>استعراض المنهجية</w:t>
      </w:r>
    </w:p>
    <w:p w14:paraId="212EF4C5" w14:textId="1E15B8B5" w:rsidR="00BF0385" w:rsidRDefault="00BF0385" w:rsidP="00BF0385">
      <w:pPr>
        <w:rPr>
          <w:rtl/>
        </w:rPr>
      </w:pPr>
      <w:r>
        <w:rPr>
          <w:rtl/>
        </w:rPr>
        <w:t>بوجه</w:t>
      </w:r>
      <w:r w:rsidR="00F92977">
        <w:rPr>
          <w:rFonts w:hint="cs"/>
          <w:rtl/>
        </w:rPr>
        <w:t>ٍ</w:t>
      </w:r>
      <w:r>
        <w:rPr>
          <w:rtl/>
        </w:rPr>
        <w:t xml:space="preserve"> عام، يتطلب استرداد تكاليف أي خدمة النظر في الخطوات الرئيسية التالية:</w:t>
      </w:r>
    </w:p>
    <w:p w14:paraId="2170F09A" w14:textId="4ED50B78" w:rsidR="00BF0385" w:rsidRDefault="00D53D83" w:rsidP="00D53D83">
      <w:pPr>
        <w:pStyle w:val="enumlev1"/>
        <w:rPr>
          <w:rtl/>
        </w:rPr>
      </w:pPr>
      <w:r>
        <w:rPr>
          <w:rFonts w:hint="cs"/>
          <w:rtl/>
        </w:rPr>
        <w:t>’1‘</w:t>
      </w:r>
      <w:r w:rsidR="00BF0385">
        <w:rPr>
          <w:rtl/>
        </w:rPr>
        <w:tab/>
        <w:t>وضع مبادئ لاسترداد التكاليف</w:t>
      </w:r>
    </w:p>
    <w:p w14:paraId="04CAFEEB" w14:textId="38E30951" w:rsidR="00BF0385" w:rsidRDefault="00D53D83" w:rsidP="00D53D83">
      <w:pPr>
        <w:pStyle w:val="enumlev1"/>
        <w:rPr>
          <w:rtl/>
        </w:rPr>
      </w:pPr>
      <w:r>
        <w:rPr>
          <w:rFonts w:hint="cs"/>
          <w:rtl/>
        </w:rPr>
        <w:t>’2‘</w:t>
      </w:r>
      <w:r w:rsidR="00BF0385">
        <w:rPr>
          <w:rtl/>
        </w:rPr>
        <w:tab/>
        <w:t>تحديد مكونات التكاليف التي تستوفي اشتراطات الاسترداد</w:t>
      </w:r>
    </w:p>
    <w:p w14:paraId="7AA22EF8" w14:textId="24F6BB07" w:rsidR="00BF0385" w:rsidRDefault="00D53D83" w:rsidP="00D53D83">
      <w:pPr>
        <w:pStyle w:val="enumlev1"/>
        <w:rPr>
          <w:rtl/>
        </w:rPr>
      </w:pPr>
      <w:r>
        <w:rPr>
          <w:rFonts w:hint="cs"/>
          <w:rtl/>
        </w:rPr>
        <w:t>’3‘</w:t>
      </w:r>
      <w:r w:rsidR="00BF0385">
        <w:rPr>
          <w:rtl/>
        </w:rPr>
        <w:tab/>
        <w:t>حساب التكاليف ذات الصلة باستخدام تقديرات وقت الموظفين والموارد الأخرى</w:t>
      </w:r>
    </w:p>
    <w:p w14:paraId="3AF0E9BD" w14:textId="2EE946BF" w:rsidR="00BF0385" w:rsidRDefault="00D53D83" w:rsidP="00D53D83">
      <w:pPr>
        <w:pStyle w:val="enumlev1"/>
        <w:rPr>
          <w:rtl/>
        </w:rPr>
      </w:pPr>
      <w:r>
        <w:rPr>
          <w:rFonts w:hint="cs"/>
          <w:rtl/>
        </w:rPr>
        <w:t>’4‘</w:t>
      </w:r>
      <w:r w:rsidR="00BF0385">
        <w:rPr>
          <w:rtl/>
        </w:rPr>
        <w:tab/>
        <w:t>وضع منهجية لتوزيع التكاليف وتطبيقها</w:t>
      </w:r>
    </w:p>
    <w:p w14:paraId="4743C510" w14:textId="64D09D55" w:rsidR="00BF0385" w:rsidRDefault="00D53D83" w:rsidP="00D53D83">
      <w:pPr>
        <w:pStyle w:val="enumlev1"/>
        <w:rPr>
          <w:rtl/>
        </w:rPr>
      </w:pPr>
      <w:r>
        <w:rPr>
          <w:rFonts w:hint="cs"/>
          <w:rtl/>
        </w:rPr>
        <w:t>’5‘</w:t>
      </w:r>
      <w:r w:rsidR="00BF0385">
        <w:rPr>
          <w:rtl/>
        </w:rPr>
        <w:tab/>
        <w:t>التنبؤ بالطلب لتقدير أحجام الخدمات التي تفرض عليها الرسوم</w:t>
      </w:r>
    </w:p>
    <w:p w14:paraId="0DEBC2A5" w14:textId="1168C51E" w:rsidR="00BF0385" w:rsidRDefault="00D53D83" w:rsidP="00D53D83">
      <w:pPr>
        <w:pStyle w:val="enumlev1"/>
        <w:rPr>
          <w:rtl/>
        </w:rPr>
      </w:pPr>
      <w:r>
        <w:rPr>
          <w:rFonts w:hint="cs"/>
          <w:rtl/>
        </w:rPr>
        <w:t>’6‘</w:t>
      </w:r>
      <w:r w:rsidR="00BF0385">
        <w:rPr>
          <w:rtl/>
        </w:rPr>
        <w:tab/>
        <w:t>تحديد الرسوم والموافقة عليها</w:t>
      </w:r>
    </w:p>
    <w:p w14:paraId="2896E087" w14:textId="7FDB7020" w:rsidR="00BF0385" w:rsidRDefault="00D53D83" w:rsidP="00D53D83">
      <w:pPr>
        <w:pStyle w:val="enumlev1"/>
        <w:rPr>
          <w:rtl/>
        </w:rPr>
      </w:pPr>
      <w:r>
        <w:rPr>
          <w:rFonts w:hint="cs"/>
          <w:rtl/>
        </w:rPr>
        <w:t>’7‘</w:t>
      </w:r>
      <w:r w:rsidR="00BF0385">
        <w:rPr>
          <w:rtl/>
        </w:rPr>
        <w:tab/>
        <w:t>الاستعراض والتقييم</w:t>
      </w:r>
      <w:r w:rsidR="00BF0385">
        <w:rPr>
          <w:cs/>
        </w:rPr>
        <w:t>‎</w:t>
      </w:r>
      <w:r w:rsidR="00BF0385">
        <w:rPr>
          <w:rtl/>
        </w:rPr>
        <w:t xml:space="preserve"> الدوريان.</w:t>
      </w:r>
    </w:p>
    <w:p w14:paraId="3F305171" w14:textId="77777777" w:rsidR="00BF0385" w:rsidRDefault="00BF0385" w:rsidP="00BF0385">
      <w:pPr>
        <w:rPr>
          <w:rtl/>
        </w:rPr>
      </w:pPr>
      <w:r>
        <w:rPr>
          <w:rtl/>
        </w:rPr>
        <w:t>وترد دراسة كل خطوة من هذه الخطوات بمزيد من التفصيل في الأقسام الفرعية أدناه.</w:t>
      </w:r>
    </w:p>
    <w:p w14:paraId="3BB130F2" w14:textId="5AFB2AB5" w:rsidR="00BF0385" w:rsidRDefault="00D53D83" w:rsidP="00D53D83">
      <w:pPr>
        <w:pStyle w:val="Heading2"/>
        <w:rPr>
          <w:rtl/>
        </w:rPr>
      </w:pPr>
      <w:r>
        <w:t>2.2</w:t>
      </w:r>
      <w:r w:rsidR="00BF0385">
        <w:rPr>
          <w:rtl/>
        </w:rPr>
        <w:tab/>
        <w:t>مبادئ استرداد التكاليف</w:t>
      </w:r>
    </w:p>
    <w:p w14:paraId="17AF860A" w14:textId="2415AD11" w:rsidR="00BF0385" w:rsidRPr="00B74DF6" w:rsidRDefault="00BF0385" w:rsidP="00BF0385">
      <w:pPr>
        <w:rPr>
          <w:spacing w:val="-2"/>
          <w:rtl/>
        </w:rPr>
      </w:pPr>
      <w:r w:rsidRPr="00B74DF6">
        <w:rPr>
          <w:spacing w:val="-2"/>
          <w:rtl/>
        </w:rPr>
        <w:t xml:space="preserve">وضعت مبادئ استرداد تكاليف منتجات الاتحاد وخدماته في القرار 91 (المراجَع في </w:t>
      </w:r>
      <w:proofErr w:type="spellStart"/>
      <w:r w:rsidRPr="00B74DF6">
        <w:rPr>
          <w:spacing w:val="-2"/>
          <w:rtl/>
        </w:rPr>
        <w:t>غوادالاخارا</w:t>
      </w:r>
      <w:proofErr w:type="spellEnd"/>
      <w:r w:rsidRPr="00B74DF6">
        <w:rPr>
          <w:spacing w:val="-2"/>
          <w:rtl/>
        </w:rPr>
        <w:t>، 2010). وبالنظر إلى هذه المبادئ، لا يزال هناك عدم وضوح بشأن المسائل التالية التي ينبغي أن يتناولها المجلس لضمان وضع إطار متين للتعامل مع رسوم معالجة بطاقات التبليغ عن الشبكات الساتلية.</w:t>
      </w:r>
    </w:p>
    <w:p w14:paraId="43B5E41B" w14:textId="77777777" w:rsidR="00BF0385" w:rsidRDefault="00BF0385" w:rsidP="008B30E6">
      <w:pPr>
        <w:pStyle w:val="Headingb"/>
        <w:rPr>
          <w:rtl/>
        </w:rPr>
      </w:pPr>
      <w:r>
        <w:rPr>
          <w:rtl/>
        </w:rPr>
        <w:t>استرداد التكاليف بالكامل</w:t>
      </w:r>
    </w:p>
    <w:p w14:paraId="33FCBBAC" w14:textId="6515777A" w:rsidR="00BF0385" w:rsidRPr="00B74DF6" w:rsidRDefault="00BF0385" w:rsidP="00BF0385">
      <w:pPr>
        <w:rPr>
          <w:spacing w:val="-2"/>
          <w:rtl/>
        </w:rPr>
      </w:pPr>
      <w:r w:rsidRPr="00B74DF6">
        <w:rPr>
          <w:spacing w:val="-2"/>
          <w:rtl/>
        </w:rPr>
        <w:t>وفقا</w:t>
      </w:r>
      <w:r w:rsidR="008B30E6" w:rsidRPr="00B74DF6">
        <w:rPr>
          <w:spacing w:val="-2"/>
          <w:rtl/>
        </w:rPr>
        <w:t>ً</w:t>
      </w:r>
      <w:r w:rsidRPr="00B74DF6">
        <w:rPr>
          <w:spacing w:val="-2"/>
          <w:rtl/>
        </w:rPr>
        <w:t xml:space="preserve"> للفقرة 4</w:t>
      </w:r>
      <w:r w:rsidR="008B30E6" w:rsidRPr="00B74DF6">
        <w:rPr>
          <w:spacing w:val="-2"/>
          <w:rtl/>
        </w:rPr>
        <w:t xml:space="preserve"> ’</w:t>
      </w:r>
      <w:r w:rsidRPr="00B74DF6">
        <w:rPr>
          <w:spacing w:val="-2"/>
          <w:rtl/>
        </w:rPr>
        <w:t>1</w:t>
      </w:r>
      <w:r w:rsidR="008B30E6" w:rsidRPr="00B74DF6">
        <w:rPr>
          <w:rFonts w:hint="eastAsia"/>
          <w:spacing w:val="-2"/>
          <w:rtl/>
        </w:rPr>
        <w:t>‘</w:t>
      </w:r>
      <w:r w:rsidRPr="00B74DF6">
        <w:rPr>
          <w:spacing w:val="-2"/>
          <w:rtl/>
        </w:rPr>
        <w:t xml:space="preserve"> من "</w:t>
      </w:r>
      <w:r w:rsidRPr="00B74DF6">
        <w:rPr>
          <w:i/>
          <w:iCs/>
          <w:spacing w:val="-2"/>
          <w:rtl/>
        </w:rPr>
        <w:t>يقرر</w:t>
      </w:r>
      <w:r w:rsidRPr="00B74DF6">
        <w:rPr>
          <w:spacing w:val="-2"/>
          <w:rtl/>
        </w:rPr>
        <w:t xml:space="preserve">" بالقرار 91، ينبغي تغطية التكاليف المباشرة وغير المباشرة </w:t>
      </w:r>
      <w:r w:rsidR="001639BF" w:rsidRPr="00B74DF6">
        <w:rPr>
          <w:spacing w:val="-2"/>
          <w:rtl/>
        </w:rPr>
        <w:t xml:space="preserve">لمعالجة بطاقات التبليغ عن الشبكات الساتلية </w:t>
      </w:r>
      <w:r w:rsidRPr="00B74DF6">
        <w:rPr>
          <w:spacing w:val="-2"/>
          <w:rtl/>
        </w:rPr>
        <w:t xml:space="preserve">عن طريق رسوم </w:t>
      </w:r>
      <w:r w:rsidR="001639BF" w:rsidRPr="00B74DF6">
        <w:rPr>
          <w:spacing w:val="-2"/>
          <w:rtl/>
        </w:rPr>
        <w:t>معالجة بطاقات التبليغ عن الشبكات الساتلية</w:t>
      </w:r>
      <w:r w:rsidRPr="00B74DF6">
        <w:rPr>
          <w:spacing w:val="-2"/>
          <w:rtl/>
        </w:rPr>
        <w:t>. وينبغي أن يشمل ذلك جميع التكاليف المتكبدة في تنفيذ معالجة البطاقات.</w:t>
      </w:r>
    </w:p>
    <w:p w14:paraId="01B8837D" w14:textId="6AD2AF55" w:rsidR="00BF0385" w:rsidRDefault="00BF0385" w:rsidP="00BF0385">
      <w:pPr>
        <w:rPr>
          <w:rtl/>
        </w:rPr>
      </w:pPr>
      <w:r>
        <w:rPr>
          <w:rtl/>
        </w:rPr>
        <w:t xml:space="preserve">وترى الأمانة أن هذا النص يفيد بوضوح أن مبدأ الاسترداد الكامل للتكاليف ينبغي تطبيقه على جميع حسابات تكاليف </w:t>
      </w:r>
      <w:r w:rsidR="001639BF" w:rsidRPr="001639BF">
        <w:rPr>
          <w:rtl/>
        </w:rPr>
        <w:t>معالجة بطاقات التبليغ عن الشبكات الساتلية</w:t>
      </w:r>
      <w:r>
        <w:rPr>
          <w:rtl/>
        </w:rPr>
        <w:t>، شريطة ضمان أن يكون توزيع أي تكاليف غير مباشرة باستخدام منهجية توزيع متسقة وشفافة.</w:t>
      </w:r>
    </w:p>
    <w:p w14:paraId="1E990943" w14:textId="77777777" w:rsidR="00BF0385" w:rsidRDefault="00BF0385" w:rsidP="008B30E6">
      <w:pPr>
        <w:pStyle w:val="Headingb"/>
        <w:rPr>
          <w:rtl/>
        </w:rPr>
      </w:pPr>
      <w:r>
        <w:rPr>
          <w:rtl/>
        </w:rPr>
        <w:t>معالجة الاستحقاقات المجانية</w:t>
      </w:r>
    </w:p>
    <w:p w14:paraId="70050151" w14:textId="35C31D42" w:rsidR="00BF0385" w:rsidRDefault="00BF0385" w:rsidP="00BF0385">
      <w:pPr>
        <w:rPr>
          <w:rtl/>
        </w:rPr>
      </w:pPr>
      <w:r>
        <w:rPr>
          <w:rtl/>
        </w:rPr>
        <w:t>يسمح القرار 91 بتوفير مستوى كاف</w:t>
      </w:r>
      <w:r w:rsidR="00EF06E5">
        <w:rPr>
          <w:rFonts w:hint="cs"/>
          <w:rtl/>
        </w:rPr>
        <w:t>ٍ</w:t>
      </w:r>
      <w:r>
        <w:rPr>
          <w:rtl/>
        </w:rPr>
        <w:t xml:space="preserve"> من المنتجات والخدمات الخاضعة لنظام استرداد التكاليف لجميع الدول الأعضاء مجانا</w:t>
      </w:r>
      <w:r w:rsidR="008B30E6">
        <w:rPr>
          <w:rFonts w:hint="cs"/>
          <w:rtl/>
        </w:rPr>
        <w:t>ً</w:t>
      </w:r>
      <w:r>
        <w:rPr>
          <w:rtl/>
        </w:rPr>
        <w:t>، وليس من الواضح ما إذا كان الإطار الحالي للاستحقاقات المجانية يمتثل تماما</w:t>
      </w:r>
      <w:r w:rsidR="008B30E6">
        <w:rPr>
          <w:rFonts w:hint="cs"/>
          <w:rtl/>
        </w:rPr>
        <w:t>ً</w:t>
      </w:r>
      <w:r>
        <w:rPr>
          <w:rtl/>
        </w:rPr>
        <w:t xml:space="preserve"> للفقرتين 3</w:t>
      </w:r>
      <w:r w:rsidR="008B30E6">
        <w:rPr>
          <w:rFonts w:hint="cs"/>
          <w:rtl/>
        </w:rPr>
        <w:t xml:space="preserve"> ’2‘</w:t>
      </w:r>
      <w:r>
        <w:rPr>
          <w:rtl/>
        </w:rPr>
        <w:t xml:space="preserve"> و4</w:t>
      </w:r>
      <w:r w:rsidR="008B30E6">
        <w:rPr>
          <w:rFonts w:hint="cs"/>
          <w:rtl/>
        </w:rPr>
        <w:t xml:space="preserve"> ’7‘</w:t>
      </w:r>
      <w:r>
        <w:rPr>
          <w:rtl/>
        </w:rPr>
        <w:t xml:space="preserve"> من "</w:t>
      </w:r>
      <w:r w:rsidRPr="008B30E6">
        <w:rPr>
          <w:i/>
          <w:iCs/>
          <w:rtl/>
        </w:rPr>
        <w:t>يقرر</w:t>
      </w:r>
      <w:r>
        <w:rPr>
          <w:rtl/>
        </w:rPr>
        <w:t>".</w:t>
      </w:r>
    </w:p>
    <w:p w14:paraId="0B107731" w14:textId="34715BA1" w:rsidR="00BF0385" w:rsidRDefault="00BF0385" w:rsidP="008B30E6">
      <w:pPr>
        <w:keepLines/>
        <w:rPr>
          <w:rtl/>
        </w:rPr>
      </w:pPr>
      <w:r>
        <w:rPr>
          <w:rtl/>
        </w:rPr>
        <w:lastRenderedPageBreak/>
        <w:t>ويُنفَّذ هذا المطلب بموجب المقرر 482 الصادر عن المجلس من خلال "الاستحقاقات المجانية". والاستحقاق المجاني ميزة متاحة لجميع الدول الأعضاء تتيح لكل دولة عضو تقديم بطاقة تبليغ واحدة سنويا</w:t>
      </w:r>
      <w:r w:rsidR="008B30E6">
        <w:rPr>
          <w:rFonts w:hint="cs"/>
          <w:rtl/>
        </w:rPr>
        <w:t>ً</w:t>
      </w:r>
      <w:r>
        <w:rPr>
          <w:rtl/>
        </w:rPr>
        <w:t>، مما يتيح للدولة العضو أن</w:t>
      </w:r>
      <w:r w:rsidR="00EF06E5">
        <w:rPr>
          <w:rFonts w:hint="cs"/>
          <w:rtl/>
        </w:rPr>
        <w:t> </w:t>
      </w:r>
      <w:r>
        <w:rPr>
          <w:rtl/>
        </w:rPr>
        <w:t>تختار أي من شبكاتها الساتلية ستستفيد من هذا الاستحقاق المجاني. ويمكن لأي دولة عضو لديها بطاقات تبليغ متعددة (الدول الأعضاء الكبيرة والمتقدمة عادة</w:t>
      </w:r>
      <w:r w:rsidR="008B30E6">
        <w:rPr>
          <w:rFonts w:hint="cs"/>
          <w:rtl/>
        </w:rPr>
        <w:t>ً</w:t>
      </w:r>
      <w:r>
        <w:rPr>
          <w:rtl/>
        </w:rPr>
        <w:t>) أن تختار أي من بطاقات التبليغ هي أكثرها تعقدا</w:t>
      </w:r>
      <w:r w:rsidR="008B30E6">
        <w:rPr>
          <w:rFonts w:hint="cs"/>
          <w:rtl/>
        </w:rPr>
        <w:t>ً</w:t>
      </w:r>
      <w:r>
        <w:rPr>
          <w:rtl/>
        </w:rPr>
        <w:t xml:space="preserve"> (أكثرها تكلفة</w:t>
      </w:r>
      <w:r w:rsidR="008B30E6">
        <w:rPr>
          <w:rFonts w:hint="cs"/>
          <w:rtl/>
        </w:rPr>
        <w:t>ً</w:t>
      </w:r>
      <w:r>
        <w:rPr>
          <w:rtl/>
        </w:rPr>
        <w:t>)، مما يزيد من فائدة الاستحقاق المجاني إلى مستوى غير متناسب مقارنة</w:t>
      </w:r>
      <w:r w:rsidR="008B30E6">
        <w:rPr>
          <w:rFonts w:hint="cs"/>
          <w:rtl/>
        </w:rPr>
        <w:t>ً</w:t>
      </w:r>
      <w:r>
        <w:rPr>
          <w:rtl/>
        </w:rPr>
        <w:t xml:space="preserve"> بالإدارات التي تبلغ بعدد أقل. ولا يجوز لأي دولة عضو لديها بطاقة تبليغ واحدة في السنة أن تستفيد من تلك الميزة إلا لبطاقة التبليغ هذه. ويمكن القول إن ذلك لا يراعي على النحو الملائم اختلاف مستوى استفادة عدد قليل من الدول الأعضاء من </w:t>
      </w:r>
      <w:r w:rsidRPr="00AE66FC">
        <w:rPr>
          <w:rtl/>
        </w:rPr>
        <w:t>معالجة بطاقات التبليغ عن الشبكات الساتلية (</w:t>
      </w:r>
      <w:r w:rsidRPr="00AE66FC">
        <w:t>SNF</w:t>
      </w:r>
      <w:r>
        <w:rPr>
          <w:rtl/>
        </w:rPr>
        <w:t>) (خلافا</w:t>
      </w:r>
      <w:r w:rsidR="008B30E6">
        <w:rPr>
          <w:rFonts w:hint="cs"/>
          <w:rtl/>
        </w:rPr>
        <w:t>ً</w:t>
      </w:r>
      <w:r>
        <w:rPr>
          <w:rtl/>
        </w:rPr>
        <w:t xml:space="preserve"> للفقرة 3 </w:t>
      </w:r>
      <w:r w:rsidR="008B30E6">
        <w:rPr>
          <w:rFonts w:hint="cs"/>
          <w:rtl/>
        </w:rPr>
        <w:t>’2‘</w:t>
      </w:r>
      <w:r>
        <w:rPr>
          <w:rtl/>
        </w:rPr>
        <w:t xml:space="preserve"> من "</w:t>
      </w:r>
      <w:r w:rsidRPr="008B30E6">
        <w:rPr>
          <w:i/>
          <w:iCs/>
          <w:rtl/>
        </w:rPr>
        <w:t>يقرر</w:t>
      </w:r>
      <w:r>
        <w:rPr>
          <w:rtl/>
        </w:rPr>
        <w:t xml:space="preserve">" بالقرار 91)، التي تنص على أن استخدام الخدمة على أساس تمييزي يتعارض مع المبدأ المعبر عنه بعبارة "قدر كاف" الذي حددته الفقرة 4 </w:t>
      </w:r>
      <w:r w:rsidR="002A716B">
        <w:rPr>
          <w:rFonts w:hint="cs"/>
          <w:rtl/>
        </w:rPr>
        <w:t>’7‘</w:t>
      </w:r>
      <w:r>
        <w:rPr>
          <w:rtl/>
        </w:rPr>
        <w:t xml:space="preserve"> من "</w:t>
      </w:r>
      <w:r w:rsidRPr="002A716B">
        <w:rPr>
          <w:i/>
          <w:iCs/>
          <w:rtl/>
        </w:rPr>
        <w:t>يقرر</w:t>
      </w:r>
      <w:r>
        <w:rPr>
          <w:rtl/>
        </w:rPr>
        <w:t>" بالقرار 91).</w:t>
      </w:r>
    </w:p>
    <w:p w14:paraId="11B94289" w14:textId="2DAE2200" w:rsidR="00BF0385" w:rsidRPr="00EF06E5" w:rsidRDefault="00BF0385" w:rsidP="00BF0385">
      <w:pPr>
        <w:rPr>
          <w:spacing w:val="-2"/>
          <w:rtl/>
        </w:rPr>
      </w:pPr>
      <w:r w:rsidRPr="00EF06E5">
        <w:rPr>
          <w:spacing w:val="-2"/>
          <w:rtl/>
        </w:rPr>
        <w:t>كما أن نظام الاستحقاق المجاني، في صورته الموحدة، لا يراعي الاحتياجات الخاصة للبلدان النامية، حسبما تقتضيه الفقرة</w:t>
      </w:r>
      <w:r w:rsidR="00EF06E5" w:rsidRPr="00EF06E5">
        <w:rPr>
          <w:rFonts w:hint="cs"/>
          <w:spacing w:val="-2"/>
          <w:rtl/>
        </w:rPr>
        <w:t> </w:t>
      </w:r>
      <w:r w:rsidRPr="00EF06E5">
        <w:rPr>
          <w:spacing w:val="-2"/>
          <w:rtl/>
        </w:rPr>
        <w:t xml:space="preserve">4 </w:t>
      </w:r>
      <w:r w:rsidR="002A716B" w:rsidRPr="00EF06E5">
        <w:rPr>
          <w:rFonts w:hint="cs"/>
          <w:spacing w:val="-2"/>
          <w:rtl/>
        </w:rPr>
        <w:t>’6‘</w:t>
      </w:r>
      <w:r w:rsidRPr="00EF06E5">
        <w:rPr>
          <w:spacing w:val="-2"/>
          <w:rtl/>
        </w:rPr>
        <w:t xml:space="preserve"> من </w:t>
      </w:r>
      <w:r w:rsidR="002A716B" w:rsidRPr="00EF06E5">
        <w:rPr>
          <w:rFonts w:hint="cs"/>
          <w:spacing w:val="-2"/>
          <w:rtl/>
        </w:rPr>
        <w:t>"</w:t>
      </w:r>
      <w:r w:rsidRPr="00EF06E5">
        <w:rPr>
          <w:i/>
          <w:iCs/>
          <w:spacing w:val="-2"/>
          <w:rtl/>
        </w:rPr>
        <w:t>يقرر</w:t>
      </w:r>
      <w:r w:rsidR="002A716B" w:rsidRPr="00EF06E5">
        <w:rPr>
          <w:rFonts w:hint="cs"/>
          <w:spacing w:val="-2"/>
          <w:rtl/>
        </w:rPr>
        <w:t>"</w:t>
      </w:r>
      <w:r w:rsidRPr="00EF06E5">
        <w:rPr>
          <w:spacing w:val="-2"/>
          <w:rtl/>
        </w:rPr>
        <w:t xml:space="preserve"> بالقرار 91. ولا تحظى هذه البلدان باهتمام خاص وهي تستخدم استحقاقاتها المجانية أحيانا</w:t>
      </w:r>
      <w:r w:rsidR="002A716B" w:rsidRPr="00EF06E5">
        <w:rPr>
          <w:rFonts w:hint="cs"/>
          <w:spacing w:val="-2"/>
          <w:rtl/>
        </w:rPr>
        <w:t>ً</w:t>
      </w:r>
      <w:r w:rsidRPr="00EF06E5">
        <w:rPr>
          <w:spacing w:val="-2"/>
          <w:rtl/>
        </w:rPr>
        <w:t xml:space="preserve"> في</w:t>
      </w:r>
      <w:r w:rsidR="00EF06E5">
        <w:rPr>
          <w:rFonts w:hint="cs"/>
          <w:spacing w:val="-2"/>
          <w:rtl/>
        </w:rPr>
        <w:t> </w:t>
      </w:r>
      <w:r w:rsidRPr="00EF06E5">
        <w:rPr>
          <w:spacing w:val="-2"/>
          <w:rtl/>
        </w:rPr>
        <w:t>ترتيبات تقاسم المزايا مع كبار مقدمي الشبكات الساتلية التجارية متعددة الجنسيات في البلدان المتقدمة.</w:t>
      </w:r>
    </w:p>
    <w:p w14:paraId="0B3A29EF" w14:textId="050D39A2" w:rsidR="00BF0385" w:rsidRDefault="00BF0385" w:rsidP="00BF0385">
      <w:pPr>
        <w:rPr>
          <w:rtl/>
        </w:rPr>
      </w:pPr>
      <w:r>
        <w:rPr>
          <w:rtl/>
        </w:rPr>
        <w:t>وقد طرحت بعض الوفود خلال اجتماعات يناير 2026 للفريق حجة مفادها أن التكاليف المباشرة وغير المباشرة التي تتحملها الأمانة في سبيل معالجة بطاقات التبليغ عن الشبكات الساتلية التي تطبق عليها الاستحقاقات المجانية ينبغي تمويلها من الميزانية العادية للاتحاد وعدم استخدام منهجية استرداد التكاليف. وفي الوقت الحالي، وبما أن مجموع التكاليف التي تكبدتها الأمانة ل</w:t>
      </w:r>
      <w:bookmarkStart w:id="1" w:name="_Hlk227675998"/>
      <w:r w:rsidR="00AE66FC" w:rsidRPr="00AE66FC">
        <w:rPr>
          <w:rtl/>
        </w:rPr>
        <w:t>معالجة بطاقات التبليغ عن الشبكات الساتلية</w:t>
      </w:r>
      <w:bookmarkEnd w:id="1"/>
      <w:r>
        <w:rPr>
          <w:rtl/>
        </w:rPr>
        <w:t xml:space="preserve"> لم يُسترد في السنوات الخمس الماضية (بأكثر من تكلفة معالجة البطاقات المجانية)، فإن تكلفة معالجة البطاقات المجانية تمول بالكامل من المساهمات المقررة التي يدفعها أعضاء الاتحاد، بيد أن الأمانة ترى أن ذلك لا يتسق مع قرار مؤتمر المندوبين المفوضين 91.</w:t>
      </w:r>
    </w:p>
    <w:p w14:paraId="51677716" w14:textId="6FA4845A" w:rsidR="00BF0385" w:rsidRDefault="00BF0385" w:rsidP="00BF0385">
      <w:pPr>
        <w:rPr>
          <w:rtl/>
        </w:rPr>
      </w:pPr>
      <w:r>
        <w:rPr>
          <w:rtl/>
        </w:rPr>
        <w:t>وتبين قراءة القرار 91 لمؤتمر المندوبين المفوضين والمقرر 482 للمجلس معا</w:t>
      </w:r>
      <w:r w:rsidR="002A716B">
        <w:rPr>
          <w:rFonts w:hint="cs"/>
          <w:rtl/>
        </w:rPr>
        <w:t>ً</w:t>
      </w:r>
      <w:r>
        <w:rPr>
          <w:rtl/>
        </w:rPr>
        <w:t xml:space="preserve"> أن خدمة </w:t>
      </w:r>
      <w:r w:rsidR="00AE66FC" w:rsidRPr="00AE66FC">
        <w:rPr>
          <w:rtl/>
        </w:rPr>
        <w:t>معالجة بطاقات التبليغ عن الشبكات الساتلية</w:t>
      </w:r>
      <w:r w:rsidR="00AE66FC">
        <w:rPr>
          <w:rFonts w:hint="cs"/>
          <w:rtl/>
        </w:rPr>
        <w:t xml:space="preserve"> </w:t>
      </w:r>
      <w:r>
        <w:rPr>
          <w:rtl/>
        </w:rPr>
        <w:t>تشكل جزءا</w:t>
      </w:r>
      <w:r w:rsidR="002A716B">
        <w:rPr>
          <w:rFonts w:hint="cs"/>
          <w:rtl/>
        </w:rPr>
        <w:t>ً</w:t>
      </w:r>
      <w:r>
        <w:rPr>
          <w:rtl/>
        </w:rPr>
        <w:t xml:space="preserve"> من نظام استرداد التكاليف في الاتحاد وأن قواعد التنفيذ التفصيلية للمجلس يجب أن تقرأ بما يحقق الاتساق مع هذا الإطار رفيع المستوى. وعلى الرغم من أن المقرر 482 يمنح كل دولة عضو استحقاقا</w:t>
      </w:r>
      <w:r w:rsidR="002A716B">
        <w:rPr>
          <w:rFonts w:hint="cs"/>
          <w:rtl/>
        </w:rPr>
        <w:t>ً</w:t>
      </w:r>
      <w:r>
        <w:rPr>
          <w:rtl/>
        </w:rPr>
        <w:t xml:space="preserve"> مجانيا</w:t>
      </w:r>
      <w:r w:rsidR="002A716B">
        <w:rPr>
          <w:rFonts w:hint="cs"/>
          <w:rtl/>
        </w:rPr>
        <w:t>ً</w:t>
      </w:r>
      <w:r>
        <w:rPr>
          <w:rtl/>
        </w:rPr>
        <w:t xml:space="preserve"> سنويا</w:t>
      </w:r>
      <w:r w:rsidR="002A716B">
        <w:rPr>
          <w:rFonts w:hint="cs"/>
          <w:rtl/>
        </w:rPr>
        <w:t>ً</w:t>
      </w:r>
      <w:r>
        <w:rPr>
          <w:rtl/>
        </w:rPr>
        <w:t xml:space="preserve"> محدودا</w:t>
      </w:r>
      <w:r w:rsidR="002A716B">
        <w:rPr>
          <w:rFonts w:hint="cs"/>
          <w:rtl/>
        </w:rPr>
        <w:t>ً</w:t>
      </w:r>
      <w:r>
        <w:rPr>
          <w:rtl/>
        </w:rPr>
        <w:t xml:space="preserve"> لبطاقة تبليغ واحدة، فإن هذا الاستحقاق ينبغي، في رأي الأمانة، أن يفهم كأحد سمات نموذج فرض الرسوم وليس كأساس لاستبعاد التكاليف ذات الصلة من الحساب الإجمالي لاسترداد تكاليف </w:t>
      </w:r>
      <w:r w:rsidR="00AE66FC" w:rsidRPr="00AE66FC">
        <w:rPr>
          <w:rtl/>
        </w:rPr>
        <w:t>معالجة بطاقات التبليغ عن الشبكات الساتلية</w:t>
      </w:r>
      <w:r>
        <w:rPr>
          <w:rtl/>
        </w:rPr>
        <w:t xml:space="preserve">. وعلى هذا الأساس، تفسر الأمانة هذه الأحكام على أنها تنص على أن تكاليف الاستحقاق المجانية، التي تمثل التكاليف المتكبدة في </w:t>
      </w:r>
      <w:r w:rsidR="00AE66FC" w:rsidRPr="00AE66FC">
        <w:rPr>
          <w:rtl/>
        </w:rPr>
        <w:t>معالجة بطاقات التبليغ عن الشبكات الساتلية</w:t>
      </w:r>
      <w:r w:rsidR="00AE66FC">
        <w:rPr>
          <w:rFonts w:hint="cs"/>
          <w:rtl/>
        </w:rPr>
        <w:t xml:space="preserve"> </w:t>
      </w:r>
      <w:r>
        <w:rPr>
          <w:rtl/>
        </w:rPr>
        <w:t xml:space="preserve">الخاضعة لاسترداد التكاليف، ينبغي إدراجها في مجموع التكاليف المستردة من </w:t>
      </w:r>
      <w:r w:rsidR="00AE66FC" w:rsidRPr="00AE66FC">
        <w:rPr>
          <w:rtl/>
        </w:rPr>
        <w:t>معالجة بطاقات التبليغ عن الشبكات الساتلية</w:t>
      </w:r>
      <w:r>
        <w:rPr>
          <w:rtl/>
        </w:rPr>
        <w:t>.</w:t>
      </w:r>
    </w:p>
    <w:p w14:paraId="095068DA" w14:textId="246479F8" w:rsidR="00BF0385" w:rsidRDefault="00BF0385" w:rsidP="00BF0385">
      <w:pPr>
        <w:rPr>
          <w:rtl/>
        </w:rPr>
      </w:pPr>
      <w:r>
        <w:rPr>
          <w:rtl/>
        </w:rPr>
        <w:t>وبناء</w:t>
      </w:r>
      <w:r w:rsidR="002A716B">
        <w:rPr>
          <w:rFonts w:hint="cs"/>
          <w:rtl/>
        </w:rPr>
        <w:t>ً</w:t>
      </w:r>
      <w:r>
        <w:rPr>
          <w:rtl/>
        </w:rPr>
        <w:t xml:space="preserve"> على ما سبق، توصي الأمانة بأن ينظر المجلس في أي من الخيارين الآتيين:</w:t>
      </w:r>
    </w:p>
    <w:p w14:paraId="6CD32F36" w14:textId="1914EA42" w:rsidR="00BF0385" w:rsidRPr="002A716B" w:rsidRDefault="002A716B" w:rsidP="002A716B">
      <w:pPr>
        <w:pStyle w:val="enumlev1"/>
        <w:rPr>
          <w:spacing w:val="-3"/>
          <w:rtl/>
        </w:rPr>
      </w:pPr>
      <w:r w:rsidRPr="002A716B">
        <w:rPr>
          <w:spacing w:val="-3"/>
          <w:rtl/>
        </w:rPr>
        <w:t>‒</w:t>
      </w:r>
      <w:r w:rsidR="00BF0385" w:rsidRPr="002A716B">
        <w:rPr>
          <w:spacing w:val="-3"/>
          <w:rtl/>
        </w:rPr>
        <w:tab/>
        <w:t>مراج</w:t>
      </w:r>
      <w:r>
        <w:rPr>
          <w:rFonts w:hint="cs"/>
          <w:spacing w:val="-3"/>
          <w:rtl/>
        </w:rPr>
        <w:t>َ</w:t>
      </w:r>
      <w:r w:rsidR="00BF0385" w:rsidRPr="002A716B">
        <w:rPr>
          <w:spacing w:val="-3"/>
          <w:rtl/>
        </w:rPr>
        <w:t>عة المقرر 482 لاستبعاد إمكانية اختيار الدولة العضو الشبكة الساتلية المحددة التي ينطبق عليها استحقاقها المجاني وتطبيق الاستحقاق المجاني بدلا</w:t>
      </w:r>
      <w:r w:rsidRPr="002A716B">
        <w:rPr>
          <w:rFonts w:hint="cs"/>
          <w:spacing w:val="-3"/>
          <w:rtl/>
        </w:rPr>
        <w:t>ً</w:t>
      </w:r>
      <w:r w:rsidR="00BF0385" w:rsidRPr="002A716B">
        <w:rPr>
          <w:spacing w:val="-3"/>
          <w:rtl/>
        </w:rPr>
        <w:t xml:space="preserve"> من ذلك على أقل عمليات معالجة بطاقات التبليغ تكلفةً خلال السنة. وستؤدي الآثار المترتبة على هذا المقترح لعام 2024 إلى زيادة في الإيرادات قدرها </w:t>
      </w:r>
      <w:r w:rsidR="00BF0385" w:rsidRPr="002A716B">
        <w:rPr>
          <w:spacing w:val="-3"/>
        </w:rPr>
        <w:t>989 166</w:t>
      </w:r>
      <w:r w:rsidR="00BF0385" w:rsidRPr="002A716B">
        <w:rPr>
          <w:spacing w:val="-3"/>
          <w:rtl/>
        </w:rPr>
        <w:t xml:space="preserve"> فرنكا</w:t>
      </w:r>
      <w:r w:rsidRPr="002A716B">
        <w:rPr>
          <w:rFonts w:hint="cs"/>
          <w:spacing w:val="-3"/>
          <w:rtl/>
        </w:rPr>
        <w:t>ً</w:t>
      </w:r>
      <w:r w:rsidR="00BF0385" w:rsidRPr="002A716B">
        <w:rPr>
          <w:spacing w:val="-3"/>
          <w:rtl/>
        </w:rPr>
        <w:t xml:space="preserve"> سويسريا</w:t>
      </w:r>
      <w:r w:rsidRPr="002A716B">
        <w:rPr>
          <w:rFonts w:hint="cs"/>
          <w:spacing w:val="-3"/>
          <w:rtl/>
        </w:rPr>
        <w:t>ً</w:t>
      </w:r>
      <w:r w:rsidR="00BF0385" w:rsidRPr="002A716B">
        <w:rPr>
          <w:spacing w:val="-3"/>
          <w:rtl/>
        </w:rPr>
        <w:t>؛</w:t>
      </w:r>
    </w:p>
    <w:p w14:paraId="7CC71769" w14:textId="7BD50581" w:rsidR="00BF0385" w:rsidRPr="00AE66FC" w:rsidRDefault="002A716B" w:rsidP="002A716B">
      <w:pPr>
        <w:pStyle w:val="enumlev1"/>
        <w:rPr>
          <w:rtl/>
        </w:rPr>
      </w:pPr>
      <w:r w:rsidRPr="00AE66FC">
        <w:rPr>
          <w:rtl/>
        </w:rPr>
        <w:t>‒</w:t>
      </w:r>
      <w:r w:rsidR="00BF0385" w:rsidRPr="00AE66FC">
        <w:rPr>
          <w:rtl/>
        </w:rPr>
        <w:tab/>
      </w:r>
      <w:r w:rsidRPr="00AE66FC">
        <w:rPr>
          <w:rFonts w:hint="cs"/>
          <w:rtl/>
        </w:rPr>
        <w:t xml:space="preserve">أو </w:t>
      </w:r>
      <w:r w:rsidR="00BF0385" w:rsidRPr="00AE66FC">
        <w:rPr>
          <w:rtl/>
        </w:rPr>
        <w:t>مراج</w:t>
      </w:r>
      <w:r w:rsidRPr="00AE66FC">
        <w:rPr>
          <w:rFonts w:hint="cs"/>
          <w:rtl/>
        </w:rPr>
        <w:t>َ</w:t>
      </w:r>
      <w:r w:rsidR="00BF0385" w:rsidRPr="00AE66FC">
        <w:rPr>
          <w:rtl/>
        </w:rPr>
        <w:t>عة المقرر 482 لقصر الاستحقاق المجاني على أقل البلدان نموا</w:t>
      </w:r>
      <w:r w:rsidRPr="00AE66FC">
        <w:rPr>
          <w:rFonts w:hint="cs"/>
          <w:rtl/>
        </w:rPr>
        <w:t>ً</w:t>
      </w:r>
      <w:r w:rsidR="00BF0385" w:rsidRPr="00AE66FC">
        <w:rPr>
          <w:rtl/>
        </w:rPr>
        <w:t xml:space="preserve"> والدول الجزرية الصغيرة النامية والبلدان النامية غير الساحلية والبلدان التي تمر اقتصاداتها بمرحلة انتقالية. وستؤدي الآثار المترتبة على هذا المقترح لعام</w:t>
      </w:r>
      <w:r w:rsidRPr="00AE66FC">
        <w:rPr>
          <w:rFonts w:hint="cs"/>
          <w:rtl/>
        </w:rPr>
        <w:t> </w:t>
      </w:r>
      <w:r w:rsidR="00BF0385" w:rsidRPr="00AE66FC">
        <w:rPr>
          <w:rtl/>
        </w:rPr>
        <w:t xml:space="preserve">2024 إلى زيادة في الإيرادات المتحصلة من </w:t>
      </w:r>
      <w:r w:rsidR="00AE66FC" w:rsidRPr="00AE66FC">
        <w:rPr>
          <w:rtl/>
        </w:rPr>
        <w:t>معالجة بطاقات التبليغ عن الشبكات الساتلية</w:t>
      </w:r>
      <w:r w:rsidR="00AE66FC" w:rsidRPr="00AE66FC">
        <w:rPr>
          <w:rFonts w:hint="cs"/>
          <w:rtl/>
        </w:rPr>
        <w:t xml:space="preserve"> </w:t>
      </w:r>
      <w:r w:rsidR="004F113C" w:rsidRPr="00AE66FC">
        <w:rPr>
          <w:rtl/>
        </w:rPr>
        <w:t>بما</w:t>
      </w:r>
      <w:r w:rsidR="004F113C">
        <w:rPr>
          <w:rFonts w:hint="cs"/>
          <w:rtl/>
        </w:rPr>
        <w:t> </w:t>
      </w:r>
      <w:r w:rsidR="00BF0385" w:rsidRPr="00AE66FC">
        <w:rPr>
          <w:rtl/>
        </w:rPr>
        <w:t xml:space="preserve">مقداره نحو </w:t>
      </w:r>
      <w:r w:rsidR="00BF0385" w:rsidRPr="00AE66FC">
        <w:t>772 000</w:t>
      </w:r>
      <w:r w:rsidR="00BF0385" w:rsidRPr="00AE66FC">
        <w:rPr>
          <w:rtl/>
        </w:rPr>
        <w:t xml:space="preserve"> فرنك سويسري.</w:t>
      </w:r>
    </w:p>
    <w:p w14:paraId="7CDA0D74" w14:textId="4C02EF23" w:rsidR="00BF0385" w:rsidRDefault="00BF0385" w:rsidP="00BF0385">
      <w:pPr>
        <w:rPr>
          <w:rtl/>
        </w:rPr>
      </w:pPr>
      <w:r>
        <w:rPr>
          <w:rtl/>
        </w:rPr>
        <w:t>وفي كلتا الحالتين، تعتقد الأمانة أنه استنادا</w:t>
      </w:r>
      <w:r w:rsidR="002A716B">
        <w:rPr>
          <w:rFonts w:hint="cs"/>
          <w:rtl/>
        </w:rPr>
        <w:t>ً</w:t>
      </w:r>
      <w:r>
        <w:rPr>
          <w:rtl/>
        </w:rPr>
        <w:t xml:space="preserve"> إلى أحكام القرار 91 لمؤتمر المندوبين المفوضين، ينبغي الاستمرار في إدراج نفقات الأمانة المتعلقة بالاستحقاقات المجانية في حساب التكاليف المباشرة وغير المباشرة التي يتعين استردادها من رسوم </w:t>
      </w:r>
      <w:r w:rsidR="00680ED1" w:rsidRPr="00680ED1">
        <w:rPr>
          <w:rtl/>
        </w:rPr>
        <w:t>معالجة بطاقات التبليغ عن الشبكات الساتلية</w:t>
      </w:r>
      <w:r>
        <w:rPr>
          <w:rtl/>
        </w:rPr>
        <w:t>.</w:t>
      </w:r>
    </w:p>
    <w:p w14:paraId="54431426" w14:textId="77777777" w:rsidR="00BF0385" w:rsidRDefault="00BF0385" w:rsidP="002A716B">
      <w:pPr>
        <w:pStyle w:val="Heading2"/>
        <w:rPr>
          <w:rtl/>
        </w:rPr>
      </w:pPr>
      <w:r>
        <w:rPr>
          <w:rtl/>
        </w:rPr>
        <w:t>3.2</w:t>
      </w:r>
      <w:r>
        <w:rPr>
          <w:rtl/>
        </w:rPr>
        <w:tab/>
        <w:t>تحديد مكونات التكاليف الواجب استردادها</w:t>
      </w:r>
    </w:p>
    <w:p w14:paraId="2C68DD22" w14:textId="77777777" w:rsidR="00BF0385" w:rsidRDefault="00BF0385" w:rsidP="00BF0385">
      <w:pPr>
        <w:rPr>
          <w:rtl/>
        </w:rPr>
      </w:pPr>
      <w:r>
        <w:rPr>
          <w:rtl/>
        </w:rPr>
        <w:t>ترد مكونات التكاليف المستوفية لاشتراطات الاسترداد والمبادئ المحددة المطبقة في تحديد توزيع التكاليف بتفاصيلها تحت الفئات التالية.</w:t>
      </w:r>
    </w:p>
    <w:p w14:paraId="4DF82756" w14:textId="77777777" w:rsidR="00BF0385" w:rsidRDefault="00BF0385" w:rsidP="002A716B">
      <w:pPr>
        <w:pStyle w:val="Headingb"/>
        <w:rPr>
          <w:rtl/>
        </w:rPr>
      </w:pPr>
      <w:r>
        <w:rPr>
          <w:rtl/>
        </w:rPr>
        <w:lastRenderedPageBreak/>
        <w:t>التكاليف المباشرة</w:t>
      </w:r>
    </w:p>
    <w:p w14:paraId="4409DABE" w14:textId="2083F97E" w:rsidR="00BF0385" w:rsidRDefault="00BF0385" w:rsidP="00BF0385">
      <w:pPr>
        <w:rPr>
          <w:rtl/>
        </w:rPr>
      </w:pPr>
      <w:r>
        <w:rPr>
          <w:rtl/>
        </w:rPr>
        <w:t>تمثل التكاليف المباشرة الموارد التي تعزى بشكل واضح ومباشر إلى معالجة بطاقات التبليغ عن الشبكات الساتلية. وهي تشمل تكاليف الموظفين في مكتب الاتصالات الراديوية (</w:t>
      </w:r>
      <w:r>
        <w:t>BR</w:t>
      </w:r>
      <w:r>
        <w:rPr>
          <w:rtl/>
        </w:rPr>
        <w:t xml:space="preserve">) المسؤولين عن الفحص التقني وأنشطة التنسيق والمعالجة التنظيمية والدعم التشغيلي ذي الصلة. وتعزى هذه التكاليف بالكامل إلى أنشطة </w:t>
      </w:r>
      <w:r w:rsidR="00680ED1" w:rsidRPr="00680ED1">
        <w:rPr>
          <w:rtl/>
        </w:rPr>
        <w:t>معالجة بطاقات التبليغ عن الشبكات الساتلية</w:t>
      </w:r>
      <w:r>
        <w:rPr>
          <w:rtl/>
        </w:rPr>
        <w:t>، وبالتالي، فهي تشكل جوهر نموذج استرداد التكاليف. ويظهر ذلك في الجداول أدناه.</w:t>
      </w:r>
    </w:p>
    <w:p w14:paraId="73ADFF4E" w14:textId="364113C9" w:rsidR="00930F36" w:rsidRDefault="00AE0645" w:rsidP="00F92977">
      <w:pPr>
        <w:pStyle w:val="Figure"/>
        <w:spacing w:before="100" w:beforeAutospacing="1" w:after="100" w:afterAutospacing="1"/>
        <w:rPr>
          <w:rtl/>
        </w:rPr>
      </w:pPr>
      <w:r w:rsidRPr="00AE0645">
        <w:rPr>
          <w:rtl/>
        </w:rPr>
        <w:drawing>
          <wp:inline distT="0" distB="0" distL="0" distR="0" wp14:anchorId="31C7682A" wp14:editId="69780285">
            <wp:extent cx="3240000" cy="31680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40000" cy="3168000"/>
                    </a:xfrm>
                    <a:prstGeom prst="rect">
                      <a:avLst/>
                    </a:prstGeom>
                    <a:noFill/>
                    <a:ln>
                      <a:noFill/>
                    </a:ln>
                  </pic:spPr>
                </pic:pic>
              </a:graphicData>
            </a:graphic>
          </wp:inline>
        </w:drawing>
      </w:r>
    </w:p>
    <w:p w14:paraId="75A8A5D2" w14:textId="77777777" w:rsidR="00BF0385" w:rsidRDefault="00BF0385" w:rsidP="00CA029D">
      <w:pPr>
        <w:pStyle w:val="Headingb"/>
        <w:rPr>
          <w:rtl/>
        </w:rPr>
      </w:pPr>
      <w:r>
        <w:rPr>
          <w:rtl/>
        </w:rPr>
        <w:t>تعزيز النظم الأساسية لمعالجة بطاقات التبليغ عن الشبكات الساتلية وقدرات تحديث البرمجيات المستخدمة فيها</w:t>
      </w:r>
    </w:p>
    <w:p w14:paraId="61EE67EB" w14:textId="48AA1239" w:rsidR="00BF0385" w:rsidRPr="00B74DF6" w:rsidRDefault="00BF0385" w:rsidP="00CA029D">
      <w:pPr>
        <w:pStyle w:val="enumlev1"/>
        <w:rPr>
          <w:spacing w:val="-2"/>
          <w:rtl/>
        </w:rPr>
      </w:pPr>
      <w:r w:rsidRPr="00B74DF6">
        <w:rPr>
          <w:spacing w:val="-2"/>
          <w:rtl/>
        </w:rPr>
        <w:tab/>
        <w:t>وافق المجلس في دورته لعام 2025 على تخصيص 0,5 مليون فرنك سويسري سنويا</w:t>
      </w:r>
      <w:r w:rsidR="00CA029D" w:rsidRPr="00B74DF6">
        <w:rPr>
          <w:spacing w:val="-2"/>
          <w:rtl/>
        </w:rPr>
        <w:t>ً</w:t>
      </w:r>
      <w:r w:rsidRPr="00B74DF6">
        <w:rPr>
          <w:spacing w:val="-2"/>
          <w:rtl/>
        </w:rPr>
        <w:t xml:space="preserve"> من الرسوم المحصلة من معالجة بطاقات التبليغ عن الشبكات الساتلية لصالح الصندوق الرأسمالي لتكنولوجيا المعلومات والاتصالات لتطوير برمجيات مكتب الاتصالات الراديوية للفترة </w:t>
      </w:r>
      <w:r w:rsidRPr="00B74DF6">
        <w:rPr>
          <w:spacing w:val="-2"/>
        </w:rPr>
        <w:t>2027-2026</w:t>
      </w:r>
      <w:r w:rsidRPr="00B74DF6">
        <w:rPr>
          <w:spacing w:val="-2"/>
          <w:rtl/>
        </w:rPr>
        <w:t>.</w:t>
      </w:r>
    </w:p>
    <w:p w14:paraId="12157B50" w14:textId="2E5DDE45" w:rsidR="00BF0385" w:rsidRPr="00B74DF6" w:rsidRDefault="00BF0385" w:rsidP="00CA029D">
      <w:pPr>
        <w:pStyle w:val="enumlev1"/>
        <w:rPr>
          <w:spacing w:val="-4"/>
          <w:rtl/>
        </w:rPr>
      </w:pPr>
      <w:r w:rsidRPr="00B74DF6">
        <w:rPr>
          <w:spacing w:val="-4"/>
          <w:rtl/>
        </w:rPr>
        <w:tab/>
        <w:t xml:space="preserve">ولئن كان هذا الاستثمار المقترح يمثل خطوة ذات أهمية، فإنه لا يغطي بالكامل احتياجات مواصلة تطوير وتعزيز الأنظمة المتعلقة بوظائف </w:t>
      </w:r>
      <w:r w:rsidR="00680ED1" w:rsidRPr="00B74DF6">
        <w:rPr>
          <w:spacing w:val="-4"/>
          <w:rtl/>
        </w:rPr>
        <w:t>معالجة بطاقات التبليغ عن الشبكات الساتلية</w:t>
      </w:r>
      <w:r w:rsidRPr="00B74DF6">
        <w:rPr>
          <w:spacing w:val="-4"/>
          <w:rtl/>
        </w:rPr>
        <w:t xml:space="preserve">. وبالتالي، أدرج التمويل الرأسمالي المستمر البالغ </w:t>
      </w:r>
      <w:r w:rsidRPr="00B74DF6">
        <w:rPr>
          <w:spacing w:val="-4"/>
        </w:rPr>
        <w:t>500</w:t>
      </w:r>
      <w:r w:rsidR="00CA029D" w:rsidRPr="00B74DF6">
        <w:rPr>
          <w:spacing w:val="-4"/>
        </w:rPr>
        <w:t> </w:t>
      </w:r>
      <w:r w:rsidRPr="00B74DF6">
        <w:rPr>
          <w:spacing w:val="-4"/>
        </w:rPr>
        <w:t>000</w:t>
      </w:r>
      <w:r w:rsidRPr="00B74DF6">
        <w:rPr>
          <w:spacing w:val="-4"/>
          <w:rtl/>
        </w:rPr>
        <w:t xml:space="preserve"> فرنك سويسري سنويا</w:t>
      </w:r>
      <w:r w:rsidR="00CA029D" w:rsidRPr="00B74DF6">
        <w:rPr>
          <w:spacing w:val="-4"/>
          <w:rtl/>
        </w:rPr>
        <w:t>ً</w:t>
      </w:r>
      <w:r w:rsidRPr="00B74DF6">
        <w:rPr>
          <w:spacing w:val="-4"/>
          <w:rtl/>
        </w:rPr>
        <w:t xml:space="preserve"> لضمان تقديم الوظائف الحرجة ودعم الطلب التشغيلي والتنظيمي المتطور المرتبط </w:t>
      </w:r>
      <w:r w:rsidR="00680ED1" w:rsidRPr="00B74DF6">
        <w:rPr>
          <w:spacing w:val="-4"/>
          <w:rtl/>
        </w:rPr>
        <w:t>بمعالجة بطاقات التبليغ عن الشبكات الساتلية</w:t>
      </w:r>
      <w:r w:rsidRPr="00B74DF6">
        <w:rPr>
          <w:spacing w:val="-4"/>
          <w:rtl/>
        </w:rPr>
        <w:t>.</w:t>
      </w:r>
    </w:p>
    <w:p w14:paraId="7463FA95" w14:textId="6009FF7F" w:rsidR="00BF0385" w:rsidRDefault="00BF0385" w:rsidP="00CA029D">
      <w:pPr>
        <w:rPr>
          <w:rtl/>
        </w:rPr>
      </w:pPr>
      <w:r>
        <w:rPr>
          <w:rtl/>
        </w:rPr>
        <w:t>كما يتحمل الاتحاد التكاليف التي تُقيَّد مباشرة</w:t>
      </w:r>
      <w:r w:rsidR="00CA029D">
        <w:rPr>
          <w:rFonts w:hint="cs"/>
          <w:rtl/>
        </w:rPr>
        <w:t>ً</w:t>
      </w:r>
      <w:r>
        <w:rPr>
          <w:rtl/>
        </w:rPr>
        <w:t xml:space="preserve"> على حساب </w:t>
      </w:r>
      <w:r w:rsidR="00680ED1" w:rsidRPr="00680ED1">
        <w:rPr>
          <w:rtl/>
        </w:rPr>
        <w:t>معالجة بطاقات التبليغ عن الشبكات الساتلية</w:t>
      </w:r>
      <w:r w:rsidR="00680ED1">
        <w:rPr>
          <w:rFonts w:hint="cs"/>
          <w:rtl/>
        </w:rPr>
        <w:t xml:space="preserve"> </w:t>
      </w:r>
      <w:r>
        <w:rPr>
          <w:rtl/>
        </w:rPr>
        <w:t>ضمن دائرة خدمات المعلومات (</w:t>
      </w:r>
      <w:r>
        <w:t>ISD</w:t>
      </w:r>
      <w:r>
        <w:rPr>
          <w:rtl/>
        </w:rPr>
        <w:t>) ودائرة إدارة الموارد المالية (</w:t>
      </w:r>
      <w:r>
        <w:t>FRMD</w:t>
      </w:r>
      <w:r>
        <w:rPr>
          <w:rtl/>
        </w:rPr>
        <w:t>) ودائرة المؤتمرات والمنشورات (</w:t>
      </w:r>
      <w:r>
        <w:t>C&amp;P</w:t>
      </w:r>
      <w:r>
        <w:rPr>
          <w:rtl/>
        </w:rPr>
        <w:t>). وتشمل ما يلي:</w:t>
      </w:r>
    </w:p>
    <w:p w14:paraId="50E3F1AF" w14:textId="05274021" w:rsidR="00CA029D" w:rsidRDefault="00AE0645" w:rsidP="00F92977">
      <w:pPr>
        <w:pStyle w:val="Figure"/>
        <w:spacing w:before="100" w:beforeAutospacing="1" w:after="100" w:afterAutospacing="1"/>
        <w:rPr>
          <w:rtl/>
        </w:rPr>
      </w:pPr>
      <w:r w:rsidRPr="00AE0645">
        <w:rPr>
          <w:rtl/>
        </w:rPr>
        <w:lastRenderedPageBreak/>
        <w:drawing>
          <wp:inline distT="0" distB="0" distL="0" distR="0" wp14:anchorId="0E946DF3" wp14:editId="2CF3B083">
            <wp:extent cx="5400000" cy="304200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000" cy="3042000"/>
                    </a:xfrm>
                    <a:prstGeom prst="rect">
                      <a:avLst/>
                    </a:prstGeom>
                    <a:noFill/>
                    <a:ln>
                      <a:noFill/>
                    </a:ln>
                  </pic:spPr>
                </pic:pic>
              </a:graphicData>
            </a:graphic>
          </wp:inline>
        </w:drawing>
      </w:r>
    </w:p>
    <w:p w14:paraId="3A911639" w14:textId="77777777" w:rsidR="00BF0385" w:rsidRDefault="00BF0385" w:rsidP="00CA029D">
      <w:pPr>
        <w:pStyle w:val="Headingb"/>
        <w:ind w:left="1134" w:hanging="1134"/>
        <w:rPr>
          <w:rtl/>
        </w:rPr>
      </w:pPr>
      <w:r>
        <w:rPr>
          <w:rtl/>
        </w:rPr>
        <w:t>التكاليف غير المباشرة</w:t>
      </w:r>
    </w:p>
    <w:p w14:paraId="6B0E585A" w14:textId="70E31BCC" w:rsidR="00BF0385" w:rsidRDefault="00BF0385" w:rsidP="00BF0385">
      <w:pPr>
        <w:rPr>
          <w:rtl/>
        </w:rPr>
      </w:pPr>
      <w:r w:rsidRPr="00A31A53">
        <w:rPr>
          <w:rtl/>
        </w:rPr>
        <w:t xml:space="preserve">بالإضافة إلى التكاليف المباشرة، تعتمد أنشطة </w:t>
      </w:r>
      <w:r w:rsidR="00322B4B" w:rsidRPr="00A31A53">
        <w:rPr>
          <w:rtl/>
        </w:rPr>
        <w:t>معالجة بطاقات التبليغ عن الشبكات الساتلية</w:t>
      </w:r>
      <w:r w:rsidR="00322B4B" w:rsidRPr="00A31A53">
        <w:rPr>
          <w:rFonts w:hint="cs"/>
          <w:rtl/>
        </w:rPr>
        <w:t xml:space="preserve"> </w:t>
      </w:r>
      <w:r w:rsidRPr="00A31A53">
        <w:rPr>
          <w:rtl/>
        </w:rPr>
        <w:t xml:space="preserve">على مجموعة من الخدمات المؤسسية التي تدعم عمل المنظمة برمتها. ولضمان استيعاب التكلفة الكاملة لتقديم خدمات </w:t>
      </w:r>
      <w:r w:rsidR="00322B4B" w:rsidRPr="00A31A53">
        <w:rPr>
          <w:rtl/>
        </w:rPr>
        <w:t>معالجة بطاقات التبليغ عن الشبكات الساتلية</w:t>
      </w:r>
      <w:r w:rsidR="00322B4B" w:rsidRPr="00A31A53">
        <w:rPr>
          <w:rFonts w:hint="cs"/>
          <w:rtl/>
        </w:rPr>
        <w:t xml:space="preserve"> </w:t>
      </w:r>
      <w:r w:rsidRPr="00A31A53">
        <w:rPr>
          <w:rtl/>
        </w:rPr>
        <w:t xml:space="preserve">بشكل مناسب، توزع الأجزاء ذات الصلة </w:t>
      </w:r>
      <w:r w:rsidRPr="00B74DF6">
        <w:rPr>
          <w:rtl/>
        </w:rPr>
        <w:t>من خدمات الدعم هذه على أساس محركات</w:t>
      </w:r>
      <w:r w:rsidRPr="00A31A53">
        <w:rPr>
          <w:rtl/>
        </w:rPr>
        <w:t xml:space="preserve"> عملية وقابلة للقياس تعكس الاستخدام الفعلي </w:t>
      </w:r>
      <w:r w:rsidR="00322B4B" w:rsidRPr="00A31A53">
        <w:rPr>
          <w:rFonts w:hint="cs"/>
          <w:rtl/>
        </w:rPr>
        <w:t>ل</w:t>
      </w:r>
      <w:r w:rsidR="00322B4B" w:rsidRPr="00A31A53">
        <w:rPr>
          <w:rtl/>
        </w:rPr>
        <w:t>معالجة بطاقات التبليغ عن الشبكات الساتلية</w:t>
      </w:r>
      <w:r w:rsidRPr="00A31A53">
        <w:rPr>
          <w:rtl/>
        </w:rPr>
        <w:t>.</w:t>
      </w:r>
    </w:p>
    <w:p w14:paraId="2060781F" w14:textId="79A0CB7A" w:rsidR="00BF0385" w:rsidRDefault="00BF0385" w:rsidP="00BF0385">
      <w:pPr>
        <w:rPr>
          <w:rtl/>
        </w:rPr>
      </w:pPr>
      <w:r>
        <w:rPr>
          <w:rtl/>
        </w:rPr>
        <w:t>وقد حددت أسس التوزيع من خلال مشاورات أجريت مع دوائر الخدمة ذات الصلة وهي مصممة لتحقيق التوازن بين الشفافية والتطبيق العملي وتوافر البيانات.</w:t>
      </w:r>
    </w:p>
    <w:p w14:paraId="2FED07D1" w14:textId="77777777" w:rsidR="00BF0385" w:rsidRDefault="00BF0385" w:rsidP="00BF0385">
      <w:pPr>
        <w:rPr>
          <w:rtl/>
        </w:rPr>
      </w:pPr>
      <w:r>
        <w:rPr>
          <w:rtl/>
        </w:rPr>
        <w:t>ويرد أدناه ملخص لتوزيعات خدمة الدعم الرئيسية:</w:t>
      </w:r>
    </w:p>
    <w:p w14:paraId="3351AC80" w14:textId="77777777" w:rsidR="00BF0385" w:rsidRPr="00CA029D" w:rsidRDefault="00BF0385" w:rsidP="00CA029D">
      <w:pPr>
        <w:pStyle w:val="enumlev1"/>
        <w:rPr>
          <w:b/>
          <w:bCs/>
          <w:rtl/>
        </w:rPr>
      </w:pPr>
      <w:r w:rsidRPr="00CA029D">
        <w:rPr>
          <w:b/>
          <w:bCs/>
          <w:rtl/>
        </w:rPr>
        <w:t>–</w:t>
      </w:r>
      <w:r w:rsidRPr="00CA029D">
        <w:rPr>
          <w:b/>
          <w:bCs/>
          <w:rtl/>
        </w:rPr>
        <w:tab/>
        <w:t>القيادة العليا</w:t>
      </w:r>
    </w:p>
    <w:p w14:paraId="5F538097" w14:textId="2E346BA5" w:rsidR="00BF0385" w:rsidRPr="00CA029D" w:rsidRDefault="00BF0385" w:rsidP="00CA029D">
      <w:pPr>
        <w:pStyle w:val="enumlev1"/>
        <w:rPr>
          <w:spacing w:val="-2"/>
          <w:rtl/>
        </w:rPr>
      </w:pPr>
      <w:r w:rsidRPr="00CA029D">
        <w:rPr>
          <w:spacing w:val="-2"/>
          <w:rtl/>
        </w:rPr>
        <w:tab/>
        <w:t>يدرج جزء محدود من وقت القيادة العليا في إطار تكاليف معالجة بطاقات التبليغ عن الشبكات الساتلية (</w:t>
      </w:r>
      <w:r w:rsidRPr="00CA029D">
        <w:rPr>
          <w:spacing w:val="-2"/>
        </w:rPr>
        <w:t>SNF</w:t>
      </w:r>
      <w:r w:rsidRPr="00CA029D">
        <w:rPr>
          <w:spacing w:val="-2"/>
          <w:rtl/>
        </w:rPr>
        <w:t>) للتعبير عن اتخاذ القرارات الاستراتيجية والتشغيلية رفيعة المستوى، وأنشطة المشاركة الضرورية التي يمارسها الأعضاء ومسؤوليات الرقابة التي يضطلع بها الأمين</w:t>
      </w:r>
      <w:r w:rsidR="00CA029D" w:rsidRPr="00CA029D">
        <w:rPr>
          <w:rFonts w:hint="cs"/>
          <w:spacing w:val="-2"/>
          <w:rtl/>
        </w:rPr>
        <w:t>ة</w:t>
      </w:r>
      <w:r w:rsidRPr="00CA029D">
        <w:rPr>
          <w:spacing w:val="-2"/>
          <w:rtl/>
        </w:rPr>
        <w:t xml:space="preserve"> العامة ونائب الأمين</w:t>
      </w:r>
      <w:r w:rsidR="00CA029D" w:rsidRPr="00CA029D">
        <w:rPr>
          <w:rFonts w:hint="cs"/>
          <w:spacing w:val="-2"/>
          <w:rtl/>
        </w:rPr>
        <w:t>ة</w:t>
      </w:r>
      <w:r w:rsidRPr="00CA029D">
        <w:rPr>
          <w:spacing w:val="-2"/>
          <w:rtl/>
        </w:rPr>
        <w:t xml:space="preserve"> العام</w:t>
      </w:r>
      <w:r w:rsidR="00CA029D" w:rsidRPr="00CA029D">
        <w:rPr>
          <w:rFonts w:hint="cs"/>
          <w:spacing w:val="-2"/>
          <w:rtl/>
        </w:rPr>
        <w:t>ة</w:t>
      </w:r>
      <w:r w:rsidRPr="00CA029D">
        <w:rPr>
          <w:spacing w:val="-2"/>
          <w:rtl/>
        </w:rPr>
        <w:t xml:space="preserve"> فيما يتعلق ب</w:t>
      </w:r>
      <w:r w:rsidR="00EF027A" w:rsidRPr="00EF027A">
        <w:rPr>
          <w:spacing w:val="-2"/>
          <w:rtl/>
        </w:rPr>
        <w:t>معالجة بطاقات التبليغ عن الشبكات الساتلية</w:t>
      </w:r>
      <w:r w:rsidRPr="00CA029D">
        <w:rPr>
          <w:spacing w:val="-2"/>
          <w:rtl/>
        </w:rPr>
        <w:t>.</w:t>
      </w:r>
    </w:p>
    <w:p w14:paraId="217915BF" w14:textId="09FFEECA" w:rsidR="00BF0385" w:rsidRPr="00CA029D" w:rsidRDefault="00BF0385" w:rsidP="00CA029D">
      <w:pPr>
        <w:pStyle w:val="enumlev1"/>
        <w:rPr>
          <w:spacing w:val="-2"/>
          <w:rtl/>
        </w:rPr>
      </w:pPr>
      <w:r w:rsidRPr="00CA029D">
        <w:rPr>
          <w:spacing w:val="-2"/>
          <w:rtl/>
        </w:rPr>
        <w:tab/>
        <w:t>ولأغراض نموذج التكاليف، قدرت هذه المساهمة تقديرا</w:t>
      </w:r>
      <w:r w:rsidR="00CA029D" w:rsidRPr="00CA029D">
        <w:rPr>
          <w:rFonts w:hint="cs"/>
          <w:spacing w:val="-2"/>
          <w:rtl/>
        </w:rPr>
        <w:t>ً</w:t>
      </w:r>
      <w:r w:rsidRPr="00CA029D">
        <w:rPr>
          <w:spacing w:val="-2"/>
          <w:rtl/>
        </w:rPr>
        <w:t xml:space="preserve"> متحفظا</w:t>
      </w:r>
      <w:r w:rsidR="00CA029D" w:rsidRPr="00CA029D">
        <w:rPr>
          <w:rFonts w:hint="cs"/>
          <w:spacing w:val="-2"/>
          <w:rtl/>
        </w:rPr>
        <w:t>ً</w:t>
      </w:r>
      <w:r w:rsidRPr="00CA029D">
        <w:rPr>
          <w:spacing w:val="-2"/>
          <w:rtl/>
        </w:rPr>
        <w:t xml:space="preserve"> بنسبة 2 في المائة (18,1 ألف فرنك سويسري) من وقت القيادة، حيث لا يعبر التقدير سوى عن الأنشطة التي تُقيَّد مباشرةً على حساب المسائل المتعلقة </w:t>
      </w:r>
      <w:r w:rsidR="00322B4B">
        <w:rPr>
          <w:rFonts w:hint="cs"/>
          <w:spacing w:val="-2"/>
          <w:rtl/>
        </w:rPr>
        <w:t>ب</w:t>
      </w:r>
      <w:r w:rsidR="00322B4B" w:rsidRPr="00322B4B">
        <w:rPr>
          <w:spacing w:val="-2"/>
          <w:rtl/>
        </w:rPr>
        <w:t>معالجة بطاقات التبليغ عن الشبكات الساتلية</w:t>
      </w:r>
      <w:r w:rsidRPr="00CA029D">
        <w:rPr>
          <w:spacing w:val="-2"/>
          <w:rtl/>
        </w:rPr>
        <w:t>. وتقسم التكاليف ذات الصلة باستخدام نفس المبادئ المطبقة على مجمعات التكاليف غير المباشرة الأخرى، بما يضمن الاتساق والتناسب في المنهجية بوجه عام.</w:t>
      </w:r>
    </w:p>
    <w:p w14:paraId="3D4401A6" w14:textId="5AD1F744" w:rsidR="00BF0385" w:rsidRPr="00CA029D" w:rsidRDefault="00BF0385" w:rsidP="00CA029D">
      <w:pPr>
        <w:pStyle w:val="enumlev1"/>
        <w:rPr>
          <w:b/>
          <w:bCs/>
          <w:rtl/>
          <w:lang w:bidi="ar-EG"/>
        </w:rPr>
      </w:pPr>
      <w:r w:rsidRPr="00CA029D">
        <w:rPr>
          <w:b/>
          <w:bCs/>
          <w:rtl/>
        </w:rPr>
        <w:t>–</w:t>
      </w:r>
      <w:r w:rsidRPr="00CA029D">
        <w:rPr>
          <w:b/>
          <w:bCs/>
          <w:rtl/>
        </w:rPr>
        <w:tab/>
        <w:t>دائرة خدمات المعلومات</w:t>
      </w:r>
      <w:r w:rsidR="00CA029D">
        <w:rPr>
          <w:rFonts w:hint="cs"/>
          <w:b/>
          <w:bCs/>
          <w:rtl/>
        </w:rPr>
        <w:t xml:space="preserve"> </w:t>
      </w:r>
      <w:r w:rsidR="00CA029D">
        <w:rPr>
          <w:b/>
          <w:bCs/>
        </w:rPr>
        <w:t>(ISD)</w:t>
      </w:r>
    </w:p>
    <w:p w14:paraId="75001F28" w14:textId="0CC688DE" w:rsidR="00BF0385" w:rsidRPr="00953EDE" w:rsidRDefault="00BF0385" w:rsidP="00CA029D">
      <w:pPr>
        <w:pStyle w:val="enumlev1"/>
        <w:rPr>
          <w:rtl/>
        </w:rPr>
      </w:pPr>
      <w:r w:rsidRPr="00953EDE">
        <w:rPr>
          <w:rtl/>
        </w:rPr>
        <w:tab/>
        <w:t>توفر دائرة خدمات المعلومات (</w:t>
      </w:r>
      <w:r w:rsidRPr="00953EDE">
        <w:t>ISD</w:t>
      </w:r>
      <w:r w:rsidRPr="00953EDE">
        <w:rPr>
          <w:rtl/>
        </w:rPr>
        <w:t xml:space="preserve">) البنية التحتية لتكنولوجيا المعلومات، والأمن السيبراني، وأنظمة المؤسسات، والدعم التقني الذي يستخدمه موظفو </w:t>
      </w:r>
      <w:r w:rsidR="00322B4B" w:rsidRPr="00953EDE">
        <w:rPr>
          <w:rtl/>
        </w:rPr>
        <w:t>معالجة بطاقات التبليغ عن الشبكات الساتلية</w:t>
      </w:r>
      <w:r w:rsidRPr="00953EDE">
        <w:rPr>
          <w:rtl/>
        </w:rPr>
        <w:t xml:space="preserve">. ويوزع جزء كبير من هذه التكاليف على أساس عدد موظفي </w:t>
      </w:r>
      <w:r w:rsidR="00322B4B" w:rsidRPr="00953EDE">
        <w:rPr>
          <w:rtl/>
        </w:rPr>
        <w:t>معالجة بطاقات التبليغ عن الشبكات الساتلية</w:t>
      </w:r>
      <w:r w:rsidR="00322B4B" w:rsidRPr="00953EDE">
        <w:rPr>
          <w:rFonts w:hint="cs"/>
          <w:rtl/>
        </w:rPr>
        <w:t xml:space="preserve"> </w:t>
      </w:r>
      <w:r w:rsidRPr="00953EDE">
        <w:rPr>
          <w:rtl/>
        </w:rPr>
        <w:t>منسوباً إلى</w:t>
      </w:r>
      <w:r w:rsidR="00953EDE">
        <w:rPr>
          <w:rFonts w:hint="cs"/>
          <w:rtl/>
        </w:rPr>
        <w:t> </w:t>
      </w:r>
      <w:r w:rsidRPr="00953EDE">
        <w:rPr>
          <w:rtl/>
        </w:rPr>
        <w:t>إجمالي عدد موظفي الاتحاد، مما يعبر عن الاستخدام العام للبنية التحتية لتكنولوجيا المعلومات من جانب الموظفين في جميع وحدات الاتحاد.</w:t>
      </w:r>
    </w:p>
    <w:p w14:paraId="7F699FDB" w14:textId="66EC3CEF" w:rsidR="00CA029D" w:rsidRDefault="00AE0645" w:rsidP="00EF5D4D">
      <w:pPr>
        <w:pStyle w:val="Figure"/>
        <w:spacing w:before="100" w:beforeAutospacing="1" w:after="100" w:afterAutospacing="1"/>
        <w:rPr>
          <w:rtl/>
        </w:rPr>
      </w:pPr>
      <w:r w:rsidRPr="00AE0645">
        <w:rPr>
          <w:rtl/>
        </w:rPr>
        <w:lastRenderedPageBreak/>
        <w:drawing>
          <wp:inline distT="0" distB="0" distL="0" distR="0" wp14:anchorId="726588B0" wp14:editId="11E7E96E">
            <wp:extent cx="4320000" cy="1796400"/>
            <wp:effectExtent l="0" t="0" r="444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20000" cy="1796400"/>
                    </a:xfrm>
                    <a:prstGeom prst="rect">
                      <a:avLst/>
                    </a:prstGeom>
                    <a:noFill/>
                    <a:ln>
                      <a:noFill/>
                    </a:ln>
                  </pic:spPr>
                </pic:pic>
              </a:graphicData>
            </a:graphic>
          </wp:inline>
        </w:drawing>
      </w:r>
    </w:p>
    <w:p w14:paraId="59064C4D" w14:textId="703369AA" w:rsidR="00BF0385" w:rsidRPr="00CA029D" w:rsidRDefault="00BF0385" w:rsidP="00CA029D">
      <w:pPr>
        <w:pStyle w:val="enumlev1"/>
        <w:rPr>
          <w:b/>
          <w:bCs/>
          <w:rtl/>
        </w:rPr>
      </w:pPr>
      <w:r w:rsidRPr="00CA029D">
        <w:rPr>
          <w:b/>
          <w:bCs/>
          <w:rtl/>
        </w:rPr>
        <w:t>–</w:t>
      </w:r>
      <w:r w:rsidRPr="00CA029D">
        <w:rPr>
          <w:b/>
          <w:bCs/>
          <w:rtl/>
        </w:rPr>
        <w:tab/>
        <w:t>إدارة المرافق</w:t>
      </w:r>
    </w:p>
    <w:p w14:paraId="61A9FCE3" w14:textId="3C7929C9" w:rsidR="00BF0385" w:rsidRDefault="00BF0385" w:rsidP="00CA029D">
      <w:pPr>
        <w:pStyle w:val="enumlev1"/>
        <w:rPr>
          <w:rtl/>
        </w:rPr>
      </w:pPr>
      <w:r>
        <w:rPr>
          <w:rtl/>
        </w:rPr>
        <w:tab/>
        <w:t xml:space="preserve">تشمل تكاليف المرافق إشغال المباني وصيانة أماكن العمل والمرافق والخدمات الأخرى المتعلقة بالمباني التي يستخدمها موظفو </w:t>
      </w:r>
      <w:r w:rsidR="00E9068F" w:rsidRPr="00E9068F">
        <w:rPr>
          <w:rtl/>
        </w:rPr>
        <w:t>معالجة بطاقات التبليغ عن الشبكات الساتلية</w:t>
      </w:r>
      <w:r>
        <w:rPr>
          <w:rtl/>
        </w:rPr>
        <w:t xml:space="preserve">. وتوزع هذه التكاليف على أساس الحيز المكتبي الذي يشغله موظفو </w:t>
      </w:r>
      <w:r w:rsidR="00E9068F" w:rsidRPr="00E9068F">
        <w:rPr>
          <w:rtl/>
        </w:rPr>
        <w:t xml:space="preserve">معالجة بطاقات التبليغ عن الشبكات </w:t>
      </w:r>
      <w:proofErr w:type="spellStart"/>
      <w:r w:rsidR="00E9068F" w:rsidRPr="00E9068F">
        <w:rPr>
          <w:rtl/>
        </w:rPr>
        <w:t>الساتلية</w:t>
      </w:r>
      <w:proofErr w:type="spellEnd"/>
      <w:r w:rsidR="00E9068F" w:rsidRPr="00E9068F">
        <w:rPr>
          <w:rtl/>
        </w:rPr>
        <w:t xml:space="preserve"> </w:t>
      </w:r>
      <w:r>
        <w:rPr>
          <w:rtl/>
        </w:rPr>
        <w:t>(</w:t>
      </w:r>
      <w:proofErr w:type="spellStart"/>
      <w:r>
        <w:rPr>
          <w:rtl/>
        </w:rPr>
        <w:t>مقيسة</w:t>
      </w:r>
      <w:proofErr w:type="spellEnd"/>
      <w:r>
        <w:rPr>
          <w:rtl/>
        </w:rPr>
        <w:t xml:space="preserve"> بالأمتار المربعة) مقارنة</w:t>
      </w:r>
      <w:r w:rsidR="005E7671">
        <w:rPr>
          <w:rFonts w:hint="cs"/>
          <w:rtl/>
        </w:rPr>
        <w:t>ً</w:t>
      </w:r>
      <w:r>
        <w:rPr>
          <w:rtl/>
        </w:rPr>
        <w:t xml:space="preserve"> بإجمالي مساحة المكاتب في الاتحاد، مما يوفر تعبيراً عمليا</w:t>
      </w:r>
      <w:r w:rsidR="008560F4">
        <w:rPr>
          <w:rFonts w:hint="cs"/>
          <w:rtl/>
        </w:rPr>
        <w:t>ً</w:t>
      </w:r>
      <w:r>
        <w:rPr>
          <w:rtl/>
        </w:rPr>
        <w:t xml:space="preserve"> عن استهلاك موارد المرافق.</w:t>
      </w:r>
    </w:p>
    <w:p w14:paraId="40786066" w14:textId="64EB895C" w:rsidR="009704A9" w:rsidRDefault="00AE0645" w:rsidP="00EF5D4D">
      <w:pPr>
        <w:pStyle w:val="Figure"/>
        <w:spacing w:before="100" w:beforeAutospacing="1" w:after="100" w:afterAutospacing="1"/>
      </w:pPr>
      <w:r w:rsidRPr="00AE0645">
        <w:rPr>
          <w:rtl/>
        </w:rPr>
        <w:drawing>
          <wp:inline distT="0" distB="0" distL="0" distR="0" wp14:anchorId="2C4384EE" wp14:editId="539DB9BE">
            <wp:extent cx="4320000" cy="979200"/>
            <wp:effectExtent l="0" t="0" r="444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20000" cy="979200"/>
                    </a:xfrm>
                    <a:prstGeom prst="rect">
                      <a:avLst/>
                    </a:prstGeom>
                    <a:noFill/>
                    <a:ln>
                      <a:noFill/>
                    </a:ln>
                  </pic:spPr>
                </pic:pic>
              </a:graphicData>
            </a:graphic>
          </wp:inline>
        </w:drawing>
      </w:r>
    </w:p>
    <w:p w14:paraId="25A0D574" w14:textId="5F4A43BF" w:rsidR="00BF0385" w:rsidRPr="00CA029D" w:rsidRDefault="00BF0385" w:rsidP="00CA029D">
      <w:pPr>
        <w:pStyle w:val="enumlev1"/>
        <w:rPr>
          <w:b/>
          <w:bCs/>
        </w:rPr>
      </w:pPr>
      <w:r w:rsidRPr="00CA029D">
        <w:rPr>
          <w:b/>
          <w:bCs/>
          <w:rtl/>
        </w:rPr>
        <w:t>–</w:t>
      </w:r>
      <w:r w:rsidRPr="00CA029D">
        <w:rPr>
          <w:b/>
          <w:bCs/>
          <w:rtl/>
        </w:rPr>
        <w:tab/>
        <w:t>دائرة إدارة الموارد المالية</w:t>
      </w:r>
      <w:r w:rsidR="00843096">
        <w:rPr>
          <w:rFonts w:hint="cs"/>
          <w:b/>
          <w:bCs/>
          <w:rtl/>
        </w:rPr>
        <w:t xml:space="preserve"> </w:t>
      </w:r>
      <w:r w:rsidR="00843096">
        <w:rPr>
          <w:b/>
          <w:bCs/>
        </w:rPr>
        <w:t>(FRMD)</w:t>
      </w:r>
    </w:p>
    <w:p w14:paraId="262982C2" w14:textId="053DBA69" w:rsidR="00BF0385" w:rsidRPr="008B280F" w:rsidRDefault="00BF0385" w:rsidP="00CA029D">
      <w:pPr>
        <w:pStyle w:val="enumlev1"/>
        <w:rPr>
          <w:spacing w:val="-3"/>
          <w:rtl/>
        </w:rPr>
      </w:pPr>
      <w:r w:rsidRPr="008B280F">
        <w:rPr>
          <w:spacing w:val="-3"/>
          <w:rtl/>
        </w:rPr>
        <w:tab/>
        <w:t>إضافةً إلى التكاليف المباشرة التي تتحملها دائرة إدارة الموارد المالية (</w:t>
      </w:r>
      <w:r w:rsidRPr="008B280F">
        <w:rPr>
          <w:spacing w:val="-3"/>
        </w:rPr>
        <w:t>FRMD</w:t>
      </w:r>
      <w:r w:rsidRPr="008B280F">
        <w:rPr>
          <w:spacing w:val="-3"/>
          <w:rtl/>
        </w:rPr>
        <w:t xml:space="preserve">) المتعلقة بأعمال </w:t>
      </w:r>
      <w:r w:rsidR="00E9068F" w:rsidRPr="00E9068F">
        <w:rPr>
          <w:spacing w:val="-3"/>
          <w:rtl/>
        </w:rPr>
        <w:t>معالجة بطاقات التبليغ عن الشبكات الساتلية</w:t>
      </w:r>
      <w:r w:rsidR="00E9068F">
        <w:rPr>
          <w:rFonts w:hint="cs"/>
          <w:spacing w:val="-3"/>
          <w:rtl/>
        </w:rPr>
        <w:t xml:space="preserve"> </w:t>
      </w:r>
      <w:r w:rsidRPr="008B280F">
        <w:rPr>
          <w:spacing w:val="-3"/>
          <w:rtl/>
        </w:rPr>
        <w:t>المذكورة أعلاه، هناك تكاليف أخرى غير مباشرة ترد أدناه، وهي إدارة الأصول ووظائف الدعم المالي الأخرى.</w:t>
      </w:r>
    </w:p>
    <w:p w14:paraId="42B17760" w14:textId="19999B46" w:rsidR="009704A9" w:rsidRDefault="00AE0645" w:rsidP="00EF5D4D">
      <w:pPr>
        <w:pStyle w:val="Figure"/>
        <w:spacing w:before="100" w:beforeAutospacing="1" w:after="100" w:afterAutospacing="1"/>
      </w:pPr>
      <w:r w:rsidRPr="00AE0645">
        <w:rPr>
          <w:rtl/>
        </w:rPr>
        <w:drawing>
          <wp:inline distT="0" distB="0" distL="0" distR="0" wp14:anchorId="16B179CF" wp14:editId="6AF37D95">
            <wp:extent cx="4320000" cy="1249200"/>
            <wp:effectExtent l="0" t="0" r="4445" b="825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20000" cy="1249200"/>
                    </a:xfrm>
                    <a:prstGeom prst="rect">
                      <a:avLst/>
                    </a:prstGeom>
                    <a:noFill/>
                    <a:ln>
                      <a:noFill/>
                    </a:ln>
                  </pic:spPr>
                </pic:pic>
              </a:graphicData>
            </a:graphic>
          </wp:inline>
        </w:drawing>
      </w:r>
    </w:p>
    <w:p w14:paraId="47665737" w14:textId="353811D3" w:rsidR="00BF0385" w:rsidRPr="00CA029D" w:rsidRDefault="00BF0385" w:rsidP="00CA029D">
      <w:pPr>
        <w:pStyle w:val="enumlev1"/>
        <w:rPr>
          <w:b/>
          <w:bCs/>
          <w:rtl/>
        </w:rPr>
      </w:pPr>
      <w:r w:rsidRPr="00CA029D">
        <w:rPr>
          <w:b/>
          <w:bCs/>
          <w:rtl/>
        </w:rPr>
        <w:t>–</w:t>
      </w:r>
      <w:r w:rsidRPr="00CA029D">
        <w:rPr>
          <w:b/>
          <w:bCs/>
          <w:rtl/>
        </w:rPr>
        <w:tab/>
        <w:t>دائرة إدارة الموارد البشرية</w:t>
      </w:r>
      <w:r w:rsidR="008B280F">
        <w:rPr>
          <w:rFonts w:hint="cs"/>
          <w:b/>
          <w:bCs/>
          <w:rtl/>
          <w:lang w:bidi="ar-EG"/>
        </w:rPr>
        <w:t xml:space="preserve"> </w:t>
      </w:r>
      <w:r w:rsidR="008B280F">
        <w:rPr>
          <w:b/>
          <w:bCs/>
          <w:lang w:bidi="ar-EG"/>
        </w:rPr>
        <w:t>(</w:t>
      </w:r>
      <w:r w:rsidR="008B280F" w:rsidRPr="008B280F">
        <w:rPr>
          <w:b/>
          <w:bCs/>
          <w:lang w:bidi="ar-EG"/>
        </w:rPr>
        <w:t>HRMD</w:t>
      </w:r>
      <w:r w:rsidR="008B280F">
        <w:rPr>
          <w:b/>
          <w:bCs/>
          <w:lang w:bidi="ar-EG"/>
        </w:rPr>
        <w:t>)</w:t>
      </w:r>
      <w:r w:rsidRPr="00CA029D">
        <w:rPr>
          <w:b/>
          <w:bCs/>
          <w:rtl/>
        </w:rPr>
        <w:t xml:space="preserve"> ووحدة الشؤون القانونية</w:t>
      </w:r>
      <w:r w:rsidR="008B280F">
        <w:rPr>
          <w:rFonts w:hint="cs"/>
          <w:b/>
          <w:bCs/>
          <w:rtl/>
          <w:lang w:bidi="ar-EG"/>
        </w:rPr>
        <w:t xml:space="preserve"> </w:t>
      </w:r>
      <w:r w:rsidR="008B280F">
        <w:rPr>
          <w:b/>
          <w:bCs/>
          <w:lang w:bidi="ar-EG"/>
        </w:rPr>
        <w:t>(</w:t>
      </w:r>
      <w:r w:rsidR="008D3A90" w:rsidRPr="008D3A90">
        <w:rPr>
          <w:b/>
          <w:bCs/>
          <w:lang w:bidi="ar-EG"/>
        </w:rPr>
        <w:t>JUR</w:t>
      </w:r>
      <w:r w:rsidR="008B280F">
        <w:rPr>
          <w:b/>
          <w:bCs/>
          <w:lang w:bidi="ar-EG"/>
        </w:rPr>
        <w:t>)</w:t>
      </w:r>
      <w:r w:rsidRPr="00CA029D">
        <w:rPr>
          <w:b/>
          <w:bCs/>
          <w:rtl/>
        </w:rPr>
        <w:t xml:space="preserve"> ووحدة الرقابة</w:t>
      </w:r>
      <w:r w:rsidR="008B280F">
        <w:rPr>
          <w:rFonts w:hint="cs"/>
          <w:b/>
          <w:bCs/>
          <w:rtl/>
          <w:lang w:bidi="ar-EG"/>
        </w:rPr>
        <w:t xml:space="preserve"> </w:t>
      </w:r>
      <w:r w:rsidR="008B280F">
        <w:rPr>
          <w:b/>
          <w:bCs/>
          <w:lang w:bidi="ar-EG"/>
        </w:rPr>
        <w:t>(</w:t>
      </w:r>
      <w:r w:rsidR="008D3A90" w:rsidRPr="008D3A90">
        <w:rPr>
          <w:b/>
          <w:bCs/>
          <w:lang w:bidi="ar-EG"/>
        </w:rPr>
        <w:t>OU</w:t>
      </w:r>
      <w:r w:rsidR="008B280F">
        <w:rPr>
          <w:b/>
          <w:bCs/>
          <w:lang w:bidi="ar-EG"/>
        </w:rPr>
        <w:t>)</w:t>
      </w:r>
    </w:p>
    <w:p w14:paraId="3C2CBD89" w14:textId="4605FB58" w:rsidR="00BF0385" w:rsidRDefault="00BF0385" w:rsidP="00CA029D">
      <w:pPr>
        <w:pStyle w:val="enumlev1"/>
        <w:rPr>
          <w:rtl/>
        </w:rPr>
      </w:pPr>
      <w:r>
        <w:rPr>
          <w:rtl/>
        </w:rPr>
        <w:tab/>
        <w:t>تدرج في مجمعات التكاليف غير المباشرة وظائف دائرة إدارة الموارد البشرية (</w:t>
      </w:r>
      <w:r>
        <w:t>HRMD</w:t>
      </w:r>
      <w:r>
        <w:rPr>
          <w:rtl/>
        </w:rPr>
        <w:t xml:space="preserve">) والوظائف القانونية والرقابية الداعمة لأنشطة </w:t>
      </w:r>
      <w:r w:rsidR="00E9068F" w:rsidRPr="00E9068F">
        <w:rPr>
          <w:rtl/>
        </w:rPr>
        <w:t>معالجة بطاقات التبليغ عن الشبكات الساتلية</w:t>
      </w:r>
      <w:r w:rsidR="00E9068F">
        <w:rPr>
          <w:rFonts w:hint="cs"/>
          <w:rtl/>
        </w:rPr>
        <w:t xml:space="preserve"> </w:t>
      </w:r>
      <w:r>
        <w:rPr>
          <w:rtl/>
        </w:rPr>
        <w:t xml:space="preserve">مثل التوظيف وإدارة العقود ومعالجة كشوف المرتبات وتنمية قدرات الموظفين والمراجعة القانونية والامتثال والتدقيق ودعم الإدارة. وتوزع هذه الخدمات باستخدام نفس منهجية التوزيع المطبقة على خدمات الدعم المؤسسية الأخرى، أي على أساس عدد موظفي </w:t>
      </w:r>
      <w:r w:rsidR="00E9068F" w:rsidRPr="00E9068F">
        <w:rPr>
          <w:rtl/>
        </w:rPr>
        <w:t>معالجة بطاقات التبليغ عن الشبكات الساتلية</w:t>
      </w:r>
      <w:r w:rsidR="00E9068F">
        <w:rPr>
          <w:rFonts w:hint="cs"/>
          <w:rtl/>
        </w:rPr>
        <w:t xml:space="preserve"> </w:t>
      </w:r>
      <w:r>
        <w:rPr>
          <w:rtl/>
        </w:rPr>
        <w:t>منسوباً إلى مجموع موظفي الاتحاد.</w:t>
      </w:r>
    </w:p>
    <w:p w14:paraId="65125F3E" w14:textId="033D29C7" w:rsidR="00CA029D" w:rsidRDefault="00731A5D" w:rsidP="00EF5D4D">
      <w:pPr>
        <w:pStyle w:val="Figure"/>
        <w:spacing w:before="100" w:beforeAutospacing="1" w:after="100" w:afterAutospacing="1"/>
        <w:rPr>
          <w:rtl/>
        </w:rPr>
      </w:pPr>
      <w:r w:rsidRPr="00731A5D">
        <w:rPr>
          <w:rtl/>
        </w:rPr>
        <w:lastRenderedPageBreak/>
        <w:drawing>
          <wp:inline distT="0" distB="0" distL="0" distR="0" wp14:anchorId="40F61CBF" wp14:editId="0C4F014F">
            <wp:extent cx="4320000" cy="1825200"/>
            <wp:effectExtent l="0" t="0" r="4445" b="381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20000" cy="1825200"/>
                    </a:xfrm>
                    <a:prstGeom prst="rect">
                      <a:avLst/>
                    </a:prstGeom>
                    <a:noFill/>
                    <a:ln>
                      <a:noFill/>
                    </a:ln>
                  </pic:spPr>
                </pic:pic>
              </a:graphicData>
            </a:graphic>
          </wp:inline>
        </w:drawing>
      </w:r>
    </w:p>
    <w:p w14:paraId="52E7FB25" w14:textId="54693944" w:rsidR="008D3A90" w:rsidRDefault="00731A5D" w:rsidP="00EF5D4D">
      <w:pPr>
        <w:pStyle w:val="Figure"/>
        <w:spacing w:before="100" w:beforeAutospacing="1" w:after="100" w:afterAutospacing="1"/>
        <w:rPr>
          <w:rtl/>
        </w:rPr>
      </w:pPr>
      <w:r w:rsidRPr="00731A5D">
        <w:rPr>
          <w:rtl/>
        </w:rPr>
        <w:drawing>
          <wp:inline distT="0" distB="0" distL="0" distR="0" wp14:anchorId="7FE7DB88" wp14:editId="65266073">
            <wp:extent cx="4320000" cy="1825200"/>
            <wp:effectExtent l="0" t="0" r="4445" b="381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20000" cy="1825200"/>
                    </a:xfrm>
                    <a:prstGeom prst="rect">
                      <a:avLst/>
                    </a:prstGeom>
                    <a:noFill/>
                    <a:ln>
                      <a:noFill/>
                    </a:ln>
                  </pic:spPr>
                </pic:pic>
              </a:graphicData>
            </a:graphic>
          </wp:inline>
        </w:drawing>
      </w:r>
    </w:p>
    <w:p w14:paraId="0FB857FC" w14:textId="5ED04431" w:rsidR="008D3A90" w:rsidRDefault="00731A5D" w:rsidP="00EF5D4D">
      <w:pPr>
        <w:pStyle w:val="Figure"/>
        <w:spacing w:before="100" w:beforeAutospacing="1" w:after="100" w:afterAutospacing="1"/>
      </w:pPr>
      <w:r w:rsidRPr="00731A5D">
        <w:rPr>
          <w:rtl/>
        </w:rPr>
        <w:drawing>
          <wp:inline distT="0" distB="0" distL="0" distR="0" wp14:anchorId="4E13FA26" wp14:editId="76D504CF">
            <wp:extent cx="4320000" cy="1825200"/>
            <wp:effectExtent l="0" t="0" r="4445" b="381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20000" cy="1825200"/>
                    </a:xfrm>
                    <a:prstGeom prst="rect">
                      <a:avLst/>
                    </a:prstGeom>
                    <a:noFill/>
                    <a:ln>
                      <a:noFill/>
                    </a:ln>
                  </pic:spPr>
                </pic:pic>
              </a:graphicData>
            </a:graphic>
          </wp:inline>
        </w:drawing>
      </w:r>
    </w:p>
    <w:p w14:paraId="63DD17E8" w14:textId="7D9F587B" w:rsidR="00BF0385" w:rsidRPr="00CA029D" w:rsidRDefault="00BF0385" w:rsidP="00CA029D">
      <w:pPr>
        <w:pStyle w:val="enumlev1"/>
        <w:rPr>
          <w:b/>
          <w:bCs/>
          <w:rtl/>
        </w:rPr>
      </w:pPr>
      <w:r w:rsidRPr="00CA029D">
        <w:rPr>
          <w:b/>
          <w:bCs/>
          <w:rtl/>
        </w:rPr>
        <w:t>–</w:t>
      </w:r>
      <w:r w:rsidRPr="00CA029D">
        <w:rPr>
          <w:b/>
          <w:bCs/>
          <w:rtl/>
        </w:rPr>
        <w:tab/>
        <w:t>تمويل التزامات التأمين الصحي بعد انتهاء الخدمة</w:t>
      </w:r>
    </w:p>
    <w:p w14:paraId="33EB190B" w14:textId="3ADA3436" w:rsidR="00BF0385" w:rsidRDefault="00BF0385" w:rsidP="00CA029D">
      <w:pPr>
        <w:pStyle w:val="enumlev1"/>
        <w:rPr>
          <w:rtl/>
        </w:rPr>
      </w:pPr>
      <w:r>
        <w:rPr>
          <w:rtl/>
        </w:rPr>
        <w:tab/>
        <w:t xml:space="preserve">يستند تقسيم التزامات التأمين الصحي بعد انتهاء مدة الخدمة إلى عدد موظفي </w:t>
      </w:r>
      <w:r w:rsidR="00E9068F" w:rsidRPr="00E9068F">
        <w:rPr>
          <w:rtl/>
        </w:rPr>
        <w:t>معالجة بطاقات التبليغ عن الشبكات الساتلية</w:t>
      </w:r>
      <w:r w:rsidR="00E9068F">
        <w:rPr>
          <w:rFonts w:hint="cs"/>
          <w:rtl/>
        </w:rPr>
        <w:t xml:space="preserve"> </w:t>
      </w:r>
      <w:r>
        <w:rPr>
          <w:rtl/>
        </w:rPr>
        <w:t>منسوباً إلى</w:t>
      </w:r>
      <w:r w:rsidR="008D3A90">
        <w:rPr>
          <w:rFonts w:hint="cs"/>
          <w:rtl/>
        </w:rPr>
        <w:t> </w:t>
      </w:r>
      <w:r>
        <w:rPr>
          <w:rtl/>
        </w:rPr>
        <w:t>مجموع موظفي الاتحاد.</w:t>
      </w:r>
    </w:p>
    <w:p w14:paraId="5D2C804E" w14:textId="77777777" w:rsidR="00BF0385" w:rsidRDefault="00BF0385" w:rsidP="00CA029D">
      <w:pPr>
        <w:pStyle w:val="Heading2"/>
        <w:rPr>
          <w:rtl/>
        </w:rPr>
      </w:pPr>
      <w:r>
        <w:rPr>
          <w:rtl/>
        </w:rPr>
        <w:t>4.2</w:t>
      </w:r>
      <w:r>
        <w:rPr>
          <w:rtl/>
        </w:rPr>
        <w:tab/>
        <w:t>التطبيق الأولي لمنهجية توزيع التكاليف المقترحة</w:t>
      </w:r>
    </w:p>
    <w:p w14:paraId="0F430ADA" w14:textId="5D0D6690" w:rsidR="00BF0385" w:rsidRPr="008D3A90" w:rsidRDefault="00BF0385" w:rsidP="00BF0385">
      <w:pPr>
        <w:rPr>
          <w:spacing w:val="-2"/>
          <w:rtl/>
        </w:rPr>
      </w:pPr>
      <w:r w:rsidRPr="008D3A90">
        <w:rPr>
          <w:spacing w:val="-2"/>
          <w:rtl/>
        </w:rPr>
        <w:t xml:space="preserve">يرد في الجدول أدناه ملخص لنتائج التحليلات الواردة في الأقسام أعلاه. جرى حساب إجمالي التكاليف الإجمالية لمعالجة بطاقات التبليغ عن الشبكات الساتلية بمبلغ </w:t>
      </w:r>
      <w:r w:rsidRPr="008D3A90">
        <w:rPr>
          <w:spacing w:val="-2"/>
        </w:rPr>
        <w:t>15</w:t>
      </w:r>
      <w:r w:rsidR="008D3A90" w:rsidRPr="008D3A90">
        <w:rPr>
          <w:spacing w:val="-2"/>
        </w:rPr>
        <w:t> </w:t>
      </w:r>
      <w:r w:rsidRPr="008D3A90">
        <w:rPr>
          <w:spacing w:val="-2"/>
        </w:rPr>
        <w:t>753</w:t>
      </w:r>
      <w:r w:rsidR="008D3A90" w:rsidRPr="008D3A90">
        <w:rPr>
          <w:spacing w:val="-2"/>
        </w:rPr>
        <w:t> </w:t>
      </w:r>
      <w:r w:rsidRPr="008D3A90">
        <w:rPr>
          <w:spacing w:val="-2"/>
        </w:rPr>
        <w:t>700</w:t>
      </w:r>
      <w:r w:rsidRPr="008D3A90">
        <w:rPr>
          <w:spacing w:val="-2"/>
          <w:rtl/>
        </w:rPr>
        <w:t xml:space="preserve"> فرنك سويسري، منها التكاليف المباشرة بمبلغ </w:t>
      </w:r>
      <w:r w:rsidRPr="008D3A90">
        <w:rPr>
          <w:spacing w:val="-2"/>
        </w:rPr>
        <w:t>12</w:t>
      </w:r>
      <w:r w:rsidR="008D3A90" w:rsidRPr="008D3A90">
        <w:rPr>
          <w:spacing w:val="-2"/>
        </w:rPr>
        <w:t> </w:t>
      </w:r>
      <w:r w:rsidRPr="008D3A90">
        <w:rPr>
          <w:spacing w:val="-2"/>
        </w:rPr>
        <w:t>735</w:t>
      </w:r>
      <w:r w:rsidR="008D3A90" w:rsidRPr="008D3A90">
        <w:rPr>
          <w:spacing w:val="-2"/>
        </w:rPr>
        <w:t> </w:t>
      </w:r>
      <w:r w:rsidRPr="008D3A90">
        <w:rPr>
          <w:spacing w:val="-2"/>
        </w:rPr>
        <w:t>900</w:t>
      </w:r>
      <w:r w:rsidRPr="008D3A90">
        <w:rPr>
          <w:spacing w:val="-2"/>
          <w:rtl/>
        </w:rPr>
        <w:t xml:space="preserve"> فرنك سويسري وإجمالي التكاليف غير المباشرة بمبلغ </w:t>
      </w:r>
      <w:r w:rsidRPr="008D3A90">
        <w:rPr>
          <w:spacing w:val="-2"/>
        </w:rPr>
        <w:t>3</w:t>
      </w:r>
      <w:r w:rsidR="008D3A90" w:rsidRPr="008D3A90">
        <w:rPr>
          <w:spacing w:val="-2"/>
        </w:rPr>
        <w:t> </w:t>
      </w:r>
      <w:r w:rsidRPr="008D3A90">
        <w:rPr>
          <w:spacing w:val="-2"/>
        </w:rPr>
        <w:t>017</w:t>
      </w:r>
      <w:r w:rsidR="008D3A90" w:rsidRPr="008D3A90">
        <w:rPr>
          <w:spacing w:val="-2"/>
        </w:rPr>
        <w:t> </w:t>
      </w:r>
      <w:r w:rsidRPr="008D3A90">
        <w:rPr>
          <w:spacing w:val="-2"/>
        </w:rPr>
        <w:t>800</w:t>
      </w:r>
      <w:r w:rsidRPr="008D3A90">
        <w:rPr>
          <w:spacing w:val="-2"/>
          <w:rtl/>
        </w:rPr>
        <w:t xml:space="preserve"> فرنك سويسري.</w:t>
      </w:r>
    </w:p>
    <w:p w14:paraId="143F4FDE" w14:textId="74CCE54E" w:rsidR="00930F36" w:rsidRDefault="00AE0645" w:rsidP="00EF5D4D">
      <w:pPr>
        <w:pStyle w:val="Figure"/>
        <w:spacing w:before="100" w:beforeAutospacing="1" w:after="100" w:afterAutospacing="1"/>
        <w:rPr>
          <w:rtl/>
        </w:rPr>
      </w:pPr>
      <w:r w:rsidRPr="00AE0645">
        <w:rPr>
          <w:rtl/>
        </w:rPr>
        <w:lastRenderedPageBreak/>
        <w:drawing>
          <wp:inline distT="0" distB="0" distL="0" distR="0" wp14:anchorId="12EA5BAB" wp14:editId="3D6C0A1E">
            <wp:extent cx="5400000" cy="34344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00000" cy="3434400"/>
                    </a:xfrm>
                    <a:prstGeom prst="rect">
                      <a:avLst/>
                    </a:prstGeom>
                    <a:noFill/>
                    <a:ln>
                      <a:noFill/>
                    </a:ln>
                  </pic:spPr>
                </pic:pic>
              </a:graphicData>
            </a:graphic>
          </wp:inline>
        </w:drawing>
      </w:r>
    </w:p>
    <w:p w14:paraId="29077C39" w14:textId="66249194" w:rsidR="00BF0385" w:rsidRDefault="00BF0385" w:rsidP="00BF0385">
      <w:pPr>
        <w:rPr>
          <w:rtl/>
        </w:rPr>
      </w:pPr>
      <w:r>
        <w:rPr>
          <w:rtl/>
        </w:rPr>
        <w:t>ومن الجدير بالذكر أنه استنادا</w:t>
      </w:r>
      <w:r w:rsidR="008D3A90">
        <w:rPr>
          <w:rFonts w:hint="cs"/>
          <w:rtl/>
        </w:rPr>
        <w:t>ً</w:t>
      </w:r>
      <w:r>
        <w:rPr>
          <w:rtl/>
        </w:rPr>
        <w:t xml:space="preserve"> إلى ما سبق، تبلغ التكاليف غير المباشرة </w:t>
      </w:r>
      <w:r>
        <w:t>23,7</w:t>
      </w:r>
      <w:r>
        <w:rPr>
          <w:rtl/>
        </w:rPr>
        <w:t xml:space="preserve"> في المائة من مجموع التكاليف، بما يتفق مع المعايير المرجعية للمنظمات المماثلة التي وضعتها الأمانة في الوثيقة </w:t>
      </w:r>
      <w:r>
        <w:t>CWG-FHR-22/2</w:t>
      </w:r>
      <w:r>
        <w:rPr>
          <w:rtl/>
        </w:rPr>
        <w:t>.</w:t>
      </w:r>
    </w:p>
    <w:p w14:paraId="1F35684E" w14:textId="77777777" w:rsidR="00BF0385" w:rsidRDefault="00BF0385" w:rsidP="008D3A90">
      <w:pPr>
        <w:pStyle w:val="Heading2"/>
        <w:rPr>
          <w:rtl/>
        </w:rPr>
      </w:pPr>
      <w:r>
        <w:rPr>
          <w:rtl/>
        </w:rPr>
        <w:t>5.2</w:t>
      </w:r>
      <w:r>
        <w:rPr>
          <w:rtl/>
        </w:rPr>
        <w:tab/>
        <w:t>التنبؤ بالطلب لتقدير أحجام الخدمات التي تفرض عليها الرسوم</w:t>
      </w:r>
    </w:p>
    <w:p w14:paraId="5EEF4AC1" w14:textId="5CD28C18" w:rsidR="00BF0385" w:rsidRDefault="00BF0385" w:rsidP="00BF0385">
      <w:pPr>
        <w:rPr>
          <w:rtl/>
        </w:rPr>
      </w:pPr>
      <w:r>
        <w:rPr>
          <w:rtl/>
        </w:rPr>
        <w:t>دعما</w:t>
      </w:r>
      <w:r w:rsidR="000F6A8E">
        <w:rPr>
          <w:rFonts w:hint="cs"/>
          <w:rtl/>
        </w:rPr>
        <w:t>ً</w:t>
      </w:r>
      <w:r>
        <w:rPr>
          <w:rtl/>
        </w:rPr>
        <w:t xml:space="preserve"> لتطبيق المقرر 482، ستعزز الأمانة التنبؤ بالطلب من خلال تحليل الاتجاهات التاريخية لمعالجة بطاقات التبليغ، والنمو المتوقع في بطاقات التبليغ عن </w:t>
      </w:r>
      <w:proofErr w:type="spellStart"/>
      <w:r>
        <w:rPr>
          <w:rtl/>
        </w:rPr>
        <w:t>الكوكبات</w:t>
      </w:r>
      <w:proofErr w:type="spellEnd"/>
      <w:r>
        <w:rPr>
          <w:rtl/>
        </w:rPr>
        <w:t>، وتوزيع النشاط بين الدول الأعضاء. وينبغي أن يأخذ التنبؤ في الاعتبار أيضا</w:t>
      </w:r>
      <w:r w:rsidR="000F6A8E">
        <w:rPr>
          <w:rFonts w:hint="cs"/>
          <w:rtl/>
        </w:rPr>
        <w:t>ً</w:t>
      </w:r>
      <w:r>
        <w:rPr>
          <w:rtl/>
        </w:rPr>
        <w:t xml:space="preserve"> العوامل </w:t>
      </w:r>
      <w:r w:rsidR="000F6A8E">
        <w:rPr>
          <w:rFonts w:hint="cs"/>
          <w:rtl/>
        </w:rPr>
        <w:t>المؤدية</w:t>
      </w:r>
      <w:r>
        <w:rPr>
          <w:rtl/>
        </w:rPr>
        <w:t xml:space="preserve"> إلى التعقد التي تؤثر على الجهد المبذول في المعالجة والقدرة التشغيلية المتوقعة لمكتب الاتصالات الراديوية. وسيضمن ذلك أن تستند حسابات الرسوم إلى تقدير واقعي لحجم وطبيعة عمليات المعالجة التي ينطبق عليها استرداد التكاليف.</w:t>
      </w:r>
    </w:p>
    <w:p w14:paraId="1D13C6D3" w14:textId="77777777" w:rsidR="00BF0385" w:rsidRDefault="00BF0385" w:rsidP="008D3A90">
      <w:pPr>
        <w:pStyle w:val="Heading2"/>
        <w:rPr>
          <w:rtl/>
        </w:rPr>
      </w:pPr>
      <w:r>
        <w:rPr>
          <w:rtl/>
        </w:rPr>
        <w:t>6.2</w:t>
      </w:r>
      <w:r>
        <w:rPr>
          <w:rtl/>
        </w:rPr>
        <w:tab/>
        <w:t>تحديد الرسوم</w:t>
      </w:r>
    </w:p>
    <w:p w14:paraId="1ABF5808" w14:textId="628F83C9" w:rsidR="00BF0385" w:rsidRDefault="00BF0385" w:rsidP="00BF0385">
      <w:pPr>
        <w:rPr>
          <w:rtl/>
        </w:rPr>
      </w:pPr>
      <w:r>
        <w:rPr>
          <w:rtl/>
        </w:rPr>
        <w:t>تماشيا</w:t>
      </w:r>
      <w:r w:rsidR="000F6A8E">
        <w:rPr>
          <w:rFonts w:hint="cs"/>
          <w:rtl/>
        </w:rPr>
        <w:t>ً</w:t>
      </w:r>
      <w:r>
        <w:rPr>
          <w:rtl/>
        </w:rPr>
        <w:t xml:space="preserve"> مع المقرر 482 ومبادئ استرداد التكاليف الواردة في القرار 91، ستحدد الرسوم بتطبيق الاسترداد الكامل للتكاليف على الطلب المتوقع. وتوزع نماذج التكاليف مثل تقدير التكاليف حسب الأنشطة والتكاليف الإجمالية المباشرة وغير المباشرة والرأسمالية على فئات بطاقات التبليغ وفقا</w:t>
      </w:r>
      <w:r w:rsidR="000F6A8E">
        <w:rPr>
          <w:rFonts w:hint="cs"/>
          <w:rtl/>
        </w:rPr>
        <w:t>ً</w:t>
      </w:r>
      <w:r>
        <w:rPr>
          <w:rtl/>
        </w:rPr>
        <w:t xml:space="preserve"> للاحتياجات المتوقعة من الموارد. وسيتضمن جدول الرسوم تكلفة معالجة الاستحقاقات المجانية وسيعرض بشفافية للسماح للأعضاء بمعرفة كيفية ترجمة التكاليف والطلب إلى</w:t>
      </w:r>
      <w:r w:rsidR="000F6A8E">
        <w:rPr>
          <w:rFonts w:hint="cs"/>
          <w:rtl/>
        </w:rPr>
        <w:t> </w:t>
      </w:r>
      <w:r>
        <w:rPr>
          <w:rtl/>
        </w:rPr>
        <w:t>مستويات الرسوم المقترحة.</w:t>
      </w:r>
    </w:p>
    <w:p w14:paraId="39A0FA68" w14:textId="4727019B" w:rsidR="00BF0385" w:rsidRDefault="00BF0385" w:rsidP="000F6A8E">
      <w:pPr>
        <w:pStyle w:val="Heading2"/>
        <w:rPr>
          <w:rtl/>
        </w:rPr>
      </w:pPr>
      <w:r>
        <w:rPr>
          <w:rtl/>
        </w:rPr>
        <w:lastRenderedPageBreak/>
        <w:t>7.2</w:t>
      </w:r>
      <w:r>
        <w:rPr>
          <w:rtl/>
        </w:rPr>
        <w:tab/>
        <w:t>الاستعراض والتقييم</w:t>
      </w:r>
      <w:r>
        <w:rPr>
          <w:cs/>
        </w:rPr>
        <w:t>‎</w:t>
      </w:r>
      <w:r>
        <w:rPr>
          <w:rtl/>
        </w:rPr>
        <w:t xml:space="preserve"> الدوريان</w:t>
      </w:r>
    </w:p>
    <w:p w14:paraId="6FB336E7" w14:textId="77777777" w:rsidR="00BF0385" w:rsidRDefault="00BF0385" w:rsidP="000F6A8E">
      <w:pPr>
        <w:pStyle w:val="Headingb"/>
        <w:rPr>
          <w:rtl/>
        </w:rPr>
      </w:pPr>
      <w:r>
        <w:rPr>
          <w:rtl/>
        </w:rPr>
        <w:t>التغيرات في تكاليف الاتحاد</w:t>
      </w:r>
    </w:p>
    <w:p w14:paraId="494E34ED" w14:textId="364C22CB" w:rsidR="00BF0385" w:rsidRDefault="00BF0385" w:rsidP="005E7671">
      <w:pPr>
        <w:keepLines/>
        <w:rPr>
          <w:rtl/>
        </w:rPr>
      </w:pPr>
      <w:r>
        <w:rPr>
          <w:rtl/>
        </w:rPr>
        <w:t>تقترح الأمانة استعراض المنهجية والرسوم كل سنتين على الأقل، مع إجراء استعراض لمدة أربع سنوات تماشيا</w:t>
      </w:r>
      <w:r w:rsidR="000F6A8E">
        <w:rPr>
          <w:rFonts w:hint="cs"/>
          <w:rtl/>
        </w:rPr>
        <w:t>ً</w:t>
      </w:r>
      <w:r>
        <w:rPr>
          <w:rtl/>
        </w:rPr>
        <w:t xml:space="preserve"> مع مقررات المؤتمر العالمي للاتصالات الراديوية (</w:t>
      </w:r>
      <w:r>
        <w:t>WRC</w:t>
      </w:r>
      <w:r>
        <w:rPr>
          <w:rtl/>
        </w:rPr>
        <w:t xml:space="preserve">)، لمراعاة التغييرات في تكاليف الاتحاد، مثل زيادة نفقات الموظفين أو تحديث التكنولوجيا أو تطور الطلبات التنظيمية التي قد تؤثر بشكل مباشر على التكاليف الأساسية المرتبطة </w:t>
      </w:r>
      <w:r w:rsidR="00F4600A">
        <w:rPr>
          <w:rFonts w:hint="cs"/>
          <w:rtl/>
        </w:rPr>
        <w:t>ب</w:t>
      </w:r>
      <w:r w:rsidR="00F4600A" w:rsidRPr="00F4600A">
        <w:rPr>
          <w:rtl/>
        </w:rPr>
        <w:t>معالجة بطاقات التبليغ عن الشبكات الساتلية</w:t>
      </w:r>
      <w:r>
        <w:rPr>
          <w:rtl/>
        </w:rPr>
        <w:t>. ونظرا</w:t>
      </w:r>
      <w:r w:rsidR="000F6A8E">
        <w:rPr>
          <w:rFonts w:hint="cs"/>
          <w:rtl/>
        </w:rPr>
        <w:t>ً</w:t>
      </w:r>
      <w:r>
        <w:rPr>
          <w:rtl/>
        </w:rPr>
        <w:t xml:space="preserve"> لتذبذب هذه التكاليف، فلا غنى عن وجود منهجية رسوم متينة وشفافة يمكن أن تتكيف مع ذلك، وهو ما يضمن بقاء الرسوم مبررة لأصحاب المصلحة. ومن شأن إنشاء عملية واضحة لاستعراض المنهجية وتحديثها بانتظام أن يمكن الأمانة من الحفاظ على الاتساق والإنصاف والمساءلة في تحديد الرسوم. ويدعم هذا النهج المواءمة مع المعايير التنظيمية المعترف بها ويعزز صلاحية مبادئ استرداد التكاليف التي يقوم عليها هيكل رسوم </w:t>
      </w:r>
      <w:r w:rsidR="00F4600A" w:rsidRPr="00F4600A">
        <w:rPr>
          <w:rtl/>
        </w:rPr>
        <w:t>معالجة بطاقات التبليغ عن الشبكات الساتلية</w:t>
      </w:r>
      <w:r>
        <w:rPr>
          <w:rtl/>
        </w:rPr>
        <w:t>.</w:t>
      </w:r>
    </w:p>
    <w:p w14:paraId="58514F6C" w14:textId="77777777" w:rsidR="00BF0385" w:rsidRDefault="00BF0385" w:rsidP="000F6A8E">
      <w:pPr>
        <w:pStyle w:val="Headingb"/>
        <w:rPr>
          <w:rtl/>
        </w:rPr>
      </w:pPr>
      <w:r>
        <w:rPr>
          <w:rtl/>
        </w:rPr>
        <w:t>تقلبات الإيرادات</w:t>
      </w:r>
    </w:p>
    <w:p w14:paraId="4260CE95" w14:textId="367A037D" w:rsidR="00BF0385" w:rsidRPr="000F6A8E" w:rsidRDefault="00BF0385" w:rsidP="00BF0385">
      <w:pPr>
        <w:rPr>
          <w:spacing w:val="-2"/>
          <w:rtl/>
        </w:rPr>
      </w:pPr>
      <w:r w:rsidRPr="000F6A8E">
        <w:rPr>
          <w:spacing w:val="-2"/>
          <w:rtl/>
        </w:rPr>
        <w:t xml:space="preserve">هناك تحد رئيسي آخر </w:t>
      </w:r>
      <w:proofErr w:type="spellStart"/>
      <w:r w:rsidRPr="000F6A8E">
        <w:rPr>
          <w:spacing w:val="-2"/>
          <w:rtl/>
        </w:rPr>
        <w:t>يواجهه</w:t>
      </w:r>
      <w:proofErr w:type="spellEnd"/>
      <w:r w:rsidRPr="000F6A8E">
        <w:rPr>
          <w:spacing w:val="-2"/>
          <w:rtl/>
        </w:rPr>
        <w:t xml:space="preserve"> الاتحاد في السنوات الأخيرة يتمثل في تقلب أحجام </w:t>
      </w:r>
      <w:r w:rsidR="00F4600A" w:rsidRPr="00F4600A">
        <w:rPr>
          <w:spacing w:val="-2"/>
          <w:rtl/>
        </w:rPr>
        <w:t>معالجة بطاقات التبليغ عن الشبكات الساتلية</w:t>
      </w:r>
      <w:r w:rsidR="00F4600A">
        <w:rPr>
          <w:rFonts w:hint="cs"/>
          <w:spacing w:val="-2"/>
          <w:rtl/>
        </w:rPr>
        <w:t xml:space="preserve"> </w:t>
      </w:r>
      <w:r w:rsidRPr="000F6A8E">
        <w:rPr>
          <w:spacing w:val="-2"/>
          <w:rtl/>
        </w:rPr>
        <w:t xml:space="preserve">التبليغ من عام إلى آخر، مما يؤدي إلى مستويات إيرادات غير متوقعة تهدد الاستقرار المالي للاتحاد. وفي اجتماع الفريق </w:t>
      </w:r>
      <w:r w:rsidRPr="000F6A8E">
        <w:rPr>
          <w:spacing w:val="-2"/>
        </w:rPr>
        <w:t>CWG-FHR</w:t>
      </w:r>
      <w:r w:rsidRPr="000F6A8E">
        <w:rPr>
          <w:spacing w:val="-2"/>
          <w:rtl/>
        </w:rPr>
        <w:t xml:space="preserve"> في يناير 2026، قدمت الأمانة مقترحا</w:t>
      </w:r>
      <w:r w:rsidR="00C905AF">
        <w:rPr>
          <w:rFonts w:hint="cs"/>
          <w:spacing w:val="-2"/>
          <w:rtl/>
        </w:rPr>
        <w:t>ً</w:t>
      </w:r>
      <w:r w:rsidRPr="000F6A8E">
        <w:rPr>
          <w:spacing w:val="-2"/>
          <w:rtl/>
        </w:rPr>
        <w:t xml:space="preserve"> لآلية تسوية بالزيادة/بالنقصان لمعالجة تقلبات الإيرادات. وتعمل الآلية من خلال إجراء استعراض تجري فيه مقارنة</w:t>
      </w:r>
      <w:r w:rsidR="005E7671">
        <w:rPr>
          <w:rFonts w:hint="cs"/>
          <w:spacing w:val="-2"/>
          <w:rtl/>
        </w:rPr>
        <w:t>ً</w:t>
      </w:r>
      <w:r w:rsidRPr="000F6A8E">
        <w:rPr>
          <w:spacing w:val="-2"/>
          <w:rtl/>
        </w:rPr>
        <w:t xml:space="preserve"> مجموع التكاليف الفعلية المتكبدة في </w:t>
      </w:r>
      <w:r w:rsidR="00F4600A" w:rsidRPr="00F4600A">
        <w:rPr>
          <w:spacing w:val="-2"/>
          <w:rtl/>
        </w:rPr>
        <w:t>معالجة بطاقات التبليغ عن الشبكات الساتلية</w:t>
      </w:r>
      <w:r w:rsidR="00F4600A">
        <w:rPr>
          <w:rFonts w:hint="cs"/>
          <w:spacing w:val="-2"/>
          <w:rtl/>
        </w:rPr>
        <w:t xml:space="preserve"> </w:t>
      </w:r>
      <w:r w:rsidRPr="000F6A8E">
        <w:rPr>
          <w:spacing w:val="-2"/>
          <w:rtl/>
        </w:rPr>
        <w:t xml:space="preserve">بإجمالي إيرادات رسوم </w:t>
      </w:r>
      <w:r w:rsidR="00F4600A" w:rsidRPr="00AE66FC">
        <w:rPr>
          <w:rtl/>
        </w:rPr>
        <w:t>معالجة بطاقات التبليغ عن الشبكات الساتلية</w:t>
      </w:r>
      <w:r w:rsidR="00F4600A">
        <w:rPr>
          <w:rFonts w:hint="cs"/>
          <w:rtl/>
        </w:rPr>
        <w:t xml:space="preserve"> </w:t>
      </w:r>
      <w:r w:rsidRPr="000F6A8E">
        <w:rPr>
          <w:spacing w:val="-2"/>
          <w:rtl/>
        </w:rPr>
        <w:t>المحصلة عن تلك الفترة. وإذا</w:t>
      </w:r>
      <w:r w:rsidR="008560F4">
        <w:rPr>
          <w:rFonts w:hint="cs"/>
          <w:spacing w:val="-2"/>
          <w:rtl/>
        </w:rPr>
        <w:t> </w:t>
      </w:r>
      <w:r w:rsidRPr="000F6A8E">
        <w:rPr>
          <w:spacing w:val="-2"/>
          <w:rtl/>
        </w:rPr>
        <w:t>ما</w:t>
      </w:r>
      <w:r w:rsidR="008560F4">
        <w:rPr>
          <w:rFonts w:hint="cs"/>
          <w:spacing w:val="-2"/>
          <w:rtl/>
        </w:rPr>
        <w:t> </w:t>
      </w:r>
      <w:r w:rsidRPr="000F6A8E">
        <w:rPr>
          <w:spacing w:val="-2"/>
          <w:rtl/>
        </w:rPr>
        <w:t>انتُهي إلى وجود فائض أو عجز - أي أن إيرادات الرسوم تتجاوز النفقات التنظيمية الفعلية أو تقل عنها - سيجرى تحليل لتفسير الاختلاف. ونظرا</w:t>
      </w:r>
      <w:r w:rsidR="00C905AF">
        <w:rPr>
          <w:rFonts w:hint="cs"/>
          <w:spacing w:val="-2"/>
          <w:rtl/>
        </w:rPr>
        <w:t>ً</w:t>
      </w:r>
      <w:r w:rsidRPr="000F6A8E">
        <w:rPr>
          <w:spacing w:val="-2"/>
          <w:rtl/>
        </w:rPr>
        <w:t xml:space="preserve"> لتعقد نموذج التسوية بالزيادة/بالنقصان، لا ينظر إلى هذا المقترح كوسيلة للمضي قدما</w:t>
      </w:r>
      <w:r w:rsidR="00C905AF">
        <w:rPr>
          <w:rFonts w:hint="cs"/>
          <w:spacing w:val="-2"/>
          <w:rtl/>
        </w:rPr>
        <w:t>ً</w:t>
      </w:r>
      <w:r w:rsidRPr="000F6A8E">
        <w:rPr>
          <w:spacing w:val="-2"/>
          <w:rtl/>
        </w:rPr>
        <w:t xml:space="preserve"> </w:t>
      </w:r>
      <w:r w:rsidR="008560F4" w:rsidRPr="000F6A8E">
        <w:rPr>
          <w:spacing w:val="-2"/>
          <w:rtl/>
        </w:rPr>
        <w:t>في</w:t>
      </w:r>
      <w:r w:rsidR="008560F4">
        <w:rPr>
          <w:rFonts w:hint="cs"/>
          <w:spacing w:val="-2"/>
          <w:rtl/>
        </w:rPr>
        <w:t> </w:t>
      </w:r>
      <w:r w:rsidRPr="000F6A8E">
        <w:rPr>
          <w:spacing w:val="-2"/>
          <w:rtl/>
        </w:rPr>
        <w:t>إدارة العجز أو الفوائض. وينبغي أن تكفي المنهجية واستعراض الرسوم المذكورة أعلاه كل سنتين لمواءمة الإيرادات والميزانية والتكاليف ذات الصلة في المستقبل.</w:t>
      </w:r>
    </w:p>
    <w:p w14:paraId="16E1F6A2" w14:textId="77777777" w:rsidR="00BF0385" w:rsidRDefault="00BF0385" w:rsidP="00C905AF">
      <w:pPr>
        <w:pStyle w:val="Heading1"/>
        <w:rPr>
          <w:rtl/>
        </w:rPr>
      </w:pPr>
      <w:r>
        <w:rPr>
          <w:rtl/>
        </w:rPr>
        <w:t>3</w:t>
      </w:r>
      <w:r>
        <w:rPr>
          <w:rtl/>
        </w:rPr>
        <w:tab/>
        <w:t>الجداول الزمنية للتنفيذ</w:t>
      </w:r>
    </w:p>
    <w:p w14:paraId="75BF69C8" w14:textId="0C75A71A" w:rsidR="00BF0385" w:rsidRDefault="00BF0385" w:rsidP="00BF0385">
      <w:pPr>
        <w:rPr>
          <w:rtl/>
        </w:rPr>
      </w:pPr>
      <w:r>
        <w:rPr>
          <w:rtl/>
        </w:rPr>
        <w:t>من المقرر أن تدخل المنهجية المقترحة حيز النفاذ اعتبارا</w:t>
      </w:r>
      <w:r w:rsidR="00C905AF">
        <w:rPr>
          <w:rFonts w:hint="cs"/>
          <w:rtl/>
        </w:rPr>
        <w:t>ً</w:t>
      </w:r>
      <w:r>
        <w:rPr>
          <w:rtl/>
        </w:rPr>
        <w:t xml:space="preserve"> من عام 2028، بعد انتهاء الزيادة المؤقتة في الرسوم التي وافق عليها المجلس في دورته لعام 2025. وبناء</w:t>
      </w:r>
      <w:r w:rsidR="00C905AF">
        <w:rPr>
          <w:rFonts w:hint="cs"/>
          <w:rtl/>
        </w:rPr>
        <w:t>ً</w:t>
      </w:r>
      <w:r>
        <w:rPr>
          <w:rtl/>
        </w:rPr>
        <w:t xml:space="preserve"> على ذلك، يتعين أن يوافق المجلس في دورته لعام 2027 على استعراض المنهجية المراجَعة والرسوم النهائية الجديدة </w:t>
      </w:r>
      <w:r w:rsidR="009C051B">
        <w:rPr>
          <w:rFonts w:hint="cs"/>
          <w:rtl/>
        </w:rPr>
        <w:t>ل</w:t>
      </w:r>
      <w:r w:rsidR="009C051B" w:rsidRPr="009C051B">
        <w:rPr>
          <w:rtl/>
        </w:rPr>
        <w:t>معالجة بطاقات التبليغ عن الشبكات الساتلية</w:t>
      </w:r>
      <w:r w:rsidR="009C051B">
        <w:rPr>
          <w:rFonts w:hint="cs"/>
          <w:rtl/>
        </w:rPr>
        <w:t xml:space="preserve"> </w:t>
      </w:r>
      <w:r>
        <w:rPr>
          <w:rtl/>
        </w:rPr>
        <w:t>والموافقة النهائية عليها.</w:t>
      </w:r>
    </w:p>
    <w:p w14:paraId="4B4A220E" w14:textId="6AB4A5CD" w:rsidR="00BF0385" w:rsidRDefault="00BF0385" w:rsidP="005E7671">
      <w:pPr>
        <w:spacing w:before="3480"/>
        <w:rPr>
          <w:rtl/>
        </w:rPr>
      </w:pPr>
      <w:r w:rsidRPr="00C905AF">
        <w:rPr>
          <w:b/>
          <w:bCs/>
          <w:rtl/>
        </w:rPr>
        <w:t>الملحق:</w:t>
      </w:r>
      <w:r>
        <w:rPr>
          <w:rtl/>
        </w:rPr>
        <w:t xml:space="preserve"> 1</w:t>
      </w:r>
    </w:p>
    <w:p w14:paraId="36D1BFE8" w14:textId="01E494BA" w:rsidR="00BF0385" w:rsidRDefault="00BF0385" w:rsidP="00BF0385">
      <w:pPr>
        <w:rPr>
          <w:rtl/>
        </w:rPr>
        <w:sectPr w:rsidR="00BF0385" w:rsidSect="006F363C">
          <w:footerReference w:type="default" r:id="rId22"/>
          <w:headerReference w:type="first" r:id="rId23"/>
          <w:footerReference w:type="first" r:id="rId24"/>
          <w:type w:val="oddPage"/>
          <w:pgSz w:w="11907" w:h="16840" w:code="9"/>
          <w:pgMar w:top="1418" w:right="1418" w:bottom="1418" w:left="1418" w:header="709" w:footer="709" w:gutter="0"/>
          <w:cols w:space="708"/>
          <w:titlePg/>
          <w:docGrid w:linePitch="360"/>
        </w:sectPr>
      </w:pPr>
    </w:p>
    <w:p w14:paraId="5D9F745B" w14:textId="0613B65A" w:rsidR="00BF0385" w:rsidRDefault="00BF0385" w:rsidP="00BF0385">
      <w:pPr>
        <w:pStyle w:val="AnnexNo"/>
        <w:rPr>
          <w:rtl/>
        </w:rPr>
      </w:pPr>
      <w:r>
        <w:rPr>
          <w:rtl/>
        </w:rPr>
        <w:lastRenderedPageBreak/>
        <w:t>الملحق</w:t>
      </w:r>
      <w:r w:rsidR="00C905AF">
        <w:rPr>
          <w:rFonts w:hint="cs"/>
          <w:rtl/>
        </w:rPr>
        <w:t xml:space="preserve"> </w:t>
      </w:r>
      <w:r>
        <w:rPr>
          <w:rtl/>
        </w:rPr>
        <w:t>1</w:t>
      </w:r>
    </w:p>
    <w:p w14:paraId="5E67F6B4" w14:textId="493FA64B" w:rsidR="00F50E3F" w:rsidRDefault="00BF0385" w:rsidP="00C905AF">
      <w:pPr>
        <w:pStyle w:val="Annextitle"/>
        <w:rPr>
          <w:rtl/>
        </w:rPr>
      </w:pPr>
      <w:r>
        <w:rPr>
          <w:rtl/>
        </w:rPr>
        <w:t>ردود الأمانة على التعليقات المقدمة في جلسة فريق العمل التابع للمجلس والمعني بالموارد المالية والبشرية في ديسمبر 2025</w:t>
      </w:r>
    </w:p>
    <w:tbl>
      <w:tblPr>
        <w:tblStyle w:val="TableGrid"/>
        <w:bidiVisual/>
        <w:tblW w:w="5000" w:type="pct"/>
        <w:tblLayout w:type="fixed"/>
        <w:tblCellMar>
          <w:left w:w="57" w:type="dxa"/>
          <w:right w:w="57" w:type="dxa"/>
        </w:tblCellMar>
        <w:tblLook w:val="04A0" w:firstRow="1" w:lastRow="0" w:firstColumn="1" w:lastColumn="0" w:noHBand="0" w:noVBand="1"/>
      </w:tblPr>
      <w:tblGrid>
        <w:gridCol w:w="2096"/>
        <w:gridCol w:w="3966"/>
        <w:gridCol w:w="3966"/>
        <w:gridCol w:w="3966"/>
      </w:tblGrid>
      <w:tr w:rsidR="00BF0385" w:rsidRPr="00BF0385" w14:paraId="492E1FF3" w14:textId="77777777" w:rsidTr="00BF0385">
        <w:trPr>
          <w:tblHeader/>
        </w:trPr>
        <w:tc>
          <w:tcPr>
            <w:tcW w:w="2122" w:type="dxa"/>
          </w:tcPr>
          <w:p w14:paraId="2803A20D" w14:textId="77777777" w:rsidR="00BF0385" w:rsidRPr="008D27D9" w:rsidRDefault="00BF0385" w:rsidP="00C905AF">
            <w:pPr>
              <w:pStyle w:val="Tablehead"/>
              <w:rPr>
                <w:position w:val="2"/>
                <w:lang w:val="ar-SA" w:bidi="ar-EG"/>
              </w:rPr>
            </w:pPr>
            <w:r w:rsidRPr="008D27D9">
              <w:rPr>
                <w:position w:val="2"/>
                <w:rtl/>
              </w:rPr>
              <w:t>الفئة</w:t>
            </w:r>
          </w:p>
        </w:tc>
        <w:tc>
          <w:tcPr>
            <w:tcW w:w="4016" w:type="dxa"/>
          </w:tcPr>
          <w:p w14:paraId="2E6C8465" w14:textId="77777777" w:rsidR="00BF0385" w:rsidRPr="008D27D9" w:rsidRDefault="00BF0385" w:rsidP="00C905AF">
            <w:pPr>
              <w:pStyle w:val="Tablehead"/>
              <w:rPr>
                <w:position w:val="2"/>
                <w:lang w:val="ar-SA" w:bidi="ar-EG"/>
              </w:rPr>
            </w:pPr>
            <w:r w:rsidRPr="008D27D9">
              <w:rPr>
                <w:position w:val="2"/>
                <w:rtl/>
              </w:rPr>
              <w:t>داعي القلق</w:t>
            </w:r>
          </w:p>
        </w:tc>
        <w:tc>
          <w:tcPr>
            <w:tcW w:w="4016" w:type="dxa"/>
          </w:tcPr>
          <w:p w14:paraId="141FEEF6" w14:textId="77777777" w:rsidR="00BF0385" w:rsidRPr="008D27D9" w:rsidRDefault="00BF0385" w:rsidP="00C905AF">
            <w:pPr>
              <w:pStyle w:val="Tablehead"/>
              <w:rPr>
                <w:position w:val="2"/>
                <w:lang w:val="ar-SA" w:bidi="ar-EG"/>
              </w:rPr>
            </w:pPr>
            <w:r w:rsidRPr="008D27D9">
              <w:rPr>
                <w:position w:val="2"/>
                <w:rtl/>
              </w:rPr>
              <w:t>رد الأمانة</w:t>
            </w:r>
          </w:p>
        </w:tc>
        <w:tc>
          <w:tcPr>
            <w:tcW w:w="4016" w:type="dxa"/>
          </w:tcPr>
          <w:p w14:paraId="281F05CC" w14:textId="77777777" w:rsidR="00BF0385" w:rsidRPr="008D27D9" w:rsidRDefault="00BF0385" w:rsidP="00C905AF">
            <w:pPr>
              <w:pStyle w:val="Tablehead"/>
              <w:rPr>
                <w:position w:val="2"/>
                <w:lang w:val="ar-SA" w:bidi="ar-EG"/>
              </w:rPr>
            </w:pPr>
            <w:r w:rsidRPr="008D27D9">
              <w:rPr>
                <w:position w:val="2"/>
                <w:rtl/>
              </w:rPr>
              <w:t>المقترح</w:t>
            </w:r>
          </w:p>
        </w:tc>
      </w:tr>
      <w:tr w:rsidR="00BF0385" w:rsidRPr="00BF0385" w14:paraId="0EA4114E" w14:textId="77777777" w:rsidTr="00BF0385">
        <w:tc>
          <w:tcPr>
            <w:tcW w:w="2122" w:type="dxa"/>
            <w:vMerge w:val="restart"/>
            <w:vAlign w:val="center"/>
          </w:tcPr>
          <w:p w14:paraId="098C9A00" w14:textId="77777777" w:rsidR="00BF0385" w:rsidRPr="008D27D9" w:rsidRDefault="00BF0385" w:rsidP="00C905AF">
            <w:pPr>
              <w:pStyle w:val="Tabletexte"/>
              <w:rPr>
                <w:position w:val="2"/>
                <w:lang w:val="ar-SA" w:bidi="ar-EG"/>
              </w:rPr>
            </w:pPr>
            <w:r w:rsidRPr="008D27D9">
              <w:rPr>
                <w:position w:val="2"/>
                <w:rtl/>
              </w:rPr>
              <w:t>تعريفات التكلفة ومنهجيتها</w:t>
            </w:r>
          </w:p>
        </w:tc>
        <w:tc>
          <w:tcPr>
            <w:tcW w:w="4016" w:type="dxa"/>
          </w:tcPr>
          <w:p w14:paraId="71FCBAFA" w14:textId="77777777" w:rsidR="00BF0385" w:rsidRPr="00443B54" w:rsidRDefault="00BF0385" w:rsidP="00C905AF">
            <w:pPr>
              <w:pStyle w:val="Tabletexte"/>
              <w:rPr>
                <w:spacing w:val="-2"/>
                <w:position w:val="2"/>
                <w:lang w:val="ar-SA" w:bidi="ar-EG"/>
              </w:rPr>
            </w:pPr>
            <w:r w:rsidRPr="00443B54">
              <w:rPr>
                <w:spacing w:val="-2"/>
                <w:position w:val="2"/>
                <w:rtl/>
              </w:rPr>
              <w:t>الافتقار إلى تعريفات ومنهجية واضحة لاسترداد التكاليف.</w:t>
            </w:r>
          </w:p>
          <w:p w14:paraId="079E05E1" w14:textId="0F08C4FD" w:rsidR="00BF0385" w:rsidRPr="008D27D9" w:rsidRDefault="00BF0385" w:rsidP="00C905AF">
            <w:pPr>
              <w:pStyle w:val="Tabletexte"/>
              <w:rPr>
                <w:position w:val="2"/>
                <w:lang w:val="ar-SA" w:bidi="ar-EG"/>
              </w:rPr>
            </w:pPr>
            <w:r w:rsidRPr="008D27D9">
              <w:rPr>
                <w:position w:val="2"/>
                <w:rtl/>
              </w:rPr>
              <w:t>من دواعي القلق الرئيسية المتكررة عدم وجود صيغ واضحة ومدققة وشفافة لتحديد نموذج استرداد تكاليف معالجة بطاقات التبليغ عن الشبكات الساتلية.</w:t>
            </w:r>
          </w:p>
          <w:p w14:paraId="5454425B" w14:textId="5EE02844" w:rsidR="00BF0385" w:rsidRPr="008D27D9" w:rsidRDefault="00BF0385" w:rsidP="00C905AF">
            <w:pPr>
              <w:pStyle w:val="Tabletexte"/>
              <w:rPr>
                <w:position w:val="2"/>
                <w:lang w:val="ar-SA" w:bidi="ar-EG"/>
              </w:rPr>
            </w:pPr>
            <w:r w:rsidRPr="008D27D9">
              <w:rPr>
                <w:position w:val="2"/>
                <w:rtl/>
              </w:rPr>
              <w:t>وأشار المندوبون إلى أن اتخاذ أي قرار يستلزم بيان مكونات التكلفة بالتفصيل، بما في ذلك كيفية تحديد التكاليف وتوزيعها سنويا</w:t>
            </w:r>
            <w:r w:rsidR="00443B54">
              <w:rPr>
                <w:rFonts w:hint="cs"/>
                <w:position w:val="2"/>
                <w:rtl/>
              </w:rPr>
              <w:t>ً</w:t>
            </w:r>
            <w:r w:rsidRPr="008D27D9">
              <w:rPr>
                <w:position w:val="2"/>
                <w:rtl/>
              </w:rPr>
              <w:t>.</w:t>
            </w:r>
          </w:p>
        </w:tc>
        <w:tc>
          <w:tcPr>
            <w:tcW w:w="4016" w:type="dxa"/>
          </w:tcPr>
          <w:p w14:paraId="3F82910C" w14:textId="59348695" w:rsidR="00BF0385" w:rsidRPr="00443B54" w:rsidRDefault="00BF0385" w:rsidP="00C905AF">
            <w:pPr>
              <w:pStyle w:val="Tabletexte"/>
              <w:rPr>
                <w:position w:val="2"/>
                <w:lang w:val="ar-SA" w:bidi="ar-EG"/>
              </w:rPr>
            </w:pPr>
            <w:r w:rsidRPr="00443B54">
              <w:rPr>
                <w:position w:val="2"/>
                <w:rtl/>
              </w:rPr>
              <w:t>بعد تلقي تعقيبات من الأعضاء، مع ذِكر أن نموذج التكاليف المسمى حساب التكاليف حسب النشاط</w:t>
            </w:r>
            <w:r w:rsidR="00443B54" w:rsidRPr="00443B54">
              <w:rPr>
                <w:rFonts w:hint="cs"/>
                <w:position w:val="2"/>
                <w:rtl/>
              </w:rPr>
              <w:t> </w:t>
            </w:r>
            <w:r w:rsidRPr="00443B54">
              <w:rPr>
                <w:position w:val="2"/>
                <w:lang w:bidi="ar-EG"/>
              </w:rPr>
              <w:t>(ABC)</w:t>
            </w:r>
            <w:r w:rsidRPr="00443B54">
              <w:rPr>
                <w:position w:val="2"/>
                <w:rtl/>
              </w:rPr>
              <w:t xml:space="preserve"> مقبول على نطاق واسع، طبقت الأمانة المبادئ المعروضة في الوثيقة </w:t>
            </w:r>
            <w:r w:rsidRPr="00443B54">
              <w:rPr>
                <w:position w:val="2"/>
              </w:rPr>
              <w:t>CWG-FHR-22/2</w:t>
            </w:r>
            <w:r w:rsidRPr="00443B54">
              <w:rPr>
                <w:position w:val="2"/>
                <w:rtl/>
              </w:rPr>
              <w:t>، وقدمت تقريرا</w:t>
            </w:r>
            <w:r w:rsidR="00443B54">
              <w:rPr>
                <w:rFonts w:hint="cs"/>
                <w:position w:val="2"/>
                <w:rtl/>
              </w:rPr>
              <w:t>ً</w:t>
            </w:r>
            <w:r w:rsidRPr="00443B54">
              <w:rPr>
                <w:position w:val="2"/>
                <w:rtl/>
              </w:rPr>
              <w:t xml:space="preserve"> تفصيليا</w:t>
            </w:r>
            <w:r w:rsidR="00443B54">
              <w:rPr>
                <w:rFonts w:hint="cs"/>
                <w:position w:val="2"/>
                <w:rtl/>
              </w:rPr>
              <w:t>ً</w:t>
            </w:r>
            <w:r w:rsidRPr="00443B54">
              <w:rPr>
                <w:position w:val="2"/>
                <w:rtl/>
              </w:rPr>
              <w:t xml:space="preserve"> يتضمن التكاليف الفعلية لكي ينظر فيه المجلس.</w:t>
            </w:r>
          </w:p>
        </w:tc>
        <w:tc>
          <w:tcPr>
            <w:tcW w:w="4016" w:type="dxa"/>
          </w:tcPr>
          <w:p w14:paraId="0F035A18" w14:textId="77777777" w:rsidR="00BF0385" w:rsidRPr="008D27D9" w:rsidRDefault="00BF0385" w:rsidP="00C905AF">
            <w:pPr>
              <w:pStyle w:val="Tabletexte"/>
              <w:rPr>
                <w:position w:val="2"/>
                <w:lang w:val="ar-SA" w:bidi="ar-EG"/>
              </w:rPr>
            </w:pPr>
            <w:r w:rsidRPr="008D27D9">
              <w:rPr>
                <w:position w:val="2"/>
                <w:rtl/>
              </w:rPr>
              <w:t>ترد في وثيقة المجلس هذه تفاصيل عن الطريقة التي ستطبق بها المنهجية، بما في ذلك تحديد جميع مكونات التكلفة وكيفية التعامل مع كل منها.</w:t>
            </w:r>
          </w:p>
        </w:tc>
      </w:tr>
      <w:tr w:rsidR="00BF0385" w:rsidRPr="00BF0385" w14:paraId="1EB5D052" w14:textId="77777777" w:rsidTr="00BF0385">
        <w:tc>
          <w:tcPr>
            <w:tcW w:w="2122" w:type="dxa"/>
            <w:vMerge/>
          </w:tcPr>
          <w:p w14:paraId="473894DC" w14:textId="77777777" w:rsidR="00BF0385" w:rsidRPr="008D27D9" w:rsidRDefault="00BF0385" w:rsidP="00C905AF">
            <w:pPr>
              <w:pStyle w:val="Tabletexte"/>
              <w:rPr>
                <w:position w:val="2"/>
                <w:lang w:bidi="ar-EG"/>
              </w:rPr>
            </w:pPr>
          </w:p>
        </w:tc>
        <w:tc>
          <w:tcPr>
            <w:tcW w:w="4016" w:type="dxa"/>
          </w:tcPr>
          <w:p w14:paraId="60B38640" w14:textId="7EBADDC2" w:rsidR="00BF0385" w:rsidRPr="008D27D9" w:rsidRDefault="00BF0385" w:rsidP="00C905AF">
            <w:pPr>
              <w:pStyle w:val="Tabletexte"/>
              <w:rPr>
                <w:position w:val="2"/>
                <w:lang w:val="ar-SA" w:bidi="ar-EG"/>
              </w:rPr>
            </w:pPr>
            <w:r w:rsidRPr="008D27D9">
              <w:rPr>
                <w:position w:val="2"/>
                <w:rtl/>
              </w:rPr>
              <w:t>أشار المندوبون إلى أن توزيع تكاليف الموارد البشرية غير المباشرة لم يكن محددا</w:t>
            </w:r>
            <w:r w:rsidR="00443B54">
              <w:rPr>
                <w:rFonts w:hint="cs"/>
                <w:position w:val="2"/>
                <w:rtl/>
              </w:rPr>
              <w:t>ً</w:t>
            </w:r>
            <w:r w:rsidRPr="008D27D9">
              <w:rPr>
                <w:position w:val="2"/>
                <w:rtl/>
              </w:rPr>
              <w:t xml:space="preserve"> ومفهوما</w:t>
            </w:r>
            <w:r w:rsidR="00443B54">
              <w:rPr>
                <w:rFonts w:hint="cs"/>
                <w:position w:val="2"/>
                <w:rtl/>
              </w:rPr>
              <w:t>ً</w:t>
            </w:r>
            <w:r w:rsidRPr="008D27D9">
              <w:rPr>
                <w:position w:val="2"/>
                <w:rtl/>
              </w:rPr>
              <w:t xml:space="preserve"> بوضوح.</w:t>
            </w:r>
          </w:p>
          <w:p w14:paraId="62322648" w14:textId="56D8DE42" w:rsidR="00BF0385" w:rsidRPr="008D27D9" w:rsidRDefault="00BF0385" w:rsidP="00C905AF">
            <w:pPr>
              <w:pStyle w:val="Tabletexte"/>
              <w:rPr>
                <w:position w:val="2"/>
                <w:lang w:val="ar-SA" w:bidi="ar-EG"/>
              </w:rPr>
            </w:pPr>
            <w:r w:rsidRPr="008D27D9">
              <w:rPr>
                <w:position w:val="2"/>
                <w:rtl/>
              </w:rPr>
              <w:t xml:space="preserve">شدد المندوبون على الحاجة إلى بيان واضح للعلاقة بين النفقات الإضافية وتقديم خدمات </w:t>
            </w:r>
            <w:r w:rsidR="009C051B" w:rsidRPr="009C051B">
              <w:rPr>
                <w:position w:val="2"/>
                <w:rtl/>
              </w:rPr>
              <w:t>معالجة بطاقات التبليغ عن الشبكات الساتلية</w:t>
            </w:r>
            <w:r w:rsidR="009C051B">
              <w:rPr>
                <w:rFonts w:hint="cs"/>
                <w:position w:val="2"/>
                <w:rtl/>
              </w:rPr>
              <w:t xml:space="preserve"> </w:t>
            </w:r>
            <w:r w:rsidRPr="008D27D9">
              <w:rPr>
                <w:position w:val="2"/>
                <w:rtl/>
              </w:rPr>
              <w:t>قبل</w:t>
            </w:r>
            <w:r w:rsidR="00C905AF" w:rsidRPr="008D27D9">
              <w:rPr>
                <w:rFonts w:hint="eastAsia"/>
                <w:position w:val="2"/>
                <w:rtl/>
                <w:lang w:bidi="ar-EG"/>
              </w:rPr>
              <w:t> </w:t>
            </w:r>
            <w:r w:rsidRPr="008D27D9">
              <w:rPr>
                <w:position w:val="2"/>
                <w:rtl/>
              </w:rPr>
              <w:t>الإدراج.</w:t>
            </w:r>
          </w:p>
        </w:tc>
        <w:tc>
          <w:tcPr>
            <w:tcW w:w="4016" w:type="dxa"/>
          </w:tcPr>
          <w:p w14:paraId="38F37A9D" w14:textId="61DA4C8B" w:rsidR="00BF0385" w:rsidRPr="008D27D9" w:rsidRDefault="00BF0385" w:rsidP="00C905AF">
            <w:pPr>
              <w:pStyle w:val="Tabletexte"/>
              <w:rPr>
                <w:position w:val="2"/>
                <w:lang w:val="ar-SA" w:bidi="ar-EG"/>
              </w:rPr>
            </w:pPr>
            <w:r w:rsidRPr="008D27D9">
              <w:rPr>
                <w:position w:val="2"/>
                <w:rtl/>
              </w:rPr>
              <w:t>الغرض من موارد إدارة الموارد البشرية وإدارة الموارد المالية والموارد الإدارية الأخرى هو معالجة ودعم العمليات اللازمة لتمكين موظفي الاتحاد المعنيين مباشرة</w:t>
            </w:r>
            <w:r w:rsidR="00443B54">
              <w:rPr>
                <w:rFonts w:hint="cs"/>
                <w:position w:val="2"/>
                <w:rtl/>
              </w:rPr>
              <w:t>ً</w:t>
            </w:r>
            <w:r w:rsidRPr="008D27D9">
              <w:rPr>
                <w:position w:val="2"/>
                <w:rtl/>
              </w:rPr>
              <w:t xml:space="preserve"> من تقديم المنتجات التي يطلبها الأعضاء.</w:t>
            </w:r>
          </w:p>
          <w:p w14:paraId="6FB3A66F" w14:textId="3E404927" w:rsidR="00BF0385" w:rsidRPr="008D27D9" w:rsidRDefault="00BF0385" w:rsidP="00C905AF">
            <w:pPr>
              <w:pStyle w:val="Tabletexte"/>
              <w:rPr>
                <w:position w:val="2"/>
                <w:lang w:val="ar-SA" w:bidi="ar-EG"/>
              </w:rPr>
            </w:pPr>
            <w:r w:rsidRPr="008D27D9">
              <w:rPr>
                <w:position w:val="2"/>
                <w:rtl/>
              </w:rPr>
              <w:t>ويجري توظيف كل موظف مباشر، ودفع أجره، وتوفير إمكانية حصوله على الموارد اللازمة لمعالجة مسائل مثل تحديد المزايا وإتاحتها، والاضطلاع بالمهام الإضافية الأخرى المتصلة بتوظيفه والضرورية لعمله.</w:t>
            </w:r>
          </w:p>
          <w:p w14:paraId="5A04E283" w14:textId="0EB74E16" w:rsidR="00BF0385" w:rsidRPr="008D27D9" w:rsidRDefault="00BF0385" w:rsidP="00C905AF">
            <w:pPr>
              <w:pStyle w:val="Tabletexte"/>
              <w:rPr>
                <w:spacing w:val="-4"/>
                <w:position w:val="2"/>
                <w:lang w:val="ar-SA" w:bidi="ar-EG"/>
              </w:rPr>
            </w:pPr>
            <w:r w:rsidRPr="008D27D9">
              <w:rPr>
                <w:spacing w:val="-4"/>
                <w:position w:val="2"/>
                <w:rtl/>
              </w:rPr>
              <w:t>ويقود هذا العمل الإداري مباشرة</w:t>
            </w:r>
            <w:r w:rsidR="00443B54">
              <w:rPr>
                <w:rFonts w:hint="cs"/>
                <w:spacing w:val="-4"/>
                <w:position w:val="2"/>
                <w:rtl/>
              </w:rPr>
              <w:t>ً</w:t>
            </w:r>
            <w:r w:rsidRPr="008D27D9">
              <w:rPr>
                <w:spacing w:val="-4"/>
                <w:position w:val="2"/>
                <w:rtl/>
              </w:rPr>
              <w:t xml:space="preserve"> كل موظف أو تقوده المعاملات التي تبدأ من خلال الأعمال المنجزة في المنظمة.</w:t>
            </w:r>
          </w:p>
          <w:p w14:paraId="0872B4E7" w14:textId="1C6C1EDE" w:rsidR="00BF0385" w:rsidRPr="00B74DF6" w:rsidRDefault="00BF0385" w:rsidP="00C905AF">
            <w:pPr>
              <w:pStyle w:val="Tabletexte"/>
              <w:rPr>
                <w:spacing w:val="-2"/>
                <w:position w:val="2"/>
                <w:lang w:val="ar-SA" w:bidi="ar-EG"/>
              </w:rPr>
            </w:pPr>
            <w:r w:rsidRPr="00B74DF6">
              <w:rPr>
                <w:spacing w:val="-2"/>
                <w:position w:val="2"/>
                <w:rtl/>
              </w:rPr>
              <w:t xml:space="preserve">وتحدد التكاليف غير المباشرة على أساس أنسب دافع لها، وهو في هذه الحالة العدد الإجمالي لموظفي </w:t>
            </w:r>
            <w:r w:rsidR="009C051B" w:rsidRPr="00B74DF6">
              <w:rPr>
                <w:spacing w:val="-2"/>
                <w:position w:val="2"/>
                <w:rtl/>
              </w:rPr>
              <w:t xml:space="preserve">معالجة بطاقات التبليغ عن الشبكات الساتلية </w:t>
            </w:r>
            <w:r w:rsidRPr="00B74DF6">
              <w:rPr>
                <w:spacing w:val="-2"/>
                <w:position w:val="2"/>
                <w:rtl/>
              </w:rPr>
              <w:t>منسوباً إلى</w:t>
            </w:r>
            <w:r w:rsidR="009C051B" w:rsidRPr="00B74DF6">
              <w:rPr>
                <w:rFonts w:hint="eastAsia"/>
                <w:spacing w:val="-2"/>
                <w:position w:val="2"/>
                <w:rtl/>
              </w:rPr>
              <w:t> </w:t>
            </w:r>
            <w:r w:rsidRPr="00B74DF6">
              <w:rPr>
                <w:spacing w:val="-2"/>
                <w:position w:val="2"/>
                <w:rtl/>
              </w:rPr>
              <w:t>مجموع موظفي الاتحاد.</w:t>
            </w:r>
          </w:p>
        </w:tc>
        <w:tc>
          <w:tcPr>
            <w:tcW w:w="4016" w:type="dxa"/>
          </w:tcPr>
          <w:p w14:paraId="3392B851" w14:textId="359B782A" w:rsidR="008D27D9" w:rsidRPr="008D27D9" w:rsidRDefault="008D27D9" w:rsidP="008D27D9">
            <w:pPr>
              <w:rPr>
                <w:lang w:bidi="ar-EG"/>
              </w:rPr>
            </w:pPr>
          </w:p>
        </w:tc>
      </w:tr>
      <w:tr w:rsidR="00BF0385" w:rsidRPr="00BF0385" w14:paraId="622B1522" w14:textId="77777777" w:rsidTr="00BF0385">
        <w:tc>
          <w:tcPr>
            <w:tcW w:w="2122" w:type="dxa"/>
          </w:tcPr>
          <w:p w14:paraId="4005ABE9" w14:textId="77777777" w:rsidR="00BF0385" w:rsidRPr="008D27D9" w:rsidRDefault="00BF0385" w:rsidP="00C905AF">
            <w:pPr>
              <w:pStyle w:val="Tabletexte"/>
              <w:rPr>
                <w:position w:val="2"/>
                <w:lang w:val="ar-SA" w:bidi="ar-EG"/>
              </w:rPr>
            </w:pPr>
            <w:r w:rsidRPr="008D27D9">
              <w:rPr>
                <w:position w:val="2"/>
                <w:rtl/>
              </w:rPr>
              <w:lastRenderedPageBreak/>
              <w:t>معالجة التكاليف المباشرة وغير المباشرة والرأسمالية</w:t>
            </w:r>
          </w:p>
        </w:tc>
        <w:tc>
          <w:tcPr>
            <w:tcW w:w="4016" w:type="dxa"/>
          </w:tcPr>
          <w:p w14:paraId="34A0E67B" w14:textId="293B5073" w:rsidR="00BF0385" w:rsidRPr="00B74DF6" w:rsidRDefault="00BF0385" w:rsidP="00C905AF">
            <w:pPr>
              <w:pStyle w:val="Tabletexte"/>
              <w:rPr>
                <w:spacing w:val="-2"/>
                <w:position w:val="2"/>
                <w:lang w:val="ar-SA" w:bidi="ar-EG"/>
              </w:rPr>
            </w:pPr>
            <w:r w:rsidRPr="00B74DF6">
              <w:rPr>
                <w:spacing w:val="-2"/>
                <w:position w:val="2"/>
                <w:rtl/>
              </w:rPr>
              <w:t>أصر بعض المندوبين على وجوب استرداد جميع التكاليف المباشرة وغير المباشرة عن طريق آلية استرداد التكاليف، عملا</w:t>
            </w:r>
            <w:r w:rsidR="00443B54" w:rsidRPr="00B74DF6">
              <w:rPr>
                <w:spacing w:val="-2"/>
                <w:position w:val="2"/>
                <w:rtl/>
              </w:rPr>
              <w:t>ً</w:t>
            </w:r>
            <w:r w:rsidRPr="00B74DF6">
              <w:rPr>
                <w:spacing w:val="-2"/>
                <w:position w:val="2"/>
                <w:rtl/>
              </w:rPr>
              <w:t xml:space="preserve"> بالقرار 91.</w:t>
            </w:r>
          </w:p>
        </w:tc>
        <w:tc>
          <w:tcPr>
            <w:tcW w:w="4016" w:type="dxa"/>
          </w:tcPr>
          <w:p w14:paraId="1BB6D88C" w14:textId="638A16EE" w:rsidR="00BF0385" w:rsidRPr="008D27D9" w:rsidRDefault="00BF0385" w:rsidP="00C905AF">
            <w:pPr>
              <w:pStyle w:val="Tabletexte"/>
              <w:keepLines/>
              <w:rPr>
                <w:position w:val="2"/>
                <w:lang w:val="ar-SA" w:bidi="ar-EG"/>
              </w:rPr>
            </w:pPr>
            <w:r w:rsidRPr="008D27D9">
              <w:rPr>
                <w:position w:val="2"/>
                <w:rtl/>
              </w:rPr>
              <w:t>ترى الأمانة أن أحكام القرار 91 واضحة، إذ تستلزم على نحو لا لبس فيه الاسترداد الكامل للتكاليف المباشرة وغير المباشرة على السواء. ونظرا</w:t>
            </w:r>
            <w:r w:rsidR="00443B54">
              <w:rPr>
                <w:rFonts w:hint="cs"/>
                <w:position w:val="2"/>
                <w:rtl/>
              </w:rPr>
              <w:t>ً</w:t>
            </w:r>
            <w:r w:rsidRPr="008D27D9">
              <w:rPr>
                <w:position w:val="2"/>
                <w:rtl/>
              </w:rPr>
              <w:t xml:space="preserve"> إلى عدم إجراء مؤتمر المندوبين المفوضين أي تغيير في القرار، فلا يحق للأمانة تطبيق نموذج لا يفي بهذا المطلب.</w:t>
            </w:r>
          </w:p>
        </w:tc>
        <w:tc>
          <w:tcPr>
            <w:tcW w:w="4016" w:type="dxa"/>
          </w:tcPr>
          <w:p w14:paraId="509E40DC" w14:textId="439E896B" w:rsidR="00BF0385" w:rsidRPr="008D27D9" w:rsidRDefault="00BF0385" w:rsidP="00C905AF">
            <w:pPr>
              <w:pStyle w:val="Tabletexte"/>
              <w:rPr>
                <w:position w:val="2"/>
                <w:lang w:val="ar-SA" w:bidi="ar-EG"/>
              </w:rPr>
            </w:pPr>
            <w:r w:rsidRPr="008D27D9">
              <w:rPr>
                <w:position w:val="2"/>
                <w:rtl/>
              </w:rPr>
              <w:t>اقترحت الأمانة منهجية تنص على استرداد التكاليف بالكامل استنادا</w:t>
            </w:r>
            <w:r w:rsidR="00443B54">
              <w:rPr>
                <w:rFonts w:hint="cs"/>
                <w:position w:val="2"/>
                <w:rtl/>
              </w:rPr>
              <w:t>ً</w:t>
            </w:r>
            <w:r w:rsidRPr="008D27D9">
              <w:rPr>
                <w:position w:val="2"/>
                <w:rtl/>
              </w:rPr>
              <w:t xml:space="preserve"> إلى أحكام القرار 91.</w:t>
            </w:r>
          </w:p>
        </w:tc>
      </w:tr>
      <w:tr w:rsidR="00BF0385" w:rsidRPr="00BF0385" w14:paraId="143CDCF8" w14:textId="77777777" w:rsidTr="00BF0385">
        <w:tc>
          <w:tcPr>
            <w:tcW w:w="2122" w:type="dxa"/>
          </w:tcPr>
          <w:p w14:paraId="29D691B2" w14:textId="77777777" w:rsidR="00BF0385" w:rsidRPr="008D27D9" w:rsidRDefault="00BF0385" w:rsidP="00C905AF">
            <w:pPr>
              <w:pStyle w:val="Tabletexte"/>
              <w:rPr>
                <w:position w:val="2"/>
                <w:lang w:bidi="ar-EG"/>
              </w:rPr>
            </w:pPr>
          </w:p>
        </w:tc>
        <w:tc>
          <w:tcPr>
            <w:tcW w:w="4016" w:type="dxa"/>
          </w:tcPr>
          <w:p w14:paraId="27A01310" w14:textId="3FA710F8" w:rsidR="0081031B" w:rsidRPr="0081031B" w:rsidRDefault="00BF0385" w:rsidP="0081031B">
            <w:pPr>
              <w:pStyle w:val="Tabletexte"/>
              <w:rPr>
                <w:lang w:val="ar-SA" w:bidi="ar-EG"/>
              </w:rPr>
            </w:pPr>
            <w:r w:rsidRPr="008D27D9">
              <w:rPr>
                <w:position w:val="2"/>
                <w:rtl/>
              </w:rPr>
              <w:t>كانت النفقات الرأسمالية (مثل استهلاك أنظمة البرمجيات) موضع جدل شديد. فقد طرح المندوبون حجة مفادها أن التكاليف الرأسمالية غير مذكورة في</w:t>
            </w:r>
            <w:r w:rsidR="00443B54">
              <w:rPr>
                <w:rFonts w:hint="cs"/>
                <w:position w:val="2"/>
                <w:rtl/>
              </w:rPr>
              <w:t> </w:t>
            </w:r>
            <w:r w:rsidRPr="008D27D9">
              <w:rPr>
                <w:position w:val="2"/>
                <w:rtl/>
              </w:rPr>
              <w:t>القرار 91 وبالتالي، ينبغي عدم إدراجها.</w:t>
            </w:r>
          </w:p>
        </w:tc>
        <w:tc>
          <w:tcPr>
            <w:tcW w:w="4016" w:type="dxa"/>
          </w:tcPr>
          <w:p w14:paraId="43080589" w14:textId="38F9969E" w:rsidR="00BF0385" w:rsidRPr="00B74DF6" w:rsidRDefault="00BF0385" w:rsidP="00C905AF">
            <w:pPr>
              <w:pStyle w:val="Tabletexte"/>
              <w:rPr>
                <w:spacing w:val="-2"/>
                <w:position w:val="2"/>
                <w:lang w:val="ar-SA" w:bidi="ar-EG"/>
              </w:rPr>
            </w:pPr>
            <w:r w:rsidRPr="00B74DF6">
              <w:rPr>
                <w:spacing w:val="-2"/>
                <w:position w:val="2"/>
                <w:rtl/>
              </w:rPr>
              <w:t>يستند مصطلحا "النفقات الرأسمالية" و"النفقات التشغيلية" إلى مبادئ المحاسبة المتصلة بطريقة حساب التكاليف. فتتعلق النفقات الرأسمالية بتكلفة الأصول التي تُستخدم على مدى عدة سنوات وتُحتسب على مدى سنوات متعددة (اعتمادا</w:t>
            </w:r>
            <w:r w:rsidR="00443B54" w:rsidRPr="00B74DF6">
              <w:rPr>
                <w:spacing w:val="-2"/>
                <w:position w:val="2"/>
                <w:rtl/>
              </w:rPr>
              <w:t>ً</w:t>
            </w:r>
            <w:r w:rsidRPr="00B74DF6">
              <w:rPr>
                <w:spacing w:val="-2"/>
                <w:position w:val="2"/>
                <w:rtl/>
              </w:rPr>
              <w:t xml:space="preserve"> على العمر الإنتاجي للأصل المقتنى) وتؤثر على الميزانية العمومية للمنظمة، في حين تحتسب النفقات التشغيلية فورا</w:t>
            </w:r>
            <w:r w:rsidR="00443B54" w:rsidRPr="00B74DF6">
              <w:rPr>
                <w:spacing w:val="-2"/>
                <w:position w:val="2"/>
                <w:rtl/>
              </w:rPr>
              <w:t>ً</w:t>
            </w:r>
            <w:r w:rsidRPr="00B74DF6">
              <w:rPr>
                <w:spacing w:val="-2"/>
                <w:position w:val="2"/>
                <w:rtl/>
              </w:rPr>
              <w:t xml:space="preserve"> عند تكبدها وتؤثر على بيان الإيرادات. وتنشئ التكاليف الرأسمالية مصروفات استهلاك في بيان الدخل.</w:t>
            </w:r>
          </w:p>
          <w:p w14:paraId="25C91F81" w14:textId="3284AF19" w:rsidR="00BF0385" w:rsidRPr="00B74DF6" w:rsidRDefault="00BF0385" w:rsidP="00C905AF">
            <w:pPr>
              <w:pStyle w:val="Tabletexte"/>
              <w:rPr>
                <w:spacing w:val="-2"/>
                <w:position w:val="2"/>
                <w:lang w:val="ar-SA" w:bidi="ar-EG"/>
              </w:rPr>
            </w:pPr>
            <w:r w:rsidRPr="00B74DF6">
              <w:rPr>
                <w:spacing w:val="-2"/>
                <w:position w:val="2"/>
                <w:rtl/>
              </w:rPr>
              <w:t>ويشير المصطلحان "التكلفة المباشرة" و"التكلفة غير المباشرة" إلى الغرض من الإنفاق. فإذا كان الإنفاق لغرض تقديم خدمة معالجة بطاقات التبليغ عن الشبكات الساتلية مباشرة</w:t>
            </w:r>
            <w:r w:rsidR="00443B54" w:rsidRPr="00B74DF6">
              <w:rPr>
                <w:spacing w:val="-2"/>
                <w:position w:val="2"/>
                <w:rtl/>
              </w:rPr>
              <w:t>ً</w:t>
            </w:r>
            <w:r w:rsidRPr="00B74DF6">
              <w:rPr>
                <w:spacing w:val="-2"/>
                <w:position w:val="2"/>
                <w:rtl/>
              </w:rPr>
              <w:t xml:space="preserve">، فهي تكلفة مباشرة، سواء كان نفقات رأسمالية (طويلة الأجل) أو تشغيلية (قصيرة الأجل). وعلى المنوال نفسه، إذا كان من الممكن أن يقيد الإنفاق على حساب </w:t>
            </w:r>
            <w:r w:rsidR="009C051B" w:rsidRPr="00B74DF6">
              <w:rPr>
                <w:spacing w:val="-2"/>
                <w:position w:val="2"/>
                <w:rtl/>
              </w:rPr>
              <w:t xml:space="preserve">معالجة بطاقات التبليغ عن الشبكات الساتلية </w:t>
            </w:r>
            <w:r w:rsidRPr="00B74DF6">
              <w:rPr>
                <w:spacing w:val="-2"/>
                <w:position w:val="2"/>
                <w:rtl/>
              </w:rPr>
              <w:t>بشكل غير مباشر (أي من خلال تقديم الدعم للنفقات المباشرة)، فهي تكلفة غير مباشرة سواء كانت رأسمالية أو تشغيلية.</w:t>
            </w:r>
          </w:p>
          <w:p w14:paraId="2FCA5D53" w14:textId="77777777" w:rsidR="00BF0385" w:rsidRPr="008D27D9" w:rsidRDefault="00BF0385" w:rsidP="00C905AF">
            <w:pPr>
              <w:pStyle w:val="Tabletexte"/>
              <w:rPr>
                <w:position w:val="2"/>
                <w:lang w:val="ar-SA" w:bidi="ar-EG"/>
              </w:rPr>
            </w:pPr>
            <w:r w:rsidRPr="008D27D9">
              <w:rPr>
                <w:position w:val="2"/>
                <w:rtl/>
              </w:rPr>
              <w:t>وعلى ذلك، يمكن أن تشمل كل من التكاليف المباشرة وغير المباشرة تكاليف رأسمالية أو تشغيلية.</w:t>
            </w:r>
          </w:p>
          <w:p w14:paraId="016AFB3E" w14:textId="26ED2976" w:rsidR="00BF0385" w:rsidRPr="00B74DF6" w:rsidRDefault="00BF0385" w:rsidP="00C905AF">
            <w:pPr>
              <w:pStyle w:val="Tabletexte"/>
              <w:rPr>
                <w:spacing w:val="-4"/>
                <w:position w:val="2"/>
                <w:lang w:val="ar-SA" w:bidi="ar-EG"/>
              </w:rPr>
            </w:pPr>
            <w:r w:rsidRPr="00B74DF6">
              <w:rPr>
                <w:spacing w:val="-4"/>
                <w:position w:val="2"/>
                <w:rtl/>
              </w:rPr>
              <w:t>وبأخذ مثال استهلاك أنظمة البرمجيات، تعتبر هذه النفقات الرأسمالية مباشرة إذا اقتنيت البرمجيات خصيصا</w:t>
            </w:r>
            <w:r w:rsidR="00443B54" w:rsidRPr="00B74DF6">
              <w:rPr>
                <w:spacing w:val="-4"/>
                <w:position w:val="2"/>
                <w:rtl/>
              </w:rPr>
              <w:t>ً</w:t>
            </w:r>
            <w:r w:rsidRPr="00B74DF6">
              <w:rPr>
                <w:spacing w:val="-4"/>
                <w:position w:val="2"/>
                <w:rtl/>
              </w:rPr>
              <w:t xml:space="preserve"> لغرض معالجة بطاقات التبليغ عن الشبكات الساتلية فحسب، </w:t>
            </w:r>
            <w:r w:rsidR="00B91A0D" w:rsidRPr="00B74DF6">
              <w:rPr>
                <w:spacing w:val="-4"/>
                <w:position w:val="2"/>
                <w:rtl/>
              </w:rPr>
              <w:t>في</w:t>
            </w:r>
            <w:r w:rsidR="00B91A0D">
              <w:rPr>
                <w:rFonts w:hint="cs"/>
                <w:spacing w:val="-4"/>
                <w:position w:val="2"/>
                <w:rtl/>
              </w:rPr>
              <w:t> </w:t>
            </w:r>
            <w:r w:rsidRPr="00B74DF6">
              <w:rPr>
                <w:spacing w:val="-4"/>
                <w:position w:val="2"/>
                <w:rtl/>
              </w:rPr>
              <w:t>حين أن التكلفة السنوية لبرمجيات الأمن السيبراني المشتراة للاتحاد بأكمله قد تدرج كمصروفات غير مباشرة.</w:t>
            </w:r>
          </w:p>
        </w:tc>
        <w:tc>
          <w:tcPr>
            <w:tcW w:w="4016" w:type="dxa"/>
          </w:tcPr>
          <w:p w14:paraId="003534F2" w14:textId="53408325" w:rsidR="00BF0385" w:rsidRPr="00B74DF6" w:rsidRDefault="00BF0385" w:rsidP="00C905AF">
            <w:pPr>
              <w:pStyle w:val="Tabletexte"/>
              <w:rPr>
                <w:spacing w:val="-2"/>
                <w:position w:val="2"/>
                <w:lang w:val="ar-SA" w:bidi="ar-EG"/>
              </w:rPr>
            </w:pPr>
            <w:r w:rsidRPr="00B74DF6">
              <w:rPr>
                <w:spacing w:val="-2"/>
                <w:position w:val="2"/>
                <w:rtl/>
              </w:rPr>
              <w:t>ستدرج النفقات التشغيلية والرأسمالية على حد سواء كتكاليف مباشرة وتكاليف غير مباشرة على حسب الغرض الذي تم من أجله تكبد التكاليف، شريطة أن يكون البند قريبا</w:t>
            </w:r>
            <w:r w:rsidR="0056104B">
              <w:rPr>
                <w:rFonts w:hint="cs"/>
                <w:spacing w:val="-2"/>
                <w:position w:val="2"/>
                <w:rtl/>
              </w:rPr>
              <w:t>ً</w:t>
            </w:r>
            <w:r w:rsidRPr="00B74DF6">
              <w:rPr>
                <w:spacing w:val="-2"/>
                <w:position w:val="2"/>
                <w:rtl/>
              </w:rPr>
              <w:t xml:space="preserve"> بقدر كاف من </w:t>
            </w:r>
            <w:r w:rsidR="009C051B" w:rsidRPr="00B74DF6">
              <w:rPr>
                <w:spacing w:val="-2"/>
                <w:position w:val="2"/>
                <w:rtl/>
              </w:rPr>
              <w:t>معالجة بطاقات التبليغ عن الشبكات الساتلية</w:t>
            </w:r>
            <w:r w:rsidRPr="00B74DF6">
              <w:rPr>
                <w:spacing w:val="-2"/>
                <w:position w:val="2"/>
                <w:rtl/>
              </w:rPr>
              <w:t>.</w:t>
            </w:r>
          </w:p>
        </w:tc>
      </w:tr>
      <w:tr w:rsidR="00BF0385" w:rsidRPr="00BF0385" w14:paraId="0E476FEB" w14:textId="77777777" w:rsidTr="00BF0385">
        <w:tc>
          <w:tcPr>
            <w:tcW w:w="2122" w:type="dxa"/>
          </w:tcPr>
          <w:p w14:paraId="7DF5C5C8" w14:textId="77777777" w:rsidR="00BF0385" w:rsidRPr="008D27D9" w:rsidRDefault="00BF0385" w:rsidP="00C905AF">
            <w:pPr>
              <w:pStyle w:val="Tabletexte"/>
              <w:rPr>
                <w:spacing w:val="-5"/>
                <w:position w:val="2"/>
                <w:lang w:val="ar-SA" w:bidi="ar-EG"/>
              </w:rPr>
            </w:pPr>
            <w:r w:rsidRPr="008D27D9">
              <w:rPr>
                <w:spacing w:val="-5"/>
                <w:position w:val="2"/>
                <w:rtl/>
              </w:rPr>
              <w:lastRenderedPageBreak/>
              <w:t>استحقاقات المعالجة المجانية</w:t>
            </w:r>
          </w:p>
        </w:tc>
        <w:tc>
          <w:tcPr>
            <w:tcW w:w="4016" w:type="dxa"/>
          </w:tcPr>
          <w:p w14:paraId="58B17A1F" w14:textId="77777777" w:rsidR="00BF0385" w:rsidRPr="008D27D9" w:rsidRDefault="00BF0385" w:rsidP="00C905AF">
            <w:pPr>
              <w:pStyle w:val="Tabletexte"/>
              <w:rPr>
                <w:position w:val="2"/>
                <w:lang w:val="ar-SA" w:bidi="ar-EG"/>
              </w:rPr>
            </w:pPr>
            <w:r w:rsidRPr="008D27D9">
              <w:rPr>
                <w:position w:val="2"/>
                <w:rtl/>
              </w:rPr>
              <w:t>أصر العديد من المندوبين على أن استحقاقات المعالجة المجانية مسألة دستورية أساسية ويجب تمويلها من وحدات المساهمة وليس من استرداد التكاليف.</w:t>
            </w:r>
          </w:p>
          <w:p w14:paraId="2BA6E9D4" w14:textId="0742D6A2" w:rsidR="00BF0385" w:rsidRPr="00B74DF6" w:rsidRDefault="00BF0385" w:rsidP="00C905AF">
            <w:pPr>
              <w:pStyle w:val="Tabletexte"/>
              <w:rPr>
                <w:spacing w:val="-4"/>
                <w:position w:val="2"/>
                <w:lang w:val="ar-SA" w:bidi="ar-EG"/>
              </w:rPr>
            </w:pPr>
            <w:r w:rsidRPr="00B74DF6">
              <w:rPr>
                <w:spacing w:val="-4"/>
                <w:position w:val="2"/>
                <w:rtl/>
              </w:rPr>
              <w:t>ورأى آخرون أنه ينبغي تمويلها من خلال استرداد التكاليف عملا</w:t>
            </w:r>
            <w:r w:rsidR="0081031B" w:rsidRPr="00B74DF6">
              <w:rPr>
                <w:spacing w:val="-4"/>
                <w:position w:val="2"/>
                <w:rtl/>
              </w:rPr>
              <w:t>ً</w:t>
            </w:r>
            <w:r w:rsidRPr="00B74DF6">
              <w:rPr>
                <w:spacing w:val="-4"/>
                <w:position w:val="2"/>
                <w:rtl/>
              </w:rPr>
              <w:t xml:space="preserve"> بالقرار 91.</w:t>
            </w:r>
          </w:p>
          <w:p w14:paraId="3D653971" w14:textId="05309848" w:rsidR="00BF0385" w:rsidRPr="008D27D9" w:rsidRDefault="00BF0385" w:rsidP="00C905AF">
            <w:pPr>
              <w:pStyle w:val="Tabletexte"/>
              <w:rPr>
                <w:position w:val="2"/>
                <w:lang w:val="ar-SA" w:bidi="ar-EG"/>
              </w:rPr>
            </w:pPr>
            <w:r w:rsidRPr="008D27D9">
              <w:rPr>
                <w:position w:val="2"/>
                <w:rtl/>
              </w:rPr>
              <w:t>وناقش المندوبون دواعي القلق المتعلقة بإساءة استعمال الاستحقاقات المجانية.</w:t>
            </w:r>
          </w:p>
          <w:p w14:paraId="6F596C34" w14:textId="2BFC4A97" w:rsidR="00BF0385" w:rsidRPr="008D27D9" w:rsidRDefault="00BF0385" w:rsidP="00C905AF">
            <w:pPr>
              <w:pStyle w:val="Tabletexte"/>
              <w:rPr>
                <w:position w:val="2"/>
                <w:lang w:val="ar-SA" w:bidi="ar-EG"/>
              </w:rPr>
            </w:pPr>
            <w:r w:rsidRPr="008D27D9">
              <w:rPr>
                <w:position w:val="2"/>
                <w:rtl/>
              </w:rPr>
              <w:t>فأشار بعضهم إلى أن عددا</w:t>
            </w:r>
            <w:r w:rsidR="0081031B">
              <w:rPr>
                <w:rFonts w:hint="cs"/>
                <w:position w:val="2"/>
                <w:rtl/>
              </w:rPr>
              <w:t>ً</w:t>
            </w:r>
            <w:r w:rsidRPr="008D27D9">
              <w:rPr>
                <w:position w:val="2"/>
                <w:rtl/>
              </w:rPr>
              <w:t xml:space="preserve"> صغيرا</w:t>
            </w:r>
            <w:r w:rsidR="0081031B">
              <w:rPr>
                <w:rFonts w:hint="cs"/>
                <w:position w:val="2"/>
                <w:rtl/>
              </w:rPr>
              <w:t>ً</w:t>
            </w:r>
            <w:r w:rsidRPr="008D27D9">
              <w:rPr>
                <w:position w:val="2"/>
                <w:rtl/>
              </w:rPr>
              <w:t xml:space="preserve"> من الشركات الكبيرة المتعددة الجنسيات يستفيد بشكل غير مباشر من الاستحقاقات المجانية.</w:t>
            </w:r>
          </w:p>
          <w:p w14:paraId="54990405" w14:textId="1523990E" w:rsidR="00BF0385" w:rsidRPr="008D27D9" w:rsidRDefault="00BF0385" w:rsidP="00C905AF">
            <w:pPr>
              <w:pStyle w:val="Tabletexte"/>
              <w:rPr>
                <w:position w:val="2"/>
                <w:lang w:val="ar-SA" w:bidi="ar-EG"/>
              </w:rPr>
            </w:pPr>
            <w:r w:rsidRPr="008D27D9">
              <w:rPr>
                <w:position w:val="2"/>
                <w:rtl/>
              </w:rPr>
              <w:t>وأطلقت دعوات مفادها منع إساءة الاستخدام من خلال مواءمة استحقاقات المعالجة المجانية مع مبادئ النفاذ</w:t>
            </w:r>
            <w:r w:rsidR="00DD24CE" w:rsidRPr="008D27D9">
              <w:rPr>
                <w:rFonts w:hint="cs"/>
                <w:position w:val="2"/>
                <w:rtl/>
              </w:rPr>
              <w:t> </w:t>
            </w:r>
            <w:r w:rsidRPr="008D27D9">
              <w:rPr>
                <w:position w:val="2"/>
                <w:rtl/>
              </w:rPr>
              <w:t>المنصف.</w:t>
            </w:r>
          </w:p>
          <w:p w14:paraId="0D3C1AD9" w14:textId="08C65E92" w:rsidR="00BF0385" w:rsidRPr="00B74DF6" w:rsidRDefault="00BF0385" w:rsidP="00C905AF">
            <w:pPr>
              <w:pStyle w:val="Tabletexte"/>
              <w:rPr>
                <w:spacing w:val="-2"/>
                <w:position w:val="2"/>
                <w:lang w:val="ar-SA" w:bidi="ar-EG"/>
              </w:rPr>
            </w:pPr>
            <w:r w:rsidRPr="00B74DF6">
              <w:rPr>
                <w:spacing w:val="-2"/>
                <w:position w:val="2"/>
                <w:rtl/>
              </w:rPr>
              <w:t>وأشار بعض المندوبين إلى أن استحقاقات المعالجة المجانية يجب أن تدعم البلدان النامية، ولا سيما أقل البلدان نموا</w:t>
            </w:r>
            <w:r w:rsidR="0081031B" w:rsidRPr="00B74DF6">
              <w:rPr>
                <w:spacing w:val="-2"/>
                <w:position w:val="2"/>
                <w:rtl/>
              </w:rPr>
              <w:t>ً</w:t>
            </w:r>
            <w:r w:rsidRPr="00B74DF6">
              <w:rPr>
                <w:spacing w:val="-2"/>
                <w:position w:val="2"/>
                <w:rtl/>
              </w:rPr>
              <w:t xml:space="preserve"> والبلدان النامية غير الساحلية والدول الجزرية الصغيرة النامية.</w:t>
            </w:r>
          </w:p>
          <w:p w14:paraId="55DEA0F1" w14:textId="77777777" w:rsidR="00BF0385" w:rsidRPr="008D27D9" w:rsidRDefault="00BF0385" w:rsidP="00C905AF">
            <w:pPr>
              <w:pStyle w:val="Tabletexte"/>
              <w:rPr>
                <w:position w:val="2"/>
                <w:lang w:val="ar-SA" w:bidi="ar-EG"/>
              </w:rPr>
            </w:pPr>
            <w:r w:rsidRPr="008D27D9">
              <w:rPr>
                <w:position w:val="2"/>
                <w:rtl/>
              </w:rPr>
              <w:t>واقترح البعض إطلاق مبادرات ساتلية إقليمية تستوفي اشتراطات استحقاقات المعالجة المجانية.</w:t>
            </w:r>
          </w:p>
        </w:tc>
        <w:tc>
          <w:tcPr>
            <w:tcW w:w="4016" w:type="dxa"/>
          </w:tcPr>
          <w:p w14:paraId="58D11A89" w14:textId="72AA5235" w:rsidR="00BF0385" w:rsidRPr="008D27D9" w:rsidRDefault="00BF0385" w:rsidP="00C905AF">
            <w:pPr>
              <w:pStyle w:val="Tabletexte"/>
              <w:rPr>
                <w:position w:val="2"/>
                <w:lang w:val="ar-SA" w:bidi="ar-EG"/>
              </w:rPr>
            </w:pPr>
            <w:r w:rsidRPr="008D27D9">
              <w:rPr>
                <w:position w:val="2"/>
                <w:rtl/>
              </w:rPr>
              <w:t>استحقاق المعالجة المجاني هو محصلة للمبادئ المنصوص عليها في القرار 91 لإتاحة النفاذ المنصف لجميع الدول الأعضاء.</w:t>
            </w:r>
          </w:p>
          <w:p w14:paraId="68F3E391" w14:textId="5E91F468" w:rsidR="00BF0385" w:rsidRPr="008D27D9" w:rsidRDefault="00BF0385" w:rsidP="00C905AF">
            <w:pPr>
              <w:pStyle w:val="Tabletexte"/>
              <w:rPr>
                <w:spacing w:val="-4"/>
                <w:position w:val="2"/>
                <w:lang w:val="ar-SA" w:bidi="ar-EG"/>
              </w:rPr>
            </w:pPr>
            <w:r w:rsidRPr="008D27D9">
              <w:rPr>
                <w:spacing w:val="-4"/>
                <w:position w:val="2"/>
                <w:rtl/>
              </w:rPr>
              <w:t>وعادة</w:t>
            </w:r>
            <w:r w:rsidR="0081031B">
              <w:rPr>
                <w:rFonts w:hint="cs"/>
                <w:spacing w:val="-4"/>
                <w:position w:val="2"/>
                <w:rtl/>
              </w:rPr>
              <w:t>ً</w:t>
            </w:r>
            <w:r w:rsidRPr="008D27D9">
              <w:rPr>
                <w:spacing w:val="-4"/>
                <w:position w:val="2"/>
                <w:rtl/>
              </w:rPr>
              <w:t xml:space="preserve"> ما يتاح النفاذ المنصف من خلال وضع أحكام محددة يستفيد منها أولئك الأعضاء المحرومون. ومع ذلك، فإن استحقاق المعالجة المجاني يسمح لجميع الدول الأعضاء بطلب المعالجة المجانية، سواء كانت تلك الدول الأعضاء تستطيع دفع الرسوم التي تمثل التكاليف المستردة أم لا. وعلاوة</w:t>
            </w:r>
            <w:r w:rsidR="0081031B">
              <w:rPr>
                <w:rFonts w:hint="cs"/>
                <w:spacing w:val="-4"/>
                <w:position w:val="2"/>
                <w:rtl/>
              </w:rPr>
              <w:t>ً</w:t>
            </w:r>
            <w:r w:rsidRPr="008D27D9">
              <w:rPr>
                <w:spacing w:val="-4"/>
                <w:position w:val="2"/>
                <w:rtl/>
              </w:rPr>
              <w:t xml:space="preserve"> على ذلك، ذكرت الأمانة أن استحقاقات المعالجة المجانية كثيرا</w:t>
            </w:r>
            <w:r w:rsidR="0081031B">
              <w:rPr>
                <w:rFonts w:hint="cs"/>
                <w:spacing w:val="-4"/>
                <w:position w:val="2"/>
                <w:rtl/>
              </w:rPr>
              <w:t>ً</w:t>
            </w:r>
            <w:r w:rsidRPr="008D27D9">
              <w:rPr>
                <w:spacing w:val="-4"/>
                <w:position w:val="2"/>
                <w:rtl/>
              </w:rPr>
              <w:t xml:space="preserve"> ما تطبق على أكثر البطاقات تعقيدا</w:t>
            </w:r>
            <w:r w:rsidR="0081031B">
              <w:rPr>
                <w:rFonts w:hint="cs"/>
                <w:spacing w:val="-4"/>
                <w:position w:val="2"/>
                <w:rtl/>
              </w:rPr>
              <w:t>ً</w:t>
            </w:r>
            <w:r w:rsidRPr="008D27D9">
              <w:rPr>
                <w:spacing w:val="-4"/>
                <w:position w:val="2"/>
                <w:rtl/>
              </w:rPr>
              <w:t>، مما يؤثر كثيرا</w:t>
            </w:r>
            <w:r w:rsidR="00EA70F5">
              <w:rPr>
                <w:rFonts w:hint="cs"/>
                <w:spacing w:val="-4"/>
                <w:position w:val="2"/>
                <w:rtl/>
              </w:rPr>
              <w:t>ً</w:t>
            </w:r>
            <w:r w:rsidRPr="008D27D9">
              <w:rPr>
                <w:spacing w:val="-4"/>
                <w:position w:val="2"/>
                <w:rtl/>
              </w:rPr>
              <w:t xml:space="preserve"> على مدى استرداد التكاليف الإجمالية.</w:t>
            </w:r>
          </w:p>
          <w:p w14:paraId="6F6E1DCB" w14:textId="6E0B0674" w:rsidR="00BF0385" w:rsidRPr="008D27D9" w:rsidRDefault="00BF0385" w:rsidP="00C905AF">
            <w:pPr>
              <w:pStyle w:val="Tabletexte"/>
              <w:rPr>
                <w:spacing w:val="-4"/>
                <w:position w:val="2"/>
                <w:lang w:val="ar-SA" w:bidi="ar-EG"/>
              </w:rPr>
            </w:pPr>
            <w:r w:rsidRPr="008D27D9">
              <w:rPr>
                <w:spacing w:val="-4"/>
                <w:position w:val="2"/>
                <w:rtl/>
              </w:rPr>
              <w:t>وردا</w:t>
            </w:r>
            <w:r w:rsidR="0081031B">
              <w:rPr>
                <w:rFonts w:hint="cs"/>
                <w:spacing w:val="-4"/>
                <w:position w:val="2"/>
                <w:rtl/>
              </w:rPr>
              <w:t>ً</w:t>
            </w:r>
            <w:r w:rsidRPr="008D27D9">
              <w:rPr>
                <w:spacing w:val="-4"/>
                <w:position w:val="2"/>
                <w:rtl/>
              </w:rPr>
              <w:t xml:space="preserve"> على السؤال المتعلق بما إذا كان ينبغي تمويل معالجة بطاقات التبليغ المجانية من استرداد التكاليف، في الوقت الحالي، وبما أن مجموع التكاليف التي تكبدتها الأمانة لمعالجة بطاقات التبليغ عن الشبكات الساتلية لم تسترد في السنوات الخمس الماضية (بأكثر من تكلفة بطاقات التبليغ المجانية)، فإن تكلفة بطاقات التبليغ المجانية تمول بالكامل من المساهمات المقررة على أعضاء الاتحاد.</w:t>
            </w:r>
          </w:p>
          <w:p w14:paraId="6E79F911" w14:textId="735C502F" w:rsidR="00BF0385" w:rsidRPr="00B74DF6" w:rsidRDefault="00BF0385" w:rsidP="00B74DF6">
            <w:pPr>
              <w:pStyle w:val="Tabletexte"/>
              <w:keepNext/>
              <w:keepLines/>
              <w:rPr>
                <w:spacing w:val="-4"/>
                <w:position w:val="2"/>
                <w:lang w:val="ar-SA" w:bidi="ar-EG"/>
              </w:rPr>
            </w:pPr>
            <w:r w:rsidRPr="00B74DF6">
              <w:rPr>
                <w:spacing w:val="-4"/>
                <w:position w:val="2"/>
                <w:rtl/>
              </w:rPr>
              <w:lastRenderedPageBreak/>
              <w:t xml:space="preserve">وتبين قراءة القرار 91 لمؤتمر المندوبين المفوضين </w:t>
            </w:r>
            <w:r w:rsidR="006364EC" w:rsidRPr="00B74DF6">
              <w:rPr>
                <w:spacing w:val="-4"/>
                <w:position w:val="2"/>
                <w:rtl/>
              </w:rPr>
              <w:t>والمقرر</w:t>
            </w:r>
            <w:r w:rsidR="006364EC">
              <w:rPr>
                <w:rFonts w:hint="cs"/>
                <w:spacing w:val="-4"/>
                <w:position w:val="2"/>
                <w:rtl/>
              </w:rPr>
              <w:t> </w:t>
            </w:r>
            <w:r w:rsidRPr="00B74DF6">
              <w:rPr>
                <w:spacing w:val="-4"/>
                <w:position w:val="2"/>
                <w:rtl/>
              </w:rPr>
              <w:t>482 للمجلس معا</w:t>
            </w:r>
            <w:r w:rsidR="0081031B" w:rsidRPr="00B74DF6">
              <w:rPr>
                <w:spacing w:val="-4"/>
                <w:position w:val="2"/>
                <w:rtl/>
              </w:rPr>
              <w:t>ً</w:t>
            </w:r>
            <w:r w:rsidRPr="00B74DF6">
              <w:rPr>
                <w:spacing w:val="-4"/>
                <w:position w:val="2"/>
                <w:rtl/>
              </w:rPr>
              <w:t xml:space="preserve"> أن خدمة </w:t>
            </w:r>
            <w:r w:rsidR="009C051B" w:rsidRPr="00B74DF6">
              <w:rPr>
                <w:spacing w:val="-4"/>
                <w:position w:val="2"/>
                <w:rtl/>
              </w:rPr>
              <w:t xml:space="preserve">معالجة بطاقات التبليغ عن الشبكات الساتلية </w:t>
            </w:r>
            <w:r w:rsidRPr="00B74DF6">
              <w:rPr>
                <w:spacing w:val="-4"/>
                <w:position w:val="2"/>
                <w:rtl/>
              </w:rPr>
              <w:t>تشكل جزءا</w:t>
            </w:r>
            <w:r w:rsidR="0081031B" w:rsidRPr="00B74DF6">
              <w:rPr>
                <w:spacing w:val="-4"/>
                <w:position w:val="2"/>
                <w:rtl/>
              </w:rPr>
              <w:t>ً</w:t>
            </w:r>
            <w:r w:rsidRPr="00B74DF6">
              <w:rPr>
                <w:spacing w:val="-4"/>
                <w:position w:val="2"/>
                <w:rtl/>
              </w:rPr>
              <w:t xml:space="preserve"> من نظام استرداد التكاليف في الاتحاد وأن قواعد التنفيذ التفصيلية للمجلس يجب أن تقرأ في إطار يحقق الاتساق مع هذا الإطار رفيع المستوى. وعلى الرغم من أن المقرر 482 يمنح كل دولة عضو استحقاق مجانيا</w:t>
            </w:r>
            <w:r w:rsidR="0081031B" w:rsidRPr="00B74DF6">
              <w:rPr>
                <w:spacing w:val="-4"/>
                <w:position w:val="2"/>
                <w:rtl/>
              </w:rPr>
              <w:t>ً</w:t>
            </w:r>
            <w:r w:rsidRPr="00B74DF6">
              <w:rPr>
                <w:spacing w:val="-4"/>
                <w:position w:val="2"/>
                <w:rtl/>
              </w:rPr>
              <w:t xml:space="preserve"> سنويا</w:t>
            </w:r>
            <w:r w:rsidR="0081031B" w:rsidRPr="00B74DF6">
              <w:rPr>
                <w:spacing w:val="-4"/>
                <w:position w:val="2"/>
                <w:rtl/>
              </w:rPr>
              <w:t>ً</w:t>
            </w:r>
            <w:r w:rsidRPr="00B74DF6">
              <w:rPr>
                <w:spacing w:val="-4"/>
                <w:position w:val="2"/>
                <w:rtl/>
              </w:rPr>
              <w:t xml:space="preserve"> محدودا</w:t>
            </w:r>
            <w:r w:rsidR="0081031B" w:rsidRPr="00B74DF6">
              <w:rPr>
                <w:spacing w:val="-4"/>
                <w:position w:val="2"/>
                <w:rtl/>
              </w:rPr>
              <w:t>ً</w:t>
            </w:r>
            <w:r w:rsidRPr="00B74DF6">
              <w:rPr>
                <w:spacing w:val="-4"/>
                <w:position w:val="2"/>
                <w:rtl/>
              </w:rPr>
              <w:t xml:space="preserve"> لبطاقة تبليغ واحدة، فإن هذا الاستحقاق ينبغي، في رأي الأمانة، أن يفهم كأحد سمات نموذج فرض الرسوم وليس كأساس لاستبعاد التكاليف ذات الصلة من الحساب الإجمالي لاسترداد تكاليف </w:t>
            </w:r>
            <w:r w:rsidR="009C051B" w:rsidRPr="00B74DF6">
              <w:rPr>
                <w:spacing w:val="-4"/>
                <w:position w:val="2"/>
                <w:rtl/>
              </w:rPr>
              <w:t>معالجة بطاقات التبليغ عن الشبكات الساتلية</w:t>
            </w:r>
            <w:r w:rsidRPr="00B74DF6">
              <w:rPr>
                <w:spacing w:val="-4"/>
                <w:position w:val="2"/>
                <w:rtl/>
              </w:rPr>
              <w:t>. وعلى هذا الأساس، ترى الأمانة أنه ينبغي إدراج تكاليف استحقاقات المعالجة المجانية في</w:t>
            </w:r>
            <w:r w:rsidR="0081031B" w:rsidRPr="00B74DF6">
              <w:rPr>
                <w:rFonts w:hint="eastAsia"/>
                <w:spacing w:val="-4"/>
                <w:position w:val="2"/>
                <w:rtl/>
              </w:rPr>
              <w:t> </w:t>
            </w:r>
            <w:r w:rsidRPr="00B74DF6">
              <w:rPr>
                <w:spacing w:val="-4"/>
                <w:position w:val="2"/>
                <w:rtl/>
              </w:rPr>
              <w:t xml:space="preserve">مجموع التكاليف المستردة من </w:t>
            </w:r>
            <w:r w:rsidR="009C051B" w:rsidRPr="00B74DF6">
              <w:rPr>
                <w:spacing w:val="-4"/>
                <w:position w:val="2"/>
                <w:rtl/>
              </w:rPr>
              <w:t>معالجة بطاقات التبليغ عن الشبكات الساتلية</w:t>
            </w:r>
            <w:r w:rsidRPr="00B74DF6">
              <w:rPr>
                <w:spacing w:val="-4"/>
                <w:position w:val="2"/>
                <w:rtl/>
              </w:rPr>
              <w:t>.</w:t>
            </w:r>
          </w:p>
          <w:p w14:paraId="5854F8FC" w14:textId="0EE47C9D" w:rsidR="00BF0385" w:rsidRPr="008D27D9" w:rsidRDefault="00BF0385" w:rsidP="00C905AF">
            <w:pPr>
              <w:pStyle w:val="Tabletexte"/>
              <w:rPr>
                <w:position w:val="2"/>
                <w:lang w:val="ar-SA" w:bidi="ar-EG"/>
              </w:rPr>
            </w:pPr>
            <w:r w:rsidRPr="008D27D9">
              <w:rPr>
                <w:position w:val="2"/>
                <w:rtl/>
              </w:rPr>
              <w:t>وقد اقترحت الأمانة خيارين، هما</w:t>
            </w:r>
            <w:r w:rsidRPr="008D27D9">
              <w:rPr>
                <w:position w:val="2"/>
                <w:lang w:bidi="ar-EG"/>
              </w:rPr>
              <w:t>:</w:t>
            </w:r>
          </w:p>
          <w:p w14:paraId="4EE0C678" w14:textId="740B0916" w:rsidR="00BF0385" w:rsidRPr="008D27D9" w:rsidRDefault="00BF0385" w:rsidP="00DD24CE">
            <w:pPr>
              <w:pStyle w:val="Tabletexte"/>
              <w:tabs>
                <w:tab w:val="clear" w:pos="794"/>
              </w:tabs>
              <w:ind w:left="365" w:hanging="365"/>
              <w:rPr>
                <w:position w:val="2"/>
              </w:rPr>
            </w:pPr>
            <w:r w:rsidRPr="008D27D9">
              <w:rPr>
                <w:position w:val="2"/>
                <w:rtl/>
              </w:rPr>
              <w:t>1</w:t>
            </w:r>
            <w:r w:rsidRPr="008D27D9">
              <w:rPr>
                <w:position w:val="2"/>
                <w:rtl/>
              </w:rPr>
              <w:tab/>
              <w:t>قصر التبليغ على البطاقة الأولى في السنة،</w:t>
            </w:r>
          </w:p>
          <w:p w14:paraId="202ACB27" w14:textId="666879AA" w:rsidR="00BF0385" w:rsidRPr="00B74DF6" w:rsidRDefault="00BF0385" w:rsidP="00DD24CE">
            <w:pPr>
              <w:pStyle w:val="Tabletexte"/>
              <w:tabs>
                <w:tab w:val="clear" w:pos="794"/>
              </w:tabs>
              <w:ind w:left="365" w:hanging="365"/>
              <w:rPr>
                <w:spacing w:val="-2"/>
                <w:position w:val="2"/>
              </w:rPr>
            </w:pPr>
            <w:r w:rsidRPr="00B74DF6">
              <w:rPr>
                <w:spacing w:val="-2"/>
                <w:position w:val="2"/>
                <w:rtl/>
              </w:rPr>
              <w:t>2</w:t>
            </w:r>
            <w:r w:rsidRPr="00B74DF6">
              <w:rPr>
                <w:spacing w:val="-2"/>
                <w:position w:val="2"/>
                <w:rtl/>
              </w:rPr>
              <w:tab/>
            </w:r>
            <w:r w:rsidR="00DD24CE" w:rsidRPr="00B74DF6">
              <w:rPr>
                <w:spacing w:val="-2"/>
                <w:position w:val="2"/>
                <w:rtl/>
              </w:rPr>
              <w:t xml:space="preserve">أو </w:t>
            </w:r>
            <w:r w:rsidRPr="00B74DF6">
              <w:rPr>
                <w:spacing w:val="-2"/>
                <w:position w:val="2"/>
                <w:rtl/>
              </w:rPr>
              <w:t>تطبيق معالجة بطاقة التبليغ المجانية على أرخص بطاقة تبليغ تقدمها أي إدارة في كل عام.</w:t>
            </w:r>
          </w:p>
          <w:p w14:paraId="24C05DAD" w14:textId="68D0A667" w:rsidR="00BF0385" w:rsidRPr="008D27D9" w:rsidRDefault="00BF0385" w:rsidP="00C905AF">
            <w:pPr>
              <w:pStyle w:val="Tabletexte"/>
              <w:rPr>
                <w:position w:val="2"/>
                <w:lang w:val="ar-SA" w:bidi="ar-EG"/>
              </w:rPr>
            </w:pPr>
            <w:r w:rsidRPr="008D27D9">
              <w:rPr>
                <w:position w:val="2"/>
                <w:rtl/>
              </w:rPr>
              <w:t>وتفيد الملاحظة الأولية أن ذلك لن يحدث فرقا</w:t>
            </w:r>
            <w:r w:rsidR="0081031B">
              <w:rPr>
                <w:rFonts w:hint="cs"/>
                <w:position w:val="2"/>
                <w:rtl/>
              </w:rPr>
              <w:t>ً</w:t>
            </w:r>
            <w:r w:rsidRPr="008D27D9">
              <w:rPr>
                <w:position w:val="2"/>
                <w:rtl/>
              </w:rPr>
              <w:t xml:space="preserve"> بالضرورة لأن كيانات التبليغ المتعددة ستضمن ببساطة التخطيط لتقديم أرخص بطاقة تبليغ أولا</w:t>
            </w:r>
            <w:r w:rsidR="00DD24CE" w:rsidRPr="008D27D9">
              <w:rPr>
                <w:rFonts w:hint="cs"/>
                <w:position w:val="2"/>
                <w:rtl/>
              </w:rPr>
              <w:t>ً</w:t>
            </w:r>
            <w:r w:rsidRPr="008D27D9">
              <w:rPr>
                <w:position w:val="2"/>
                <w:rtl/>
              </w:rPr>
              <w:t>.</w:t>
            </w:r>
          </w:p>
          <w:p w14:paraId="02D68CC5" w14:textId="278C9A55" w:rsidR="00BF0385" w:rsidRPr="0081031B" w:rsidRDefault="00BF0385" w:rsidP="00C905AF">
            <w:pPr>
              <w:pStyle w:val="Tabletexte"/>
              <w:rPr>
                <w:spacing w:val="-2"/>
                <w:position w:val="2"/>
                <w:lang w:val="ar-SA" w:bidi="ar-EG"/>
              </w:rPr>
            </w:pPr>
            <w:r w:rsidRPr="0081031B">
              <w:rPr>
                <w:spacing w:val="-2"/>
                <w:position w:val="2"/>
                <w:rtl/>
              </w:rPr>
              <w:t>وفيما يخص الخيار الثاني، قيل إن ذلك من شأنه أن يؤدي إلى انتفاء فائدة المعالجة المجانية. وتشير الأمانة إلى أن ذلك لن يحد إلا من الفوائد التي تعود على الكيانات الكبيرة التي تقدم بطاقات تبليغ متعددة سنويا</w:t>
            </w:r>
            <w:r w:rsidR="0081031B">
              <w:rPr>
                <w:rFonts w:hint="cs"/>
                <w:spacing w:val="-2"/>
                <w:position w:val="2"/>
                <w:rtl/>
              </w:rPr>
              <w:t>ً</w:t>
            </w:r>
            <w:r w:rsidRPr="0081031B">
              <w:rPr>
                <w:spacing w:val="-2"/>
                <w:position w:val="2"/>
                <w:rtl/>
              </w:rPr>
              <w:t>، ويمكن القول إنها لم تكن تستفيد منها على أي حال.</w:t>
            </w:r>
          </w:p>
        </w:tc>
        <w:tc>
          <w:tcPr>
            <w:tcW w:w="4016" w:type="dxa"/>
          </w:tcPr>
          <w:p w14:paraId="7BE309A6" w14:textId="77777777" w:rsidR="00BF0385" w:rsidRPr="008D27D9" w:rsidRDefault="00BF0385" w:rsidP="00C905AF">
            <w:pPr>
              <w:pStyle w:val="Tabletexte"/>
              <w:rPr>
                <w:position w:val="2"/>
                <w:lang w:val="ar-SA" w:bidi="ar-EG"/>
              </w:rPr>
            </w:pPr>
            <w:r w:rsidRPr="008D27D9">
              <w:rPr>
                <w:position w:val="2"/>
                <w:rtl/>
              </w:rPr>
              <w:lastRenderedPageBreak/>
              <w:t>تقترح الأمانة أن ينظر المجلس في أحد النهجين التاليين الممكنة لإرساء نظام المعالجة المجانية:</w:t>
            </w:r>
          </w:p>
          <w:p w14:paraId="4FF62C54" w14:textId="0D6BC80D" w:rsidR="00BF0385" w:rsidRPr="008D27D9" w:rsidRDefault="00DD24CE" w:rsidP="00DD24CE">
            <w:pPr>
              <w:pStyle w:val="Tabletexte"/>
              <w:tabs>
                <w:tab w:val="clear" w:pos="794"/>
              </w:tabs>
              <w:ind w:left="365" w:hanging="365"/>
              <w:rPr>
                <w:position w:val="2"/>
                <w:lang w:val="ar-SA" w:bidi="ar-EG"/>
              </w:rPr>
            </w:pPr>
            <w:r w:rsidRPr="008D27D9">
              <w:rPr>
                <w:rFonts w:hint="cs"/>
                <w:position w:val="2"/>
                <w:rtl/>
              </w:rPr>
              <w:t>1</w:t>
            </w:r>
            <w:r w:rsidR="00BF0385" w:rsidRPr="008D27D9">
              <w:rPr>
                <w:position w:val="2"/>
                <w:rtl/>
              </w:rPr>
              <w:tab/>
              <w:t>تطبيق معالجة بطاقة التبليغ المجانية على أرخص بطاقة تبليغ تقدمها أي إدارة في كل عام.</w:t>
            </w:r>
          </w:p>
          <w:p w14:paraId="320F6935" w14:textId="62D80C24" w:rsidR="00BF0385" w:rsidRPr="008D27D9" w:rsidRDefault="00DD24CE" w:rsidP="00DD24CE">
            <w:pPr>
              <w:pStyle w:val="Tabletexte"/>
              <w:tabs>
                <w:tab w:val="clear" w:pos="794"/>
              </w:tabs>
              <w:ind w:left="365" w:hanging="365"/>
              <w:rPr>
                <w:spacing w:val="-4"/>
                <w:position w:val="2"/>
                <w:lang w:val="ar-SA" w:bidi="ar-EG"/>
              </w:rPr>
            </w:pPr>
            <w:r w:rsidRPr="008D27D9">
              <w:rPr>
                <w:rFonts w:hint="cs"/>
                <w:spacing w:val="-4"/>
                <w:position w:val="2"/>
                <w:rtl/>
              </w:rPr>
              <w:t>2</w:t>
            </w:r>
            <w:r w:rsidR="00BF0385" w:rsidRPr="008D27D9">
              <w:rPr>
                <w:spacing w:val="-4"/>
                <w:position w:val="2"/>
                <w:rtl/>
              </w:rPr>
              <w:tab/>
              <w:t>قصر الاستحقاق المجاني على أقل البلدان نموا</w:t>
            </w:r>
            <w:r w:rsidR="00B643F9">
              <w:rPr>
                <w:rFonts w:hint="cs"/>
                <w:spacing w:val="-4"/>
                <w:position w:val="2"/>
                <w:rtl/>
              </w:rPr>
              <w:t>ً</w:t>
            </w:r>
            <w:r w:rsidR="00BF0385" w:rsidRPr="008D27D9">
              <w:rPr>
                <w:spacing w:val="-4"/>
                <w:position w:val="2"/>
                <w:rtl/>
              </w:rPr>
              <w:t xml:space="preserve"> والدول الجزرية الصغيرة النامية والبلدان النامية غير الساحلية والبلدان التي تمر اقتصاداتها بمرحلة انتقالية.</w:t>
            </w:r>
          </w:p>
          <w:p w14:paraId="1443F62A" w14:textId="6203B299" w:rsidR="00BF0385" w:rsidRPr="00B74DF6" w:rsidRDefault="00BF0385" w:rsidP="00C905AF">
            <w:pPr>
              <w:pStyle w:val="Tabletexte"/>
              <w:rPr>
                <w:spacing w:val="-4"/>
                <w:position w:val="2"/>
                <w:lang w:val="ar-SA" w:bidi="ar-EG"/>
              </w:rPr>
            </w:pPr>
            <w:r w:rsidRPr="00B74DF6">
              <w:rPr>
                <w:spacing w:val="-4"/>
                <w:position w:val="2"/>
                <w:rtl/>
              </w:rPr>
              <w:t>وفي أي من الحالتين، تعتقد الأمانة أن النهج الصحيح يتمثل في إدراج تكلفة استحقاقات المعالجة المجانية في</w:t>
            </w:r>
            <w:r w:rsidR="00B643F9" w:rsidRPr="00B74DF6">
              <w:rPr>
                <w:rFonts w:hint="eastAsia"/>
                <w:spacing w:val="-4"/>
                <w:position w:val="2"/>
                <w:rtl/>
              </w:rPr>
              <w:t> </w:t>
            </w:r>
            <w:r w:rsidRPr="00B74DF6">
              <w:rPr>
                <w:spacing w:val="-4"/>
                <w:position w:val="2"/>
                <w:rtl/>
              </w:rPr>
              <w:t xml:space="preserve">التكاليف الإجمالية </w:t>
            </w:r>
            <w:r w:rsidR="009C051B" w:rsidRPr="00B74DF6">
              <w:rPr>
                <w:spacing w:val="-4"/>
                <w:position w:val="2"/>
                <w:rtl/>
              </w:rPr>
              <w:t>لمعالجة بطاقات التبليغ عن الشبكات الساتلية</w:t>
            </w:r>
            <w:r w:rsidRPr="00B74DF6">
              <w:rPr>
                <w:spacing w:val="-4"/>
                <w:position w:val="2"/>
                <w:rtl/>
              </w:rPr>
              <w:t xml:space="preserve">، واسترداد التكاليف بالكامل من رسوم </w:t>
            </w:r>
            <w:r w:rsidR="009C051B" w:rsidRPr="00B74DF6">
              <w:rPr>
                <w:spacing w:val="-4"/>
                <w:position w:val="2"/>
                <w:rtl/>
              </w:rPr>
              <w:t>معالجة بطاقات التبليغ عن الشبكات الساتلية</w:t>
            </w:r>
            <w:r w:rsidRPr="00B74DF6">
              <w:rPr>
                <w:spacing w:val="-4"/>
                <w:position w:val="2"/>
                <w:rtl/>
              </w:rPr>
              <w:t>.</w:t>
            </w:r>
          </w:p>
        </w:tc>
      </w:tr>
      <w:tr w:rsidR="00BF0385" w:rsidRPr="00BF0385" w14:paraId="46E6B62D" w14:textId="77777777" w:rsidTr="00BF0385">
        <w:tc>
          <w:tcPr>
            <w:tcW w:w="2122" w:type="dxa"/>
          </w:tcPr>
          <w:p w14:paraId="659D48DC" w14:textId="77777777" w:rsidR="00BF0385" w:rsidRPr="008D27D9" w:rsidRDefault="00BF0385" w:rsidP="00C905AF">
            <w:pPr>
              <w:pStyle w:val="Tabletexte"/>
              <w:rPr>
                <w:position w:val="2"/>
                <w:lang w:bidi="ar-EG"/>
              </w:rPr>
            </w:pPr>
          </w:p>
        </w:tc>
        <w:tc>
          <w:tcPr>
            <w:tcW w:w="4016" w:type="dxa"/>
          </w:tcPr>
          <w:p w14:paraId="5E010C7E" w14:textId="77777777" w:rsidR="00BF0385" w:rsidRPr="008D27D9" w:rsidRDefault="00BF0385" w:rsidP="00C905AF">
            <w:pPr>
              <w:pStyle w:val="Tabletexte"/>
              <w:rPr>
                <w:position w:val="2"/>
                <w:lang w:val="ar-SA" w:bidi="ar-EG"/>
              </w:rPr>
            </w:pPr>
            <w:r w:rsidRPr="008D27D9">
              <w:rPr>
                <w:position w:val="2"/>
                <w:rtl/>
              </w:rPr>
              <w:t>نطاق معالجة بطاقات التبليغ المجانية:</w:t>
            </w:r>
          </w:p>
          <w:p w14:paraId="69491F2E" w14:textId="77777777" w:rsidR="00BF0385" w:rsidRPr="008D27D9" w:rsidRDefault="00BF0385" w:rsidP="00DD24CE">
            <w:pPr>
              <w:pStyle w:val="Tabletexte"/>
              <w:tabs>
                <w:tab w:val="clear" w:pos="794"/>
              </w:tabs>
              <w:ind w:left="365" w:hanging="365"/>
              <w:rPr>
                <w:position w:val="2"/>
              </w:rPr>
            </w:pPr>
            <w:r w:rsidRPr="008D27D9">
              <w:rPr>
                <w:position w:val="2"/>
              </w:rPr>
              <w:t>–</w:t>
            </w:r>
            <w:r w:rsidRPr="008D27D9">
              <w:rPr>
                <w:position w:val="2"/>
                <w:rtl/>
              </w:rPr>
              <w:tab/>
              <w:t>مقترح لقصر معالجة بطاقات التبليغ المجانية على الأنظمة الساتلية الكاملة واستبعاد التعديلات.</w:t>
            </w:r>
          </w:p>
          <w:p w14:paraId="353E06A5" w14:textId="2AF3528E" w:rsidR="00BF0385" w:rsidRPr="008D27D9" w:rsidRDefault="00BF0385" w:rsidP="00DD24CE">
            <w:pPr>
              <w:pStyle w:val="Tabletexte"/>
              <w:tabs>
                <w:tab w:val="clear" w:pos="794"/>
              </w:tabs>
              <w:ind w:left="365" w:hanging="365"/>
              <w:rPr>
                <w:position w:val="2"/>
                <w:lang w:val="ar-SA" w:bidi="ar-EG"/>
              </w:rPr>
            </w:pPr>
            <w:r w:rsidRPr="008D27D9">
              <w:rPr>
                <w:position w:val="2"/>
              </w:rPr>
              <w:t>–</w:t>
            </w:r>
            <w:r w:rsidRPr="008D27D9">
              <w:rPr>
                <w:position w:val="2"/>
                <w:rtl/>
              </w:rPr>
              <w:tab/>
            </w:r>
            <w:r w:rsidRPr="00B74DF6">
              <w:rPr>
                <w:spacing w:val="-6"/>
                <w:position w:val="2"/>
                <w:rtl/>
              </w:rPr>
              <w:t>أسئلة حول ما إذا كان ينبغي أن تكون معالجة بطاقات التبليغ عن الأنظمة غير المستقرة بالنسبة إلى</w:t>
            </w:r>
            <w:r w:rsidR="00927F30" w:rsidRPr="00B74DF6">
              <w:rPr>
                <w:rFonts w:hint="eastAsia"/>
                <w:spacing w:val="-6"/>
                <w:position w:val="2"/>
                <w:rtl/>
              </w:rPr>
              <w:t> </w:t>
            </w:r>
            <w:r w:rsidRPr="00B74DF6">
              <w:rPr>
                <w:spacing w:val="-6"/>
                <w:position w:val="2"/>
                <w:rtl/>
              </w:rPr>
              <w:t>الأرض مستوفية للاشتراطات، بالنظر إلى الاستثناءات الأخيرة.</w:t>
            </w:r>
          </w:p>
        </w:tc>
        <w:tc>
          <w:tcPr>
            <w:tcW w:w="4016" w:type="dxa"/>
          </w:tcPr>
          <w:p w14:paraId="2791C71A" w14:textId="377CFD62" w:rsidR="00BF0385" w:rsidRPr="00B74DF6" w:rsidRDefault="00BF0385" w:rsidP="00B74DF6">
            <w:pPr>
              <w:pStyle w:val="Tabletexte"/>
              <w:keepNext/>
              <w:keepLines/>
              <w:rPr>
                <w:spacing w:val="-4"/>
                <w:position w:val="2"/>
                <w:lang w:val="ar-SA" w:bidi="ar-EG"/>
              </w:rPr>
            </w:pPr>
            <w:r w:rsidRPr="00B74DF6">
              <w:rPr>
                <w:spacing w:val="-4"/>
                <w:position w:val="2"/>
                <w:rtl/>
              </w:rPr>
              <w:t xml:space="preserve">يمكن بسهولة تجاوز قصر معالجة بطاقات التبليغ المجانية على الأنظمة الساتلية الكاملة واستبعاد التعديلات </w:t>
            </w:r>
            <w:r w:rsidR="0047213D" w:rsidRPr="00B74DF6">
              <w:rPr>
                <w:spacing w:val="-4"/>
                <w:position w:val="2"/>
                <w:rtl/>
              </w:rPr>
              <w:t>مما</w:t>
            </w:r>
            <w:r w:rsidR="0047213D">
              <w:rPr>
                <w:rFonts w:hint="cs"/>
                <w:spacing w:val="-4"/>
                <w:position w:val="2"/>
                <w:rtl/>
              </w:rPr>
              <w:t> </w:t>
            </w:r>
            <w:r w:rsidRPr="00B74DF6">
              <w:rPr>
                <w:spacing w:val="-4"/>
                <w:position w:val="2"/>
                <w:rtl/>
              </w:rPr>
              <w:t>يؤدي في نهاية المطاف إلى نتائج عكسية: فبدلا</w:t>
            </w:r>
            <w:r w:rsidR="0036598F" w:rsidRPr="00B74DF6">
              <w:rPr>
                <w:spacing w:val="-4"/>
                <w:position w:val="2"/>
                <w:rtl/>
              </w:rPr>
              <w:t>ً</w:t>
            </w:r>
            <w:r w:rsidRPr="00B74DF6">
              <w:rPr>
                <w:spacing w:val="-4"/>
                <w:position w:val="2"/>
                <w:rtl/>
              </w:rPr>
              <w:t xml:space="preserve"> من تقديم التعديلات، تقدم أنظمة ساتلية كاملة تتضمن التعديلات المزمعة، مما سيتجاوز الإجراء، بل سيزيد أيضا</w:t>
            </w:r>
            <w:r w:rsidR="0036598F" w:rsidRPr="00B74DF6">
              <w:rPr>
                <w:spacing w:val="-4"/>
                <w:position w:val="2"/>
                <w:rtl/>
              </w:rPr>
              <w:t>ً</w:t>
            </w:r>
            <w:r w:rsidRPr="00B74DF6">
              <w:rPr>
                <w:spacing w:val="-4"/>
                <w:position w:val="2"/>
                <w:rtl/>
              </w:rPr>
              <w:t xml:space="preserve"> من عبء العمل الملقى على عاتق على مكتب الاتصالات الراديوية بلا</w:t>
            </w:r>
            <w:r w:rsidR="0036598F" w:rsidRPr="00B74DF6">
              <w:rPr>
                <w:rFonts w:hint="eastAsia"/>
                <w:spacing w:val="-4"/>
                <w:position w:val="2"/>
                <w:rtl/>
              </w:rPr>
              <w:t> </w:t>
            </w:r>
            <w:r w:rsidRPr="00B74DF6">
              <w:rPr>
                <w:spacing w:val="-4"/>
                <w:position w:val="2"/>
                <w:rtl/>
              </w:rPr>
              <w:t>جدوى.</w:t>
            </w:r>
          </w:p>
          <w:p w14:paraId="1E8FFE26" w14:textId="462929DA" w:rsidR="00BF0385" w:rsidRPr="0036598F" w:rsidRDefault="00BF0385" w:rsidP="0036598F">
            <w:pPr>
              <w:pStyle w:val="Tabletexte"/>
              <w:rPr>
                <w:spacing w:val="-4"/>
                <w:position w:val="2"/>
                <w:lang w:val="ar-SA" w:bidi="ar-EG"/>
              </w:rPr>
            </w:pPr>
            <w:r w:rsidRPr="0036598F">
              <w:rPr>
                <w:spacing w:val="-4"/>
                <w:position w:val="2"/>
                <w:rtl/>
              </w:rPr>
              <w:t>وبطاقات التبليغ عن الأنظمة غير المستقرة بالنسبة إلى</w:t>
            </w:r>
            <w:r w:rsidR="0036598F" w:rsidRPr="0036598F">
              <w:rPr>
                <w:rFonts w:hint="cs"/>
                <w:spacing w:val="-4"/>
                <w:position w:val="2"/>
                <w:rtl/>
              </w:rPr>
              <w:t> </w:t>
            </w:r>
            <w:r w:rsidRPr="0036598F">
              <w:rPr>
                <w:spacing w:val="-4"/>
                <w:position w:val="2"/>
                <w:rtl/>
              </w:rPr>
              <w:t xml:space="preserve">الأرض متنوعة للغاية، وتتراوح من المشاريع الأكاديمية الصغيرة الخاصة بالهواة إلى السواتل العلمية المنفردة بالغة التعقيد أو </w:t>
            </w:r>
            <w:proofErr w:type="spellStart"/>
            <w:r w:rsidRPr="0036598F">
              <w:rPr>
                <w:spacing w:val="-4"/>
                <w:position w:val="2"/>
                <w:rtl/>
              </w:rPr>
              <w:t>الكوكبات</w:t>
            </w:r>
            <w:proofErr w:type="spellEnd"/>
            <w:r w:rsidRPr="0036598F">
              <w:rPr>
                <w:spacing w:val="-4"/>
                <w:position w:val="2"/>
                <w:rtl/>
              </w:rPr>
              <w:t xml:space="preserve"> الكبيرة من </w:t>
            </w:r>
            <w:proofErr w:type="spellStart"/>
            <w:r w:rsidRPr="0036598F">
              <w:rPr>
                <w:spacing w:val="-4"/>
                <w:position w:val="2"/>
                <w:rtl/>
              </w:rPr>
              <w:t>سواتل</w:t>
            </w:r>
            <w:proofErr w:type="spellEnd"/>
            <w:r w:rsidRPr="0036598F">
              <w:rPr>
                <w:spacing w:val="-4"/>
                <w:position w:val="2"/>
                <w:rtl/>
              </w:rPr>
              <w:t xml:space="preserve"> الاتصالات. وتستبعد الصيغة المراجعة من المقرر 482 التي اعتمدها المجلس في دورته لعام 2025 البطاقات الكبيرة والمعقدة الخاصة بالأنظمة غير المستقرة بالنسبة إلى الأرض من تطبيق المعالجة المجانية. وبما أن هذا الاستبعاد لم يدخل حيز النفاذ إلا في 1 يناير 2026، فلا تزال الخبرة بشأن كفاءة هذا التدبير محدودة للغاية.</w:t>
            </w:r>
          </w:p>
        </w:tc>
        <w:tc>
          <w:tcPr>
            <w:tcW w:w="4016" w:type="dxa"/>
          </w:tcPr>
          <w:p w14:paraId="1515B925" w14:textId="7A89C628" w:rsidR="00BF0385" w:rsidRPr="008D27D9" w:rsidRDefault="00BF0385" w:rsidP="00C905AF">
            <w:pPr>
              <w:pStyle w:val="Tabletexte"/>
              <w:rPr>
                <w:position w:val="2"/>
                <w:lang w:val="ar-SA" w:bidi="ar-EG"/>
              </w:rPr>
            </w:pPr>
            <w:r w:rsidRPr="008D27D9">
              <w:rPr>
                <w:position w:val="2"/>
                <w:rtl/>
              </w:rPr>
              <w:t>ينبغي عدم مواصلة المضي قدما</w:t>
            </w:r>
            <w:r w:rsidR="0060298B">
              <w:rPr>
                <w:rFonts w:hint="cs"/>
                <w:position w:val="2"/>
                <w:rtl/>
              </w:rPr>
              <w:t>ً</w:t>
            </w:r>
            <w:r w:rsidRPr="008D27D9">
              <w:rPr>
                <w:position w:val="2"/>
                <w:rtl/>
              </w:rPr>
              <w:t xml:space="preserve"> في المقترح الرامي إلى</w:t>
            </w:r>
            <w:r w:rsidR="0060298B">
              <w:rPr>
                <w:rFonts w:hint="cs"/>
                <w:position w:val="2"/>
                <w:rtl/>
              </w:rPr>
              <w:t> </w:t>
            </w:r>
            <w:r w:rsidRPr="008D27D9">
              <w:rPr>
                <w:position w:val="2"/>
                <w:rtl/>
              </w:rPr>
              <w:t>قصر معالجة بطاقات التبليغ المجانية على الأنظمة الساتلية الكاملة واستبعاد التعديلات.</w:t>
            </w:r>
          </w:p>
          <w:p w14:paraId="7D6C82E6" w14:textId="51115811" w:rsidR="00BF0385" w:rsidRPr="008D27D9" w:rsidRDefault="00BF0385" w:rsidP="00C905AF">
            <w:pPr>
              <w:pStyle w:val="Tabletexte"/>
              <w:rPr>
                <w:position w:val="2"/>
                <w:lang w:val="ar-SA" w:bidi="ar-EG"/>
              </w:rPr>
            </w:pPr>
            <w:r w:rsidRPr="008D27D9">
              <w:rPr>
                <w:position w:val="2"/>
                <w:rtl/>
              </w:rPr>
              <w:t>وفيما يتعلق باستيفاء معالجة بطاقات التبليغ عن الأنظمة غير المستقرة بالنسبة إلى الأرض للاشتراطات، ينبغي أن يستعرض المجلس في دورته لعام 2027 السنة الأولى لتنفيذ المجلس لمقرراته لعام 2025 وأن يقيم ما إذا كان لابد من اتخاذ تدابير إضافية.</w:t>
            </w:r>
          </w:p>
        </w:tc>
      </w:tr>
      <w:tr w:rsidR="00BF0385" w:rsidRPr="00BF0385" w14:paraId="0D42FA20" w14:textId="77777777" w:rsidTr="00BF0385">
        <w:tc>
          <w:tcPr>
            <w:tcW w:w="2122" w:type="dxa"/>
          </w:tcPr>
          <w:p w14:paraId="1BE7C9AC" w14:textId="3E71A793" w:rsidR="00BF0385" w:rsidRPr="008D27D9" w:rsidRDefault="00BF0385" w:rsidP="0060298B">
            <w:pPr>
              <w:pStyle w:val="Tabletexte"/>
              <w:jc w:val="left"/>
              <w:rPr>
                <w:position w:val="2"/>
                <w:lang w:val="ar-SA" w:bidi="ar-EG"/>
              </w:rPr>
            </w:pPr>
            <w:r w:rsidRPr="008D27D9">
              <w:rPr>
                <w:position w:val="2"/>
                <w:rtl/>
              </w:rPr>
              <w:t>إمكانية التنبؤ بالرسوم</w:t>
            </w:r>
            <w:r w:rsidR="0060298B">
              <w:rPr>
                <w:rFonts w:hint="cs"/>
                <w:position w:val="2"/>
                <w:rtl/>
              </w:rPr>
              <w:t> </w:t>
            </w:r>
            <w:r w:rsidRPr="008D27D9">
              <w:rPr>
                <w:position w:val="2"/>
                <w:rtl/>
              </w:rPr>
              <w:t>واستقرارها</w:t>
            </w:r>
          </w:p>
        </w:tc>
        <w:tc>
          <w:tcPr>
            <w:tcW w:w="4016" w:type="dxa"/>
          </w:tcPr>
          <w:p w14:paraId="26307F7D" w14:textId="77777777" w:rsidR="00BF0385" w:rsidRPr="006D332A" w:rsidRDefault="00BF0385" w:rsidP="00C905AF">
            <w:pPr>
              <w:pStyle w:val="Tabletexte"/>
              <w:rPr>
                <w:spacing w:val="-4"/>
                <w:position w:val="2"/>
                <w:lang w:val="ar-SA" w:bidi="ar-EG"/>
              </w:rPr>
            </w:pPr>
            <w:r w:rsidRPr="006D332A">
              <w:rPr>
                <w:spacing w:val="-4"/>
                <w:position w:val="2"/>
                <w:rtl/>
              </w:rPr>
              <w:t>أثيرت دواعي قلق بشأن آلية "التسوية بالزيادة/بالنقصان" المقترحة، بسبب نقل المخاطر المتصورة إلى المشغلين.</w:t>
            </w:r>
          </w:p>
          <w:p w14:paraId="2D979423" w14:textId="77777777" w:rsidR="00BF0385" w:rsidRPr="006D332A" w:rsidRDefault="00BF0385" w:rsidP="00C905AF">
            <w:pPr>
              <w:pStyle w:val="Tabletexte"/>
              <w:rPr>
                <w:position w:val="2"/>
                <w:lang w:val="ar-SA" w:bidi="ar-EG"/>
              </w:rPr>
            </w:pPr>
            <w:r w:rsidRPr="006D332A">
              <w:rPr>
                <w:position w:val="2"/>
                <w:rtl/>
              </w:rPr>
              <w:t>وطلب بعض المندوبين وضع ما يلي:</w:t>
            </w:r>
          </w:p>
          <w:p w14:paraId="2B1ABF42" w14:textId="77777777" w:rsidR="00BF0385" w:rsidRPr="006D332A" w:rsidRDefault="00BF0385" w:rsidP="00DD24CE">
            <w:pPr>
              <w:pStyle w:val="Tabletexte"/>
              <w:tabs>
                <w:tab w:val="clear" w:pos="794"/>
              </w:tabs>
              <w:ind w:left="365" w:hanging="365"/>
              <w:rPr>
                <w:position w:val="2"/>
              </w:rPr>
            </w:pPr>
            <w:r w:rsidRPr="006D332A">
              <w:rPr>
                <w:position w:val="2"/>
                <w:lang w:bidi="ar-EG"/>
              </w:rPr>
              <w:t>–</w:t>
            </w:r>
            <w:r w:rsidRPr="006D332A">
              <w:rPr>
                <w:position w:val="2"/>
                <w:rtl/>
              </w:rPr>
              <w:tab/>
              <w:t>أطر تخطيط متعددة السنوات</w:t>
            </w:r>
          </w:p>
          <w:p w14:paraId="3C2817D3" w14:textId="77777777" w:rsidR="00BF0385" w:rsidRPr="006D332A" w:rsidRDefault="00BF0385" w:rsidP="00DD24CE">
            <w:pPr>
              <w:pStyle w:val="Tabletexte"/>
              <w:tabs>
                <w:tab w:val="clear" w:pos="794"/>
              </w:tabs>
              <w:ind w:left="365" w:hanging="365"/>
              <w:rPr>
                <w:position w:val="2"/>
              </w:rPr>
            </w:pPr>
            <w:r w:rsidRPr="006D332A">
              <w:rPr>
                <w:position w:val="2"/>
              </w:rPr>
              <w:t>–</w:t>
            </w:r>
            <w:r w:rsidRPr="006D332A">
              <w:rPr>
                <w:position w:val="2"/>
                <w:rtl/>
              </w:rPr>
              <w:tab/>
              <w:t>حدود قصوى ودنيا واضحة</w:t>
            </w:r>
          </w:p>
          <w:p w14:paraId="6926D31D" w14:textId="77777777" w:rsidR="00BF0385" w:rsidRPr="006D332A" w:rsidRDefault="00BF0385" w:rsidP="00DD24CE">
            <w:pPr>
              <w:pStyle w:val="Tabletexte"/>
              <w:tabs>
                <w:tab w:val="clear" w:pos="794"/>
              </w:tabs>
              <w:ind w:left="365" w:hanging="365"/>
              <w:rPr>
                <w:position w:val="2"/>
                <w:lang w:val="ar-SA" w:bidi="ar-EG"/>
              </w:rPr>
            </w:pPr>
            <w:r w:rsidRPr="006D332A">
              <w:rPr>
                <w:position w:val="2"/>
              </w:rPr>
              <w:t>–</w:t>
            </w:r>
            <w:r w:rsidRPr="006D332A">
              <w:rPr>
                <w:position w:val="2"/>
                <w:rtl/>
              </w:rPr>
              <w:tab/>
              <w:t>تنبؤات مستقرة وقابلة للتدقيق.</w:t>
            </w:r>
          </w:p>
          <w:p w14:paraId="117DFB18" w14:textId="7409AE2A" w:rsidR="00BF0385" w:rsidRPr="006D332A" w:rsidRDefault="00BF0385" w:rsidP="00C905AF">
            <w:pPr>
              <w:pStyle w:val="Tabletexte"/>
              <w:rPr>
                <w:position w:val="2"/>
                <w:lang w:val="ar-SA" w:bidi="ar-EG"/>
              </w:rPr>
            </w:pPr>
            <w:r w:rsidRPr="006D332A">
              <w:rPr>
                <w:position w:val="2"/>
                <w:rtl/>
              </w:rPr>
              <w:t>وربط المندوبون استقرار الرسوم بإمكانية التنبؤ بنفاذ مشغلي الأنظمة المستقرة وغير المستقر بالنسبة إلى</w:t>
            </w:r>
            <w:r w:rsidR="004B7833" w:rsidRPr="006D332A">
              <w:rPr>
                <w:rFonts w:hint="cs"/>
                <w:position w:val="2"/>
                <w:rtl/>
              </w:rPr>
              <w:t> </w:t>
            </w:r>
            <w:r w:rsidRPr="006D332A">
              <w:rPr>
                <w:position w:val="2"/>
                <w:rtl/>
              </w:rPr>
              <w:t>الأرض إلى الأسواق.</w:t>
            </w:r>
          </w:p>
        </w:tc>
        <w:tc>
          <w:tcPr>
            <w:tcW w:w="4016" w:type="dxa"/>
          </w:tcPr>
          <w:p w14:paraId="29168F5A" w14:textId="3FF66164" w:rsidR="00BF0385" w:rsidRPr="00B74DF6" w:rsidRDefault="00BF0385" w:rsidP="00C905AF">
            <w:pPr>
              <w:pStyle w:val="Tabletexte"/>
              <w:rPr>
                <w:spacing w:val="-2"/>
                <w:position w:val="2"/>
                <w:lang w:val="ar-SA" w:bidi="ar-EG"/>
              </w:rPr>
            </w:pPr>
            <w:r w:rsidRPr="00B74DF6">
              <w:rPr>
                <w:spacing w:val="-2"/>
                <w:position w:val="2"/>
                <w:rtl/>
              </w:rPr>
              <w:t>ثمة تفهم لدواعي القلق هذه، ومع ذلك فإن الاشتراطات الواردة في القرار 91، الذي يقتضي استرداد التكاليف بالكامل، تستلزم وجود آلية لمعالجة التقلبات الحالية في</w:t>
            </w:r>
            <w:r w:rsidR="006D332A" w:rsidRPr="00B74DF6">
              <w:rPr>
                <w:rFonts w:hint="eastAsia"/>
                <w:spacing w:val="-2"/>
                <w:position w:val="2"/>
                <w:rtl/>
              </w:rPr>
              <w:t> </w:t>
            </w:r>
            <w:r w:rsidRPr="00B74DF6">
              <w:rPr>
                <w:spacing w:val="-2"/>
                <w:position w:val="2"/>
                <w:rtl/>
              </w:rPr>
              <w:t>الأسواق. وتلاحظ الأمانة أن ذلك سيفيد دوائر الصناعة في السنوات التي يزداد فيها الاسترداد.</w:t>
            </w:r>
          </w:p>
          <w:p w14:paraId="61863C0C" w14:textId="6A031364" w:rsidR="00BF0385" w:rsidRPr="006D332A" w:rsidRDefault="00BF0385" w:rsidP="00C905AF">
            <w:pPr>
              <w:pStyle w:val="Tabletexte"/>
              <w:rPr>
                <w:position w:val="2"/>
                <w:lang w:val="ar-SA" w:bidi="ar-EG"/>
              </w:rPr>
            </w:pPr>
            <w:r w:rsidRPr="006D332A">
              <w:rPr>
                <w:position w:val="2"/>
                <w:rtl/>
              </w:rPr>
              <w:t>ونظرا</w:t>
            </w:r>
            <w:r w:rsidR="006D332A">
              <w:rPr>
                <w:rFonts w:hint="cs"/>
                <w:position w:val="2"/>
                <w:rtl/>
              </w:rPr>
              <w:t>ً</w:t>
            </w:r>
            <w:r w:rsidRPr="006D332A">
              <w:rPr>
                <w:position w:val="2"/>
                <w:rtl/>
              </w:rPr>
              <w:t xml:space="preserve"> لمستوى تعقيد هذه الآلية واستعراض الرسوم والإيرادات والميزانية كل سنتين، تقترح الأمانة التخلي عن هذا المقترح.</w:t>
            </w:r>
          </w:p>
        </w:tc>
        <w:tc>
          <w:tcPr>
            <w:tcW w:w="4016" w:type="dxa"/>
          </w:tcPr>
          <w:p w14:paraId="75BA75B8" w14:textId="39FC087D" w:rsidR="00BF0385" w:rsidRPr="008D27D9" w:rsidRDefault="00BF0385" w:rsidP="00C905AF">
            <w:pPr>
              <w:pStyle w:val="Tabletexte"/>
              <w:rPr>
                <w:spacing w:val="-4"/>
                <w:position w:val="2"/>
                <w:lang w:val="ar-SA" w:bidi="ar-EG"/>
              </w:rPr>
            </w:pPr>
            <w:r w:rsidRPr="008D27D9">
              <w:rPr>
                <w:spacing w:val="-4"/>
                <w:position w:val="2"/>
                <w:rtl/>
              </w:rPr>
              <w:t>اقترحت الأمانة أن يجري الاستعراض مرة كل سنتين وليس سنويا</w:t>
            </w:r>
            <w:r w:rsidR="006D332A">
              <w:rPr>
                <w:rFonts w:hint="cs"/>
                <w:spacing w:val="-4"/>
                <w:position w:val="2"/>
                <w:rtl/>
              </w:rPr>
              <w:t>ً</w:t>
            </w:r>
            <w:r w:rsidRPr="008D27D9">
              <w:rPr>
                <w:spacing w:val="-4"/>
                <w:position w:val="2"/>
                <w:rtl/>
              </w:rPr>
              <w:t>، كما اقترحت حدا</w:t>
            </w:r>
            <w:r w:rsidR="00812A26">
              <w:rPr>
                <w:rFonts w:hint="cs"/>
                <w:spacing w:val="-4"/>
                <w:position w:val="2"/>
                <w:rtl/>
              </w:rPr>
              <w:t>ً</w:t>
            </w:r>
            <w:r w:rsidRPr="008D27D9">
              <w:rPr>
                <w:spacing w:val="-4"/>
                <w:position w:val="2"/>
                <w:rtl/>
              </w:rPr>
              <w:t xml:space="preserve"> أقصى قدره </w:t>
            </w:r>
            <w:r w:rsidR="00DD24CE" w:rsidRPr="008D27D9">
              <w:rPr>
                <w:spacing w:val="-4"/>
                <w:position w:val="2"/>
              </w:rPr>
              <w:t>%10</w:t>
            </w:r>
            <w:r w:rsidRPr="008D27D9">
              <w:rPr>
                <w:spacing w:val="-4"/>
                <w:position w:val="2"/>
                <w:rtl/>
              </w:rPr>
              <w:t xml:space="preserve"> للزيادات أو الانخفاضات الناتجة عن هذه عمليات الاستعراض.</w:t>
            </w:r>
          </w:p>
        </w:tc>
      </w:tr>
      <w:tr w:rsidR="00BF0385" w:rsidRPr="00BF0385" w14:paraId="3FC39DBA" w14:textId="77777777" w:rsidTr="00BF0385">
        <w:tc>
          <w:tcPr>
            <w:tcW w:w="2122" w:type="dxa"/>
          </w:tcPr>
          <w:p w14:paraId="5D824EDA" w14:textId="77777777" w:rsidR="00BF0385" w:rsidRPr="008D27D9" w:rsidRDefault="00BF0385" w:rsidP="00C905AF">
            <w:pPr>
              <w:pStyle w:val="Tabletexte"/>
              <w:rPr>
                <w:spacing w:val="-4"/>
                <w:position w:val="2"/>
                <w:lang w:val="ar-SA" w:bidi="ar-EG"/>
              </w:rPr>
            </w:pPr>
            <w:r w:rsidRPr="008D27D9">
              <w:rPr>
                <w:spacing w:val="-4"/>
                <w:position w:val="2"/>
                <w:rtl/>
              </w:rPr>
              <w:lastRenderedPageBreak/>
              <w:t>الحاجة إلى مزيد من الشفافية والبيانات المدققة</w:t>
            </w:r>
          </w:p>
        </w:tc>
        <w:tc>
          <w:tcPr>
            <w:tcW w:w="4016" w:type="dxa"/>
          </w:tcPr>
          <w:p w14:paraId="6B17E7FF" w14:textId="77777777" w:rsidR="00BF0385" w:rsidRPr="008D27D9" w:rsidRDefault="00BF0385" w:rsidP="00C905AF">
            <w:pPr>
              <w:pStyle w:val="Tabletexte"/>
              <w:rPr>
                <w:position w:val="2"/>
                <w:lang w:val="ar-SA" w:bidi="ar-EG"/>
              </w:rPr>
            </w:pPr>
            <w:r w:rsidRPr="008D27D9">
              <w:rPr>
                <w:position w:val="2"/>
                <w:rtl/>
              </w:rPr>
              <w:t>ينبغي أن تستند مقترحات الأمانة إلى بيانات تشغيلية مدققة مصدرها مكتب الاتصالات الراديوية.</w:t>
            </w:r>
          </w:p>
        </w:tc>
        <w:tc>
          <w:tcPr>
            <w:tcW w:w="4016" w:type="dxa"/>
          </w:tcPr>
          <w:p w14:paraId="0F2C0392" w14:textId="2D97DA74" w:rsidR="00BF0385" w:rsidRPr="00B74DF6" w:rsidRDefault="00BF0385" w:rsidP="00B74DF6">
            <w:pPr>
              <w:pStyle w:val="Tabletexte"/>
              <w:keepNext/>
              <w:keepLines/>
              <w:rPr>
                <w:spacing w:val="-2"/>
                <w:position w:val="2"/>
                <w:lang w:val="ar-SA" w:bidi="ar-EG"/>
              </w:rPr>
            </w:pPr>
            <w:r w:rsidRPr="00B74DF6">
              <w:rPr>
                <w:spacing w:val="-2"/>
                <w:position w:val="2"/>
                <w:rtl/>
              </w:rPr>
              <w:t>تستند المقترحات إلى البيانات المالية للاتحاد، بما في</w:t>
            </w:r>
            <w:r w:rsidR="006D332A" w:rsidRPr="00B74DF6">
              <w:rPr>
                <w:rFonts w:hint="eastAsia"/>
                <w:spacing w:val="-2"/>
                <w:position w:val="2"/>
                <w:rtl/>
              </w:rPr>
              <w:t> </w:t>
            </w:r>
            <w:r w:rsidRPr="00B74DF6">
              <w:rPr>
                <w:spacing w:val="-2"/>
                <w:position w:val="2"/>
                <w:rtl/>
              </w:rPr>
              <w:t>ذلك بيانات الموارد البشرية، والتي تخضع للتدقيق، على الرغم من أن الاتحاد يستخدم أحدث المعلومات المتاحة وبالتالي، قد تكون قد سبق تدقيقها. وسيؤدي استعمال بيانات مستمدة من الحسابات المدققة إلى</w:t>
            </w:r>
            <w:r w:rsidR="006D332A" w:rsidRPr="00B74DF6">
              <w:rPr>
                <w:rFonts w:hint="eastAsia"/>
                <w:spacing w:val="-2"/>
                <w:position w:val="2"/>
                <w:rtl/>
              </w:rPr>
              <w:t> </w:t>
            </w:r>
            <w:r w:rsidRPr="00B74DF6">
              <w:rPr>
                <w:spacing w:val="-2"/>
                <w:position w:val="2"/>
                <w:rtl/>
              </w:rPr>
              <w:t>استخدام بيانات مالية عمرها سنتان، مما ما يجعلها غير مواكبة للمعلومات المتعلقة بالسوق الحالية.</w:t>
            </w:r>
          </w:p>
        </w:tc>
        <w:tc>
          <w:tcPr>
            <w:tcW w:w="4016" w:type="dxa"/>
          </w:tcPr>
          <w:p w14:paraId="2691BB1A" w14:textId="77777777" w:rsidR="00BF0385" w:rsidRPr="008D27D9" w:rsidRDefault="00BF0385" w:rsidP="00C905AF">
            <w:pPr>
              <w:pStyle w:val="Tabletexte"/>
              <w:rPr>
                <w:position w:val="2"/>
                <w:lang w:bidi="ar-EG"/>
              </w:rPr>
            </w:pPr>
          </w:p>
        </w:tc>
      </w:tr>
      <w:tr w:rsidR="00BF0385" w:rsidRPr="00BF0385" w14:paraId="17D82844" w14:textId="77777777" w:rsidTr="00BF0385">
        <w:tc>
          <w:tcPr>
            <w:tcW w:w="2122" w:type="dxa"/>
          </w:tcPr>
          <w:p w14:paraId="4E86B4C6" w14:textId="77777777" w:rsidR="00BF0385" w:rsidRPr="008D27D9" w:rsidRDefault="00BF0385" w:rsidP="00C905AF">
            <w:pPr>
              <w:pStyle w:val="Tabletexte"/>
              <w:rPr>
                <w:position w:val="2"/>
                <w:lang w:bidi="ar-EG"/>
              </w:rPr>
            </w:pPr>
          </w:p>
        </w:tc>
        <w:tc>
          <w:tcPr>
            <w:tcW w:w="4016" w:type="dxa"/>
          </w:tcPr>
          <w:p w14:paraId="20D1DF5B" w14:textId="77777777" w:rsidR="00BF0385" w:rsidRPr="008D27D9" w:rsidRDefault="00BF0385" w:rsidP="00C905AF">
            <w:pPr>
              <w:pStyle w:val="Tabletexte"/>
              <w:rPr>
                <w:position w:val="2"/>
                <w:lang w:val="ar-SA" w:bidi="ar-EG"/>
              </w:rPr>
            </w:pPr>
            <w:r w:rsidRPr="008D27D9">
              <w:rPr>
                <w:position w:val="2"/>
                <w:rtl/>
              </w:rPr>
              <w:t>كيف ستقاس التحسينات في الكفاءة ويبلغ عنها؟</w:t>
            </w:r>
          </w:p>
        </w:tc>
        <w:tc>
          <w:tcPr>
            <w:tcW w:w="4016" w:type="dxa"/>
          </w:tcPr>
          <w:p w14:paraId="2E726E37" w14:textId="35A4558E" w:rsidR="00BF0385" w:rsidRPr="008D27D9" w:rsidRDefault="00BF0385" w:rsidP="00C905AF">
            <w:pPr>
              <w:pStyle w:val="Tabletexte"/>
              <w:rPr>
                <w:spacing w:val="-4"/>
                <w:position w:val="2"/>
                <w:lang w:val="ar-SA" w:bidi="ar-EG"/>
              </w:rPr>
            </w:pPr>
            <w:r w:rsidRPr="008D27D9">
              <w:rPr>
                <w:spacing w:val="-4"/>
                <w:position w:val="2"/>
                <w:rtl/>
              </w:rPr>
              <w:t xml:space="preserve">ستؤدي التحسينات في الكفاءة إلى تقليل التكاليف وإنتاج نواتج أكبر، وبالتالي، سينعكس ذلك في التقارير التشغيلية التي يصدرها مكتب الاتصالات الراديوية </w:t>
            </w:r>
            <w:r w:rsidRPr="008D27D9">
              <w:rPr>
                <w:spacing w:val="-4"/>
                <w:position w:val="2"/>
                <w:lang w:bidi="ar-EG"/>
              </w:rPr>
              <w:t>(BR)</w:t>
            </w:r>
            <w:r w:rsidRPr="008D27D9">
              <w:rPr>
                <w:spacing w:val="-4"/>
                <w:position w:val="2"/>
                <w:rtl/>
              </w:rPr>
              <w:t xml:space="preserve"> ويعرضها سنويا</w:t>
            </w:r>
            <w:r w:rsidR="006D332A">
              <w:rPr>
                <w:rFonts w:hint="cs"/>
                <w:spacing w:val="-4"/>
                <w:position w:val="2"/>
                <w:rtl/>
              </w:rPr>
              <w:t>ً</w:t>
            </w:r>
            <w:r w:rsidRPr="008D27D9">
              <w:rPr>
                <w:spacing w:val="-4"/>
                <w:position w:val="2"/>
                <w:rtl/>
              </w:rPr>
              <w:t xml:space="preserve"> على الفريق الاستشاري للاتصالات الراديوية </w:t>
            </w:r>
            <w:r w:rsidRPr="008D27D9">
              <w:rPr>
                <w:spacing w:val="-4"/>
                <w:position w:val="2"/>
                <w:lang w:bidi="ar-EG"/>
              </w:rPr>
              <w:t>(RAG)</w:t>
            </w:r>
            <w:r w:rsidRPr="008D27D9">
              <w:rPr>
                <w:spacing w:val="-4"/>
                <w:position w:val="2"/>
                <w:rtl/>
              </w:rPr>
              <w:t>.</w:t>
            </w:r>
          </w:p>
        </w:tc>
        <w:tc>
          <w:tcPr>
            <w:tcW w:w="4016" w:type="dxa"/>
          </w:tcPr>
          <w:p w14:paraId="76FB0ABF" w14:textId="77777777" w:rsidR="00BF0385" w:rsidRPr="008D27D9" w:rsidRDefault="00BF0385" w:rsidP="00C905AF">
            <w:pPr>
              <w:pStyle w:val="Tabletexte"/>
              <w:rPr>
                <w:position w:val="2"/>
                <w:lang w:bidi="ar-EG"/>
              </w:rPr>
            </w:pPr>
          </w:p>
        </w:tc>
      </w:tr>
      <w:tr w:rsidR="00BF0385" w:rsidRPr="00BF0385" w14:paraId="1BFA1E55" w14:textId="77777777" w:rsidTr="00BF0385">
        <w:tc>
          <w:tcPr>
            <w:tcW w:w="2122" w:type="dxa"/>
          </w:tcPr>
          <w:p w14:paraId="5A8D7B50" w14:textId="77777777" w:rsidR="00BF0385" w:rsidRPr="008D27D9" w:rsidRDefault="00BF0385" w:rsidP="00C905AF">
            <w:pPr>
              <w:pStyle w:val="Tabletexte"/>
              <w:rPr>
                <w:position w:val="2"/>
                <w:lang w:bidi="ar-EG"/>
              </w:rPr>
            </w:pPr>
          </w:p>
        </w:tc>
        <w:tc>
          <w:tcPr>
            <w:tcW w:w="4016" w:type="dxa"/>
          </w:tcPr>
          <w:p w14:paraId="00C09843" w14:textId="6FB093A5" w:rsidR="00BF0385" w:rsidRPr="008D27D9" w:rsidRDefault="00BF0385" w:rsidP="00C905AF">
            <w:pPr>
              <w:pStyle w:val="Tabletexte"/>
              <w:rPr>
                <w:position w:val="2"/>
                <w:lang w:val="ar-SA" w:bidi="ar-EG"/>
              </w:rPr>
            </w:pPr>
            <w:r w:rsidRPr="008D27D9">
              <w:rPr>
                <w:position w:val="2"/>
                <w:rtl/>
              </w:rPr>
              <w:t>كيف ستضمن الأمانة ألا يصبح استرداد التكاليف استردادا</w:t>
            </w:r>
            <w:r w:rsidR="005B2830">
              <w:rPr>
                <w:rFonts w:hint="cs"/>
                <w:position w:val="2"/>
                <w:rtl/>
              </w:rPr>
              <w:t>ً</w:t>
            </w:r>
            <w:r w:rsidRPr="008D27D9">
              <w:rPr>
                <w:position w:val="2"/>
                <w:rtl/>
              </w:rPr>
              <w:t xml:space="preserve"> في إطار الميزانية؟</w:t>
            </w:r>
          </w:p>
        </w:tc>
        <w:tc>
          <w:tcPr>
            <w:tcW w:w="4016" w:type="dxa"/>
          </w:tcPr>
          <w:p w14:paraId="779E00E7" w14:textId="49E1BA51" w:rsidR="00BF0385" w:rsidRPr="008D27D9" w:rsidRDefault="00BF0385" w:rsidP="00C905AF">
            <w:pPr>
              <w:pStyle w:val="Tabletexte"/>
              <w:rPr>
                <w:position w:val="2"/>
                <w:lang w:val="ar-SA" w:bidi="ar-EG"/>
              </w:rPr>
            </w:pPr>
            <w:r w:rsidRPr="008D27D9">
              <w:rPr>
                <w:position w:val="2"/>
                <w:rtl/>
              </w:rPr>
              <w:t xml:space="preserve">استرداد التكاليف هو بطبيعته استرداد جزئي في إطار الميزانية. والغرض من استرداد التكاليف هو ألا يكون الجزء من الإيرادات الذي يغطي تكاليف معالجة بطاقات التبليغ عن الشبكات الساتلية، (المدرجة في ميزانية الاتحاد) أكبر من النفقات التي يتحملها الاتحاد </w:t>
            </w:r>
            <w:r w:rsidR="00F76788">
              <w:rPr>
                <w:rFonts w:hint="cs"/>
                <w:position w:val="2"/>
                <w:rtl/>
              </w:rPr>
              <w:t>ل</w:t>
            </w:r>
            <w:r w:rsidR="00F76788" w:rsidRPr="00F76788">
              <w:rPr>
                <w:position w:val="2"/>
                <w:rtl/>
              </w:rPr>
              <w:t>معالجة بطاقات التبليغ عن الشبكات الساتلية</w:t>
            </w:r>
            <w:r w:rsidRPr="008D27D9">
              <w:rPr>
                <w:position w:val="2"/>
                <w:rtl/>
              </w:rPr>
              <w:t>.</w:t>
            </w:r>
          </w:p>
        </w:tc>
        <w:tc>
          <w:tcPr>
            <w:tcW w:w="4016" w:type="dxa"/>
          </w:tcPr>
          <w:p w14:paraId="03959176" w14:textId="77777777" w:rsidR="00BF0385" w:rsidRPr="008D27D9" w:rsidRDefault="00BF0385" w:rsidP="00C905AF">
            <w:pPr>
              <w:pStyle w:val="Tabletexte"/>
              <w:rPr>
                <w:position w:val="2"/>
                <w:lang w:bidi="ar-EG"/>
              </w:rPr>
            </w:pPr>
          </w:p>
        </w:tc>
      </w:tr>
      <w:tr w:rsidR="00BF0385" w:rsidRPr="00BF0385" w14:paraId="66D049EA" w14:textId="77777777" w:rsidTr="00BF0385">
        <w:tc>
          <w:tcPr>
            <w:tcW w:w="2122" w:type="dxa"/>
          </w:tcPr>
          <w:p w14:paraId="656A5AC6" w14:textId="77777777" w:rsidR="00BF0385" w:rsidRPr="008D27D9" w:rsidRDefault="00BF0385" w:rsidP="00C905AF">
            <w:pPr>
              <w:pStyle w:val="Tabletexte"/>
              <w:rPr>
                <w:position w:val="2"/>
                <w:lang w:bidi="ar-EG"/>
              </w:rPr>
            </w:pPr>
          </w:p>
        </w:tc>
        <w:tc>
          <w:tcPr>
            <w:tcW w:w="4016" w:type="dxa"/>
          </w:tcPr>
          <w:p w14:paraId="3C294B1A" w14:textId="77777777" w:rsidR="00BF0385" w:rsidRPr="008D27D9" w:rsidRDefault="00BF0385" w:rsidP="00C905AF">
            <w:pPr>
              <w:pStyle w:val="Tabletexte"/>
              <w:rPr>
                <w:position w:val="2"/>
                <w:lang w:val="ar-SA" w:bidi="ar-EG"/>
              </w:rPr>
            </w:pPr>
            <w:r w:rsidRPr="008D27D9">
              <w:rPr>
                <w:position w:val="2"/>
                <w:rtl/>
              </w:rPr>
              <w:t>وطلب المندوبون إحصاءات سنوية بشأن ما يلي:</w:t>
            </w:r>
          </w:p>
          <w:p w14:paraId="1732F0E0" w14:textId="77777777" w:rsidR="00BF0385" w:rsidRPr="008D27D9" w:rsidRDefault="00BF0385" w:rsidP="00F3559C">
            <w:pPr>
              <w:pStyle w:val="Tabletexte"/>
              <w:tabs>
                <w:tab w:val="clear" w:pos="794"/>
              </w:tabs>
              <w:ind w:left="365" w:hanging="365"/>
              <w:rPr>
                <w:position w:val="2"/>
              </w:rPr>
            </w:pPr>
            <w:r w:rsidRPr="008D27D9">
              <w:rPr>
                <w:position w:val="2"/>
                <w:lang w:bidi="ar-EG"/>
              </w:rPr>
              <w:t>–</w:t>
            </w:r>
            <w:r w:rsidRPr="008D27D9">
              <w:rPr>
                <w:position w:val="2"/>
                <w:rtl/>
              </w:rPr>
              <w:tab/>
              <w:t>استخدام الاستحقاقات المجانية</w:t>
            </w:r>
          </w:p>
          <w:p w14:paraId="184F7F58" w14:textId="77777777" w:rsidR="00BF0385" w:rsidRPr="008D27D9" w:rsidRDefault="00BF0385" w:rsidP="00F3559C">
            <w:pPr>
              <w:pStyle w:val="Tabletexte"/>
              <w:tabs>
                <w:tab w:val="clear" w:pos="794"/>
              </w:tabs>
              <w:ind w:left="365" w:hanging="365"/>
              <w:rPr>
                <w:position w:val="2"/>
              </w:rPr>
            </w:pPr>
            <w:r w:rsidRPr="008D27D9">
              <w:rPr>
                <w:position w:val="2"/>
              </w:rPr>
              <w:t>–</w:t>
            </w:r>
            <w:r w:rsidRPr="008D27D9">
              <w:rPr>
                <w:position w:val="2"/>
                <w:rtl/>
              </w:rPr>
              <w:tab/>
              <w:t xml:space="preserve">الآثار المالية المترتبة على معالجة بطاقات التبليغ داخل </w:t>
            </w:r>
            <w:proofErr w:type="spellStart"/>
            <w:r w:rsidRPr="008D27D9">
              <w:rPr>
                <w:position w:val="2"/>
                <w:rtl/>
              </w:rPr>
              <w:t>الكوكبات</w:t>
            </w:r>
            <w:proofErr w:type="spellEnd"/>
            <w:r w:rsidRPr="008D27D9">
              <w:rPr>
                <w:position w:val="2"/>
                <w:rtl/>
              </w:rPr>
              <w:t xml:space="preserve"> الكبيرة</w:t>
            </w:r>
          </w:p>
          <w:p w14:paraId="3CD50EC3" w14:textId="77777777" w:rsidR="00BF0385" w:rsidRPr="008D27D9" w:rsidRDefault="00BF0385" w:rsidP="00F3559C">
            <w:pPr>
              <w:pStyle w:val="Tabletexte"/>
              <w:tabs>
                <w:tab w:val="clear" w:pos="794"/>
              </w:tabs>
              <w:ind w:left="365" w:hanging="365"/>
              <w:rPr>
                <w:position w:val="2"/>
                <w:lang w:val="ar-SA" w:bidi="ar-EG"/>
              </w:rPr>
            </w:pPr>
            <w:r w:rsidRPr="008D27D9">
              <w:rPr>
                <w:position w:val="2"/>
              </w:rPr>
              <w:t>–</w:t>
            </w:r>
            <w:r w:rsidRPr="008D27D9">
              <w:rPr>
                <w:position w:val="2"/>
                <w:rtl/>
              </w:rPr>
              <w:tab/>
              <w:t>معايير الكفاءة وتحسينات سير العمل</w:t>
            </w:r>
          </w:p>
        </w:tc>
        <w:tc>
          <w:tcPr>
            <w:tcW w:w="4016" w:type="dxa"/>
          </w:tcPr>
          <w:p w14:paraId="54A426BB" w14:textId="77777777" w:rsidR="00BF0385" w:rsidRPr="008D27D9" w:rsidRDefault="00BF0385" w:rsidP="00C905AF">
            <w:pPr>
              <w:pStyle w:val="Tabletexte"/>
              <w:rPr>
                <w:b/>
                <w:bCs/>
                <w:position w:val="2"/>
                <w:lang w:val="ar-SA" w:bidi="ar-EG"/>
              </w:rPr>
            </w:pPr>
            <w:r w:rsidRPr="008D27D9">
              <w:rPr>
                <w:bCs/>
                <w:position w:val="2"/>
                <w:rtl/>
              </w:rPr>
              <w:t>استخدام الاستحقاقات المجانية</w:t>
            </w:r>
          </w:p>
          <w:tbl>
            <w:tblPr>
              <w:bidiVisual/>
              <w:tblW w:w="4961" w:type="pct"/>
              <w:tblLayout w:type="fixed"/>
              <w:tblCellMar>
                <w:left w:w="28" w:type="dxa"/>
                <w:right w:w="28" w:type="dxa"/>
              </w:tblCellMar>
              <w:tblLook w:val="04A0" w:firstRow="1" w:lastRow="0" w:firstColumn="1" w:lastColumn="0" w:noHBand="0" w:noVBand="1"/>
            </w:tblPr>
            <w:tblGrid>
              <w:gridCol w:w="775"/>
              <w:gridCol w:w="1415"/>
              <w:gridCol w:w="416"/>
              <w:gridCol w:w="1206"/>
            </w:tblGrid>
            <w:tr w:rsidR="00F3559C" w:rsidRPr="008D27D9" w14:paraId="41169A86" w14:textId="77777777" w:rsidTr="00F3559C">
              <w:tc>
                <w:tcPr>
                  <w:tcW w:w="776" w:type="dxa"/>
                  <w:tcBorders>
                    <w:top w:val="single" w:sz="4" w:space="0" w:color="auto"/>
                    <w:left w:val="single" w:sz="4" w:space="0" w:color="auto"/>
                    <w:bottom w:val="single" w:sz="4" w:space="0" w:color="auto"/>
                    <w:right w:val="single" w:sz="4" w:space="0" w:color="auto"/>
                  </w:tcBorders>
                  <w:noWrap/>
                  <w:hideMark/>
                </w:tcPr>
                <w:p w14:paraId="386EB03F" w14:textId="77777777" w:rsidR="00BF0385" w:rsidRPr="008D27D9" w:rsidRDefault="00BF0385" w:rsidP="006D332A">
                  <w:pPr>
                    <w:pStyle w:val="Tabletexte"/>
                    <w:keepNext/>
                    <w:jc w:val="center"/>
                    <w:rPr>
                      <w:position w:val="2"/>
                      <w:sz w:val="18"/>
                      <w:szCs w:val="18"/>
                      <w:lang w:val="ar-SA" w:bidi="ar-EG"/>
                    </w:rPr>
                  </w:pPr>
                  <w:r w:rsidRPr="008D27D9">
                    <w:rPr>
                      <w:position w:val="2"/>
                      <w:sz w:val="18"/>
                      <w:szCs w:val="18"/>
                      <w:rtl/>
                      <w:lang w:bidi="ar-EG"/>
                    </w:rPr>
                    <w:t>ال</w:t>
                  </w:r>
                  <w:r w:rsidRPr="008D27D9">
                    <w:rPr>
                      <w:position w:val="2"/>
                      <w:sz w:val="18"/>
                      <w:szCs w:val="18"/>
                      <w:rtl/>
                    </w:rPr>
                    <w:t>معالجات المجانية</w:t>
                  </w:r>
                </w:p>
              </w:tc>
              <w:tc>
                <w:tcPr>
                  <w:tcW w:w="1417" w:type="dxa"/>
                  <w:tcBorders>
                    <w:top w:val="single" w:sz="4" w:space="0" w:color="auto"/>
                    <w:left w:val="nil"/>
                    <w:bottom w:val="single" w:sz="4" w:space="0" w:color="auto"/>
                    <w:right w:val="single" w:sz="4" w:space="0" w:color="auto"/>
                  </w:tcBorders>
                  <w:noWrap/>
                  <w:hideMark/>
                </w:tcPr>
                <w:p w14:paraId="096C3256" w14:textId="22709D4D" w:rsidR="00BF0385" w:rsidRPr="008D27D9" w:rsidRDefault="00BF0385" w:rsidP="006D332A">
                  <w:pPr>
                    <w:pStyle w:val="Tabletexte"/>
                    <w:keepNext/>
                    <w:jc w:val="center"/>
                    <w:rPr>
                      <w:position w:val="2"/>
                      <w:sz w:val="18"/>
                      <w:szCs w:val="18"/>
                      <w:lang w:val="ar-SA" w:bidi="ar-EG"/>
                    </w:rPr>
                  </w:pPr>
                  <w:r w:rsidRPr="008D27D9">
                    <w:rPr>
                      <w:position w:val="2"/>
                      <w:sz w:val="18"/>
                      <w:szCs w:val="18"/>
                      <w:rtl/>
                    </w:rPr>
                    <w:t xml:space="preserve">المبلغ </w:t>
                  </w:r>
                  <w:r w:rsidRPr="008D27D9">
                    <w:rPr>
                      <w:spacing w:val="-6"/>
                      <w:position w:val="2"/>
                      <w:sz w:val="18"/>
                      <w:szCs w:val="18"/>
                      <w:rtl/>
                    </w:rPr>
                    <w:t>(بالفرنك</w:t>
                  </w:r>
                  <w:r w:rsidR="00F3559C" w:rsidRPr="008D27D9">
                    <w:rPr>
                      <w:rFonts w:hint="eastAsia"/>
                      <w:spacing w:val="-6"/>
                      <w:position w:val="2"/>
                      <w:sz w:val="18"/>
                      <w:szCs w:val="18"/>
                      <w:rtl/>
                      <w:lang w:bidi="ar-EG"/>
                    </w:rPr>
                    <w:t> </w:t>
                  </w:r>
                  <w:r w:rsidRPr="008D27D9">
                    <w:rPr>
                      <w:spacing w:val="-6"/>
                      <w:position w:val="2"/>
                      <w:sz w:val="18"/>
                      <w:szCs w:val="18"/>
                      <w:rtl/>
                    </w:rPr>
                    <w:t>السويسري)</w:t>
                  </w:r>
                </w:p>
              </w:tc>
              <w:tc>
                <w:tcPr>
                  <w:tcW w:w="416" w:type="dxa"/>
                  <w:tcBorders>
                    <w:top w:val="single" w:sz="4" w:space="0" w:color="auto"/>
                    <w:left w:val="nil"/>
                    <w:bottom w:val="single" w:sz="4" w:space="0" w:color="auto"/>
                    <w:right w:val="single" w:sz="4" w:space="0" w:color="auto"/>
                  </w:tcBorders>
                  <w:noWrap/>
                  <w:hideMark/>
                </w:tcPr>
                <w:p w14:paraId="16D3D1BB" w14:textId="77777777" w:rsidR="00BF0385" w:rsidRPr="008D27D9" w:rsidRDefault="00BF0385" w:rsidP="006D332A">
                  <w:pPr>
                    <w:pStyle w:val="Tabletexte"/>
                    <w:keepNext/>
                    <w:jc w:val="center"/>
                    <w:rPr>
                      <w:position w:val="2"/>
                      <w:sz w:val="18"/>
                      <w:szCs w:val="18"/>
                      <w:lang w:val="ar-SA" w:bidi="ar-EG"/>
                    </w:rPr>
                  </w:pPr>
                  <w:r w:rsidRPr="008D27D9">
                    <w:rPr>
                      <w:position w:val="2"/>
                      <w:sz w:val="18"/>
                      <w:szCs w:val="18"/>
                      <w:rtl/>
                    </w:rPr>
                    <w:t>العدد</w:t>
                  </w:r>
                </w:p>
              </w:tc>
              <w:tc>
                <w:tcPr>
                  <w:tcW w:w="1208" w:type="dxa"/>
                  <w:tcBorders>
                    <w:top w:val="single" w:sz="4" w:space="0" w:color="auto"/>
                    <w:left w:val="nil"/>
                    <w:bottom w:val="single" w:sz="4" w:space="0" w:color="auto"/>
                    <w:right w:val="single" w:sz="4" w:space="0" w:color="auto"/>
                  </w:tcBorders>
                  <w:noWrap/>
                  <w:hideMark/>
                </w:tcPr>
                <w:p w14:paraId="5721A728" w14:textId="77777777" w:rsidR="00BF0385" w:rsidRPr="008D27D9" w:rsidRDefault="00BF0385" w:rsidP="006D332A">
                  <w:pPr>
                    <w:pStyle w:val="Tabletexte"/>
                    <w:keepNext/>
                    <w:jc w:val="center"/>
                    <w:rPr>
                      <w:spacing w:val="-4"/>
                      <w:position w:val="2"/>
                      <w:sz w:val="18"/>
                      <w:szCs w:val="18"/>
                      <w:lang w:val="ar-SA" w:bidi="ar-EG"/>
                    </w:rPr>
                  </w:pPr>
                  <w:r w:rsidRPr="008D27D9">
                    <w:rPr>
                      <w:spacing w:val="-4"/>
                      <w:position w:val="2"/>
                      <w:sz w:val="18"/>
                      <w:szCs w:val="18"/>
                      <w:rtl/>
                    </w:rPr>
                    <w:t>متوسط قيمة معالجات البطاقات المجانية (بالفرنك السويسري)</w:t>
                  </w:r>
                </w:p>
              </w:tc>
            </w:tr>
            <w:tr w:rsidR="00F3559C" w:rsidRPr="008D27D9" w14:paraId="74AE1A0B" w14:textId="77777777" w:rsidTr="00F3559C">
              <w:tc>
                <w:tcPr>
                  <w:tcW w:w="776" w:type="dxa"/>
                  <w:tcBorders>
                    <w:top w:val="nil"/>
                    <w:left w:val="single" w:sz="4" w:space="0" w:color="auto"/>
                    <w:bottom w:val="single" w:sz="4" w:space="0" w:color="auto"/>
                    <w:right w:val="single" w:sz="4" w:space="0" w:color="auto"/>
                  </w:tcBorders>
                  <w:noWrap/>
                  <w:vAlign w:val="center"/>
                  <w:hideMark/>
                </w:tcPr>
                <w:p w14:paraId="1B32DD39" w14:textId="77777777" w:rsidR="00F3559C" w:rsidRPr="008D27D9" w:rsidRDefault="00F3559C" w:rsidP="00F3559C">
                  <w:pPr>
                    <w:pStyle w:val="Tabletexte"/>
                    <w:jc w:val="center"/>
                    <w:rPr>
                      <w:position w:val="2"/>
                      <w:sz w:val="18"/>
                      <w:szCs w:val="18"/>
                    </w:rPr>
                  </w:pPr>
                  <w:r w:rsidRPr="008D27D9">
                    <w:rPr>
                      <w:position w:val="2"/>
                      <w:sz w:val="18"/>
                      <w:szCs w:val="18"/>
                    </w:rPr>
                    <w:t>2022</w:t>
                  </w:r>
                </w:p>
              </w:tc>
              <w:tc>
                <w:tcPr>
                  <w:tcW w:w="1417" w:type="dxa"/>
                  <w:tcBorders>
                    <w:top w:val="nil"/>
                    <w:left w:val="nil"/>
                    <w:bottom w:val="single" w:sz="4" w:space="0" w:color="auto"/>
                    <w:right w:val="single" w:sz="4" w:space="0" w:color="auto"/>
                  </w:tcBorders>
                  <w:noWrap/>
                  <w:vAlign w:val="center"/>
                  <w:hideMark/>
                </w:tcPr>
                <w:p w14:paraId="095DA5AF" w14:textId="216C583F" w:rsidR="00F3559C" w:rsidRPr="008D27D9" w:rsidRDefault="00F3559C" w:rsidP="00F3559C">
                  <w:pPr>
                    <w:pStyle w:val="Tabletexte"/>
                    <w:rPr>
                      <w:position w:val="2"/>
                      <w:sz w:val="18"/>
                      <w:szCs w:val="18"/>
                    </w:rPr>
                  </w:pPr>
                  <w:r w:rsidRPr="008D27D9">
                    <w:rPr>
                      <w:position w:val="2"/>
                      <w:sz w:val="18"/>
                      <w:szCs w:val="18"/>
                    </w:rPr>
                    <w:t>1 040 149,00</w:t>
                  </w:r>
                </w:p>
              </w:tc>
              <w:tc>
                <w:tcPr>
                  <w:tcW w:w="416" w:type="dxa"/>
                  <w:tcBorders>
                    <w:top w:val="nil"/>
                    <w:left w:val="nil"/>
                    <w:bottom w:val="single" w:sz="4" w:space="0" w:color="auto"/>
                    <w:right w:val="single" w:sz="4" w:space="0" w:color="auto"/>
                  </w:tcBorders>
                  <w:noWrap/>
                  <w:vAlign w:val="center"/>
                  <w:hideMark/>
                </w:tcPr>
                <w:p w14:paraId="68A9D31C" w14:textId="77777777" w:rsidR="00F3559C" w:rsidRPr="008D27D9" w:rsidRDefault="00F3559C" w:rsidP="00F3559C">
                  <w:pPr>
                    <w:pStyle w:val="Tabletexte"/>
                    <w:jc w:val="center"/>
                    <w:rPr>
                      <w:position w:val="2"/>
                      <w:sz w:val="18"/>
                      <w:szCs w:val="18"/>
                    </w:rPr>
                  </w:pPr>
                  <w:r w:rsidRPr="008D27D9">
                    <w:rPr>
                      <w:position w:val="2"/>
                      <w:sz w:val="18"/>
                      <w:szCs w:val="18"/>
                    </w:rPr>
                    <w:t>34</w:t>
                  </w:r>
                </w:p>
              </w:tc>
              <w:tc>
                <w:tcPr>
                  <w:tcW w:w="1208" w:type="dxa"/>
                  <w:tcBorders>
                    <w:top w:val="nil"/>
                    <w:left w:val="nil"/>
                    <w:bottom w:val="single" w:sz="4" w:space="0" w:color="auto"/>
                    <w:right w:val="single" w:sz="4" w:space="0" w:color="auto"/>
                  </w:tcBorders>
                  <w:noWrap/>
                  <w:vAlign w:val="center"/>
                  <w:hideMark/>
                </w:tcPr>
                <w:p w14:paraId="5614BD46" w14:textId="54823B15" w:rsidR="00F3559C" w:rsidRPr="008D27D9" w:rsidRDefault="00F3559C" w:rsidP="00F3559C">
                  <w:pPr>
                    <w:pStyle w:val="Tabletexte"/>
                    <w:rPr>
                      <w:position w:val="2"/>
                      <w:sz w:val="18"/>
                      <w:szCs w:val="18"/>
                    </w:rPr>
                  </w:pPr>
                  <w:r w:rsidRPr="008D27D9">
                    <w:rPr>
                      <w:position w:val="2"/>
                      <w:sz w:val="18"/>
                      <w:szCs w:val="18"/>
                    </w:rPr>
                    <w:t>30 592,62</w:t>
                  </w:r>
                </w:p>
              </w:tc>
            </w:tr>
            <w:tr w:rsidR="00F3559C" w:rsidRPr="008D27D9" w14:paraId="2E8D692E" w14:textId="77777777" w:rsidTr="00F3559C">
              <w:tc>
                <w:tcPr>
                  <w:tcW w:w="776" w:type="dxa"/>
                  <w:tcBorders>
                    <w:top w:val="nil"/>
                    <w:left w:val="single" w:sz="4" w:space="0" w:color="auto"/>
                    <w:bottom w:val="single" w:sz="4" w:space="0" w:color="auto"/>
                    <w:right w:val="single" w:sz="4" w:space="0" w:color="auto"/>
                  </w:tcBorders>
                  <w:noWrap/>
                  <w:vAlign w:val="center"/>
                  <w:hideMark/>
                </w:tcPr>
                <w:p w14:paraId="5629FC40" w14:textId="77777777" w:rsidR="00F3559C" w:rsidRPr="008D27D9" w:rsidRDefault="00F3559C" w:rsidP="00F3559C">
                  <w:pPr>
                    <w:pStyle w:val="Tabletexte"/>
                    <w:jc w:val="center"/>
                    <w:rPr>
                      <w:position w:val="2"/>
                      <w:sz w:val="18"/>
                      <w:szCs w:val="18"/>
                    </w:rPr>
                  </w:pPr>
                  <w:r w:rsidRPr="008D27D9">
                    <w:rPr>
                      <w:position w:val="2"/>
                      <w:sz w:val="18"/>
                      <w:szCs w:val="18"/>
                    </w:rPr>
                    <w:t>2023</w:t>
                  </w:r>
                </w:p>
              </w:tc>
              <w:tc>
                <w:tcPr>
                  <w:tcW w:w="1417" w:type="dxa"/>
                  <w:tcBorders>
                    <w:top w:val="nil"/>
                    <w:left w:val="nil"/>
                    <w:bottom w:val="single" w:sz="4" w:space="0" w:color="auto"/>
                    <w:right w:val="single" w:sz="4" w:space="0" w:color="auto"/>
                  </w:tcBorders>
                  <w:noWrap/>
                  <w:vAlign w:val="center"/>
                  <w:hideMark/>
                </w:tcPr>
                <w:p w14:paraId="23BEFE97" w14:textId="2321786F" w:rsidR="00F3559C" w:rsidRPr="008D27D9" w:rsidRDefault="00F3559C" w:rsidP="00F3559C">
                  <w:pPr>
                    <w:pStyle w:val="Tabletexte"/>
                    <w:rPr>
                      <w:position w:val="2"/>
                      <w:sz w:val="18"/>
                      <w:szCs w:val="18"/>
                    </w:rPr>
                  </w:pPr>
                  <w:r w:rsidRPr="008D27D9">
                    <w:rPr>
                      <w:position w:val="2"/>
                      <w:sz w:val="18"/>
                      <w:szCs w:val="18"/>
                    </w:rPr>
                    <w:t>1 371 521,00</w:t>
                  </w:r>
                </w:p>
              </w:tc>
              <w:tc>
                <w:tcPr>
                  <w:tcW w:w="416" w:type="dxa"/>
                  <w:tcBorders>
                    <w:top w:val="nil"/>
                    <w:left w:val="nil"/>
                    <w:bottom w:val="single" w:sz="4" w:space="0" w:color="auto"/>
                    <w:right w:val="single" w:sz="4" w:space="0" w:color="auto"/>
                  </w:tcBorders>
                  <w:noWrap/>
                  <w:vAlign w:val="center"/>
                  <w:hideMark/>
                </w:tcPr>
                <w:p w14:paraId="7139AA70" w14:textId="77777777" w:rsidR="00F3559C" w:rsidRPr="008D27D9" w:rsidRDefault="00F3559C" w:rsidP="00F3559C">
                  <w:pPr>
                    <w:pStyle w:val="Tabletexte"/>
                    <w:jc w:val="center"/>
                    <w:rPr>
                      <w:position w:val="2"/>
                      <w:sz w:val="18"/>
                      <w:szCs w:val="18"/>
                    </w:rPr>
                  </w:pPr>
                  <w:r w:rsidRPr="008D27D9">
                    <w:rPr>
                      <w:position w:val="2"/>
                      <w:sz w:val="18"/>
                      <w:szCs w:val="18"/>
                    </w:rPr>
                    <w:t>45</w:t>
                  </w:r>
                </w:p>
              </w:tc>
              <w:tc>
                <w:tcPr>
                  <w:tcW w:w="1208" w:type="dxa"/>
                  <w:tcBorders>
                    <w:top w:val="nil"/>
                    <w:left w:val="nil"/>
                    <w:bottom w:val="single" w:sz="4" w:space="0" w:color="auto"/>
                    <w:right w:val="single" w:sz="4" w:space="0" w:color="auto"/>
                  </w:tcBorders>
                  <w:noWrap/>
                  <w:vAlign w:val="center"/>
                  <w:hideMark/>
                </w:tcPr>
                <w:p w14:paraId="4C4C84BF" w14:textId="56161210" w:rsidR="00F3559C" w:rsidRPr="008D27D9" w:rsidRDefault="00F3559C" w:rsidP="00F3559C">
                  <w:pPr>
                    <w:pStyle w:val="Tabletexte"/>
                    <w:rPr>
                      <w:position w:val="2"/>
                      <w:sz w:val="18"/>
                      <w:szCs w:val="18"/>
                    </w:rPr>
                  </w:pPr>
                  <w:r w:rsidRPr="008D27D9">
                    <w:rPr>
                      <w:position w:val="2"/>
                      <w:sz w:val="18"/>
                      <w:szCs w:val="18"/>
                    </w:rPr>
                    <w:t>30 478,24</w:t>
                  </w:r>
                </w:p>
              </w:tc>
            </w:tr>
            <w:tr w:rsidR="00F3559C" w:rsidRPr="008D27D9" w14:paraId="07CD070E" w14:textId="77777777" w:rsidTr="00F3559C">
              <w:tc>
                <w:tcPr>
                  <w:tcW w:w="776" w:type="dxa"/>
                  <w:tcBorders>
                    <w:top w:val="nil"/>
                    <w:left w:val="single" w:sz="4" w:space="0" w:color="auto"/>
                    <w:bottom w:val="single" w:sz="4" w:space="0" w:color="auto"/>
                    <w:right w:val="single" w:sz="4" w:space="0" w:color="auto"/>
                  </w:tcBorders>
                  <w:noWrap/>
                  <w:vAlign w:val="center"/>
                  <w:hideMark/>
                </w:tcPr>
                <w:p w14:paraId="0208E2BB" w14:textId="77777777" w:rsidR="00F3559C" w:rsidRPr="008D27D9" w:rsidRDefault="00F3559C" w:rsidP="00F3559C">
                  <w:pPr>
                    <w:pStyle w:val="Tabletexte"/>
                    <w:jc w:val="center"/>
                    <w:rPr>
                      <w:position w:val="2"/>
                      <w:sz w:val="18"/>
                      <w:szCs w:val="18"/>
                    </w:rPr>
                  </w:pPr>
                  <w:r w:rsidRPr="008D27D9">
                    <w:rPr>
                      <w:position w:val="2"/>
                      <w:sz w:val="18"/>
                      <w:szCs w:val="18"/>
                    </w:rPr>
                    <w:t>2024</w:t>
                  </w:r>
                </w:p>
              </w:tc>
              <w:tc>
                <w:tcPr>
                  <w:tcW w:w="1417" w:type="dxa"/>
                  <w:tcBorders>
                    <w:top w:val="nil"/>
                    <w:left w:val="nil"/>
                    <w:bottom w:val="single" w:sz="4" w:space="0" w:color="auto"/>
                    <w:right w:val="single" w:sz="4" w:space="0" w:color="auto"/>
                  </w:tcBorders>
                  <w:noWrap/>
                  <w:vAlign w:val="center"/>
                  <w:hideMark/>
                </w:tcPr>
                <w:p w14:paraId="29EECB52" w14:textId="27BFE48D" w:rsidR="00F3559C" w:rsidRPr="008D27D9" w:rsidRDefault="00F3559C" w:rsidP="00F3559C">
                  <w:pPr>
                    <w:pStyle w:val="Tabletexte"/>
                    <w:rPr>
                      <w:position w:val="2"/>
                      <w:sz w:val="18"/>
                      <w:szCs w:val="18"/>
                    </w:rPr>
                  </w:pPr>
                  <w:r w:rsidRPr="008D27D9">
                    <w:rPr>
                      <w:position w:val="2"/>
                      <w:sz w:val="18"/>
                      <w:szCs w:val="18"/>
                    </w:rPr>
                    <w:t>1 209 753,00</w:t>
                  </w:r>
                </w:p>
              </w:tc>
              <w:tc>
                <w:tcPr>
                  <w:tcW w:w="416" w:type="dxa"/>
                  <w:tcBorders>
                    <w:top w:val="nil"/>
                    <w:left w:val="nil"/>
                    <w:bottom w:val="single" w:sz="4" w:space="0" w:color="auto"/>
                    <w:right w:val="single" w:sz="4" w:space="0" w:color="auto"/>
                  </w:tcBorders>
                  <w:noWrap/>
                  <w:vAlign w:val="center"/>
                  <w:hideMark/>
                </w:tcPr>
                <w:p w14:paraId="48FAC2C9" w14:textId="77777777" w:rsidR="00F3559C" w:rsidRPr="008D27D9" w:rsidRDefault="00F3559C" w:rsidP="00F3559C">
                  <w:pPr>
                    <w:pStyle w:val="Tabletexte"/>
                    <w:jc w:val="center"/>
                    <w:rPr>
                      <w:position w:val="2"/>
                      <w:sz w:val="18"/>
                      <w:szCs w:val="18"/>
                    </w:rPr>
                  </w:pPr>
                  <w:r w:rsidRPr="008D27D9">
                    <w:rPr>
                      <w:position w:val="2"/>
                      <w:sz w:val="18"/>
                      <w:szCs w:val="18"/>
                    </w:rPr>
                    <w:t>39</w:t>
                  </w:r>
                </w:p>
              </w:tc>
              <w:tc>
                <w:tcPr>
                  <w:tcW w:w="1208" w:type="dxa"/>
                  <w:tcBorders>
                    <w:top w:val="nil"/>
                    <w:left w:val="nil"/>
                    <w:bottom w:val="single" w:sz="4" w:space="0" w:color="auto"/>
                    <w:right w:val="single" w:sz="4" w:space="0" w:color="auto"/>
                  </w:tcBorders>
                  <w:noWrap/>
                  <w:vAlign w:val="center"/>
                  <w:hideMark/>
                </w:tcPr>
                <w:p w14:paraId="570F7A20" w14:textId="07AFCEEA" w:rsidR="00F3559C" w:rsidRPr="008D27D9" w:rsidRDefault="00F3559C" w:rsidP="00F3559C">
                  <w:pPr>
                    <w:pStyle w:val="Tabletexte"/>
                    <w:rPr>
                      <w:position w:val="2"/>
                      <w:sz w:val="18"/>
                      <w:szCs w:val="18"/>
                    </w:rPr>
                  </w:pPr>
                  <w:r w:rsidRPr="008D27D9">
                    <w:rPr>
                      <w:position w:val="2"/>
                      <w:sz w:val="18"/>
                      <w:szCs w:val="18"/>
                    </w:rPr>
                    <w:t>31 019,31</w:t>
                  </w:r>
                </w:p>
              </w:tc>
            </w:tr>
            <w:tr w:rsidR="00F3559C" w:rsidRPr="008D27D9" w14:paraId="58D0CEB6" w14:textId="77777777" w:rsidTr="00F3559C">
              <w:tc>
                <w:tcPr>
                  <w:tcW w:w="776" w:type="dxa"/>
                  <w:tcBorders>
                    <w:top w:val="nil"/>
                    <w:left w:val="single" w:sz="4" w:space="0" w:color="auto"/>
                    <w:bottom w:val="single" w:sz="4" w:space="0" w:color="auto"/>
                    <w:right w:val="single" w:sz="4" w:space="0" w:color="auto"/>
                  </w:tcBorders>
                  <w:noWrap/>
                  <w:vAlign w:val="center"/>
                  <w:hideMark/>
                </w:tcPr>
                <w:p w14:paraId="5F944700" w14:textId="77777777" w:rsidR="00F3559C" w:rsidRPr="008D27D9" w:rsidRDefault="00F3559C" w:rsidP="00F3559C">
                  <w:pPr>
                    <w:pStyle w:val="Tabletexte"/>
                    <w:jc w:val="center"/>
                    <w:rPr>
                      <w:position w:val="2"/>
                      <w:sz w:val="18"/>
                      <w:szCs w:val="18"/>
                    </w:rPr>
                  </w:pPr>
                  <w:r w:rsidRPr="008D27D9">
                    <w:rPr>
                      <w:position w:val="2"/>
                      <w:sz w:val="18"/>
                      <w:szCs w:val="18"/>
                    </w:rPr>
                    <w:t>2025</w:t>
                  </w:r>
                </w:p>
              </w:tc>
              <w:tc>
                <w:tcPr>
                  <w:tcW w:w="1417" w:type="dxa"/>
                  <w:tcBorders>
                    <w:top w:val="nil"/>
                    <w:left w:val="nil"/>
                    <w:bottom w:val="single" w:sz="4" w:space="0" w:color="auto"/>
                    <w:right w:val="single" w:sz="4" w:space="0" w:color="auto"/>
                  </w:tcBorders>
                  <w:noWrap/>
                  <w:vAlign w:val="center"/>
                  <w:hideMark/>
                </w:tcPr>
                <w:p w14:paraId="5674BD90" w14:textId="7EA1AABD" w:rsidR="00F3559C" w:rsidRPr="008D27D9" w:rsidRDefault="00F3559C" w:rsidP="00F3559C">
                  <w:pPr>
                    <w:pStyle w:val="Tabletexte"/>
                    <w:rPr>
                      <w:position w:val="2"/>
                      <w:sz w:val="18"/>
                      <w:szCs w:val="18"/>
                    </w:rPr>
                  </w:pPr>
                  <w:r w:rsidRPr="008D27D9">
                    <w:rPr>
                      <w:position w:val="2"/>
                      <w:sz w:val="18"/>
                      <w:szCs w:val="18"/>
                    </w:rPr>
                    <w:t>1 838 756,00</w:t>
                  </w:r>
                </w:p>
              </w:tc>
              <w:tc>
                <w:tcPr>
                  <w:tcW w:w="416" w:type="dxa"/>
                  <w:tcBorders>
                    <w:top w:val="nil"/>
                    <w:left w:val="nil"/>
                    <w:bottom w:val="single" w:sz="4" w:space="0" w:color="auto"/>
                    <w:right w:val="single" w:sz="4" w:space="0" w:color="auto"/>
                  </w:tcBorders>
                  <w:noWrap/>
                  <w:vAlign w:val="center"/>
                  <w:hideMark/>
                </w:tcPr>
                <w:p w14:paraId="57993319" w14:textId="77777777" w:rsidR="00F3559C" w:rsidRPr="008D27D9" w:rsidRDefault="00F3559C" w:rsidP="00F3559C">
                  <w:pPr>
                    <w:pStyle w:val="Tabletexte"/>
                    <w:jc w:val="center"/>
                    <w:rPr>
                      <w:position w:val="2"/>
                      <w:sz w:val="18"/>
                      <w:szCs w:val="18"/>
                    </w:rPr>
                  </w:pPr>
                  <w:r w:rsidRPr="008D27D9">
                    <w:rPr>
                      <w:position w:val="2"/>
                      <w:sz w:val="18"/>
                      <w:szCs w:val="18"/>
                    </w:rPr>
                    <w:t>53</w:t>
                  </w:r>
                </w:p>
              </w:tc>
              <w:tc>
                <w:tcPr>
                  <w:tcW w:w="1208" w:type="dxa"/>
                  <w:tcBorders>
                    <w:top w:val="nil"/>
                    <w:left w:val="nil"/>
                    <w:bottom w:val="single" w:sz="4" w:space="0" w:color="auto"/>
                    <w:right w:val="single" w:sz="4" w:space="0" w:color="auto"/>
                  </w:tcBorders>
                  <w:noWrap/>
                  <w:vAlign w:val="center"/>
                  <w:hideMark/>
                </w:tcPr>
                <w:p w14:paraId="2B4A349A" w14:textId="1B201CA8" w:rsidR="00F3559C" w:rsidRPr="008D27D9" w:rsidRDefault="00F3559C" w:rsidP="00F3559C">
                  <w:pPr>
                    <w:pStyle w:val="Tabletexte"/>
                    <w:rPr>
                      <w:position w:val="2"/>
                      <w:sz w:val="18"/>
                      <w:szCs w:val="18"/>
                    </w:rPr>
                  </w:pPr>
                  <w:r w:rsidRPr="008D27D9">
                    <w:rPr>
                      <w:position w:val="2"/>
                      <w:sz w:val="18"/>
                      <w:szCs w:val="18"/>
                    </w:rPr>
                    <w:t>34 693,51</w:t>
                  </w:r>
                </w:p>
              </w:tc>
            </w:tr>
          </w:tbl>
          <w:p w14:paraId="5D9702FE" w14:textId="667B9630" w:rsidR="00BF0385" w:rsidRPr="008D27D9" w:rsidRDefault="00BF0385" w:rsidP="00B74DF6">
            <w:pPr>
              <w:pStyle w:val="Tabletexte"/>
              <w:keepNext/>
              <w:keepLines/>
              <w:rPr>
                <w:position w:val="2"/>
                <w:lang w:val="ar-SA" w:bidi="ar-EG"/>
              </w:rPr>
            </w:pPr>
            <w:r w:rsidRPr="008D27D9">
              <w:rPr>
                <w:position w:val="2"/>
                <w:rtl/>
              </w:rPr>
              <w:lastRenderedPageBreak/>
              <w:t>ظل متوسط قيمة معالجات البطاقات المجانية مستقرا</w:t>
            </w:r>
            <w:r w:rsidR="00F3559C" w:rsidRPr="008D27D9">
              <w:rPr>
                <w:rFonts w:hint="cs"/>
                <w:position w:val="2"/>
                <w:rtl/>
              </w:rPr>
              <w:t>ً</w:t>
            </w:r>
            <w:r w:rsidRPr="008D27D9">
              <w:rPr>
                <w:position w:val="2"/>
                <w:rtl/>
              </w:rPr>
              <w:t xml:space="preserve"> نسبيا</w:t>
            </w:r>
            <w:r w:rsidR="006D332A">
              <w:rPr>
                <w:rFonts w:hint="cs"/>
                <w:position w:val="2"/>
                <w:rtl/>
              </w:rPr>
              <w:t>ً</w:t>
            </w:r>
            <w:r w:rsidRPr="008D27D9">
              <w:rPr>
                <w:position w:val="2"/>
                <w:rtl/>
              </w:rPr>
              <w:t xml:space="preserve"> خلال السنوات الأربع الماضية ويمكن استخدامه كأساس لتقييم أثر زيادة البلدان التي تطلب الاستفادة من الاستحقاق المجاني (الذي يرجح أن يزداد مع زيادة عدد البلدان التي تقدم بطاقات تبليغ) على الميزانية.</w:t>
            </w:r>
          </w:p>
          <w:p w14:paraId="055AB32D" w14:textId="6EF7CF15" w:rsidR="00BF0385" w:rsidRPr="008D27D9" w:rsidRDefault="00BF0385" w:rsidP="00C905AF">
            <w:pPr>
              <w:pStyle w:val="Tabletexte"/>
              <w:rPr>
                <w:b/>
                <w:bCs/>
                <w:position w:val="2"/>
                <w:lang w:val="ar-SA" w:bidi="ar-EG"/>
              </w:rPr>
            </w:pPr>
            <w:r w:rsidRPr="008D27D9">
              <w:rPr>
                <w:bCs/>
                <w:position w:val="2"/>
                <w:rtl/>
              </w:rPr>
              <w:t xml:space="preserve">الآثار المالية لمعالجة بطاقات التبليغ داخل </w:t>
            </w:r>
            <w:proofErr w:type="spellStart"/>
            <w:r w:rsidRPr="008D27D9">
              <w:rPr>
                <w:bCs/>
                <w:position w:val="2"/>
                <w:rtl/>
              </w:rPr>
              <w:t>الكوكبات</w:t>
            </w:r>
            <w:proofErr w:type="spellEnd"/>
            <w:r w:rsidR="00F3559C" w:rsidRPr="008D27D9">
              <w:rPr>
                <w:rFonts w:hint="cs"/>
                <w:bCs/>
                <w:position w:val="2"/>
                <w:rtl/>
              </w:rPr>
              <w:t> </w:t>
            </w:r>
            <w:r w:rsidRPr="008D27D9">
              <w:rPr>
                <w:bCs/>
                <w:position w:val="2"/>
                <w:rtl/>
              </w:rPr>
              <w:t>الكبيرة</w:t>
            </w:r>
          </w:p>
          <w:p w14:paraId="03988437" w14:textId="41884AE5" w:rsidR="00BF0385" w:rsidRPr="00B74DF6" w:rsidRDefault="00BF0385" w:rsidP="00C905AF">
            <w:pPr>
              <w:pStyle w:val="Tabletexte"/>
              <w:rPr>
                <w:spacing w:val="-6"/>
                <w:position w:val="2"/>
                <w:lang w:val="ar-SA" w:bidi="ar-EG"/>
              </w:rPr>
            </w:pPr>
            <w:r w:rsidRPr="00B74DF6">
              <w:rPr>
                <w:spacing w:val="-6"/>
                <w:position w:val="2"/>
                <w:rtl/>
              </w:rPr>
              <w:t>قبل دخول نسخة عام 2025 من المقرر 482 حيز النفاذ في</w:t>
            </w:r>
            <w:r w:rsidR="00F3559C" w:rsidRPr="00B74DF6">
              <w:rPr>
                <w:rFonts w:hint="eastAsia"/>
                <w:spacing w:val="-6"/>
                <w:position w:val="2"/>
                <w:rtl/>
              </w:rPr>
              <w:t> </w:t>
            </w:r>
            <w:r w:rsidRPr="00B74DF6">
              <w:rPr>
                <w:spacing w:val="-6"/>
                <w:position w:val="2"/>
                <w:rtl/>
              </w:rPr>
              <w:t xml:space="preserve">1 يناير 2026، كانت </w:t>
            </w:r>
            <w:proofErr w:type="spellStart"/>
            <w:r w:rsidRPr="00B74DF6">
              <w:rPr>
                <w:spacing w:val="-6"/>
                <w:position w:val="2"/>
                <w:rtl/>
              </w:rPr>
              <w:t>كوكبات</w:t>
            </w:r>
            <w:proofErr w:type="spellEnd"/>
            <w:r w:rsidRPr="00B74DF6">
              <w:rPr>
                <w:spacing w:val="-6"/>
                <w:position w:val="2"/>
                <w:rtl/>
              </w:rPr>
              <w:t xml:space="preserve"> كبيرة محل بطاقات تبليغ عن أنظمة غير مستقرة بالنسبة إلى الأرض بأكثر من</w:t>
            </w:r>
            <w:r w:rsidR="00F3559C" w:rsidRPr="00B74DF6">
              <w:rPr>
                <w:rFonts w:hint="eastAsia"/>
                <w:spacing w:val="-6"/>
                <w:position w:val="2"/>
                <w:rtl/>
              </w:rPr>
              <w:t> </w:t>
            </w:r>
            <w:r w:rsidRPr="00B74DF6">
              <w:rPr>
                <w:spacing w:val="-6"/>
                <w:position w:val="2"/>
              </w:rPr>
              <w:t>75</w:t>
            </w:r>
            <w:r w:rsidR="00F3559C" w:rsidRPr="00B74DF6">
              <w:rPr>
                <w:spacing w:val="-6"/>
                <w:position w:val="2"/>
              </w:rPr>
              <w:t> </w:t>
            </w:r>
            <w:r w:rsidRPr="00B74DF6">
              <w:rPr>
                <w:spacing w:val="-6"/>
                <w:position w:val="2"/>
              </w:rPr>
              <w:t>000</w:t>
            </w:r>
            <w:r w:rsidRPr="00B74DF6">
              <w:rPr>
                <w:spacing w:val="-6"/>
                <w:position w:val="2"/>
                <w:rtl/>
              </w:rPr>
              <w:t xml:space="preserve"> وحدة. وكما أبلغ فريق الخبراء المعني بالمقرر</w:t>
            </w:r>
            <w:r w:rsidR="00F3559C" w:rsidRPr="00B74DF6">
              <w:rPr>
                <w:rFonts w:hint="eastAsia"/>
                <w:spacing w:val="-6"/>
                <w:position w:val="2"/>
                <w:rtl/>
                <w:lang w:bidi="ar-EG"/>
              </w:rPr>
              <w:t> </w:t>
            </w:r>
            <w:r w:rsidRPr="00B74DF6">
              <w:rPr>
                <w:spacing w:val="-6"/>
                <w:position w:val="2"/>
                <w:rtl/>
              </w:rPr>
              <w:t>482، كان عدد هذه الأنظمة الساتلية منخفضا</w:t>
            </w:r>
            <w:r w:rsidR="006D332A" w:rsidRPr="00B74DF6">
              <w:rPr>
                <w:spacing w:val="-6"/>
                <w:position w:val="2"/>
                <w:rtl/>
              </w:rPr>
              <w:t>ً</w:t>
            </w:r>
            <w:r w:rsidRPr="00B74DF6">
              <w:rPr>
                <w:spacing w:val="-6"/>
                <w:position w:val="2"/>
                <w:rtl/>
              </w:rPr>
              <w:t xml:space="preserve"> (وردت 3 في عام 2021، </w:t>
            </w:r>
            <w:r w:rsidR="00897427" w:rsidRPr="00B74DF6">
              <w:rPr>
                <w:spacing w:val="-6"/>
                <w:position w:val="2"/>
                <w:rtl/>
              </w:rPr>
              <w:t>و1</w:t>
            </w:r>
            <w:r w:rsidR="00897427">
              <w:rPr>
                <w:rFonts w:hint="cs"/>
                <w:spacing w:val="-6"/>
                <w:position w:val="2"/>
                <w:rtl/>
              </w:rPr>
              <w:t> </w:t>
            </w:r>
            <w:r w:rsidRPr="00B74DF6">
              <w:rPr>
                <w:spacing w:val="-6"/>
                <w:position w:val="2"/>
                <w:rtl/>
              </w:rPr>
              <w:t>في عام 2022، و6 في</w:t>
            </w:r>
            <w:r w:rsidR="006D332A" w:rsidRPr="00B74DF6">
              <w:rPr>
                <w:rFonts w:hint="eastAsia"/>
                <w:spacing w:val="-6"/>
                <w:position w:val="2"/>
                <w:rtl/>
              </w:rPr>
              <w:t> </w:t>
            </w:r>
            <w:r w:rsidRPr="00B74DF6">
              <w:rPr>
                <w:spacing w:val="-6"/>
                <w:position w:val="2"/>
                <w:rtl/>
              </w:rPr>
              <w:t>عام</w:t>
            </w:r>
            <w:r w:rsidR="00F3559C" w:rsidRPr="00B74DF6">
              <w:rPr>
                <w:rFonts w:hint="eastAsia"/>
                <w:spacing w:val="-6"/>
                <w:position w:val="2"/>
                <w:rtl/>
              </w:rPr>
              <w:t> </w:t>
            </w:r>
            <w:r w:rsidRPr="00B74DF6">
              <w:rPr>
                <w:spacing w:val="-6"/>
                <w:position w:val="2"/>
                <w:rtl/>
              </w:rPr>
              <w:t xml:space="preserve">2023، و2 في عام 2024)، </w:t>
            </w:r>
            <w:r w:rsidR="00897427" w:rsidRPr="00B74DF6">
              <w:rPr>
                <w:spacing w:val="-6"/>
                <w:position w:val="2"/>
                <w:rtl/>
              </w:rPr>
              <w:t>مما</w:t>
            </w:r>
            <w:r w:rsidR="00897427">
              <w:rPr>
                <w:rFonts w:hint="cs"/>
                <w:spacing w:val="-6"/>
                <w:position w:val="2"/>
                <w:rtl/>
              </w:rPr>
              <w:t> </w:t>
            </w:r>
            <w:r w:rsidRPr="00B74DF6">
              <w:rPr>
                <w:spacing w:val="-6"/>
                <w:position w:val="2"/>
                <w:rtl/>
              </w:rPr>
              <w:t>يعطي تقديرات تقل عن العدد الفعلي لبطاقات التبليغ التي تتطلب مزيد من عبء العمل. وقد دفع ذلك فريق الخبراء إلى اقتراح صيغة جديدة لحساب الوحدات، اعتمدها المجلس في عام 2025. ونظرا</w:t>
            </w:r>
            <w:r w:rsidR="006D332A" w:rsidRPr="00B74DF6">
              <w:rPr>
                <w:spacing w:val="-6"/>
                <w:position w:val="2"/>
                <w:rtl/>
              </w:rPr>
              <w:t>ً</w:t>
            </w:r>
            <w:r w:rsidRPr="00B74DF6">
              <w:rPr>
                <w:spacing w:val="-6"/>
                <w:position w:val="2"/>
                <w:rtl/>
              </w:rPr>
              <w:t xml:space="preserve"> لدخول هذه الصيغة حيز النفاذ في 1 يناير 2026، فثمة حاجة إلى مزيد من الوقت لتقييم </w:t>
            </w:r>
            <w:r w:rsidR="00FA7CFA" w:rsidRPr="00B74DF6">
              <w:rPr>
                <w:spacing w:val="-6"/>
                <w:position w:val="2"/>
                <w:rtl/>
              </w:rPr>
              <w:t>ما</w:t>
            </w:r>
            <w:r w:rsidR="00FA7CFA">
              <w:rPr>
                <w:rFonts w:hint="cs"/>
                <w:spacing w:val="-6"/>
                <w:position w:val="2"/>
                <w:rtl/>
              </w:rPr>
              <w:t> </w:t>
            </w:r>
            <w:r w:rsidRPr="00B74DF6">
              <w:rPr>
                <w:spacing w:val="-6"/>
                <w:position w:val="2"/>
                <w:rtl/>
              </w:rPr>
              <w:t>إذا كانت الصيغة الجديدة تعبر بشكل مناسب عن عبء عمل المعالجة.</w:t>
            </w:r>
          </w:p>
          <w:p w14:paraId="0D14F4AC" w14:textId="77777777" w:rsidR="00BF0385" w:rsidRPr="008D27D9" w:rsidRDefault="00BF0385" w:rsidP="00C905AF">
            <w:pPr>
              <w:pStyle w:val="Tabletexte"/>
              <w:rPr>
                <w:b/>
                <w:bCs/>
                <w:position w:val="2"/>
                <w:lang w:val="ar-SA" w:bidi="ar-EG"/>
              </w:rPr>
            </w:pPr>
            <w:r w:rsidRPr="008D27D9">
              <w:rPr>
                <w:bCs/>
                <w:position w:val="2"/>
                <w:rtl/>
              </w:rPr>
              <w:t>معايير الكفاءة وتحسينات سير العمل</w:t>
            </w:r>
          </w:p>
          <w:p w14:paraId="77FB10EB" w14:textId="15B422B9" w:rsidR="00BF0385" w:rsidRPr="008D27D9" w:rsidRDefault="00BF0385" w:rsidP="00C905AF">
            <w:pPr>
              <w:pStyle w:val="Tabletexte"/>
              <w:rPr>
                <w:position w:val="2"/>
                <w:lang w:val="ar-SA" w:bidi="ar-EG"/>
              </w:rPr>
            </w:pPr>
            <w:r w:rsidRPr="008D27D9">
              <w:rPr>
                <w:position w:val="2"/>
                <w:rtl/>
              </w:rPr>
              <w:t>تبلغ لجنة لوائح الراديو بانتظام بمؤشرات الأداء الرئيسية لمعالجة الشبكات الساتلية وتبلغ الفريق الاستشاري للاتصالات الراديوية بها سنويا</w:t>
            </w:r>
            <w:r w:rsidR="00ED7888">
              <w:rPr>
                <w:rFonts w:hint="cs"/>
                <w:position w:val="2"/>
                <w:rtl/>
              </w:rPr>
              <w:t>ً</w:t>
            </w:r>
            <w:r w:rsidRPr="008D27D9">
              <w:rPr>
                <w:position w:val="2"/>
                <w:rtl/>
              </w:rPr>
              <w:t>. ومعظم هذه المؤشرات تقابل المتطلبات التنظيمية المنصوص عليها في لوائح الراديو، والتي لا يمكن تعديلها إلا في إطار مؤتمر عالمي مختص معني بالاتصالات الراديوية.</w:t>
            </w:r>
          </w:p>
          <w:p w14:paraId="75C50E8A" w14:textId="3345D7BA" w:rsidR="00BF0385" w:rsidRPr="008D27D9" w:rsidRDefault="00BF0385" w:rsidP="00C905AF">
            <w:pPr>
              <w:pStyle w:val="Tabletexte"/>
              <w:rPr>
                <w:spacing w:val="-4"/>
                <w:position w:val="2"/>
                <w:lang w:val="ar-SA" w:bidi="ar-EG"/>
              </w:rPr>
            </w:pPr>
            <w:r w:rsidRPr="008D27D9">
              <w:rPr>
                <w:spacing w:val="-4"/>
                <w:position w:val="2"/>
                <w:rtl/>
              </w:rPr>
              <w:t>وعلى المنوال نفسه، يُبلَّغ الفريق الاستشاري للاتصالات الراديوية سنويا</w:t>
            </w:r>
            <w:r w:rsidR="00F241F2">
              <w:rPr>
                <w:rFonts w:hint="cs"/>
                <w:spacing w:val="-4"/>
                <w:position w:val="2"/>
                <w:rtl/>
              </w:rPr>
              <w:t>ً</w:t>
            </w:r>
            <w:r w:rsidRPr="008D27D9">
              <w:rPr>
                <w:spacing w:val="-4"/>
                <w:position w:val="2"/>
                <w:rtl/>
              </w:rPr>
              <w:t xml:space="preserve"> بالتحسينات المحققة في تدفق العمل من خلال زيادة الأتمتة. ونظرا</w:t>
            </w:r>
            <w:r w:rsidR="00F241F2">
              <w:rPr>
                <w:rFonts w:hint="cs"/>
                <w:spacing w:val="-4"/>
                <w:position w:val="2"/>
                <w:rtl/>
              </w:rPr>
              <w:t>ً</w:t>
            </w:r>
            <w:r w:rsidRPr="008D27D9">
              <w:rPr>
                <w:spacing w:val="-4"/>
                <w:position w:val="2"/>
                <w:rtl/>
              </w:rPr>
              <w:t xml:space="preserve"> إلى تنفيذ الإجراءات التنظيمية الواردة في لوائح الراديو، فإن تحسينها إلى ما يتجاوز زيادة الأتمتة يستلزم أن يعدلها مؤتمر عالمي للاتصالات الراديوية.</w:t>
            </w:r>
          </w:p>
        </w:tc>
        <w:tc>
          <w:tcPr>
            <w:tcW w:w="4016" w:type="dxa"/>
          </w:tcPr>
          <w:p w14:paraId="23CBB80D" w14:textId="6D47509E" w:rsidR="00BF0385" w:rsidRPr="008D27D9" w:rsidRDefault="00BF0385" w:rsidP="006D332A">
            <w:pPr>
              <w:pStyle w:val="Tabletexte"/>
              <w:keepNext/>
              <w:keepLines/>
              <w:rPr>
                <w:position w:val="2"/>
                <w:lang w:val="ar-SA" w:bidi="ar-EG"/>
              </w:rPr>
            </w:pPr>
            <w:r w:rsidRPr="008D27D9">
              <w:rPr>
                <w:position w:val="2"/>
                <w:rtl/>
              </w:rPr>
              <w:lastRenderedPageBreak/>
              <w:t>وستدرج الأمانة في تقريرها السنوي إلى المجلس بشأن تنفيذ المقرر 482 أي دواعي قلق قد تنشأ عن زيادة الاستحقاقات المجانية وكذلك عن الصيغة الجديدة الواردة من وحدات الحوسبة.</w:t>
            </w:r>
          </w:p>
          <w:p w14:paraId="65D63C32" w14:textId="22371AA5" w:rsidR="00BF0385" w:rsidRPr="006D332A" w:rsidRDefault="00BF0385" w:rsidP="00C905AF">
            <w:pPr>
              <w:pStyle w:val="Tabletexte"/>
              <w:rPr>
                <w:spacing w:val="-4"/>
                <w:position w:val="2"/>
                <w:lang w:val="ar-SA" w:bidi="ar-EG"/>
              </w:rPr>
            </w:pPr>
            <w:r w:rsidRPr="006D332A">
              <w:rPr>
                <w:spacing w:val="-4"/>
                <w:position w:val="2"/>
                <w:rtl/>
              </w:rPr>
              <w:t>وفيما يتعلق بالتحسينات المحققة في تدفق العمل إلى</w:t>
            </w:r>
            <w:r w:rsidR="006D332A" w:rsidRPr="006D332A">
              <w:rPr>
                <w:rFonts w:hint="cs"/>
                <w:spacing w:val="-4"/>
                <w:position w:val="2"/>
                <w:rtl/>
              </w:rPr>
              <w:t> </w:t>
            </w:r>
            <w:r w:rsidRPr="006D332A">
              <w:rPr>
                <w:spacing w:val="-4"/>
                <w:position w:val="2"/>
                <w:rtl/>
              </w:rPr>
              <w:t>ما يتجاوز زيادة الأتمتة، سيقدم مدير مكتب الاتصالات الراديوية تقريرا</w:t>
            </w:r>
            <w:r w:rsidR="006D332A">
              <w:rPr>
                <w:rFonts w:hint="cs"/>
                <w:spacing w:val="-4"/>
                <w:position w:val="2"/>
                <w:rtl/>
              </w:rPr>
              <w:t>ً</w:t>
            </w:r>
            <w:r w:rsidRPr="006D332A">
              <w:rPr>
                <w:spacing w:val="-4"/>
                <w:position w:val="2"/>
                <w:rtl/>
              </w:rPr>
              <w:t xml:space="preserve"> عن القضايا المحددة واقتراحات لحلها، إلى</w:t>
            </w:r>
            <w:r w:rsidR="006D332A">
              <w:rPr>
                <w:rFonts w:hint="cs"/>
                <w:spacing w:val="-4"/>
                <w:position w:val="2"/>
                <w:rtl/>
              </w:rPr>
              <w:t> </w:t>
            </w:r>
            <w:r w:rsidRPr="006D332A">
              <w:rPr>
                <w:spacing w:val="-4"/>
                <w:position w:val="2"/>
                <w:rtl/>
              </w:rPr>
              <w:t>المؤتمر العالمي المختص القادم للاتصالات الراديوية أو</w:t>
            </w:r>
            <w:r w:rsidR="006D332A">
              <w:rPr>
                <w:rFonts w:hint="cs"/>
                <w:spacing w:val="-4"/>
                <w:position w:val="2"/>
                <w:rtl/>
              </w:rPr>
              <w:t> </w:t>
            </w:r>
            <w:r w:rsidRPr="006D332A">
              <w:rPr>
                <w:spacing w:val="-4"/>
                <w:position w:val="2"/>
                <w:rtl/>
              </w:rPr>
              <w:t>إلى لجنة لوائح الراديو.</w:t>
            </w:r>
          </w:p>
        </w:tc>
      </w:tr>
      <w:tr w:rsidR="00BF0385" w:rsidRPr="00BF0385" w14:paraId="1AF02A81" w14:textId="77777777" w:rsidTr="00BF0385">
        <w:tc>
          <w:tcPr>
            <w:tcW w:w="2122" w:type="dxa"/>
          </w:tcPr>
          <w:p w14:paraId="5FB08A98" w14:textId="77777777" w:rsidR="00BF0385" w:rsidRPr="008D27D9" w:rsidRDefault="00BF0385" w:rsidP="00C905AF">
            <w:pPr>
              <w:pStyle w:val="Tabletexte"/>
              <w:rPr>
                <w:position w:val="2"/>
                <w:lang w:bidi="ar-EG"/>
              </w:rPr>
            </w:pPr>
          </w:p>
        </w:tc>
        <w:tc>
          <w:tcPr>
            <w:tcW w:w="4016" w:type="dxa"/>
          </w:tcPr>
          <w:p w14:paraId="12C1DB56" w14:textId="751342F9" w:rsidR="00BF0385" w:rsidRPr="008D27D9" w:rsidRDefault="00BF0385" w:rsidP="00C905AF">
            <w:pPr>
              <w:pStyle w:val="Tabletexte"/>
              <w:rPr>
                <w:position w:val="2"/>
                <w:lang w:val="ar-SA" w:bidi="ar-EG"/>
              </w:rPr>
            </w:pPr>
            <w:r w:rsidRPr="008D27D9">
              <w:rPr>
                <w:position w:val="2"/>
                <w:rtl/>
              </w:rPr>
              <w:t xml:space="preserve">كان الرأي السائد هو أن رسوم </w:t>
            </w:r>
            <w:r w:rsidR="00F76788" w:rsidRPr="00F76788">
              <w:rPr>
                <w:position w:val="2"/>
                <w:rtl/>
              </w:rPr>
              <w:t>معالجة بطاقات التبليغ عن الشبكات الساتلية</w:t>
            </w:r>
            <w:r w:rsidRPr="008D27D9">
              <w:rPr>
                <w:position w:val="2"/>
                <w:rtl/>
              </w:rPr>
              <w:t>، ينبغي أن تدعم مباشرة عمليات مكتب الاتصالات الراديوية، وليس الأمانة العامة.</w:t>
            </w:r>
          </w:p>
        </w:tc>
        <w:tc>
          <w:tcPr>
            <w:tcW w:w="4016" w:type="dxa"/>
          </w:tcPr>
          <w:p w14:paraId="32083E38" w14:textId="57E47A7F" w:rsidR="00BF0385" w:rsidRPr="008D27D9" w:rsidRDefault="00BF0385" w:rsidP="00C905AF">
            <w:pPr>
              <w:pStyle w:val="Tabletexte"/>
              <w:rPr>
                <w:spacing w:val="-4"/>
                <w:position w:val="2"/>
                <w:lang w:val="ar-SA" w:bidi="ar-EG"/>
              </w:rPr>
            </w:pPr>
            <w:r w:rsidRPr="008D27D9">
              <w:rPr>
                <w:spacing w:val="-4"/>
                <w:position w:val="2"/>
                <w:rtl/>
              </w:rPr>
              <w:t>الميزانية العادية للاتحاد ميزانية جماعية في الاتحاد برمته، وبالتالي، فإن جميع أموال الميزانية العادية التي يجمعها الاتحاد تدعم الاتحاد ككل. وفي الميزانية العادية للاتحاد</w:t>
            </w:r>
            <w:r w:rsidR="008D27D9" w:rsidRPr="008D27D9">
              <w:rPr>
                <w:rFonts w:hint="cs"/>
                <w:spacing w:val="-4"/>
                <w:position w:val="2"/>
                <w:rtl/>
              </w:rPr>
              <w:t> </w:t>
            </w:r>
            <w:r w:rsidRPr="008D27D9">
              <w:rPr>
                <w:spacing w:val="-4"/>
                <w:position w:val="2"/>
                <w:rtl/>
              </w:rPr>
              <w:t xml:space="preserve">(2025)، تبلغ التكاليف المباشرة السنوية لمكتب الاتصالات الراديوية 30,145 مليون فرنك سويسري. ولم يسترد سوى 8,7 ملايين فرنك سويسري من رسوم </w:t>
            </w:r>
            <w:r w:rsidR="00F76788" w:rsidRPr="00F76788">
              <w:rPr>
                <w:spacing w:val="-4"/>
                <w:position w:val="2"/>
                <w:rtl/>
              </w:rPr>
              <w:t>معالجة بطاقات التبليغ عن الشبكات الساتلية</w:t>
            </w:r>
            <w:r w:rsidRPr="008D27D9">
              <w:rPr>
                <w:spacing w:val="-4"/>
                <w:position w:val="2"/>
                <w:rtl/>
              </w:rPr>
              <w:t>، في حين تم تحصيل 6,6 ملايين فرنك سويسري أخرى من أعضاء قطاع الاتصالات الراديوية. ولذلك، تقدم كل عام المساهمات المقررة للدول الأعضاء في</w:t>
            </w:r>
            <w:r w:rsidR="0005167D">
              <w:rPr>
                <w:rFonts w:hint="cs"/>
                <w:spacing w:val="-4"/>
                <w:position w:val="2"/>
                <w:rtl/>
              </w:rPr>
              <w:t> </w:t>
            </w:r>
            <w:r w:rsidRPr="008D27D9">
              <w:rPr>
                <w:spacing w:val="-4"/>
                <w:position w:val="2"/>
                <w:rtl/>
              </w:rPr>
              <w:t>الاتحاد تمويلا</w:t>
            </w:r>
            <w:r w:rsidR="0005167D">
              <w:rPr>
                <w:rFonts w:hint="cs"/>
                <w:spacing w:val="-4"/>
                <w:position w:val="2"/>
                <w:rtl/>
              </w:rPr>
              <w:t>ً</w:t>
            </w:r>
            <w:r w:rsidRPr="008D27D9">
              <w:rPr>
                <w:spacing w:val="-4"/>
                <w:position w:val="2"/>
                <w:rtl/>
              </w:rPr>
              <w:t xml:space="preserve"> قدره 14,845 مليون فرنك سويسري للتكاليف المباشرة لمكتب الاتصالات الراديوية.</w:t>
            </w:r>
          </w:p>
          <w:p w14:paraId="0147CB3B" w14:textId="24AE10C7" w:rsidR="00BF0385" w:rsidRPr="00B74DF6" w:rsidRDefault="00BF0385" w:rsidP="00F76788">
            <w:pPr>
              <w:pStyle w:val="Tabletexte"/>
              <w:keepLines/>
              <w:rPr>
                <w:spacing w:val="-2"/>
                <w:position w:val="2"/>
                <w:lang w:val="ar-SA" w:bidi="ar-EG"/>
              </w:rPr>
            </w:pPr>
            <w:r w:rsidRPr="00B74DF6">
              <w:rPr>
                <w:spacing w:val="-2"/>
                <w:position w:val="2"/>
                <w:rtl/>
              </w:rPr>
              <w:t>وتولد أيضا</w:t>
            </w:r>
            <w:r w:rsidR="0005167D" w:rsidRPr="00B74DF6">
              <w:rPr>
                <w:spacing w:val="-2"/>
                <w:position w:val="2"/>
                <w:rtl/>
              </w:rPr>
              <w:t>ً</w:t>
            </w:r>
            <w:r w:rsidRPr="00B74DF6">
              <w:rPr>
                <w:spacing w:val="-2"/>
                <w:position w:val="2"/>
                <w:rtl/>
              </w:rPr>
              <w:t xml:space="preserve"> </w:t>
            </w:r>
            <w:r w:rsidR="00F76788" w:rsidRPr="00B74DF6">
              <w:rPr>
                <w:spacing w:val="-2"/>
                <w:position w:val="2"/>
                <w:rtl/>
              </w:rPr>
              <w:t xml:space="preserve">معالجة بطاقات التبليغ عن الشبكات الساتلية </w:t>
            </w:r>
            <w:r w:rsidRPr="00B74DF6">
              <w:rPr>
                <w:spacing w:val="-2"/>
                <w:position w:val="2"/>
                <w:rtl/>
              </w:rPr>
              <w:t xml:space="preserve">وغيرها من أعمال مكتب الاتصالات الراديوية نفقات </w:t>
            </w:r>
            <w:r w:rsidR="00AB4287" w:rsidRPr="00B74DF6">
              <w:rPr>
                <w:spacing w:val="-2"/>
                <w:position w:val="2"/>
                <w:rtl/>
              </w:rPr>
              <w:t>في</w:t>
            </w:r>
            <w:r w:rsidR="00AB4287">
              <w:rPr>
                <w:rFonts w:hint="cs"/>
                <w:spacing w:val="-2"/>
                <w:position w:val="2"/>
                <w:rtl/>
              </w:rPr>
              <w:t> </w:t>
            </w:r>
            <w:r w:rsidRPr="00B74DF6">
              <w:rPr>
                <w:spacing w:val="-2"/>
                <w:position w:val="2"/>
                <w:rtl/>
              </w:rPr>
              <w:t>الأمانة العامة (خدمات دائرة خدمات المعلومات، وإدارة المرافق، وخدمات المؤتمرات والمنشورات، والخدمات المتعلقة بالموارد البشرية، والميزانية والشؤون المالية، وما إلى ذلك) تُخصَّص لتغطية مجموعة من التكاليف الإدارية والتكاليف العامة للمكتب. وهذه التكاليف تتكبدها الأمانة العامة، ولكنها تُقيَّد على حساب أعمال مكتب الاتصالات الراديوية.</w:t>
            </w:r>
          </w:p>
        </w:tc>
        <w:tc>
          <w:tcPr>
            <w:tcW w:w="4016" w:type="dxa"/>
          </w:tcPr>
          <w:p w14:paraId="3A4C4497" w14:textId="77777777" w:rsidR="00BF0385" w:rsidRPr="008D27D9" w:rsidRDefault="00BF0385" w:rsidP="00C905AF">
            <w:pPr>
              <w:pStyle w:val="Tabletexte"/>
              <w:rPr>
                <w:position w:val="2"/>
                <w:lang w:bidi="ar-EG"/>
              </w:rPr>
            </w:pPr>
          </w:p>
        </w:tc>
      </w:tr>
    </w:tbl>
    <w:p w14:paraId="4F1453F6" w14:textId="77777777" w:rsidR="00F50E3F" w:rsidRDefault="00D63735" w:rsidP="00D63735">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F50E3F" w:rsidSect="008D27D9">
      <w:footerReference w:type="default" r:id="rId25"/>
      <w:headerReference w:type="first" r:id="rId26"/>
      <w:footerReference w:type="first" r:id="rId27"/>
      <w:pgSz w:w="16840" w:h="11907" w:orient="landscape"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2841D" w14:textId="77777777" w:rsidR="00537052" w:rsidRDefault="00537052" w:rsidP="006C3242">
      <w:pPr>
        <w:spacing w:before="0" w:line="240" w:lineRule="auto"/>
      </w:pPr>
      <w:r>
        <w:separator/>
      </w:r>
    </w:p>
  </w:endnote>
  <w:endnote w:type="continuationSeparator" w:id="0">
    <w:p w14:paraId="71894A28" w14:textId="77777777" w:rsidR="00537052" w:rsidRDefault="00537052"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7874"/>
      <w:gridCol w:w="443"/>
    </w:tblGrid>
    <w:tr w:rsidR="00F50E3F" w:rsidRPr="007B0AA0" w14:paraId="17EE1854" w14:textId="77777777" w:rsidTr="00A67F05">
      <w:trPr>
        <w:jc w:val="center"/>
      </w:trPr>
      <w:tc>
        <w:tcPr>
          <w:tcW w:w="868" w:type="pct"/>
          <w:vAlign w:val="center"/>
        </w:tcPr>
        <w:p w14:paraId="3EAA96DC" w14:textId="0C8FB660" w:rsidR="00F50E3F" w:rsidRPr="007B0AA0" w:rsidRDefault="00BF0385" w:rsidP="006F363C">
          <w:pPr>
            <w:tabs>
              <w:tab w:val="clear" w:pos="794"/>
            </w:tabs>
            <w:overflowPunct w:val="0"/>
            <w:autoSpaceDE w:val="0"/>
            <w:autoSpaceDN w:val="0"/>
            <w:bidi w:val="0"/>
            <w:adjustRightInd w:val="0"/>
            <w:spacing w:before="0" w:line="240" w:lineRule="auto"/>
            <w:jc w:val="right"/>
            <w:textAlignment w:val="baseline"/>
            <w:rPr>
              <w:rFonts w:ascii="Calibri" w:hAnsi="Calibri" w:cs="Arial"/>
              <w:noProof/>
              <w:sz w:val="18"/>
            </w:rPr>
          </w:pPr>
          <w:r w:rsidRPr="00BF0385">
            <w:rPr>
              <w:rFonts w:ascii="Calibri" w:hAnsi="Calibri" w:cs="Arial"/>
              <w:sz w:val="18"/>
              <w:szCs w:val="14"/>
            </w:rPr>
            <w:t>2600741</w:t>
          </w:r>
        </w:p>
      </w:tc>
      <w:tc>
        <w:tcPr>
          <w:tcW w:w="3912" w:type="pct"/>
        </w:tcPr>
        <w:p w14:paraId="316A5502" w14:textId="52E9C49D"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sidR="000116AF">
            <w:rPr>
              <w:rFonts w:ascii="Calibri" w:hAnsi="Calibri" w:cs="Arial"/>
              <w:bCs/>
              <w:color w:val="7F7F7F"/>
              <w:sz w:val="18"/>
            </w:rPr>
            <w:t>6</w:t>
          </w:r>
          <w:r w:rsidRPr="007B0AA0">
            <w:rPr>
              <w:rFonts w:ascii="Calibri" w:hAnsi="Calibri" w:cs="Arial"/>
              <w:bCs/>
              <w:color w:val="7F7F7F"/>
              <w:sz w:val="18"/>
            </w:rPr>
            <w:t>/</w:t>
          </w:r>
          <w:r w:rsidR="00BF0385">
            <w:rPr>
              <w:rFonts w:ascii="Calibri" w:hAnsi="Calibri" w:cs="Arial"/>
              <w:bCs/>
              <w:color w:val="7F7F7F"/>
              <w:sz w:val="18"/>
            </w:rPr>
            <w:t>19</w:t>
          </w:r>
          <w:r w:rsidRPr="007B0AA0">
            <w:rPr>
              <w:rFonts w:ascii="Calibri" w:hAnsi="Calibri" w:cs="Arial"/>
              <w:bCs/>
              <w:color w:val="7F7F7F"/>
              <w:sz w:val="18"/>
            </w:rPr>
            <w:t>-</w:t>
          </w:r>
          <w:r>
            <w:rPr>
              <w:rFonts w:ascii="Calibri" w:hAnsi="Calibri" w:cs="Arial"/>
              <w:bCs/>
              <w:color w:val="7F7F7F"/>
              <w:sz w:val="18"/>
            </w:rPr>
            <w:t>A</w:t>
          </w:r>
        </w:p>
      </w:tc>
      <w:tc>
        <w:tcPr>
          <w:tcW w:w="220" w:type="pct"/>
        </w:tcPr>
        <w:p w14:paraId="574BF475" w14:textId="77777777"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2428109B" w14:textId="77777777" w:rsidR="006C3242" w:rsidRPr="00077A58" w:rsidRDefault="006C3242" w:rsidP="00077A58">
    <w:pPr>
      <w:pStyle w:val="Footer"/>
      <w:tabs>
        <w:tab w:val="clear" w:pos="4153"/>
        <w:tab w:val="clear" w:pos="8306"/>
        <w:tab w:val="center" w:pos="5103"/>
        <w:tab w:val="right" w:pos="9639"/>
      </w:tabs>
      <w:spacing w:after="0"/>
      <w:rPr>
        <w:sz w:val="2"/>
        <w:szCs w:val="2"/>
        <w:lang w:val="fr-FR"/>
      </w:rPr>
    </w:pPr>
  </w:p>
  <w:p w14:paraId="4940C5EA" w14:textId="77777777" w:rsidR="00B4739B" w:rsidRDefault="00B4739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9"/>
      <w:gridCol w:w="7584"/>
      <w:gridCol w:w="441"/>
    </w:tblGrid>
    <w:tr w:rsidR="007B0AA0" w:rsidRPr="007B0AA0" w14:paraId="03C67140" w14:textId="77777777" w:rsidTr="00A67F05">
      <w:trPr>
        <w:jc w:val="center"/>
      </w:trPr>
      <w:tc>
        <w:tcPr>
          <w:tcW w:w="1013" w:type="pct"/>
          <w:vAlign w:val="center"/>
        </w:tcPr>
        <w:p w14:paraId="590F2E05" w14:textId="77777777" w:rsidR="007B0AA0" w:rsidRPr="000116AF" w:rsidRDefault="000116AF" w:rsidP="000116AF">
          <w:pPr>
            <w:tabs>
              <w:tab w:val="clear" w:pos="794"/>
            </w:tabs>
            <w:overflowPunct w:val="0"/>
            <w:autoSpaceDE w:val="0"/>
            <w:autoSpaceDN w:val="0"/>
            <w:bidi w:val="0"/>
            <w:adjustRightInd w:val="0"/>
            <w:spacing w:before="0" w:line="240" w:lineRule="auto"/>
            <w:jc w:val="right"/>
            <w:textAlignment w:val="baseline"/>
            <w:rPr>
              <w:rFonts w:ascii="Calibri" w:hAnsi="Calibri" w:cs="Arial"/>
              <w:noProof/>
              <w:color w:val="7F7F7F"/>
              <w:sz w:val="18"/>
              <w:szCs w:val="18"/>
            </w:rPr>
          </w:pPr>
          <w:hyperlink r:id="rId1" w:anchor="/ar" w:history="1">
            <w:r w:rsidRPr="000116AF">
              <w:rPr>
                <w:rStyle w:val="Hyperlink"/>
                <w:noProof w:val="0"/>
                <w:sz w:val="18"/>
                <w:szCs w:val="18"/>
                <w:lang w:val="en-US"/>
              </w:rPr>
              <w:t>council.itu.int/2026</w:t>
            </w:r>
          </w:hyperlink>
        </w:p>
      </w:tc>
      <w:tc>
        <w:tcPr>
          <w:tcW w:w="3768" w:type="pct"/>
        </w:tcPr>
        <w:p w14:paraId="36654BE9" w14:textId="0F4A69FC" w:rsidR="007B0AA0" w:rsidRPr="007B0AA0" w:rsidRDefault="007B0AA0"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sidR="000116AF">
            <w:rPr>
              <w:rFonts w:ascii="Calibri" w:hAnsi="Calibri" w:cs="Arial"/>
              <w:bCs/>
              <w:color w:val="7F7F7F"/>
              <w:sz w:val="18"/>
            </w:rPr>
            <w:t>6</w:t>
          </w:r>
          <w:r w:rsidRPr="007B0AA0">
            <w:rPr>
              <w:rFonts w:ascii="Calibri" w:hAnsi="Calibri" w:cs="Arial"/>
              <w:bCs/>
              <w:color w:val="7F7F7F"/>
              <w:sz w:val="18"/>
            </w:rPr>
            <w:t>/</w:t>
          </w:r>
          <w:r w:rsidR="00BF0385">
            <w:rPr>
              <w:rFonts w:ascii="Calibri" w:hAnsi="Calibri" w:cs="Arial"/>
              <w:bCs/>
              <w:color w:val="7F7F7F"/>
              <w:sz w:val="18"/>
            </w:rPr>
            <w:t>19</w:t>
          </w:r>
          <w:r w:rsidRPr="007B0AA0">
            <w:rPr>
              <w:rFonts w:ascii="Calibri" w:hAnsi="Calibri" w:cs="Arial"/>
              <w:bCs/>
              <w:color w:val="7F7F7F"/>
              <w:sz w:val="18"/>
            </w:rPr>
            <w:t>-</w:t>
          </w:r>
          <w:r>
            <w:rPr>
              <w:rFonts w:ascii="Calibri" w:hAnsi="Calibri" w:cs="Arial"/>
              <w:bCs/>
              <w:color w:val="7F7F7F"/>
              <w:sz w:val="18"/>
            </w:rPr>
            <w:t>A</w:t>
          </w:r>
        </w:p>
      </w:tc>
      <w:tc>
        <w:tcPr>
          <w:tcW w:w="220" w:type="pct"/>
        </w:tcPr>
        <w:p w14:paraId="671DF82B" w14:textId="77777777" w:rsidR="007B0AA0"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6EF35FBE" w14:textId="77777777" w:rsidR="0006468A" w:rsidRPr="00077A58" w:rsidRDefault="0006468A" w:rsidP="00077A58">
    <w:pPr>
      <w:pStyle w:val="Footer"/>
      <w:tabs>
        <w:tab w:val="clear" w:pos="4153"/>
        <w:tab w:val="clear" w:pos="8306"/>
        <w:tab w:val="center" w:pos="5103"/>
        <w:tab w:val="right" w:pos="9639"/>
      </w:tabs>
      <w:spacing w:after="0"/>
      <w:rPr>
        <w:sz w:val="2"/>
        <w:szCs w:val="2"/>
      </w:rPr>
    </w:pPr>
  </w:p>
  <w:p w14:paraId="53CBA9D4" w14:textId="77777777" w:rsidR="00B4739B" w:rsidRDefault="00B4739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525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4"/>
      <w:gridCol w:w="7452"/>
      <w:gridCol w:w="419"/>
    </w:tblGrid>
    <w:tr w:rsidR="004B7833" w:rsidRPr="007B0AA0" w14:paraId="0D212742" w14:textId="77777777" w:rsidTr="00864A2F">
      <w:trPr>
        <w:jc w:val="center"/>
      </w:trPr>
      <w:tc>
        <w:tcPr>
          <w:tcW w:w="868" w:type="pct"/>
          <w:vAlign w:val="center"/>
        </w:tcPr>
        <w:p w14:paraId="16746845" w14:textId="77777777" w:rsidR="004B7833" w:rsidRPr="007B0AA0" w:rsidRDefault="004B7833" w:rsidP="004B7833">
          <w:pPr>
            <w:tabs>
              <w:tab w:val="clear" w:pos="794"/>
            </w:tabs>
            <w:overflowPunct w:val="0"/>
            <w:autoSpaceDE w:val="0"/>
            <w:autoSpaceDN w:val="0"/>
            <w:bidi w:val="0"/>
            <w:adjustRightInd w:val="0"/>
            <w:spacing w:before="0" w:line="240" w:lineRule="auto"/>
            <w:jc w:val="right"/>
            <w:textAlignment w:val="baseline"/>
            <w:rPr>
              <w:rFonts w:ascii="Calibri" w:hAnsi="Calibri" w:cs="Arial"/>
              <w:noProof/>
              <w:sz w:val="18"/>
            </w:rPr>
          </w:pPr>
          <w:r w:rsidRPr="00BF0385">
            <w:rPr>
              <w:rFonts w:ascii="Calibri" w:hAnsi="Calibri" w:cs="Arial"/>
              <w:sz w:val="18"/>
              <w:szCs w:val="14"/>
            </w:rPr>
            <w:t>2600741</w:t>
          </w:r>
        </w:p>
      </w:tc>
      <w:tc>
        <w:tcPr>
          <w:tcW w:w="3912" w:type="pct"/>
        </w:tcPr>
        <w:p w14:paraId="0AD0CA27" w14:textId="77777777" w:rsidR="004B7833" w:rsidRPr="007B0AA0" w:rsidRDefault="004B7833" w:rsidP="004B7833">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Pr>
              <w:rFonts w:ascii="Calibri" w:hAnsi="Calibri" w:cs="Arial"/>
              <w:bCs/>
              <w:color w:val="7F7F7F"/>
              <w:sz w:val="18"/>
            </w:rPr>
            <w:t>6</w:t>
          </w:r>
          <w:r w:rsidRPr="007B0AA0">
            <w:rPr>
              <w:rFonts w:ascii="Calibri" w:hAnsi="Calibri" w:cs="Arial"/>
              <w:bCs/>
              <w:color w:val="7F7F7F"/>
              <w:sz w:val="18"/>
            </w:rPr>
            <w:t>/</w:t>
          </w:r>
          <w:r>
            <w:rPr>
              <w:rFonts w:ascii="Calibri" w:hAnsi="Calibri" w:cs="Arial"/>
              <w:bCs/>
              <w:color w:val="7F7F7F"/>
              <w:sz w:val="18"/>
            </w:rPr>
            <w:t>19</w:t>
          </w:r>
          <w:r w:rsidRPr="007B0AA0">
            <w:rPr>
              <w:rFonts w:ascii="Calibri" w:hAnsi="Calibri" w:cs="Arial"/>
              <w:bCs/>
              <w:color w:val="7F7F7F"/>
              <w:sz w:val="18"/>
            </w:rPr>
            <w:t>-</w:t>
          </w:r>
          <w:r>
            <w:rPr>
              <w:rFonts w:ascii="Calibri" w:hAnsi="Calibri" w:cs="Arial"/>
              <w:bCs/>
              <w:color w:val="7F7F7F"/>
              <w:sz w:val="18"/>
            </w:rPr>
            <w:t>A</w:t>
          </w:r>
        </w:p>
      </w:tc>
      <w:tc>
        <w:tcPr>
          <w:tcW w:w="220" w:type="pct"/>
        </w:tcPr>
        <w:p w14:paraId="06E7FEA8" w14:textId="77777777" w:rsidR="004B7833" w:rsidRPr="007B0AA0" w:rsidRDefault="004B7833" w:rsidP="004B7833">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ascii="Calibri" w:hAnsi="Calibri" w:cs="Arial"/>
              <w:color w:val="7F7F7F"/>
              <w:sz w:val="18"/>
            </w:rPr>
            <w:t>7</w:t>
          </w:r>
          <w:r w:rsidRPr="007B0AA0">
            <w:rPr>
              <w:rFonts w:ascii="Calibri" w:hAnsi="Calibri" w:cs="Arial"/>
              <w:noProof/>
              <w:color w:val="7F7F7F"/>
              <w:sz w:val="18"/>
            </w:rPr>
            <w:fldChar w:fldCharType="end"/>
          </w:r>
        </w:p>
      </w:tc>
    </w:tr>
  </w:tbl>
  <w:p w14:paraId="34BCD5F8" w14:textId="3FF1FE1D" w:rsidR="00BF0385" w:rsidRPr="00DD24CE" w:rsidRDefault="00BF0385" w:rsidP="00DD24C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525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3"/>
      <w:gridCol w:w="11504"/>
      <w:gridCol w:w="647"/>
    </w:tblGrid>
    <w:tr w:rsidR="00BF0385" w:rsidRPr="007B0AA0" w14:paraId="4E67ADC8" w14:textId="77777777" w:rsidTr="00BF0385">
      <w:trPr>
        <w:jc w:val="center"/>
      </w:trPr>
      <w:tc>
        <w:tcPr>
          <w:tcW w:w="868" w:type="pct"/>
          <w:vAlign w:val="center"/>
        </w:tcPr>
        <w:p w14:paraId="21AF219A" w14:textId="77777777" w:rsidR="00BF0385" w:rsidRPr="007B0AA0" w:rsidRDefault="00BF0385" w:rsidP="00BF0385">
          <w:pPr>
            <w:tabs>
              <w:tab w:val="clear" w:pos="794"/>
            </w:tabs>
            <w:overflowPunct w:val="0"/>
            <w:autoSpaceDE w:val="0"/>
            <w:autoSpaceDN w:val="0"/>
            <w:bidi w:val="0"/>
            <w:adjustRightInd w:val="0"/>
            <w:spacing w:before="0" w:line="240" w:lineRule="auto"/>
            <w:jc w:val="right"/>
            <w:textAlignment w:val="baseline"/>
            <w:rPr>
              <w:rFonts w:ascii="Calibri" w:hAnsi="Calibri" w:cs="Arial"/>
              <w:noProof/>
              <w:sz w:val="18"/>
            </w:rPr>
          </w:pPr>
          <w:r w:rsidRPr="00BF0385">
            <w:rPr>
              <w:rFonts w:ascii="Calibri" w:hAnsi="Calibri" w:cs="Arial"/>
              <w:sz w:val="18"/>
              <w:szCs w:val="14"/>
            </w:rPr>
            <w:t>2600741</w:t>
          </w:r>
        </w:p>
      </w:tc>
      <w:tc>
        <w:tcPr>
          <w:tcW w:w="3912" w:type="pct"/>
        </w:tcPr>
        <w:p w14:paraId="56A8E53D" w14:textId="77777777" w:rsidR="00BF0385" w:rsidRPr="007B0AA0" w:rsidRDefault="00BF0385" w:rsidP="00BF0385">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Pr>
              <w:rFonts w:ascii="Calibri" w:hAnsi="Calibri" w:cs="Arial"/>
              <w:bCs/>
              <w:color w:val="7F7F7F"/>
              <w:sz w:val="18"/>
            </w:rPr>
            <w:t>6</w:t>
          </w:r>
          <w:r w:rsidRPr="007B0AA0">
            <w:rPr>
              <w:rFonts w:ascii="Calibri" w:hAnsi="Calibri" w:cs="Arial"/>
              <w:bCs/>
              <w:color w:val="7F7F7F"/>
              <w:sz w:val="18"/>
            </w:rPr>
            <w:t>/</w:t>
          </w:r>
          <w:r>
            <w:rPr>
              <w:rFonts w:ascii="Calibri" w:hAnsi="Calibri" w:cs="Arial"/>
              <w:bCs/>
              <w:color w:val="7F7F7F"/>
              <w:sz w:val="18"/>
            </w:rPr>
            <w:t>19</w:t>
          </w:r>
          <w:r w:rsidRPr="007B0AA0">
            <w:rPr>
              <w:rFonts w:ascii="Calibri" w:hAnsi="Calibri" w:cs="Arial"/>
              <w:bCs/>
              <w:color w:val="7F7F7F"/>
              <w:sz w:val="18"/>
            </w:rPr>
            <w:t>-</w:t>
          </w:r>
          <w:r>
            <w:rPr>
              <w:rFonts w:ascii="Calibri" w:hAnsi="Calibri" w:cs="Arial"/>
              <w:bCs/>
              <w:color w:val="7F7F7F"/>
              <w:sz w:val="18"/>
            </w:rPr>
            <w:t>A</w:t>
          </w:r>
        </w:p>
      </w:tc>
      <w:tc>
        <w:tcPr>
          <w:tcW w:w="220" w:type="pct"/>
        </w:tcPr>
        <w:p w14:paraId="286F3C43" w14:textId="77777777" w:rsidR="00BF0385" w:rsidRPr="007B0AA0" w:rsidRDefault="00BF0385" w:rsidP="00BF0385">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ascii="Calibri" w:hAnsi="Calibri" w:cs="Arial"/>
              <w:color w:val="7F7F7F"/>
              <w:sz w:val="18"/>
            </w:rPr>
            <w:t>7</w:t>
          </w:r>
          <w:r w:rsidRPr="007B0AA0">
            <w:rPr>
              <w:rFonts w:ascii="Calibri" w:hAnsi="Calibri" w:cs="Arial"/>
              <w:noProof/>
              <w:color w:val="7F7F7F"/>
              <w:sz w:val="18"/>
            </w:rPr>
            <w:fldChar w:fldCharType="end"/>
          </w:r>
        </w:p>
      </w:tc>
    </w:tr>
  </w:tbl>
  <w:p w14:paraId="24F93DC6" w14:textId="77777777" w:rsidR="00BF0385" w:rsidRPr="00BF0385" w:rsidRDefault="00BF0385" w:rsidP="00BF03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74943" w14:textId="77777777" w:rsidR="00537052" w:rsidRDefault="00537052" w:rsidP="006C3242">
      <w:pPr>
        <w:spacing w:before="0" w:line="240" w:lineRule="auto"/>
      </w:pPr>
      <w:r>
        <w:separator/>
      </w:r>
    </w:p>
  </w:footnote>
  <w:footnote w:type="continuationSeparator" w:id="0">
    <w:p w14:paraId="2F1BABCB" w14:textId="77777777" w:rsidR="00537052" w:rsidRDefault="00537052"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B4BFC" w14:textId="77777777" w:rsidR="001A3E13" w:rsidRPr="00057769" w:rsidRDefault="001A3E13" w:rsidP="001A3E13">
    <w:pPr>
      <w:pStyle w:val="Header"/>
    </w:pPr>
    <w:r>
      <w:rPr>
        <w:noProof/>
      </w:rPr>
      <w:drawing>
        <wp:inline distT="0" distB="0" distL="0" distR="0" wp14:anchorId="04ADA7CE" wp14:editId="150B31ED">
          <wp:extent cx="5760085" cy="840740"/>
          <wp:effectExtent l="0" t="0" r="0" b="0"/>
          <wp:docPr id="1496537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537511" name="Picture 1496537511"/>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C55D0" w14:textId="67306534" w:rsidR="00BF0385" w:rsidRPr="00BF0385" w:rsidRDefault="00BF0385" w:rsidP="00BF03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38345589">
    <w:abstractNumId w:val="9"/>
  </w:num>
  <w:num w:numId="2" w16cid:durableId="1774472849">
    <w:abstractNumId w:val="7"/>
  </w:num>
  <w:num w:numId="3" w16cid:durableId="923494626">
    <w:abstractNumId w:val="6"/>
  </w:num>
  <w:num w:numId="4" w16cid:durableId="442574474">
    <w:abstractNumId w:val="5"/>
  </w:num>
  <w:num w:numId="5" w16cid:durableId="1628318554">
    <w:abstractNumId w:val="4"/>
  </w:num>
  <w:num w:numId="6" w16cid:durableId="2075542342">
    <w:abstractNumId w:val="8"/>
  </w:num>
  <w:num w:numId="7" w16cid:durableId="1174762821">
    <w:abstractNumId w:val="3"/>
  </w:num>
  <w:num w:numId="8" w16cid:durableId="201795547">
    <w:abstractNumId w:val="2"/>
  </w:num>
  <w:num w:numId="9" w16cid:durableId="355010693">
    <w:abstractNumId w:val="1"/>
  </w:num>
  <w:num w:numId="10" w16cid:durableId="844200481">
    <w:abstractNumId w:val="0"/>
  </w:num>
  <w:num w:numId="11" w16cid:durableId="11048383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9E0"/>
    <w:rsid w:val="000116AF"/>
    <w:rsid w:val="0005167D"/>
    <w:rsid w:val="0006468A"/>
    <w:rsid w:val="00077A58"/>
    <w:rsid w:val="00090574"/>
    <w:rsid w:val="000C1C0E"/>
    <w:rsid w:val="000C548A"/>
    <w:rsid w:val="000F6A8E"/>
    <w:rsid w:val="0014050D"/>
    <w:rsid w:val="001639BF"/>
    <w:rsid w:val="00167DD4"/>
    <w:rsid w:val="00191059"/>
    <w:rsid w:val="001A3E13"/>
    <w:rsid w:val="001B6E2B"/>
    <w:rsid w:val="001C0169"/>
    <w:rsid w:val="001C0C21"/>
    <w:rsid w:val="001D1D50"/>
    <w:rsid w:val="001D64C7"/>
    <w:rsid w:val="001D6745"/>
    <w:rsid w:val="001E446E"/>
    <w:rsid w:val="002154EE"/>
    <w:rsid w:val="002276D2"/>
    <w:rsid w:val="0023283D"/>
    <w:rsid w:val="00254393"/>
    <w:rsid w:val="0026373E"/>
    <w:rsid w:val="00271C43"/>
    <w:rsid w:val="002746DC"/>
    <w:rsid w:val="00290728"/>
    <w:rsid w:val="002978F4"/>
    <w:rsid w:val="002A716B"/>
    <w:rsid w:val="002B028D"/>
    <w:rsid w:val="002C3F32"/>
    <w:rsid w:val="002E6541"/>
    <w:rsid w:val="00305F86"/>
    <w:rsid w:val="00322B4B"/>
    <w:rsid w:val="00334924"/>
    <w:rsid w:val="003409BC"/>
    <w:rsid w:val="00357185"/>
    <w:rsid w:val="00361D04"/>
    <w:rsid w:val="0036598F"/>
    <w:rsid w:val="00383829"/>
    <w:rsid w:val="003D58C6"/>
    <w:rsid w:val="003F4B29"/>
    <w:rsid w:val="00410B26"/>
    <w:rsid w:val="00420F8A"/>
    <w:rsid w:val="0042686F"/>
    <w:rsid w:val="004317D8"/>
    <w:rsid w:val="0043260A"/>
    <w:rsid w:val="00434183"/>
    <w:rsid w:val="00443869"/>
    <w:rsid w:val="00443B54"/>
    <w:rsid w:val="00447F32"/>
    <w:rsid w:val="0047213D"/>
    <w:rsid w:val="00491BA9"/>
    <w:rsid w:val="00494119"/>
    <w:rsid w:val="00494598"/>
    <w:rsid w:val="004965B0"/>
    <w:rsid w:val="004A4701"/>
    <w:rsid w:val="004B7334"/>
    <w:rsid w:val="004B7833"/>
    <w:rsid w:val="004E11DC"/>
    <w:rsid w:val="004F113C"/>
    <w:rsid w:val="005130DE"/>
    <w:rsid w:val="00513157"/>
    <w:rsid w:val="00525DDD"/>
    <w:rsid w:val="00537052"/>
    <w:rsid w:val="005409AC"/>
    <w:rsid w:val="005434E0"/>
    <w:rsid w:val="00546F57"/>
    <w:rsid w:val="005546CF"/>
    <w:rsid w:val="0055516A"/>
    <w:rsid w:val="0056104B"/>
    <w:rsid w:val="00567DEB"/>
    <w:rsid w:val="0058491B"/>
    <w:rsid w:val="00592EA5"/>
    <w:rsid w:val="005A3170"/>
    <w:rsid w:val="005B2830"/>
    <w:rsid w:val="005E7671"/>
    <w:rsid w:val="005F466D"/>
    <w:rsid w:val="0060298B"/>
    <w:rsid w:val="0061493B"/>
    <w:rsid w:val="006364EC"/>
    <w:rsid w:val="0065512A"/>
    <w:rsid w:val="00657019"/>
    <w:rsid w:val="00660DEA"/>
    <w:rsid w:val="00677396"/>
    <w:rsid w:val="00677B86"/>
    <w:rsid w:val="00680ED1"/>
    <w:rsid w:val="00683F16"/>
    <w:rsid w:val="0069200F"/>
    <w:rsid w:val="006A65CB"/>
    <w:rsid w:val="006B12E5"/>
    <w:rsid w:val="006C3242"/>
    <w:rsid w:val="006C7CC0"/>
    <w:rsid w:val="006D332A"/>
    <w:rsid w:val="006F08B7"/>
    <w:rsid w:val="006F363C"/>
    <w:rsid w:val="006F63F7"/>
    <w:rsid w:val="007025C7"/>
    <w:rsid w:val="007049E0"/>
    <w:rsid w:val="00706D7A"/>
    <w:rsid w:val="00722F0D"/>
    <w:rsid w:val="00731A5D"/>
    <w:rsid w:val="00733CEC"/>
    <w:rsid w:val="00735081"/>
    <w:rsid w:val="0074420E"/>
    <w:rsid w:val="007648A6"/>
    <w:rsid w:val="0077110E"/>
    <w:rsid w:val="00783E26"/>
    <w:rsid w:val="007A6684"/>
    <w:rsid w:val="007B0AA0"/>
    <w:rsid w:val="007C3BC7"/>
    <w:rsid w:val="007C3BCD"/>
    <w:rsid w:val="007D4ACF"/>
    <w:rsid w:val="007F0787"/>
    <w:rsid w:val="007F78FB"/>
    <w:rsid w:val="0081031B"/>
    <w:rsid w:val="00810B7B"/>
    <w:rsid w:val="00812A26"/>
    <w:rsid w:val="0082358A"/>
    <w:rsid w:val="008235CD"/>
    <w:rsid w:val="008247DE"/>
    <w:rsid w:val="008339C0"/>
    <w:rsid w:val="0084075D"/>
    <w:rsid w:val="00840B10"/>
    <w:rsid w:val="00843096"/>
    <w:rsid w:val="008445FD"/>
    <w:rsid w:val="008513CB"/>
    <w:rsid w:val="008560F4"/>
    <w:rsid w:val="00874E9F"/>
    <w:rsid w:val="00897427"/>
    <w:rsid w:val="008A2506"/>
    <w:rsid w:val="008A7F84"/>
    <w:rsid w:val="008B280F"/>
    <w:rsid w:val="008B30E6"/>
    <w:rsid w:val="008D27D9"/>
    <w:rsid w:val="008D3A90"/>
    <w:rsid w:val="0091702E"/>
    <w:rsid w:val="00923B0C"/>
    <w:rsid w:val="00924F46"/>
    <w:rsid w:val="00927F30"/>
    <w:rsid w:val="00930F36"/>
    <w:rsid w:val="00935AA7"/>
    <w:rsid w:val="00935AAC"/>
    <w:rsid w:val="0093725D"/>
    <w:rsid w:val="0094021C"/>
    <w:rsid w:val="00952F86"/>
    <w:rsid w:val="00953EDE"/>
    <w:rsid w:val="0096716C"/>
    <w:rsid w:val="009704A9"/>
    <w:rsid w:val="00973E11"/>
    <w:rsid w:val="00982B28"/>
    <w:rsid w:val="009868AC"/>
    <w:rsid w:val="009C051B"/>
    <w:rsid w:val="009D313F"/>
    <w:rsid w:val="009E1C58"/>
    <w:rsid w:val="009E46F2"/>
    <w:rsid w:val="009E50A0"/>
    <w:rsid w:val="00A31A53"/>
    <w:rsid w:val="00A47A5A"/>
    <w:rsid w:val="00A63AE6"/>
    <w:rsid w:val="00A6683B"/>
    <w:rsid w:val="00A67F05"/>
    <w:rsid w:val="00A97F94"/>
    <w:rsid w:val="00AA7EA2"/>
    <w:rsid w:val="00AB4287"/>
    <w:rsid w:val="00AB5A56"/>
    <w:rsid w:val="00AD7D83"/>
    <w:rsid w:val="00AE0645"/>
    <w:rsid w:val="00AE66FC"/>
    <w:rsid w:val="00AF5448"/>
    <w:rsid w:val="00B03099"/>
    <w:rsid w:val="00B05BC8"/>
    <w:rsid w:val="00B30F5E"/>
    <w:rsid w:val="00B4739B"/>
    <w:rsid w:val="00B643F9"/>
    <w:rsid w:val="00B64B47"/>
    <w:rsid w:val="00B74DF6"/>
    <w:rsid w:val="00B86754"/>
    <w:rsid w:val="00B91A0D"/>
    <w:rsid w:val="00B95654"/>
    <w:rsid w:val="00B97F32"/>
    <w:rsid w:val="00BA04B2"/>
    <w:rsid w:val="00BB20D0"/>
    <w:rsid w:val="00BF0385"/>
    <w:rsid w:val="00C002DE"/>
    <w:rsid w:val="00C0602B"/>
    <w:rsid w:val="00C224DA"/>
    <w:rsid w:val="00C31A8F"/>
    <w:rsid w:val="00C429C2"/>
    <w:rsid w:val="00C53BF8"/>
    <w:rsid w:val="00C66157"/>
    <w:rsid w:val="00C674FE"/>
    <w:rsid w:val="00C67501"/>
    <w:rsid w:val="00C75633"/>
    <w:rsid w:val="00C905AF"/>
    <w:rsid w:val="00CA029D"/>
    <w:rsid w:val="00CE2EE1"/>
    <w:rsid w:val="00CE3349"/>
    <w:rsid w:val="00CE36E5"/>
    <w:rsid w:val="00CE4360"/>
    <w:rsid w:val="00CF27F5"/>
    <w:rsid w:val="00CF3FFD"/>
    <w:rsid w:val="00D10CCF"/>
    <w:rsid w:val="00D13941"/>
    <w:rsid w:val="00D23F5F"/>
    <w:rsid w:val="00D40638"/>
    <w:rsid w:val="00D43F7D"/>
    <w:rsid w:val="00D53238"/>
    <w:rsid w:val="00D53D83"/>
    <w:rsid w:val="00D63735"/>
    <w:rsid w:val="00D73E52"/>
    <w:rsid w:val="00D77D0F"/>
    <w:rsid w:val="00D95C33"/>
    <w:rsid w:val="00DA1CF0"/>
    <w:rsid w:val="00DA6A30"/>
    <w:rsid w:val="00DC1D94"/>
    <w:rsid w:val="00DC1E02"/>
    <w:rsid w:val="00DC24B4"/>
    <w:rsid w:val="00DC5FB0"/>
    <w:rsid w:val="00DD08FF"/>
    <w:rsid w:val="00DD24CE"/>
    <w:rsid w:val="00DF16DC"/>
    <w:rsid w:val="00E45211"/>
    <w:rsid w:val="00E473C5"/>
    <w:rsid w:val="00E61BE8"/>
    <w:rsid w:val="00E83FF1"/>
    <w:rsid w:val="00E9068F"/>
    <w:rsid w:val="00E92863"/>
    <w:rsid w:val="00E979B2"/>
    <w:rsid w:val="00EA70F5"/>
    <w:rsid w:val="00EB76D8"/>
    <w:rsid w:val="00EB796D"/>
    <w:rsid w:val="00ED7888"/>
    <w:rsid w:val="00EF027A"/>
    <w:rsid w:val="00EF06E5"/>
    <w:rsid w:val="00EF0810"/>
    <w:rsid w:val="00EF5D4D"/>
    <w:rsid w:val="00F058DC"/>
    <w:rsid w:val="00F241F2"/>
    <w:rsid w:val="00F24FC4"/>
    <w:rsid w:val="00F2676C"/>
    <w:rsid w:val="00F3559C"/>
    <w:rsid w:val="00F363FE"/>
    <w:rsid w:val="00F4600A"/>
    <w:rsid w:val="00F50E3F"/>
    <w:rsid w:val="00F76788"/>
    <w:rsid w:val="00F84366"/>
    <w:rsid w:val="00F85089"/>
    <w:rsid w:val="00F92977"/>
    <w:rsid w:val="00F974C5"/>
    <w:rsid w:val="00FA3763"/>
    <w:rsid w:val="00FA6F46"/>
    <w:rsid w:val="00FA7CFA"/>
    <w:rsid w:val="00FC0E94"/>
    <w:rsid w:val="00FC4592"/>
    <w:rsid w:val="00FD527F"/>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CCE14D"/>
  <w15:chartTrackingRefBased/>
  <w15:docId w15:val="{DC3FE2F2-62E8-4274-81B6-304C61BFA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081"/>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_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_No"/>
    <w:basedOn w:val="AgendaItem"/>
    <w:qFormat/>
    <w:rsid w:val="00F974C5"/>
  </w:style>
  <w:style w:type="paragraph" w:customStyle="1" w:styleId="Annextitle">
    <w:name w:val="Annex_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_No"/>
    <w:basedOn w:val="Normal"/>
    <w:qFormat/>
    <w:rsid w:val="00F974C5"/>
    <w:pPr>
      <w:keepNext/>
      <w:keepLines/>
      <w:spacing w:before="360"/>
      <w:jc w:val="center"/>
    </w:pPr>
    <w:rPr>
      <w:sz w:val="26"/>
      <w:szCs w:val="26"/>
      <w:lang w:bidi="ar-SY"/>
    </w:rPr>
  </w:style>
  <w:style w:type="paragraph" w:customStyle="1" w:styleId="Appendixtitle">
    <w:name w:val="Appendix_title"/>
    <w:basedOn w:val="Normal"/>
    <w:qFormat/>
    <w:rsid w:val="00F974C5"/>
    <w:pPr>
      <w:keepNext/>
      <w:keepLines/>
      <w:spacing w:after="360"/>
      <w:jc w:val="center"/>
    </w:pPr>
    <w:rPr>
      <w:b/>
      <w:bCs/>
      <w:sz w:val="28"/>
      <w:szCs w:val="28"/>
    </w:rPr>
  </w:style>
  <w:style w:type="paragraph" w:customStyle="1" w:styleId="ArticleNo">
    <w:name w:val="Article_No"/>
    <w:basedOn w:val="Normal"/>
    <w:qFormat/>
    <w:rsid w:val="00F974C5"/>
    <w:pPr>
      <w:keepNext/>
      <w:keepLines/>
      <w:spacing w:after="360"/>
      <w:jc w:val="center"/>
    </w:pPr>
    <w:rPr>
      <w:sz w:val="26"/>
      <w:szCs w:val="26"/>
      <w:lang w:bidi="ar-SY"/>
    </w:rPr>
  </w:style>
  <w:style w:type="paragraph" w:customStyle="1" w:styleId="Articletitle">
    <w:name w:val="Article_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_No"/>
    <w:basedOn w:val="Normal"/>
    <w:qFormat/>
    <w:rsid w:val="00F974C5"/>
    <w:pPr>
      <w:keepNext/>
      <w:keepLines/>
      <w:spacing w:before="600"/>
      <w:jc w:val="center"/>
    </w:pPr>
    <w:rPr>
      <w:sz w:val="28"/>
      <w:szCs w:val="28"/>
      <w:lang w:bidi="ar-SY"/>
    </w:rPr>
  </w:style>
  <w:style w:type="paragraph" w:customStyle="1" w:styleId="Chaptertitle">
    <w:name w:val="Chapter_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1"/>
    <w:basedOn w:val="Normal"/>
    <w:qFormat/>
    <w:rsid w:val="00D53D83"/>
    <w:pPr>
      <w:spacing w:before="80" w:after="80"/>
      <w:ind w:left="794" w:hanging="794"/>
      <w:outlineLvl w:val="0"/>
    </w:pPr>
    <w:rPr>
      <w:lang w:bidi="ar-SY"/>
    </w:rPr>
  </w:style>
  <w:style w:type="paragraph" w:customStyle="1" w:styleId="enumlev2">
    <w:name w:val="enumlev2"/>
    <w:basedOn w:val="Normal"/>
    <w:next w:val="enumlev1"/>
    <w:qFormat/>
    <w:rsid w:val="00077A58"/>
    <w:pPr>
      <w:spacing w:before="80" w:after="80"/>
      <w:ind w:left="1588" w:hanging="794"/>
      <w:outlineLvl w:val="1"/>
    </w:pPr>
  </w:style>
  <w:style w:type="paragraph" w:customStyle="1" w:styleId="enumlev3">
    <w:name w:val="enumlev3"/>
    <w:basedOn w:val="Normal"/>
    <w:qFormat/>
    <w:rsid w:val="00077A58"/>
    <w:pPr>
      <w:spacing w:before="80" w:after="80"/>
      <w:ind w:left="2382" w:hanging="794"/>
      <w:outlineLvl w:val="2"/>
    </w:pPr>
    <w:rPr>
      <w:lang w:bidi="ar-SY"/>
    </w:rPr>
  </w:style>
  <w:style w:type="paragraph" w:customStyle="1" w:styleId="Figurelegend">
    <w:name w:val="Figure_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aliases w:val="Footnote_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_No"/>
    <w:basedOn w:val="Normal"/>
    <w:qFormat/>
    <w:rsid w:val="00F974C5"/>
    <w:pPr>
      <w:keepNext/>
      <w:keepLines/>
      <w:spacing w:before="360"/>
      <w:jc w:val="center"/>
    </w:pPr>
    <w:rPr>
      <w:sz w:val="26"/>
      <w:szCs w:val="26"/>
    </w:rPr>
  </w:style>
  <w:style w:type="paragraph" w:customStyle="1" w:styleId="Parttitle">
    <w:name w:val="Part_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_1"/>
    <w:basedOn w:val="Normal"/>
    <w:qFormat/>
    <w:rsid w:val="00F974C5"/>
    <w:pPr>
      <w:keepNext/>
      <w:spacing w:before="360" w:after="240"/>
      <w:jc w:val="center"/>
    </w:pPr>
    <w:rPr>
      <w:b/>
      <w:bCs/>
      <w:sz w:val="26"/>
      <w:szCs w:val="26"/>
      <w:lang w:bidi="ar-SY"/>
    </w:rPr>
  </w:style>
  <w:style w:type="paragraph" w:customStyle="1" w:styleId="Section2">
    <w:name w:val="Section_2"/>
    <w:basedOn w:val="Section1"/>
    <w:qFormat/>
    <w:rsid w:val="00F974C5"/>
    <w:pPr>
      <w:spacing w:before="240"/>
    </w:pPr>
    <w:rPr>
      <w:b w:val="0"/>
      <w:bCs w:val="0"/>
    </w:rPr>
  </w:style>
  <w:style w:type="paragraph" w:customStyle="1" w:styleId="SectionNo">
    <w:name w:val="Section_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_No"/>
    <w:basedOn w:val="Normal"/>
    <w:qFormat/>
    <w:rsid w:val="00F974C5"/>
    <w:pPr>
      <w:keepNext/>
      <w:spacing w:before="240"/>
      <w:jc w:val="center"/>
    </w:pPr>
    <w:rPr>
      <w:lang w:bidi="ar-SY"/>
    </w:rPr>
  </w:style>
  <w:style w:type="paragraph" w:customStyle="1" w:styleId="Figuretitle">
    <w:name w:val="Figure_title"/>
    <w:basedOn w:val="Normal"/>
    <w:qFormat/>
    <w:rsid w:val="00F974C5"/>
    <w:pPr>
      <w:keepNext/>
      <w:spacing w:after="240"/>
      <w:jc w:val="center"/>
    </w:pPr>
    <w:rPr>
      <w:b/>
      <w:bCs/>
    </w:rPr>
  </w:style>
  <w:style w:type="paragraph" w:customStyle="1" w:styleId="TableNo">
    <w:name w:val="Table_No"/>
    <w:basedOn w:val="Normal"/>
    <w:qFormat/>
    <w:rsid w:val="00F974C5"/>
    <w:pPr>
      <w:keepNext/>
      <w:spacing w:before="240"/>
      <w:jc w:val="center"/>
    </w:pPr>
    <w:rPr>
      <w:lang w:bidi="ar-SY"/>
    </w:rPr>
  </w:style>
  <w:style w:type="paragraph" w:customStyle="1" w:styleId="Tabletitle">
    <w:name w:val="Table_title"/>
    <w:basedOn w:val="TableNo"/>
    <w:qFormat/>
    <w:rsid w:val="00F974C5"/>
    <w:pPr>
      <w:spacing w:before="120" w:after="240"/>
    </w:pPr>
    <w:rPr>
      <w:b/>
      <w:bCs/>
    </w:rPr>
  </w:style>
  <w:style w:type="paragraph" w:customStyle="1" w:styleId="Tablehead">
    <w:name w:val="Table_head"/>
    <w:basedOn w:val="Normal"/>
    <w:qFormat/>
    <w:rsid w:val="00F974C5"/>
    <w:pPr>
      <w:keepNext/>
      <w:spacing w:before="60" w:after="60" w:line="260" w:lineRule="exact"/>
      <w:jc w:val="center"/>
    </w:pPr>
    <w:rPr>
      <w:b/>
      <w:bCs/>
      <w:sz w:val="20"/>
      <w:szCs w:val="20"/>
    </w:rPr>
  </w:style>
  <w:style w:type="paragraph" w:customStyle="1" w:styleId="Tabletexte">
    <w:name w:val="Table_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_No"/>
    <w:basedOn w:val="Normal"/>
    <w:qFormat/>
    <w:rsid w:val="00F974C5"/>
    <w:pPr>
      <w:keepNext/>
      <w:spacing w:before="360"/>
      <w:jc w:val="center"/>
    </w:pPr>
    <w:rPr>
      <w:sz w:val="26"/>
      <w:szCs w:val="26"/>
      <w:lang w:bidi="ar-SY"/>
    </w:rPr>
  </w:style>
  <w:style w:type="paragraph" w:customStyle="1" w:styleId="Volumetitle">
    <w:name w:val="Volume_title"/>
    <w:basedOn w:val="VolumeNo"/>
    <w:qFormat/>
    <w:rsid w:val="00F974C5"/>
    <w:pPr>
      <w:spacing w:before="120" w:after="360"/>
    </w:pPr>
    <w:rPr>
      <w:b/>
      <w:bCs/>
      <w:sz w:val="28"/>
      <w:szCs w:val="28"/>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_No"/>
    <w:basedOn w:val="Normal"/>
    <w:qFormat/>
    <w:rsid w:val="00F974C5"/>
    <w:pPr>
      <w:keepNext/>
      <w:keepLines/>
      <w:spacing w:before="360"/>
      <w:jc w:val="center"/>
    </w:pPr>
    <w:rPr>
      <w:sz w:val="26"/>
      <w:szCs w:val="26"/>
    </w:rPr>
  </w:style>
  <w:style w:type="paragraph" w:customStyle="1" w:styleId="Opiniontitle">
    <w:name w:val="Opinion_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96716C"/>
    <w:rPr>
      <w:rFonts w:ascii="Dubai" w:hAnsi="Dubai" w:cs="Dubai"/>
      <w:noProof/>
      <w:color w:val="5B9BD5"/>
      <w:u w:val="single" w:color="5B9BD5"/>
      <w:lang w:val="en-GB" w:eastAsia="en-US"/>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_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_legend"/>
    <w:basedOn w:val="Normal"/>
    <w:qFormat/>
    <w:rsid w:val="00F974C5"/>
    <w:pPr>
      <w:spacing w:before="80"/>
    </w:pPr>
    <w:rPr>
      <w:lang w:bidi="ar-SY"/>
    </w:rPr>
  </w:style>
  <w:style w:type="paragraph" w:customStyle="1" w:styleId="Headingb">
    <w:name w:val="Heading_b"/>
    <w:basedOn w:val="Normal"/>
    <w:qFormat/>
    <w:rsid w:val="00CA029D"/>
    <w:pPr>
      <w:keepNext/>
      <w:spacing w:before="240"/>
    </w:pPr>
    <w:rPr>
      <w:b/>
      <w:bCs/>
      <w:sz w:val="24"/>
      <w:szCs w:val="24"/>
    </w:rPr>
  </w:style>
  <w:style w:type="table" w:styleId="GridTable5Dark-Accent1">
    <w:name w:val="Grid Table 5 Dark Accent 1"/>
    <w:basedOn w:val="TableNormal"/>
    <w:uiPriority w:val="50"/>
    <w:rsid w:val="00E61B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ubtitle0">
    <w:name w:val="Sub_title"/>
    <w:basedOn w:val="Normal"/>
    <w:qFormat/>
    <w:rsid w:val="007B0AA0"/>
    <w:rPr>
      <w:sz w:val="30"/>
      <w:szCs w:val="30"/>
      <w:lang w:bidi="ar-EG"/>
    </w:rPr>
  </w:style>
  <w:style w:type="table" w:customStyle="1" w:styleId="TableGrid1">
    <w:name w:val="Table Grid1"/>
    <w:basedOn w:val="TableNormal"/>
    <w:next w:val="TableGrid"/>
    <w:uiPriority w:val="39"/>
    <w:rsid w:val="007B0AA0"/>
    <w:pPr>
      <w:spacing w:after="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0DEA"/>
    <w:rPr>
      <w:color w:val="605E5C"/>
      <w:shd w:val="clear" w:color="auto" w:fill="E1DFDD"/>
    </w:rPr>
  </w:style>
  <w:style w:type="character" w:styleId="FollowedHyperlink">
    <w:name w:val="FollowedHyperlink"/>
    <w:basedOn w:val="DefaultParagraphFont"/>
    <w:uiPriority w:val="99"/>
    <w:semiHidden/>
    <w:unhideWhenUsed/>
    <w:rsid w:val="000116AF"/>
    <w:rPr>
      <w:color w:val="954F72" w:themeColor="followedHyperlink"/>
      <w:u w:val="single"/>
    </w:rPr>
  </w:style>
  <w:style w:type="character" w:styleId="CommentReference">
    <w:name w:val="annotation reference"/>
    <w:basedOn w:val="DefaultParagraphFont"/>
    <w:uiPriority w:val="99"/>
    <w:semiHidden/>
    <w:unhideWhenUsed/>
    <w:rsid w:val="006F08B7"/>
    <w:rPr>
      <w:sz w:val="16"/>
      <w:szCs w:val="16"/>
    </w:rPr>
  </w:style>
  <w:style w:type="paragraph" w:styleId="CommentText">
    <w:name w:val="annotation text"/>
    <w:basedOn w:val="Normal"/>
    <w:link w:val="CommentTextChar"/>
    <w:uiPriority w:val="99"/>
    <w:semiHidden/>
    <w:unhideWhenUsed/>
    <w:rsid w:val="006F08B7"/>
    <w:pPr>
      <w:spacing w:line="240" w:lineRule="auto"/>
    </w:pPr>
    <w:rPr>
      <w:sz w:val="20"/>
      <w:szCs w:val="20"/>
    </w:rPr>
  </w:style>
  <w:style w:type="character" w:customStyle="1" w:styleId="CommentTextChar">
    <w:name w:val="Comment Text Char"/>
    <w:basedOn w:val="DefaultParagraphFont"/>
    <w:link w:val="CommentText"/>
    <w:uiPriority w:val="99"/>
    <w:semiHidden/>
    <w:rsid w:val="006F08B7"/>
    <w:rPr>
      <w:rFonts w:ascii="Dubai" w:hAnsi="Dubai" w:cs="Dubai"/>
      <w:sz w:val="20"/>
      <w:szCs w:val="20"/>
    </w:rPr>
  </w:style>
  <w:style w:type="paragraph" w:styleId="CommentSubject">
    <w:name w:val="annotation subject"/>
    <w:basedOn w:val="CommentText"/>
    <w:next w:val="CommentText"/>
    <w:link w:val="CommentSubjectChar"/>
    <w:uiPriority w:val="99"/>
    <w:semiHidden/>
    <w:unhideWhenUsed/>
    <w:rsid w:val="006F08B7"/>
    <w:rPr>
      <w:b/>
      <w:bCs/>
    </w:rPr>
  </w:style>
  <w:style w:type="character" w:customStyle="1" w:styleId="CommentSubjectChar">
    <w:name w:val="Comment Subject Char"/>
    <w:basedOn w:val="CommentTextChar"/>
    <w:link w:val="CommentSubject"/>
    <w:uiPriority w:val="99"/>
    <w:semiHidden/>
    <w:rsid w:val="006F08B7"/>
    <w:rPr>
      <w:rFonts w:ascii="Dubai" w:hAnsi="Dubai" w:cs="Dubai"/>
      <w:b/>
      <w:bCs/>
      <w:sz w:val="20"/>
      <w:szCs w:val="20"/>
    </w:rPr>
  </w:style>
  <w:style w:type="paragraph" w:customStyle="1" w:styleId="Figure">
    <w:name w:val="Figure"/>
    <w:basedOn w:val="Normal"/>
    <w:qFormat/>
    <w:rsid w:val="00CA029D"/>
    <w:pPr>
      <w:tabs>
        <w:tab w:val="clear" w:pos="794"/>
      </w:tabs>
      <w:spacing w:after="240" w:line="240" w:lineRule="auto"/>
      <w:jc w:val="center"/>
    </w:pPr>
    <w:rPr>
      <w:noProof/>
    </w:rPr>
  </w:style>
  <w:style w:type="paragraph" w:styleId="Revision">
    <w:name w:val="Revision"/>
    <w:hidden/>
    <w:uiPriority w:val="99"/>
    <w:semiHidden/>
    <w:rsid w:val="003D58C6"/>
    <w:pPr>
      <w:spacing w:after="0" w:line="240" w:lineRule="auto"/>
    </w:pPr>
    <w:rPr>
      <w:rFonts w:ascii="Dubai" w:hAnsi="Dubai" w:cs="Duba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41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5-CL-C-0010/en" TargetMode="External"/><Relationship Id="rId13" Type="http://schemas.openxmlformats.org/officeDocument/2006/relationships/image" Target="media/image1.emf"/><Relationship Id="rId18" Type="http://schemas.openxmlformats.org/officeDocument/2006/relationships/image" Target="media/image6.emf"/><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9.emf"/><Relationship Id="rId7" Type="http://schemas.openxmlformats.org/officeDocument/2006/relationships/endnotes" Target="endnotes.xml"/><Relationship Id="rId12" Type="http://schemas.openxmlformats.org/officeDocument/2006/relationships/hyperlink" Target="https://www.itu.int/md/S26-CWGFHR22-C-0002/en" TargetMode="External"/><Relationship Id="rId17" Type="http://schemas.openxmlformats.org/officeDocument/2006/relationships/image" Target="media/image5.emf"/><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8.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council/Documents/basic-texts-2023/RES-091-A.pdf"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hyperlink" Target="https://www.itu.int/en/council/Documents/basic-texts-2023/RES-091-A.pdf" TargetMode="External"/><Relationship Id="rId19"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hyperlink" Target="https://www.itu.int/md/S25-CL-C-0064/en" TargetMode="External"/><Relationship Id="rId14" Type="http://schemas.openxmlformats.org/officeDocument/2006/relationships/image" Target="media/image2.emf"/><Relationship Id="rId22" Type="http://schemas.openxmlformats.org/officeDocument/2006/relationships/footer" Target="footer1.xml"/><Relationship Id="rId27"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8108-4966-4581-8805-B68FC03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4098</Words>
  <Characters>27745</Characters>
  <Application>Microsoft Office Word</Application>
  <DocSecurity>0</DocSecurity>
  <Lines>676</Lines>
  <Paragraphs>194</Paragraphs>
  <ScaleCrop>false</ScaleCrop>
  <HeadingPairs>
    <vt:vector size="2" baseType="variant">
      <vt:variant>
        <vt:lpstr>Title</vt:lpstr>
      </vt:variant>
      <vt:variant>
        <vt:i4>1</vt:i4>
      </vt:variant>
    </vt:vector>
  </HeadingPairs>
  <TitlesOfParts>
    <vt:vector size="1" baseType="lpstr">
      <vt:lpstr/>
    </vt:vector>
  </TitlesOfParts>
  <Company>International Telecommunication Union</Company>
  <LinksUpToDate>false</LinksUpToDate>
  <CharactersWithSpaces>31649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Satellite network filings - Draft methodology</dc:title>
  <dc:subject>ITU Council 2026</dc:subject>
  <dc:creator>GBS</dc:creator>
  <cp:keywords>C26; C2026; Council 2026; PP26</cp:keywords>
  <dc:description/>
  <cp:lastModifiedBy>GBS</cp:lastModifiedBy>
  <cp:revision>2</cp:revision>
  <dcterms:created xsi:type="dcterms:W3CDTF">2026-04-26T13:50:00Z</dcterms:created>
  <dcterms:modified xsi:type="dcterms:W3CDTF">2026-04-26T13:50:00Z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4764bc0ed8aab6cc3f228418da0bf4d692034987165b3c327d8e9737cd820415</vt:lpwstr>
  </property>
</Properties>
</file>