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4DECCE0A" w14:textId="77777777" w:rsidTr="00C4421B">
        <w:trPr>
          <w:cantSplit/>
          <w:trHeight w:val="23"/>
        </w:trPr>
        <w:tc>
          <w:tcPr>
            <w:tcW w:w="3969" w:type="dxa"/>
            <w:vMerge w:val="restart"/>
            <w:tcMar>
              <w:left w:w="0" w:type="dxa"/>
            </w:tcMar>
          </w:tcPr>
          <w:p w14:paraId="53223F12" w14:textId="5C1E8293" w:rsidR="00FE57F6" w:rsidRPr="00B67D32" w:rsidRDefault="00B67D32" w:rsidP="00B67D32">
            <w:pPr>
              <w:spacing w:before="0"/>
              <w:rPr>
                <w:b/>
                <w:bCs/>
                <w:lang w:val="es-ES"/>
              </w:rPr>
            </w:pPr>
            <w:bookmarkStart w:id="0" w:name="_Hlk133421839"/>
            <w:r w:rsidRPr="00B67D32">
              <w:rPr>
                <w:b/>
                <w:bCs/>
                <w:lang w:val="es-ES"/>
              </w:rPr>
              <w:t>Punto del orden del día: PL-2</w:t>
            </w:r>
          </w:p>
        </w:tc>
        <w:tc>
          <w:tcPr>
            <w:tcW w:w="5245" w:type="dxa"/>
          </w:tcPr>
          <w:p w14:paraId="63DA6F4D" w14:textId="3EACD976" w:rsidR="00FE57F6" w:rsidRPr="00B67D32" w:rsidRDefault="00FE57F6" w:rsidP="00B67D32">
            <w:pPr>
              <w:spacing w:before="0"/>
              <w:jc w:val="right"/>
              <w:rPr>
                <w:b/>
                <w:bCs/>
              </w:rPr>
            </w:pPr>
            <w:r w:rsidRPr="00B67D32">
              <w:rPr>
                <w:b/>
                <w:bCs/>
              </w:rPr>
              <w:t>Document</w:t>
            </w:r>
            <w:r w:rsidR="00F24B71" w:rsidRPr="00B67D32">
              <w:rPr>
                <w:b/>
                <w:bCs/>
              </w:rPr>
              <w:t>o</w:t>
            </w:r>
            <w:r w:rsidRPr="00B67D32">
              <w:rPr>
                <w:b/>
                <w:bCs/>
              </w:rPr>
              <w:t xml:space="preserve"> C2</w:t>
            </w:r>
            <w:r w:rsidR="00F85E5C" w:rsidRPr="00B67D32">
              <w:rPr>
                <w:b/>
                <w:bCs/>
              </w:rPr>
              <w:t>6</w:t>
            </w:r>
            <w:r w:rsidRPr="00B67D32">
              <w:rPr>
                <w:b/>
                <w:bCs/>
              </w:rPr>
              <w:t>/</w:t>
            </w:r>
            <w:r w:rsidR="00B67D32">
              <w:rPr>
                <w:b/>
                <w:bCs/>
              </w:rPr>
              <w:t>18</w:t>
            </w:r>
            <w:r w:rsidRPr="00B67D32">
              <w:rPr>
                <w:b/>
                <w:bCs/>
              </w:rPr>
              <w:t>-</w:t>
            </w:r>
            <w:r w:rsidR="00F24B71" w:rsidRPr="00B67D32">
              <w:rPr>
                <w:b/>
                <w:bCs/>
              </w:rPr>
              <w:t>S</w:t>
            </w:r>
          </w:p>
        </w:tc>
      </w:tr>
      <w:tr w:rsidR="00FE57F6" w:rsidRPr="00666D09" w14:paraId="36786C85" w14:textId="77777777" w:rsidTr="00C4421B">
        <w:trPr>
          <w:cantSplit/>
        </w:trPr>
        <w:tc>
          <w:tcPr>
            <w:tcW w:w="3969" w:type="dxa"/>
            <w:vMerge/>
          </w:tcPr>
          <w:p w14:paraId="10A93326" w14:textId="77777777" w:rsidR="00FE57F6" w:rsidRPr="00BB6FD8" w:rsidRDefault="00FE57F6" w:rsidP="00C4421B">
            <w:pPr>
              <w:tabs>
                <w:tab w:val="left" w:pos="851"/>
              </w:tabs>
              <w:spacing w:line="240" w:lineRule="atLeast"/>
              <w:rPr>
                <w:b/>
              </w:rPr>
            </w:pPr>
          </w:p>
        </w:tc>
        <w:tc>
          <w:tcPr>
            <w:tcW w:w="5245" w:type="dxa"/>
          </w:tcPr>
          <w:p w14:paraId="461BE04B" w14:textId="5C7A02DC" w:rsidR="00FE57F6" w:rsidRPr="00B67D32" w:rsidRDefault="007A7639" w:rsidP="00B67D32">
            <w:pPr>
              <w:spacing w:before="0"/>
              <w:jc w:val="right"/>
              <w:rPr>
                <w:b/>
                <w:bCs/>
              </w:rPr>
            </w:pPr>
            <w:r w:rsidRPr="00B67D32">
              <w:rPr>
                <w:b/>
                <w:bCs/>
              </w:rPr>
              <w:t>18 de marzo de 2026</w:t>
            </w:r>
          </w:p>
        </w:tc>
      </w:tr>
      <w:tr w:rsidR="00FE57F6" w:rsidRPr="00BB6FD8" w14:paraId="61AA9270" w14:textId="77777777" w:rsidTr="00C4421B">
        <w:trPr>
          <w:cantSplit/>
          <w:trHeight w:val="23"/>
        </w:trPr>
        <w:tc>
          <w:tcPr>
            <w:tcW w:w="3969" w:type="dxa"/>
            <w:vMerge/>
          </w:tcPr>
          <w:p w14:paraId="44E80AE6" w14:textId="77777777" w:rsidR="00FE57F6" w:rsidRPr="00666D09" w:rsidRDefault="00FE57F6" w:rsidP="00C4421B">
            <w:pPr>
              <w:tabs>
                <w:tab w:val="left" w:pos="851"/>
              </w:tabs>
              <w:spacing w:line="240" w:lineRule="atLeast"/>
              <w:rPr>
                <w:b/>
                <w:lang w:val="en-GB"/>
              </w:rPr>
            </w:pPr>
          </w:p>
        </w:tc>
        <w:tc>
          <w:tcPr>
            <w:tcW w:w="5245" w:type="dxa"/>
          </w:tcPr>
          <w:p w14:paraId="14F6F891" w14:textId="77777777" w:rsidR="00FE57F6" w:rsidRPr="00B67D32" w:rsidRDefault="00F24B71" w:rsidP="00B67D32">
            <w:pPr>
              <w:spacing w:before="0"/>
              <w:jc w:val="right"/>
              <w:rPr>
                <w:b/>
                <w:bCs/>
              </w:rPr>
            </w:pPr>
            <w:r w:rsidRPr="00B67D32">
              <w:rPr>
                <w:b/>
                <w:bCs/>
              </w:rPr>
              <w:t>Original: inglés</w:t>
            </w:r>
          </w:p>
        </w:tc>
      </w:tr>
      <w:tr w:rsidR="00FE57F6" w:rsidRPr="00927B59" w14:paraId="7A58B39D" w14:textId="77777777" w:rsidTr="00C4421B">
        <w:trPr>
          <w:cantSplit/>
          <w:trHeight w:val="23"/>
        </w:trPr>
        <w:tc>
          <w:tcPr>
            <w:tcW w:w="3969" w:type="dxa"/>
          </w:tcPr>
          <w:p w14:paraId="67C0C2A1" w14:textId="77777777" w:rsidR="00FE57F6" w:rsidRPr="00927B59" w:rsidRDefault="00FE57F6" w:rsidP="00B67D32">
            <w:pPr>
              <w:spacing w:before="0"/>
              <w:rPr>
                <w:b/>
                <w:bCs/>
                <w:sz w:val="20"/>
              </w:rPr>
            </w:pPr>
          </w:p>
        </w:tc>
        <w:tc>
          <w:tcPr>
            <w:tcW w:w="5245" w:type="dxa"/>
          </w:tcPr>
          <w:p w14:paraId="68F78290" w14:textId="77777777" w:rsidR="00FE57F6" w:rsidRPr="00927B59" w:rsidRDefault="00FE57F6" w:rsidP="00B67D32">
            <w:pPr>
              <w:spacing w:before="0"/>
              <w:jc w:val="right"/>
              <w:rPr>
                <w:sz w:val="20"/>
              </w:rPr>
            </w:pPr>
          </w:p>
        </w:tc>
      </w:tr>
      <w:tr w:rsidR="00FE57F6" w:rsidRPr="00445E93" w14:paraId="79C3A7D7" w14:textId="77777777" w:rsidTr="00C4421B">
        <w:trPr>
          <w:cantSplit/>
        </w:trPr>
        <w:tc>
          <w:tcPr>
            <w:tcW w:w="9214" w:type="dxa"/>
            <w:gridSpan w:val="2"/>
            <w:tcMar>
              <w:left w:w="0" w:type="dxa"/>
            </w:tcMar>
          </w:tcPr>
          <w:p w14:paraId="37EF7E0E" w14:textId="390E20E9" w:rsidR="00FE57F6" w:rsidRPr="00B67D32" w:rsidRDefault="00B67D32" w:rsidP="00B67D32">
            <w:pPr>
              <w:pStyle w:val="Source"/>
              <w:jc w:val="left"/>
              <w:rPr>
                <w:sz w:val="32"/>
                <w:szCs w:val="32"/>
                <w:lang w:val="es-ES"/>
              </w:rPr>
            </w:pPr>
            <w:r w:rsidRPr="00B67D32">
              <w:rPr>
                <w:sz w:val="32"/>
                <w:szCs w:val="32"/>
                <w:lang w:val="es-ES"/>
              </w:rPr>
              <w:t>Informe de la Presidenta del GTC-PIeL</w:t>
            </w:r>
          </w:p>
        </w:tc>
      </w:tr>
      <w:tr w:rsidR="00FE57F6" w:rsidRPr="00445E93" w14:paraId="53246909" w14:textId="77777777" w:rsidTr="00C4421B">
        <w:trPr>
          <w:cantSplit/>
        </w:trPr>
        <w:tc>
          <w:tcPr>
            <w:tcW w:w="9214" w:type="dxa"/>
            <w:gridSpan w:val="2"/>
            <w:tcMar>
              <w:left w:w="0" w:type="dxa"/>
            </w:tcMar>
          </w:tcPr>
          <w:p w14:paraId="620ACB41" w14:textId="70B942F3" w:rsidR="00FE57F6" w:rsidRPr="00B67D32" w:rsidRDefault="004204C9" w:rsidP="00927B59">
            <w:pPr>
              <w:pStyle w:val="Subtitle"/>
              <w:framePr w:hSpace="0" w:wrap="auto" w:hAnchor="text" w:xAlign="left" w:yAlign="inline"/>
              <w:spacing w:after="20"/>
              <w:rPr>
                <w:sz w:val="32"/>
                <w:szCs w:val="32"/>
                <w:lang w:val="es-ES"/>
              </w:rPr>
            </w:pPr>
            <w:r w:rsidRPr="00B67D32">
              <w:rPr>
                <w:sz w:val="32"/>
                <w:szCs w:val="32"/>
                <w:lang w:val="es-ES"/>
              </w:rPr>
              <w:t>INFORME CUADRIENAL DEL GRUPO DE TRABAJO DEL CONSEJO SOBRE PROTECCIÓN DE LA INFANCIA EN LÍNEA (2022-2026)</w:t>
            </w:r>
          </w:p>
        </w:tc>
      </w:tr>
      <w:tr w:rsidR="00FE57F6" w:rsidRPr="00445E93" w14:paraId="14B9039D" w14:textId="77777777" w:rsidTr="00C4421B">
        <w:trPr>
          <w:cantSplit/>
        </w:trPr>
        <w:tc>
          <w:tcPr>
            <w:tcW w:w="9214" w:type="dxa"/>
            <w:gridSpan w:val="2"/>
            <w:tcBorders>
              <w:top w:val="single" w:sz="4" w:space="0" w:color="auto"/>
              <w:bottom w:val="single" w:sz="4" w:space="0" w:color="auto"/>
            </w:tcBorders>
            <w:tcMar>
              <w:left w:w="0" w:type="dxa"/>
            </w:tcMar>
          </w:tcPr>
          <w:p w14:paraId="36DE51BE" w14:textId="77777777" w:rsidR="00FE57F6" w:rsidRPr="007A7639" w:rsidRDefault="00F24B71" w:rsidP="006308DA">
            <w:pPr>
              <w:rPr>
                <w:b/>
                <w:bCs/>
                <w:sz w:val="26"/>
                <w:szCs w:val="26"/>
                <w:lang w:val="es-ES"/>
              </w:rPr>
            </w:pPr>
            <w:r w:rsidRPr="007A7639">
              <w:rPr>
                <w:b/>
                <w:bCs/>
                <w:sz w:val="26"/>
                <w:szCs w:val="26"/>
                <w:lang w:val="es-ES"/>
              </w:rPr>
              <w:t>Finalidad</w:t>
            </w:r>
          </w:p>
          <w:p w14:paraId="2C1A52D4" w14:textId="5449137A" w:rsidR="00B67D32" w:rsidRPr="00B67D32" w:rsidRDefault="00B67D32" w:rsidP="004204C9">
            <w:pPr>
              <w:jc w:val="both"/>
              <w:rPr>
                <w:lang w:val="es-ES"/>
              </w:rPr>
            </w:pPr>
            <w:r w:rsidRPr="00B67D32">
              <w:rPr>
                <w:lang w:val="es-ES"/>
              </w:rPr>
              <w:t>De conformidad con la Resolución</w:t>
            </w:r>
            <w:r w:rsidR="00AF60AF" w:rsidRPr="00AF60AF">
              <w:rPr>
                <w:lang w:val="es-ES"/>
              </w:rPr>
              <w:t> </w:t>
            </w:r>
            <w:hyperlink r:id="rId6" w:history="1">
              <w:r w:rsidRPr="00B67D32">
                <w:rPr>
                  <w:rStyle w:val="Hyperlink"/>
                  <w:rFonts w:eastAsia="Times New Roman" w:cs="Times New Roman"/>
                  <w:szCs w:val="20"/>
                  <w:lang w:val="es-ES"/>
                </w:rPr>
                <w:t>1306 (</w:t>
              </w:r>
              <w:proofErr w:type="spellStart"/>
              <w:r w:rsidRPr="00B67D32">
                <w:rPr>
                  <w:rStyle w:val="Hyperlink"/>
                  <w:rFonts w:eastAsia="Times New Roman" w:cs="Times New Roman"/>
                  <w:szCs w:val="20"/>
                  <w:lang w:val="es-ES"/>
                </w:rPr>
                <w:t>C09</w:t>
              </w:r>
              <w:proofErr w:type="spellEnd"/>
              <w:r w:rsidRPr="00B67D32">
                <w:rPr>
                  <w:rStyle w:val="Hyperlink"/>
                  <w:rFonts w:eastAsia="Times New Roman" w:cs="Times New Roman"/>
                  <w:szCs w:val="20"/>
                  <w:lang w:val="es-ES"/>
                </w:rPr>
                <w:t xml:space="preserve">, modificada </w:t>
              </w:r>
              <w:proofErr w:type="spellStart"/>
              <w:r w:rsidRPr="00B67D32">
                <w:rPr>
                  <w:rStyle w:val="Hyperlink"/>
                  <w:rFonts w:eastAsia="Times New Roman" w:cs="Times New Roman"/>
                  <w:szCs w:val="20"/>
                  <w:lang w:val="es-ES"/>
                </w:rPr>
                <w:t>C24</w:t>
              </w:r>
              <w:proofErr w:type="spellEnd"/>
              <w:r w:rsidRPr="00B67D32">
                <w:rPr>
                  <w:rStyle w:val="Hyperlink"/>
                  <w:rFonts w:eastAsia="Times New Roman" w:cs="Times New Roman"/>
                  <w:szCs w:val="20"/>
                  <w:lang w:val="es-ES"/>
                </w:rPr>
                <w:t>)</w:t>
              </w:r>
            </w:hyperlink>
            <w:r w:rsidRPr="00B67D32">
              <w:rPr>
                <w:lang w:val="es-ES"/>
              </w:rPr>
              <w:t xml:space="preserve"> del Consejo de la</w:t>
            </w:r>
            <w:r w:rsidR="006308DA">
              <w:rPr>
                <w:lang w:val="es-ES"/>
              </w:rPr>
              <w:t> </w:t>
            </w:r>
            <w:r w:rsidRPr="00B67D32">
              <w:rPr>
                <w:lang w:val="es-ES"/>
              </w:rPr>
              <w:t>UIT y con la Resolución</w:t>
            </w:r>
            <w:r w:rsidR="00AF60AF" w:rsidRPr="00AF60AF">
              <w:rPr>
                <w:lang w:val="es-ES"/>
              </w:rPr>
              <w:t> </w:t>
            </w:r>
            <w:hyperlink r:id="rId7" w:history="1">
              <w:r w:rsidRPr="00B67D32">
                <w:rPr>
                  <w:rStyle w:val="Hyperlink"/>
                  <w:rFonts w:eastAsia="Times New Roman" w:cs="Times New Roman"/>
                  <w:szCs w:val="20"/>
                  <w:lang w:val="es-ES"/>
                </w:rPr>
                <w:t>179 (Rev. Bucarest, 2022)</w:t>
              </w:r>
            </w:hyperlink>
            <w:r w:rsidRPr="00B67D32">
              <w:rPr>
                <w:lang w:val="es-ES"/>
              </w:rPr>
              <w:t xml:space="preserve"> de la Conferencia de Plenipotenciarios, en este documento se presenta el Informe cuadrienal de la Presidenta del Grupo de Trabajo del Consejo sobre Protección de la Infancia en Línea (GTC-PIeL) al Consejo para los años 2023, 2024, 2025 y 2026.</w:t>
            </w:r>
          </w:p>
          <w:p w14:paraId="08E861E4" w14:textId="63452B03" w:rsidR="00B67D32" w:rsidRPr="00B67D32" w:rsidRDefault="00B67D32" w:rsidP="004204C9">
            <w:pPr>
              <w:jc w:val="both"/>
              <w:rPr>
                <w:lang w:val="es-ES"/>
              </w:rPr>
            </w:pPr>
            <w:r w:rsidRPr="00B67D32">
              <w:rPr>
                <w:lang w:val="es-ES"/>
              </w:rPr>
              <w:t>Reconociendo que sigue siendo necesario considerar la protección de la infancia en línea en un entorno digital rápidamente evolutivo, incluidos los riesgos y oportunidades que brindan las nuevas tecnologías, y disponer de un foro dedicado al intercambio de experiencias, la coordinación y la compartición de información entre Estados Miembros y partes interesadas entre reuniones del Consejo, el Consejo podría decidir el mantenimiento del GTC</w:t>
            </w:r>
            <w:r w:rsidR="006308DA">
              <w:rPr>
                <w:lang w:val="es-ES"/>
              </w:rPr>
              <w:noBreakHyphen/>
            </w:r>
            <w:r w:rsidRPr="00B67D32">
              <w:rPr>
                <w:lang w:val="es-ES"/>
              </w:rPr>
              <w:t>PIeL durante el próximo periodo.</w:t>
            </w:r>
          </w:p>
          <w:p w14:paraId="56002E42" w14:textId="74BA2B48" w:rsidR="00B67D32" w:rsidRPr="00B67D32" w:rsidRDefault="00B67D32" w:rsidP="004204C9">
            <w:pPr>
              <w:jc w:val="both"/>
              <w:rPr>
                <w:lang w:val="es-ES"/>
              </w:rPr>
            </w:pPr>
            <w:r w:rsidRPr="00B67D32">
              <w:rPr>
                <w:lang w:val="es-ES"/>
              </w:rPr>
              <w:t>El</w:t>
            </w:r>
            <w:r w:rsidR="006308DA">
              <w:rPr>
                <w:lang w:val="es-ES"/>
              </w:rPr>
              <w:t> </w:t>
            </w:r>
            <w:r w:rsidR="006308DA" w:rsidRPr="006308DA">
              <w:rPr>
                <w:lang w:val="es-ES"/>
              </w:rPr>
              <w:t>GTC-PIeL</w:t>
            </w:r>
            <w:r w:rsidRPr="00B67D32">
              <w:rPr>
                <w:lang w:val="es-ES"/>
              </w:rPr>
              <w:t xml:space="preserve"> rinde anualmente informe de sus actividades al Consejo.</w:t>
            </w:r>
          </w:p>
          <w:p w14:paraId="3CF73E27" w14:textId="77777777" w:rsidR="00FE57F6" w:rsidRPr="007A7639" w:rsidRDefault="00F24B71" w:rsidP="006308DA">
            <w:pPr>
              <w:rPr>
                <w:b/>
                <w:bCs/>
                <w:sz w:val="26"/>
                <w:szCs w:val="26"/>
                <w:lang w:val="es-ES"/>
              </w:rPr>
            </w:pPr>
            <w:r w:rsidRPr="007A7639">
              <w:rPr>
                <w:b/>
                <w:bCs/>
                <w:sz w:val="26"/>
                <w:szCs w:val="26"/>
                <w:lang w:val="es-ES"/>
              </w:rPr>
              <w:t xml:space="preserve">Acción solicitada </w:t>
            </w:r>
            <w:r w:rsidR="00677A97" w:rsidRPr="007A7639">
              <w:rPr>
                <w:b/>
                <w:bCs/>
                <w:sz w:val="26"/>
                <w:szCs w:val="26"/>
                <w:lang w:val="es-ES"/>
              </w:rPr>
              <w:t>al</w:t>
            </w:r>
            <w:r w:rsidRPr="007A7639">
              <w:rPr>
                <w:b/>
                <w:bCs/>
                <w:sz w:val="26"/>
                <w:szCs w:val="26"/>
                <w:lang w:val="es-ES"/>
              </w:rPr>
              <w:t xml:space="preserve"> Consejo</w:t>
            </w:r>
          </w:p>
          <w:p w14:paraId="741832E9" w14:textId="6923B2FF" w:rsidR="00F92BED" w:rsidRPr="00F92BED" w:rsidRDefault="00B67D32" w:rsidP="004204C9">
            <w:pPr>
              <w:jc w:val="both"/>
              <w:rPr>
                <w:lang w:val="es-ES"/>
              </w:rPr>
            </w:pPr>
            <w:r w:rsidRPr="00B67D32">
              <w:rPr>
                <w:lang w:val="es-ES"/>
              </w:rPr>
              <w:t xml:space="preserve">Se invita al Consejo a </w:t>
            </w:r>
            <w:r w:rsidRPr="00B67D32">
              <w:rPr>
                <w:b/>
                <w:bCs/>
                <w:lang w:val="es-ES"/>
              </w:rPr>
              <w:t>considerar</w:t>
            </w:r>
            <w:r w:rsidRPr="006308DA">
              <w:rPr>
                <w:lang w:val="es-ES"/>
              </w:rPr>
              <w:t xml:space="preserve"> </w:t>
            </w:r>
            <w:r w:rsidRPr="00B67D32">
              <w:rPr>
                <w:lang w:val="es-ES"/>
              </w:rPr>
              <w:t xml:space="preserve">este Informe y a </w:t>
            </w:r>
            <w:r w:rsidRPr="00B67D32">
              <w:rPr>
                <w:b/>
                <w:bCs/>
                <w:lang w:val="es-ES"/>
              </w:rPr>
              <w:t>presentar</w:t>
            </w:r>
            <w:r w:rsidRPr="006308DA">
              <w:rPr>
                <w:lang w:val="es-ES"/>
              </w:rPr>
              <w:t xml:space="preserve"> </w:t>
            </w:r>
            <w:r w:rsidRPr="00B67D32">
              <w:rPr>
                <w:lang w:val="es-ES"/>
              </w:rPr>
              <w:t>sus recomendaciones a la Conferencia de Plenipotenciarios, según proceda, en particular sobre la continuación de las actividades del</w:t>
            </w:r>
            <w:r w:rsidR="006308DA">
              <w:rPr>
                <w:lang w:val="es-ES"/>
              </w:rPr>
              <w:t> </w:t>
            </w:r>
            <w:r w:rsidRPr="00B67D32">
              <w:rPr>
                <w:lang w:val="es-ES"/>
              </w:rPr>
              <w:t>GTC</w:t>
            </w:r>
            <w:r w:rsidR="006308DA">
              <w:rPr>
                <w:lang w:val="es-ES"/>
              </w:rPr>
              <w:noBreakHyphen/>
            </w:r>
            <w:r w:rsidRPr="00B67D32">
              <w:rPr>
                <w:lang w:val="es-ES"/>
              </w:rPr>
              <w:t>PIeL durante los próximos cuatro años.</w:t>
            </w:r>
          </w:p>
          <w:p w14:paraId="5F65FF31" w14:textId="77777777" w:rsidR="00F92BED" w:rsidRPr="00F24B71" w:rsidRDefault="00F92BED" w:rsidP="006308DA">
            <w:pPr>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1DE5883B" w14:textId="47A4BEAC" w:rsidR="00B67D32" w:rsidRPr="00B67D32" w:rsidRDefault="00B67D32" w:rsidP="004204C9">
            <w:pPr>
              <w:jc w:val="both"/>
              <w:rPr>
                <w:lang w:val="es-ES"/>
              </w:rPr>
            </w:pPr>
            <w:r w:rsidRPr="00B67D32">
              <w:rPr>
                <w:lang w:val="es-ES"/>
              </w:rPr>
              <w:t xml:space="preserve">Transformación digital sostenible: </w:t>
            </w:r>
            <w:r w:rsidR="006308DA">
              <w:rPr>
                <w:lang w:val="es-ES"/>
              </w:rPr>
              <w:t>f</w:t>
            </w:r>
            <w:r w:rsidRPr="00B67D32">
              <w:rPr>
                <w:lang w:val="es-ES"/>
              </w:rPr>
              <w:t>omentar la utilización equitativa e inclusiva de las telecomunicaciones/TIC para empoderar a las personas y las sociedades en favor del desarrollo sostenible</w:t>
            </w:r>
          </w:p>
          <w:p w14:paraId="67CE5597" w14:textId="77777777" w:rsidR="00F92BED" w:rsidRPr="00B67D32" w:rsidRDefault="00F92BED" w:rsidP="006308DA">
            <w:pPr>
              <w:rPr>
                <w:b/>
                <w:bCs/>
                <w:sz w:val="26"/>
                <w:szCs w:val="26"/>
                <w:lang w:val="es-ES"/>
              </w:rPr>
            </w:pPr>
            <w:r w:rsidRPr="00B67D32">
              <w:rPr>
                <w:b/>
                <w:bCs/>
                <w:sz w:val="26"/>
                <w:szCs w:val="26"/>
                <w:lang w:val="es-ES"/>
              </w:rPr>
              <w:t>Repercusiones financieras</w:t>
            </w:r>
          </w:p>
          <w:p w14:paraId="47F913DB" w14:textId="77777777" w:rsidR="00B67D32" w:rsidRPr="00B67D32" w:rsidRDefault="00B67D32" w:rsidP="006308DA">
            <w:pPr>
              <w:rPr>
                <w:lang w:val="es-ES"/>
              </w:rPr>
            </w:pPr>
            <w:r w:rsidRPr="00B67D32">
              <w:rPr>
                <w:lang w:val="es-ES"/>
              </w:rPr>
              <w:t>Con cargo al presupuesto asignado para 2025-2026.</w:t>
            </w:r>
          </w:p>
          <w:p w14:paraId="7FB4219F" w14:textId="77777777" w:rsidR="00FE57F6" w:rsidRPr="00B67D32" w:rsidRDefault="00FE57F6" w:rsidP="006308DA">
            <w:pPr>
              <w:spacing w:before="60"/>
              <w:rPr>
                <w:caps/>
                <w:sz w:val="22"/>
                <w:szCs w:val="22"/>
                <w:lang w:val="es-ES"/>
              </w:rPr>
            </w:pPr>
            <w:r w:rsidRPr="00B67D32">
              <w:rPr>
                <w:sz w:val="22"/>
                <w:szCs w:val="22"/>
                <w:lang w:val="es-ES"/>
              </w:rPr>
              <w:t>__________________</w:t>
            </w:r>
          </w:p>
          <w:p w14:paraId="3C7AC4AD" w14:textId="19A3A5CE" w:rsidR="00FE57F6" w:rsidRPr="00B67D32" w:rsidRDefault="00F24B71" w:rsidP="006308DA">
            <w:pPr>
              <w:rPr>
                <w:b/>
                <w:bCs/>
                <w:sz w:val="26"/>
                <w:szCs w:val="26"/>
                <w:lang w:val="es-ES"/>
              </w:rPr>
            </w:pPr>
            <w:r w:rsidRPr="00B67D32">
              <w:rPr>
                <w:b/>
                <w:bCs/>
                <w:sz w:val="26"/>
                <w:szCs w:val="26"/>
                <w:lang w:val="es-ES"/>
              </w:rPr>
              <w:t>Referencia</w:t>
            </w:r>
            <w:r w:rsidR="00F92BED" w:rsidRPr="00B67D32">
              <w:rPr>
                <w:b/>
                <w:bCs/>
                <w:sz w:val="26"/>
                <w:szCs w:val="26"/>
                <w:lang w:val="es-ES"/>
              </w:rPr>
              <w:t>s</w:t>
            </w:r>
          </w:p>
          <w:p w14:paraId="4CD7FAB0" w14:textId="40CB0B52" w:rsidR="00FE57F6" w:rsidRPr="004204C9" w:rsidRDefault="00B67D32" w:rsidP="004204C9">
            <w:pPr>
              <w:spacing w:after="120"/>
              <w:rPr>
                <w:sz w:val="22"/>
                <w:szCs w:val="22"/>
                <w:lang w:val="es-ES"/>
              </w:rPr>
            </w:pPr>
            <w:r w:rsidRPr="004204C9">
              <w:rPr>
                <w:i/>
                <w:iCs/>
                <w:sz w:val="22"/>
                <w:szCs w:val="22"/>
                <w:lang w:val="es-ES"/>
              </w:rPr>
              <w:t xml:space="preserve">Resolución </w:t>
            </w:r>
            <w:hyperlink r:id="rId8" w:history="1">
              <w:r w:rsidR="00AF60AF" w:rsidRPr="004204C9">
                <w:rPr>
                  <w:rStyle w:val="Hyperlink"/>
                  <w:rFonts w:eastAsia="Times New Roman" w:cs="Times New Roman"/>
                  <w:i/>
                  <w:iCs/>
                  <w:sz w:val="22"/>
                  <w:lang w:val="es-ES"/>
                </w:rPr>
                <w:t>179 (Rev. Bucarest, 2022)</w:t>
              </w:r>
            </w:hyperlink>
            <w:r w:rsidRPr="004204C9">
              <w:rPr>
                <w:i/>
                <w:iCs/>
                <w:sz w:val="22"/>
                <w:szCs w:val="22"/>
                <w:lang w:val="es-ES"/>
              </w:rPr>
              <w:t xml:space="preserve"> de la Conferencia de Plenipotenciarios; Resolución</w:t>
            </w:r>
            <w:r w:rsidR="00AF60AF" w:rsidRPr="004204C9">
              <w:rPr>
                <w:i/>
                <w:iCs/>
                <w:sz w:val="22"/>
                <w:szCs w:val="22"/>
                <w:lang w:val="es-ES"/>
              </w:rPr>
              <w:t> </w:t>
            </w:r>
            <w:hyperlink r:id="rId9" w:history="1">
              <w:r w:rsidRPr="004204C9">
                <w:rPr>
                  <w:rStyle w:val="Hyperlink"/>
                  <w:rFonts w:eastAsia="Times New Roman" w:cs="Times New Roman"/>
                  <w:i/>
                  <w:iCs/>
                  <w:sz w:val="22"/>
                  <w:lang w:val="es-ES"/>
                </w:rPr>
                <w:t>1306 (</w:t>
              </w:r>
              <w:proofErr w:type="spellStart"/>
              <w:r w:rsidRPr="004204C9">
                <w:rPr>
                  <w:rStyle w:val="Hyperlink"/>
                  <w:rFonts w:eastAsia="Times New Roman" w:cs="Times New Roman"/>
                  <w:i/>
                  <w:iCs/>
                  <w:sz w:val="22"/>
                  <w:lang w:val="es-ES"/>
                </w:rPr>
                <w:t>C09</w:t>
              </w:r>
              <w:proofErr w:type="spellEnd"/>
              <w:r w:rsidRPr="004204C9">
                <w:rPr>
                  <w:rStyle w:val="Hyperlink"/>
                  <w:rFonts w:eastAsia="Times New Roman" w:cs="Times New Roman"/>
                  <w:i/>
                  <w:iCs/>
                  <w:sz w:val="22"/>
                  <w:lang w:val="es-ES"/>
                </w:rPr>
                <w:t xml:space="preserve">, modificada </w:t>
              </w:r>
              <w:proofErr w:type="spellStart"/>
              <w:r w:rsidRPr="004204C9">
                <w:rPr>
                  <w:rStyle w:val="Hyperlink"/>
                  <w:rFonts w:eastAsia="Times New Roman" w:cs="Times New Roman"/>
                  <w:i/>
                  <w:iCs/>
                  <w:sz w:val="22"/>
                  <w:lang w:val="es-ES"/>
                </w:rPr>
                <w:t>C24</w:t>
              </w:r>
              <w:proofErr w:type="spellEnd"/>
              <w:r w:rsidRPr="004204C9">
                <w:rPr>
                  <w:rStyle w:val="Hyperlink"/>
                  <w:rFonts w:eastAsia="Times New Roman" w:cs="Times New Roman"/>
                  <w:i/>
                  <w:iCs/>
                  <w:sz w:val="22"/>
                  <w:lang w:val="es-ES"/>
                </w:rPr>
                <w:t>)</w:t>
              </w:r>
            </w:hyperlink>
            <w:r w:rsidRPr="004204C9">
              <w:rPr>
                <w:i/>
                <w:iCs/>
                <w:sz w:val="22"/>
                <w:szCs w:val="22"/>
                <w:lang w:val="es-ES"/>
              </w:rPr>
              <w:t xml:space="preserve"> del Consejo</w:t>
            </w:r>
          </w:p>
        </w:tc>
      </w:tr>
      <w:bookmarkEnd w:id="0"/>
    </w:tbl>
    <w:p w14:paraId="714EA109" w14:textId="77777777" w:rsidR="001559F5" w:rsidRPr="004204C9" w:rsidRDefault="001559F5" w:rsidP="00927B59">
      <w:pPr>
        <w:spacing w:before="0"/>
        <w:rPr>
          <w:sz w:val="10"/>
          <w:szCs w:val="10"/>
          <w:lang w:val="es-ES"/>
        </w:rPr>
      </w:pPr>
      <w:r w:rsidRPr="004204C9">
        <w:rPr>
          <w:sz w:val="10"/>
          <w:szCs w:val="10"/>
          <w:lang w:val="es-ES"/>
        </w:rPr>
        <w:br w:type="page"/>
      </w:r>
    </w:p>
    <w:p w14:paraId="7C8484AD" w14:textId="77777777" w:rsidR="00B67D32" w:rsidRPr="00B67D32" w:rsidRDefault="00B67D32" w:rsidP="00B67D32">
      <w:pPr>
        <w:pStyle w:val="Heading1"/>
        <w:rPr>
          <w:lang w:val="es-ES"/>
        </w:rPr>
      </w:pPr>
      <w:r w:rsidRPr="00B67D32">
        <w:rPr>
          <w:lang w:val="es-ES"/>
        </w:rPr>
        <w:lastRenderedPageBreak/>
        <w:t>I</w:t>
      </w:r>
      <w:r w:rsidRPr="00B67D32">
        <w:rPr>
          <w:lang w:val="es-ES"/>
        </w:rPr>
        <w:tab/>
        <w:t>Introducción</w:t>
      </w:r>
    </w:p>
    <w:p w14:paraId="02E2EE3E" w14:textId="0D7A65C1" w:rsidR="00B67D32" w:rsidRPr="00B67D32" w:rsidRDefault="00B67D32" w:rsidP="004204C9">
      <w:pPr>
        <w:jc w:val="both"/>
        <w:rPr>
          <w:lang w:val="es-ES"/>
        </w:rPr>
      </w:pPr>
      <w:r w:rsidRPr="00B67D32">
        <w:rPr>
          <w:lang w:val="es-ES"/>
        </w:rPr>
        <w:t>1</w:t>
      </w:r>
      <w:r w:rsidRPr="00B67D32">
        <w:rPr>
          <w:lang w:val="es-ES"/>
        </w:rPr>
        <w:tab/>
        <w:t xml:space="preserve">El </w:t>
      </w:r>
      <w:hyperlink r:id="rId10" w:history="1">
        <w:r w:rsidRPr="00B67D32">
          <w:rPr>
            <w:rStyle w:val="Hyperlink"/>
            <w:rFonts w:eastAsia="Times New Roman" w:cs="Times New Roman"/>
            <w:szCs w:val="20"/>
            <w:lang w:val="es-ES"/>
          </w:rPr>
          <w:t xml:space="preserve">Grupo de Trabajo del Consejo de la UIT sobre Protección de la Infancia en </w:t>
        </w:r>
        <w:r w:rsidR="00AF60AF" w:rsidRPr="00B67D32">
          <w:rPr>
            <w:rStyle w:val="Hyperlink"/>
            <w:rFonts w:eastAsia="Times New Roman" w:cs="Times New Roman"/>
            <w:szCs w:val="20"/>
            <w:lang w:val="es-ES"/>
          </w:rPr>
          <w:t>Línea</w:t>
        </w:r>
      </w:hyperlink>
      <w:r w:rsidRPr="00B67D32">
        <w:rPr>
          <w:lang w:val="es-ES"/>
        </w:rPr>
        <w:t xml:space="preserve"> (</w:t>
      </w:r>
      <w:proofErr w:type="spellStart"/>
      <w:r w:rsidRPr="00B67D32">
        <w:rPr>
          <w:lang w:val="es-ES"/>
        </w:rPr>
        <w:t>GTC</w:t>
      </w:r>
      <w:r w:rsidR="004204C9">
        <w:rPr>
          <w:lang w:val="es-ES"/>
        </w:rPr>
        <w:noBreakHyphen/>
      </w:r>
      <w:r w:rsidRPr="00B67D32">
        <w:rPr>
          <w:lang w:val="es-ES"/>
        </w:rPr>
        <w:t>PIeL</w:t>
      </w:r>
      <w:proofErr w:type="spellEnd"/>
      <w:r w:rsidRPr="00B67D32">
        <w:rPr>
          <w:lang w:val="es-ES"/>
        </w:rPr>
        <w:t xml:space="preserve">) se creó en virtud de la </w:t>
      </w:r>
      <w:r w:rsidRPr="00AF60AF">
        <w:rPr>
          <w:lang w:val="es-ES"/>
        </w:rPr>
        <w:t>Resolución </w:t>
      </w:r>
      <w:hyperlink r:id="rId11" w:history="1">
        <w:r w:rsidRPr="00AF60AF">
          <w:rPr>
            <w:rStyle w:val="Hyperlink"/>
            <w:rFonts w:eastAsia="Times New Roman" w:cs="Times New Roman"/>
            <w:szCs w:val="20"/>
            <w:lang w:val="es-ES"/>
          </w:rPr>
          <w:t>1306 (</w:t>
        </w:r>
        <w:proofErr w:type="spellStart"/>
        <w:r w:rsidRPr="00AF60AF">
          <w:rPr>
            <w:rStyle w:val="Hyperlink"/>
            <w:rFonts w:eastAsia="Times New Roman" w:cs="Times New Roman"/>
            <w:szCs w:val="20"/>
            <w:lang w:val="es-ES"/>
          </w:rPr>
          <w:t>C09</w:t>
        </w:r>
        <w:proofErr w:type="spellEnd"/>
        <w:r w:rsidRPr="00AF60AF">
          <w:rPr>
            <w:rStyle w:val="Hyperlink"/>
            <w:rFonts w:eastAsia="Times New Roman" w:cs="Times New Roman"/>
            <w:szCs w:val="20"/>
            <w:lang w:val="es-ES"/>
          </w:rPr>
          <w:t xml:space="preserve">, modificada </w:t>
        </w:r>
        <w:proofErr w:type="spellStart"/>
        <w:r w:rsidRPr="00AF60AF">
          <w:rPr>
            <w:rStyle w:val="Hyperlink"/>
            <w:rFonts w:eastAsia="Times New Roman" w:cs="Times New Roman"/>
            <w:szCs w:val="20"/>
            <w:lang w:val="es-ES"/>
          </w:rPr>
          <w:t>C24</w:t>
        </w:r>
        <w:proofErr w:type="spellEnd"/>
        <w:r w:rsidRPr="00AF60AF">
          <w:rPr>
            <w:rStyle w:val="Hyperlink"/>
            <w:rFonts w:eastAsia="Times New Roman" w:cs="Times New Roman"/>
            <w:szCs w:val="20"/>
            <w:lang w:val="es-ES"/>
          </w:rPr>
          <w:t>)</w:t>
        </w:r>
      </w:hyperlink>
      <w:r w:rsidRPr="00B67D32">
        <w:rPr>
          <w:lang w:val="es-ES"/>
        </w:rPr>
        <w:t xml:space="preserve"> del Consejo, de conformidad con la Resolución</w:t>
      </w:r>
      <w:r w:rsidR="00AF60AF">
        <w:rPr>
          <w:lang w:val="es-ES"/>
        </w:rPr>
        <w:t> </w:t>
      </w:r>
      <w:hyperlink r:id="rId12" w:history="1">
        <w:r w:rsidRPr="00B67D32">
          <w:rPr>
            <w:rStyle w:val="Hyperlink"/>
            <w:rFonts w:eastAsia="Times New Roman" w:cs="Times New Roman"/>
            <w:szCs w:val="20"/>
            <w:lang w:val="es-ES"/>
          </w:rPr>
          <w:t>179 (Rev. Bucarest, 2022)</w:t>
        </w:r>
      </w:hyperlink>
      <w:r w:rsidRPr="00B67D32">
        <w:rPr>
          <w:lang w:val="es-ES"/>
        </w:rPr>
        <w:t xml:space="preserve"> de la Conferencia de Plenipotenciarios. El</w:t>
      </w:r>
      <w:r w:rsidR="005F18E8">
        <w:rPr>
          <w:lang w:val="es-ES"/>
        </w:rPr>
        <w:t> </w:t>
      </w:r>
      <w:r w:rsidRPr="00B67D32">
        <w:rPr>
          <w:lang w:val="es-ES"/>
        </w:rPr>
        <w:t>GTC-PIeL está abierto a todas las partes interesadas pertinentes.</w:t>
      </w:r>
    </w:p>
    <w:p w14:paraId="56DA6AB5" w14:textId="74F98071" w:rsidR="00B67D32" w:rsidRPr="00B67D32" w:rsidRDefault="00B67D32" w:rsidP="004204C9">
      <w:pPr>
        <w:jc w:val="both"/>
        <w:rPr>
          <w:lang w:val="es-ES"/>
        </w:rPr>
      </w:pPr>
      <w:bookmarkStart w:id="1" w:name="_Hlk221109652"/>
      <w:r w:rsidRPr="00B67D32">
        <w:rPr>
          <w:lang w:val="es-ES"/>
        </w:rPr>
        <w:t>2</w:t>
      </w:r>
      <w:r w:rsidRPr="00B67D32">
        <w:rPr>
          <w:lang w:val="es-ES"/>
        </w:rPr>
        <w:tab/>
        <w:t>El mandato del</w:t>
      </w:r>
      <w:r w:rsidR="005F18E8">
        <w:rPr>
          <w:lang w:val="es-ES"/>
        </w:rPr>
        <w:t> </w:t>
      </w:r>
      <w:r w:rsidRPr="00B67D32">
        <w:rPr>
          <w:lang w:val="es-ES"/>
        </w:rPr>
        <w:t xml:space="preserve">GTC-PIeL se especifica en el </w:t>
      </w:r>
      <w:hyperlink r:id="rId13" w:history="1">
        <w:r w:rsidRPr="00B67D32">
          <w:rPr>
            <w:rStyle w:val="Hyperlink"/>
            <w:rFonts w:eastAsia="Times New Roman" w:cs="Times New Roman"/>
            <w:szCs w:val="20"/>
            <w:lang w:val="es-ES"/>
          </w:rPr>
          <w:t>Anexo</w:t>
        </w:r>
        <w:r w:rsidR="00E51907">
          <w:rPr>
            <w:rStyle w:val="Hyperlink"/>
            <w:rFonts w:eastAsia="Times New Roman" w:cs="Times New Roman"/>
            <w:szCs w:val="20"/>
            <w:lang w:val="es-ES"/>
          </w:rPr>
          <w:t> </w:t>
        </w:r>
        <w:r w:rsidRPr="00B67D32">
          <w:rPr>
            <w:rStyle w:val="Hyperlink"/>
            <w:rFonts w:eastAsia="Times New Roman" w:cs="Times New Roman"/>
            <w:szCs w:val="20"/>
            <w:lang w:val="es-ES"/>
          </w:rPr>
          <w:t>1 a los resultados de la 1</w:t>
        </w:r>
        <w:r w:rsidR="00AF60AF">
          <w:rPr>
            <w:rStyle w:val="Hyperlink"/>
            <w:rFonts w:eastAsia="Times New Roman" w:cs="Times New Roman"/>
            <w:szCs w:val="20"/>
            <w:lang w:val="es-ES"/>
          </w:rPr>
          <w:t>.</w:t>
        </w:r>
        <w:r w:rsidRPr="00B67D32">
          <w:rPr>
            <w:rStyle w:val="Hyperlink"/>
            <w:rFonts w:eastAsia="Times New Roman" w:cs="Times New Roman"/>
            <w:szCs w:val="20"/>
            <w:lang w:val="es-ES"/>
          </w:rPr>
          <w:t>ª</w:t>
        </w:r>
        <w:r w:rsidR="00AF60AF">
          <w:rPr>
            <w:rStyle w:val="Hyperlink"/>
            <w:rFonts w:eastAsia="Times New Roman" w:cs="Times New Roman"/>
            <w:szCs w:val="20"/>
            <w:lang w:val="es-ES"/>
          </w:rPr>
          <w:t> </w:t>
        </w:r>
        <w:r w:rsidRPr="00B67D32">
          <w:rPr>
            <w:rStyle w:val="Hyperlink"/>
            <w:rFonts w:eastAsia="Times New Roman" w:cs="Times New Roman"/>
            <w:szCs w:val="20"/>
            <w:lang w:val="es-ES"/>
          </w:rPr>
          <w:t>reunión</w:t>
        </w:r>
      </w:hyperlink>
      <w:r w:rsidRPr="00B67D32">
        <w:rPr>
          <w:lang w:val="es-ES"/>
        </w:rPr>
        <w:t>.</w:t>
      </w:r>
    </w:p>
    <w:bookmarkEnd w:id="1"/>
    <w:p w14:paraId="143C85B7" w14:textId="5D7A723B" w:rsidR="00B67D32" w:rsidRPr="00B67D32" w:rsidRDefault="00B67D32" w:rsidP="004204C9">
      <w:pPr>
        <w:jc w:val="both"/>
        <w:rPr>
          <w:lang w:val="es-ES"/>
        </w:rPr>
      </w:pPr>
      <w:r w:rsidRPr="00B67D32">
        <w:rPr>
          <w:lang w:val="es-ES"/>
        </w:rPr>
        <w:t>3</w:t>
      </w:r>
      <w:r w:rsidRPr="00B67D32">
        <w:rPr>
          <w:lang w:val="es-ES"/>
        </w:rPr>
        <w:tab/>
        <w:t>En la Resolución</w:t>
      </w:r>
      <w:r w:rsidR="00AF60AF">
        <w:rPr>
          <w:lang w:val="es-ES"/>
        </w:rPr>
        <w:t> </w:t>
      </w:r>
      <w:hyperlink r:id="rId14" w:history="1">
        <w:r w:rsidRPr="00B67D32">
          <w:rPr>
            <w:rStyle w:val="Hyperlink"/>
            <w:rFonts w:eastAsia="Times New Roman" w:cs="Times New Roman"/>
            <w:szCs w:val="20"/>
            <w:lang w:val="es-ES"/>
          </w:rPr>
          <w:t>179 (Rev.</w:t>
        </w:r>
        <w:r w:rsidR="007F377D">
          <w:rPr>
            <w:rStyle w:val="Hyperlink"/>
            <w:rFonts w:eastAsia="Times New Roman" w:cs="Times New Roman"/>
            <w:szCs w:val="20"/>
            <w:lang w:val="es-ES"/>
          </w:rPr>
          <w:t> </w:t>
        </w:r>
        <w:r w:rsidRPr="00B67D32">
          <w:rPr>
            <w:rStyle w:val="Hyperlink"/>
            <w:rFonts w:eastAsia="Times New Roman" w:cs="Times New Roman"/>
            <w:szCs w:val="20"/>
            <w:lang w:val="es-ES"/>
          </w:rPr>
          <w:t>Bucarest,</w:t>
        </w:r>
        <w:r w:rsidR="007F377D">
          <w:rPr>
            <w:rStyle w:val="Hyperlink"/>
            <w:rFonts w:eastAsia="Times New Roman" w:cs="Times New Roman"/>
            <w:szCs w:val="20"/>
            <w:lang w:val="es-ES"/>
          </w:rPr>
          <w:t> </w:t>
        </w:r>
        <w:r w:rsidRPr="00B67D32">
          <w:rPr>
            <w:rStyle w:val="Hyperlink"/>
            <w:rFonts w:eastAsia="Times New Roman" w:cs="Times New Roman"/>
            <w:szCs w:val="20"/>
            <w:lang w:val="es-ES"/>
          </w:rPr>
          <w:t>2022)</w:t>
        </w:r>
      </w:hyperlink>
      <w:r w:rsidRPr="00B67D32">
        <w:rPr>
          <w:lang w:val="es-ES"/>
        </w:rPr>
        <w:t xml:space="preserve"> de la Conferencia de Plenipotenciarios se pide al Consejo:</w:t>
      </w:r>
    </w:p>
    <w:p w14:paraId="70E26D6F" w14:textId="40020EBF" w:rsidR="00B67D32" w:rsidRPr="00B67D32" w:rsidRDefault="00B67D32" w:rsidP="004204C9">
      <w:pPr>
        <w:pStyle w:val="enumlev1"/>
        <w:jc w:val="both"/>
        <w:rPr>
          <w:lang w:val="es-ES"/>
        </w:rPr>
      </w:pPr>
      <w:r w:rsidRPr="00B67D32">
        <w:rPr>
          <w:lang w:val="es-ES"/>
        </w:rPr>
        <w:t>a)</w:t>
      </w:r>
      <w:r w:rsidRPr="00B67D32">
        <w:rPr>
          <w:lang w:val="es-ES"/>
        </w:rPr>
        <w:tab/>
        <w:t>que prosiga la labor del</w:t>
      </w:r>
      <w:r w:rsidR="005F18E8">
        <w:rPr>
          <w:lang w:val="es-ES"/>
        </w:rPr>
        <w:t> </w:t>
      </w:r>
      <w:r w:rsidRPr="00B67D32">
        <w:rPr>
          <w:lang w:val="es-ES"/>
        </w:rPr>
        <w:t>GTC</w:t>
      </w:r>
      <w:r w:rsidR="005F18E8">
        <w:rPr>
          <w:lang w:val="es-ES"/>
        </w:rPr>
        <w:noBreakHyphen/>
      </w:r>
      <w:r w:rsidRPr="00B67D32">
        <w:rPr>
          <w:lang w:val="es-ES"/>
        </w:rPr>
        <w:t>PIeL a fin de facilitar las aportaciones y orientaciones de los miembros sobre la función de la</w:t>
      </w:r>
      <w:r w:rsidR="005F18E8">
        <w:rPr>
          <w:lang w:val="es-ES"/>
        </w:rPr>
        <w:t> </w:t>
      </w:r>
      <w:r w:rsidRPr="00B67D32">
        <w:rPr>
          <w:lang w:val="es-ES"/>
        </w:rPr>
        <w:t>UIT en la protección de la infancia en línea, y que sirva de plataforma para el debate y el intercambio de prácticas idóneas;</w:t>
      </w:r>
    </w:p>
    <w:p w14:paraId="398D1EC1" w14:textId="3C03E72A" w:rsidR="00B67D32" w:rsidRPr="00B67D32" w:rsidRDefault="00B67D32" w:rsidP="004204C9">
      <w:pPr>
        <w:pStyle w:val="enumlev1"/>
        <w:jc w:val="both"/>
        <w:rPr>
          <w:lang w:val="es-ES"/>
        </w:rPr>
      </w:pPr>
      <w:r w:rsidRPr="00B67D32">
        <w:rPr>
          <w:lang w:val="es-ES"/>
        </w:rPr>
        <w:t>b)</w:t>
      </w:r>
      <w:r w:rsidRPr="00B67D32">
        <w:rPr>
          <w:lang w:val="es-ES"/>
        </w:rPr>
        <w:tab/>
        <w:t>que facilite la contribución y participación de todas las partes interesadas pertinentes en los trabajos del</w:t>
      </w:r>
      <w:r w:rsidR="005F18E8">
        <w:rPr>
          <w:lang w:val="es-ES"/>
        </w:rPr>
        <w:t> </w:t>
      </w:r>
      <w:r w:rsidRPr="00B67D32">
        <w:rPr>
          <w:lang w:val="es-ES"/>
        </w:rPr>
        <w:t>GTC</w:t>
      </w:r>
      <w:r w:rsidR="005F18E8">
        <w:rPr>
          <w:lang w:val="es-ES"/>
        </w:rPr>
        <w:noBreakHyphen/>
      </w:r>
      <w:r w:rsidRPr="00B67D32">
        <w:rPr>
          <w:lang w:val="es-ES"/>
        </w:rPr>
        <w:t>PIeL para garantizar la máxima colaboración en la aplicación de la presente Resolución;</w:t>
      </w:r>
    </w:p>
    <w:p w14:paraId="75E1AD73" w14:textId="59D9D1E3" w:rsidR="00B67D32" w:rsidRPr="00B67D32" w:rsidRDefault="00B67D32" w:rsidP="004204C9">
      <w:pPr>
        <w:pStyle w:val="enumlev1"/>
        <w:jc w:val="both"/>
        <w:rPr>
          <w:lang w:val="es-ES"/>
        </w:rPr>
      </w:pPr>
      <w:r w:rsidRPr="00B67D32">
        <w:rPr>
          <w:lang w:val="es-ES"/>
        </w:rPr>
        <w:t>c)</w:t>
      </w:r>
      <w:r w:rsidRPr="00B67D32">
        <w:rPr>
          <w:lang w:val="es-ES"/>
        </w:rPr>
        <w:tab/>
        <w:t>que aliente al</w:t>
      </w:r>
      <w:r w:rsidR="005F18E8">
        <w:rPr>
          <w:lang w:val="es-ES"/>
        </w:rPr>
        <w:t> </w:t>
      </w:r>
      <w:r w:rsidRPr="00B67D32">
        <w:rPr>
          <w:lang w:val="es-ES"/>
        </w:rPr>
        <w:t>GTC</w:t>
      </w:r>
      <w:r w:rsidR="005F18E8">
        <w:rPr>
          <w:lang w:val="es-ES"/>
        </w:rPr>
        <w:noBreakHyphen/>
      </w:r>
      <w:r w:rsidRPr="00B67D32">
        <w:rPr>
          <w:lang w:val="es-ES"/>
        </w:rPr>
        <w:t>PIeL a cooperar con el Grupo de Trabajo del Consejo sobre cuestiones de política pública relacionadas con Internet (GTC</w:t>
      </w:r>
      <w:r w:rsidR="005F18E8">
        <w:rPr>
          <w:lang w:val="es-ES"/>
        </w:rPr>
        <w:noBreakHyphen/>
      </w:r>
      <w:r w:rsidRPr="00B67D32">
        <w:rPr>
          <w:lang w:val="es-ES"/>
        </w:rPr>
        <w:t>Internet), cuando proceda, para contribuir al logro de la tarea definida en el marco del mandato de esos Grupos de Trabajo del Consejo sobre las cuestiones pertinentes de un modo que beneficie a ambos;</w:t>
      </w:r>
    </w:p>
    <w:p w14:paraId="6DC7FEB9" w14:textId="6B5D2B1C" w:rsidR="00B67D32" w:rsidRPr="00B67D32" w:rsidRDefault="00B67D32" w:rsidP="004204C9">
      <w:pPr>
        <w:pStyle w:val="enumlev1"/>
        <w:jc w:val="both"/>
        <w:rPr>
          <w:lang w:val="es-ES"/>
        </w:rPr>
      </w:pPr>
      <w:r w:rsidRPr="00B67D32">
        <w:rPr>
          <w:lang w:val="es-ES"/>
        </w:rPr>
        <w:t>d)</w:t>
      </w:r>
      <w:r w:rsidRPr="00B67D32">
        <w:rPr>
          <w:lang w:val="es-ES"/>
        </w:rPr>
        <w:tab/>
        <w:t>que aliente al</w:t>
      </w:r>
      <w:r w:rsidR="005F18E8">
        <w:rPr>
          <w:lang w:val="es-ES"/>
        </w:rPr>
        <w:t> </w:t>
      </w:r>
      <w:r w:rsidRPr="00B67D32">
        <w:rPr>
          <w:lang w:val="es-ES"/>
        </w:rPr>
        <w:t>GTC-PIeL a coordinarse con la Comisión de Estudio</w:t>
      </w:r>
      <w:r w:rsidR="00AF60AF">
        <w:rPr>
          <w:lang w:val="es-ES"/>
        </w:rPr>
        <w:t> </w:t>
      </w:r>
      <w:r w:rsidRPr="00B67D32">
        <w:rPr>
          <w:lang w:val="es-ES"/>
        </w:rPr>
        <w:t>2 del UIT-D, compartiendo los resultados de las reuniones del</w:t>
      </w:r>
      <w:r w:rsidR="005F18E8">
        <w:rPr>
          <w:lang w:val="es-ES"/>
        </w:rPr>
        <w:t> </w:t>
      </w:r>
      <w:r w:rsidRPr="00B67D32">
        <w:rPr>
          <w:lang w:val="es-ES"/>
        </w:rPr>
        <w:t>GTC</w:t>
      </w:r>
      <w:r w:rsidR="005F18E8">
        <w:rPr>
          <w:lang w:val="es-ES"/>
        </w:rPr>
        <w:noBreakHyphen/>
      </w:r>
      <w:r w:rsidRPr="00B67D32">
        <w:rPr>
          <w:lang w:val="es-ES"/>
        </w:rPr>
        <w:t>PIeL, en beneficio de los debates de la Cuestión de estudio correspondiente;</w:t>
      </w:r>
    </w:p>
    <w:p w14:paraId="2C83F96B" w14:textId="2164CB75" w:rsidR="00B67D32" w:rsidRPr="00B67D32" w:rsidRDefault="00B67D32" w:rsidP="004204C9">
      <w:pPr>
        <w:pStyle w:val="enumlev1"/>
        <w:jc w:val="both"/>
        <w:rPr>
          <w:lang w:val="es-ES"/>
        </w:rPr>
      </w:pPr>
      <w:r w:rsidRPr="00B67D32">
        <w:rPr>
          <w:lang w:val="es-ES"/>
        </w:rPr>
        <w:t>e)</w:t>
      </w:r>
      <w:r w:rsidRPr="00B67D32">
        <w:rPr>
          <w:lang w:val="es-ES"/>
        </w:rPr>
        <w:tab/>
        <w:t>alentar al</w:t>
      </w:r>
      <w:r w:rsidR="005F18E8">
        <w:rPr>
          <w:lang w:val="es-ES"/>
        </w:rPr>
        <w:t> </w:t>
      </w:r>
      <w:r w:rsidRPr="00B67D32">
        <w:rPr>
          <w:lang w:val="es-ES"/>
        </w:rPr>
        <w:t>GTC-PIeL a celebrar una consulta en línea con los jóvenes, a fin de escuchar sus puntos de vista y sus opiniones sobre los diferentes asuntos relacionados con la protección de la infancia en línea, antes y durante sus reuniones;</w:t>
      </w:r>
    </w:p>
    <w:p w14:paraId="5E043B3C" w14:textId="77777777" w:rsidR="00B67D32" w:rsidRPr="00B67D32" w:rsidRDefault="00B67D32" w:rsidP="004204C9">
      <w:pPr>
        <w:pStyle w:val="enumlev1"/>
        <w:jc w:val="both"/>
        <w:rPr>
          <w:lang w:val="es-ES"/>
        </w:rPr>
      </w:pPr>
      <w:r w:rsidRPr="00B67D32">
        <w:rPr>
          <w:lang w:val="es-ES"/>
        </w:rPr>
        <w:t>f)</w:t>
      </w:r>
      <w:r w:rsidRPr="00B67D32">
        <w:rPr>
          <w:lang w:val="es-ES"/>
        </w:rPr>
        <w:tab/>
        <w:t>que siga poniendo a disposición del público y sin protección por contraseña todos los documentos finales relacionados con la protección de la infancia en línea.</w:t>
      </w:r>
    </w:p>
    <w:p w14:paraId="636163EE" w14:textId="205EDD3F" w:rsidR="00B67D32" w:rsidRPr="00B67D32" w:rsidRDefault="00B67D32" w:rsidP="004204C9">
      <w:pPr>
        <w:jc w:val="both"/>
        <w:rPr>
          <w:lang w:val="es-ES"/>
        </w:rPr>
      </w:pPr>
      <w:r w:rsidRPr="00B67D32">
        <w:rPr>
          <w:lang w:val="es-ES"/>
        </w:rPr>
        <w:t>4</w:t>
      </w:r>
      <w:r w:rsidRPr="00B67D32">
        <w:rPr>
          <w:lang w:val="es-ES"/>
        </w:rPr>
        <w:tab/>
        <w:t>La 19</w:t>
      </w:r>
      <w:r w:rsidR="00927B59">
        <w:rPr>
          <w:lang w:val="es-ES"/>
        </w:rPr>
        <w:t>.</w:t>
      </w:r>
      <w:r w:rsidRPr="00B67D32">
        <w:rPr>
          <w:lang w:val="es-ES"/>
        </w:rPr>
        <w:t>ª, 20</w:t>
      </w:r>
      <w:r w:rsidR="00927B59">
        <w:rPr>
          <w:lang w:val="es-ES"/>
        </w:rPr>
        <w:t>.</w:t>
      </w:r>
      <w:r w:rsidRPr="00B67D32">
        <w:rPr>
          <w:lang w:val="es-ES"/>
        </w:rPr>
        <w:t>ª y 21</w:t>
      </w:r>
      <w:r w:rsidR="00927B59">
        <w:rPr>
          <w:lang w:val="es-ES"/>
        </w:rPr>
        <w:t>.</w:t>
      </w:r>
      <w:r w:rsidRPr="00B67D32">
        <w:rPr>
          <w:lang w:val="es-ES"/>
        </w:rPr>
        <w:t>ª reuni</w:t>
      </w:r>
      <w:r w:rsidR="00927B59">
        <w:rPr>
          <w:lang w:val="es-ES"/>
        </w:rPr>
        <w:t>ó</w:t>
      </w:r>
      <w:r w:rsidRPr="00B67D32">
        <w:rPr>
          <w:lang w:val="es-ES"/>
        </w:rPr>
        <w:t>n del</w:t>
      </w:r>
      <w:r w:rsidR="005F18E8">
        <w:rPr>
          <w:lang w:val="es-ES"/>
        </w:rPr>
        <w:t> </w:t>
      </w:r>
      <w:r w:rsidR="005F18E8" w:rsidRPr="005F18E8">
        <w:rPr>
          <w:lang w:val="es-ES"/>
        </w:rPr>
        <w:t>GTC</w:t>
      </w:r>
      <w:r w:rsidR="005F18E8">
        <w:rPr>
          <w:lang w:val="es-ES"/>
        </w:rPr>
        <w:noBreakHyphen/>
      </w:r>
      <w:r w:rsidR="005F18E8" w:rsidRPr="005F18E8">
        <w:rPr>
          <w:lang w:val="es-ES"/>
        </w:rPr>
        <w:t>PIeL</w:t>
      </w:r>
      <w:r w:rsidRPr="00B67D32">
        <w:rPr>
          <w:lang w:val="es-ES"/>
        </w:rPr>
        <w:t xml:space="preserve"> estuvieron presididas por el Sr.</w:t>
      </w:r>
      <w:r w:rsidR="005F18E8">
        <w:rPr>
          <w:lang w:val="es-ES"/>
        </w:rPr>
        <w:t> </w:t>
      </w:r>
      <w:r w:rsidRPr="00B67D32">
        <w:rPr>
          <w:lang w:val="es-ES"/>
        </w:rPr>
        <w:t>Abdelaziz Al Zarooni (Emiratos Árabes Unidos) con la asistencia de los seis Vicepresidentes:</w:t>
      </w:r>
    </w:p>
    <w:p w14:paraId="2A439A52" w14:textId="1732C022" w:rsidR="00B67D32" w:rsidRPr="00B67D32" w:rsidRDefault="00B67D32" w:rsidP="00B67D32">
      <w:pPr>
        <w:pStyle w:val="enumlev1"/>
        <w:rPr>
          <w:lang w:val="es-ES"/>
        </w:rPr>
      </w:pPr>
      <w:r w:rsidRPr="00B67D32">
        <w:rPr>
          <w:lang w:val="es-ES"/>
        </w:rPr>
        <w:t>–</w:t>
      </w:r>
      <w:r w:rsidRPr="00B67D32">
        <w:rPr>
          <w:lang w:val="es-ES"/>
        </w:rPr>
        <w:tab/>
        <w:t>AFR</w:t>
      </w:r>
      <w:r w:rsidRPr="00B67D32">
        <w:rPr>
          <w:lang w:val="es-ES"/>
        </w:rPr>
        <w:tab/>
        <w:t>– Sra.</w:t>
      </w:r>
      <w:r w:rsidR="005F18E8">
        <w:rPr>
          <w:lang w:val="es-ES"/>
        </w:rPr>
        <w:t> </w:t>
      </w:r>
      <w:r w:rsidRPr="00B67D32">
        <w:rPr>
          <w:lang w:val="es-ES"/>
        </w:rPr>
        <w:t>Stella Chubiyo Erebor (Nigeria)</w:t>
      </w:r>
    </w:p>
    <w:p w14:paraId="7E84151A" w14:textId="067D31BD" w:rsidR="00B67D32" w:rsidRPr="00B67D32" w:rsidRDefault="00B67D32" w:rsidP="00B67D32">
      <w:pPr>
        <w:pStyle w:val="enumlev1"/>
        <w:rPr>
          <w:lang w:val="es-ES"/>
        </w:rPr>
      </w:pPr>
      <w:r w:rsidRPr="00B67D32">
        <w:rPr>
          <w:lang w:val="es-ES"/>
        </w:rPr>
        <w:t>–</w:t>
      </w:r>
      <w:r w:rsidRPr="00B67D32">
        <w:rPr>
          <w:lang w:val="es-ES"/>
        </w:rPr>
        <w:tab/>
        <w:t>AMS</w:t>
      </w:r>
      <w:r w:rsidRPr="00B67D32">
        <w:rPr>
          <w:lang w:val="es-ES"/>
        </w:rPr>
        <w:tab/>
        <w:t>– Sr.</w:t>
      </w:r>
      <w:r w:rsidR="005F18E8">
        <w:rPr>
          <w:lang w:val="es-ES"/>
        </w:rPr>
        <w:t> </w:t>
      </w:r>
      <w:r w:rsidRPr="00B67D32">
        <w:rPr>
          <w:lang w:val="es-ES"/>
        </w:rPr>
        <w:t>Kemie Alexander Jones (Bahamas)</w:t>
      </w:r>
    </w:p>
    <w:p w14:paraId="2C2A7411" w14:textId="3B9EC043" w:rsidR="00B67D32" w:rsidRPr="005F18E8" w:rsidRDefault="00B67D32" w:rsidP="00B67D32">
      <w:pPr>
        <w:pStyle w:val="enumlev1"/>
        <w:rPr>
          <w:lang w:val="es-ES"/>
        </w:rPr>
      </w:pPr>
      <w:r w:rsidRPr="005F18E8">
        <w:rPr>
          <w:lang w:val="es-ES"/>
        </w:rPr>
        <w:t>–</w:t>
      </w:r>
      <w:r w:rsidRPr="005F18E8">
        <w:rPr>
          <w:lang w:val="es-ES"/>
        </w:rPr>
        <w:tab/>
        <w:t>ARB</w:t>
      </w:r>
      <w:r w:rsidRPr="005F18E8">
        <w:rPr>
          <w:lang w:val="es-ES"/>
        </w:rPr>
        <w:tab/>
        <w:t>– Sra.</w:t>
      </w:r>
      <w:r w:rsidR="005F18E8" w:rsidRPr="005F18E8">
        <w:rPr>
          <w:lang w:val="es-ES"/>
        </w:rPr>
        <w:t> </w:t>
      </w:r>
      <w:r w:rsidRPr="005F18E8">
        <w:rPr>
          <w:lang w:val="es-ES"/>
        </w:rPr>
        <w:t>May Ali Alghatam (Bahr</w:t>
      </w:r>
      <w:r w:rsidR="005F18E8" w:rsidRPr="005F18E8">
        <w:rPr>
          <w:lang w:val="es-ES"/>
        </w:rPr>
        <w:t>e</w:t>
      </w:r>
      <w:r w:rsidRPr="005F18E8">
        <w:rPr>
          <w:lang w:val="es-ES"/>
        </w:rPr>
        <w:t>in)</w:t>
      </w:r>
    </w:p>
    <w:p w14:paraId="73B3801F" w14:textId="1A3CDA6C" w:rsidR="00B67D32" w:rsidRPr="005F18E8" w:rsidRDefault="00B67D32" w:rsidP="00B67D32">
      <w:pPr>
        <w:pStyle w:val="enumlev1"/>
        <w:rPr>
          <w:lang w:val="es-ES"/>
        </w:rPr>
      </w:pPr>
      <w:r w:rsidRPr="005F18E8">
        <w:rPr>
          <w:lang w:val="es-ES"/>
        </w:rPr>
        <w:t>–</w:t>
      </w:r>
      <w:r w:rsidRPr="005F18E8">
        <w:rPr>
          <w:lang w:val="es-ES"/>
        </w:rPr>
        <w:tab/>
        <w:t>ASP</w:t>
      </w:r>
      <w:r w:rsidRPr="005F18E8">
        <w:rPr>
          <w:lang w:val="es-ES"/>
        </w:rPr>
        <w:tab/>
        <w:t>– Sra.</w:t>
      </w:r>
      <w:r w:rsidR="005F18E8" w:rsidRPr="005F18E8">
        <w:rPr>
          <w:lang w:val="es-ES"/>
        </w:rPr>
        <w:t> </w:t>
      </w:r>
      <w:r w:rsidRPr="005F18E8">
        <w:rPr>
          <w:lang w:val="es-ES"/>
        </w:rPr>
        <w:t>Celine Melanie A. Dee (Filipinas)</w:t>
      </w:r>
    </w:p>
    <w:p w14:paraId="48471E32" w14:textId="00D0577B" w:rsidR="00B67D32" w:rsidRPr="005F18E8" w:rsidRDefault="00B67D32" w:rsidP="00B67D32">
      <w:pPr>
        <w:pStyle w:val="enumlev1"/>
        <w:rPr>
          <w:lang w:val="es-ES"/>
        </w:rPr>
      </w:pPr>
      <w:r w:rsidRPr="005F18E8">
        <w:rPr>
          <w:lang w:val="es-ES"/>
        </w:rPr>
        <w:t>–</w:t>
      </w:r>
      <w:r w:rsidRPr="005F18E8">
        <w:rPr>
          <w:lang w:val="es-ES"/>
        </w:rPr>
        <w:tab/>
        <w:t>C</w:t>
      </w:r>
      <w:r w:rsidR="00D45C96">
        <w:rPr>
          <w:lang w:val="es-ES"/>
        </w:rPr>
        <w:t>EI</w:t>
      </w:r>
      <w:r w:rsidRPr="005F18E8">
        <w:rPr>
          <w:lang w:val="es-ES"/>
        </w:rPr>
        <w:tab/>
        <w:t>– Sra.</w:t>
      </w:r>
      <w:r w:rsidR="005F18E8" w:rsidRPr="005F18E8">
        <w:rPr>
          <w:lang w:val="es-ES"/>
        </w:rPr>
        <w:t> </w:t>
      </w:r>
      <w:r w:rsidRPr="005F18E8">
        <w:rPr>
          <w:lang w:val="es-ES"/>
        </w:rPr>
        <w:t>Seljan Aghasarkari (Azerbaiyán)</w:t>
      </w:r>
    </w:p>
    <w:p w14:paraId="6B5E4498" w14:textId="035B5345" w:rsidR="00B67D32" w:rsidRPr="00B67D32" w:rsidRDefault="00B67D32" w:rsidP="00B67D32">
      <w:pPr>
        <w:pStyle w:val="enumlev1"/>
        <w:rPr>
          <w:lang w:val="it-IT"/>
        </w:rPr>
      </w:pPr>
      <w:r w:rsidRPr="00B67D32">
        <w:rPr>
          <w:lang w:val="it-IT"/>
        </w:rPr>
        <w:t>–</w:t>
      </w:r>
      <w:r w:rsidRPr="00B67D32">
        <w:rPr>
          <w:lang w:val="it-IT"/>
        </w:rPr>
        <w:tab/>
        <w:t>EUR</w:t>
      </w:r>
      <w:r w:rsidRPr="00B67D32">
        <w:rPr>
          <w:lang w:val="it-IT"/>
        </w:rPr>
        <w:tab/>
        <w:t>– Sr.</w:t>
      </w:r>
      <w:r w:rsidR="005F18E8">
        <w:rPr>
          <w:lang w:val="it-IT"/>
        </w:rPr>
        <w:t> </w:t>
      </w:r>
      <w:r w:rsidRPr="00B67D32">
        <w:rPr>
          <w:lang w:val="it-IT"/>
        </w:rPr>
        <w:t>Domenico Alfieri (Italia)</w:t>
      </w:r>
    </w:p>
    <w:p w14:paraId="1A7A72A8" w14:textId="07AEA7EC" w:rsidR="00B67D32" w:rsidRPr="00B67D32" w:rsidRDefault="00B67D32" w:rsidP="004204C9">
      <w:pPr>
        <w:jc w:val="both"/>
        <w:rPr>
          <w:lang w:val="es-ES"/>
        </w:rPr>
      </w:pPr>
      <w:r w:rsidRPr="00B67D32">
        <w:rPr>
          <w:lang w:val="es-ES"/>
        </w:rPr>
        <w:t>Desde su 22</w:t>
      </w:r>
      <w:r>
        <w:rPr>
          <w:lang w:val="es-ES"/>
        </w:rPr>
        <w:t>.</w:t>
      </w:r>
      <w:r w:rsidRPr="00B67D32">
        <w:rPr>
          <w:lang w:val="es-ES"/>
        </w:rPr>
        <w:t>ª</w:t>
      </w:r>
      <w:r>
        <w:rPr>
          <w:lang w:val="es-ES"/>
        </w:rPr>
        <w:t> </w:t>
      </w:r>
      <w:r w:rsidRPr="00B67D32">
        <w:rPr>
          <w:lang w:val="es-ES"/>
        </w:rPr>
        <w:t>reunión, el GTC-PIeL ha estado presidido por la Sra.</w:t>
      </w:r>
      <w:r w:rsidR="00E51907">
        <w:rPr>
          <w:lang w:val="es-ES"/>
        </w:rPr>
        <w:t> </w:t>
      </w:r>
      <w:r w:rsidRPr="00B67D32">
        <w:rPr>
          <w:bCs/>
          <w:lang w:val="es-ES"/>
        </w:rPr>
        <w:t>Stella Chubiyo Erebor (Nigeria).</w:t>
      </w:r>
    </w:p>
    <w:p w14:paraId="668D5F2F" w14:textId="77777777" w:rsidR="00B67D32" w:rsidRPr="00B67D32" w:rsidRDefault="00B67D32" w:rsidP="00B67D32">
      <w:pPr>
        <w:pStyle w:val="Heading1"/>
        <w:rPr>
          <w:lang w:val="es-ES"/>
        </w:rPr>
      </w:pPr>
      <w:r w:rsidRPr="00B67D32">
        <w:rPr>
          <w:lang w:val="es-ES"/>
        </w:rPr>
        <w:t>II</w:t>
      </w:r>
      <w:r w:rsidRPr="00B67D32">
        <w:rPr>
          <w:lang w:val="es-ES"/>
        </w:rPr>
        <w:tab/>
        <w:t>Actividades del GTC-PIeL</w:t>
      </w:r>
    </w:p>
    <w:p w14:paraId="58898B34" w14:textId="19948880" w:rsidR="00B67D32" w:rsidRPr="00B67D32" w:rsidRDefault="00B67D32" w:rsidP="004204C9">
      <w:pPr>
        <w:jc w:val="both"/>
        <w:rPr>
          <w:lang w:val="es-ES"/>
        </w:rPr>
      </w:pPr>
      <w:r w:rsidRPr="00B67D32">
        <w:rPr>
          <w:lang w:val="es-ES"/>
        </w:rPr>
        <w:t>5</w:t>
      </w:r>
      <w:r w:rsidRPr="00B67D32">
        <w:rPr>
          <w:lang w:val="es-ES"/>
        </w:rPr>
        <w:tab/>
        <w:t xml:space="preserve">Los principales resultados de la </w:t>
      </w:r>
      <w:hyperlink r:id="rId15" w:history="1">
        <w:r w:rsidRPr="00B67D32">
          <w:rPr>
            <w:rStyle w:val="Hyperlink"/>
            <w:rFonts w:eastAsia="Times New Roman" w:cs="Times New Roman"/>
            <w:szCs w:val="20"/>
            <w:lang w:val="es-ES"/>
          </w:rPr>
          <w:t>19</w:t>
        </w:r>
        <w:r w:rsidR="00AF60AF">
          <w:rPr>
            <w:rStyle w:val="Hyperlink"/>
            <w:rFonts w:eastAsia="Times New Roman" w:cs="Times New Roman"/>
            <w:szCs w:val="20"/>
            <w:lang w:val="es-ES"/>
          </w:rPr>
          <w:t>.</w:t>
        </w:r>
        <w:r w:rsidRPr="00B67D32">
          <w:rPr>
            <w:rStyle w:val="Hyperlink"/>
            <w:rFonts w:eastAsia="Times New Roman" w:cs="Times New Roman"/>
            <w:szCs w:val="20"/>
            <w:lang w:val="es-ES"/>
          </w:rPr>
          <w:t>ª</w:t>
        </w:r>
        <w:r w:rsidR="00AF60AF">
          <w:rPr>
            <w:rStyle w:val="Hyperlink"/>
            <w:rFonts w:eastAsia="Times New Roman" w:cs="Times New Roman"/>
            <w:szCs w:val="20"/>
            <w:lang w:val="es-ES"/>
          </w:rPr>
          <w:t> </w:t>
        </w:r>
        <w:r w:rsidRPr="00B67D32">
          <w:rPr>
            <w:rStyle w:val="Hyperlink"/>
            <w:rFonts w:eastAsia="Times New Roman" w:cs="Times New Roman"/>
            <w:szCs w:val="20"/>
            <w:lang w:val="es-ES"/>
          </w:rPr>
          <w:t>reunión</w:t>
        </w:r>
      </w:hyperlink>
      <w:r w:rsidRPr="00B67D32">
        <w:rPr>
          <w:lang w:val="es-ES"/>
        </w:rPr>
        <w:t xml:space="preserve"> del </w:t>
      </w:r>
      <w:proofErr w:type="spellStart"/>
      <w:r w:rsidRPr="00B67D32">
        <w:rPr>
          <w:lang w:val="es-ES"/>
        </w:rPr>
        <w:t>GTC-PIeL</w:t>
      </w:r>
      <w:proofErr w:type="spellEnd"/>
      <w:r w:rsidRPr="00B67D32">
        <w:rPr>
          <w:lang w:val="es-ES"/>
        </w:rPr>
        <w:t>, celebrada el 10 de octubre de</w:t>
      </w:r>
      <w:r w:rsidR="00E51907">
        <w:rPr>
          <w:lang w:val="es-ES"/>
        </w:rPr>
        <w:t> </w:t>
      </w:r>
      <w:r w:rsidRPr="00B67D32">
        <w:rPr>
          <w:lang w:val="es-ES"/>
        </w:rPr>
        <w:t xml:space="preserve">2023, pueden consultarse en </w:t>
      </w:r>
      <w:hyperlink r:id="rId16" w:history="1">
        <w:r w:rsidR="00A5433C" w:rsidRPr="00B20EB8">
          <w:rPr>
            <w:rStyle w:val="Hyperlink"/>
            <w:rFonts w:eastAsia="Times New Roman" w:cs="Times New Roman"/>
            <w:szCs w:val="20"/>
            <w:lang w:val="es-ES"/>
          </w:rPr>
          <w:t>www.itu.int/md/S23-CLCWGCOP19-C-0005/en</w:t>
        </w:r>
      </w:hyperlink>
      <w:r w:rsidR="00AF60AF">
        <w:rPr>
          <w:lang w:val="es-ES"/>
        </w:rPr>
        <w:t>.</w:t>
      </w:r>
    </w:p>
    <w:p w14:paraId="2FAE30C5" w14:textId="09A9FE06" w:rsidR="00B67D32" w:rsidRPr="00B67D32" w:rsidRDefault="00B67D32" w:rsidP="00B67D32">
      <w:pPr>
        <w:rPr>
          <w:lang w:val="es-ES"/>
        </w:rPr>
      </w:pPr>
      <w:r w:rsidRPr="00B67D32">
        <w:rPr>
          <w:lang w:val="es-ES"/>
        </w:rPr>
        <w:lastRenderedPageBreak/>
        <w:t>6</w:t>
      </w:r>
      <w:r w:rsidRPr="00B67D32">
        <w:rPr>
          <w:lang w:val="es-ES"/>
        </w:rPr>
        <w:tab/>
        <w:t xml:space="preserve">Los principales resultados de la </w:t>
      </w:r>
      <w:hyperlink r:id="rId17" w:history="1">
        <w:r w:rsidRPr="00B67D32">
          <w:rPr>
            <w:rStyle w:val="Hyperlink"/>
            <w:rFonts w:eastAsia="Times New Roman" w:cs="Times New Roman"/>
            <w:szCs w:val="20"/>
            <w:lang w:val="es-ES"/>
          </w:rPr>
          <w:t>20</w:t>
        </w:r>
        <w:r w:rsidR="00E51907">
          <w:rPr>
            <w:rStyle w:val="Hyperlink"/>
            <w:rFonts w:eastAsia="Times New Roman" w:cs="Times New Roman"/>
            <w:szCs w:val="20"/>
            <w:lang w:val="es-ES"/>
          </w:rPr>
          <w:t>.</w:t>
        </w:r>
        <w:r w:rsidRPr="00B67D32">
          <w:rPr>
            <w:rStyle w:val="Hyperlink"/>
            <w:rFonts w:eastAsia="Times New Roman" w:cs="Times New Roman"/>
            <w:szCs w:val="20"/>
            <w:lang w:val="es-ES"/>
          </w:rPr>
          <w:t>ª</w:t>
        </w:r>
        <w:r w:rsidR="00E51907">
          <w:rPr>
            <w:rStyle w:val="Hyperlink"/>
            <w:rFonts w:eastAsia="Times New Roman" w:cs="Times New Roman"/>
            <w:szCs w:val="20"/>
            <w:lang w:val="es-ES"/>
          </w:rPr>
          <w:t> </w:t>
        </w:r>
        <w:r w:rsidRPr="00B67D32">
          <w:rPr>
            <w:rStyle w:val="Hyperlink"/>
            <w:rFonts w:eastAsia="Times New Roman" w:cs="Times New Roman"/>
            <w:szCs w:val="20"/>
            <w:lang w:val="es-ES"/>
          </w:rPr>
          <w:t>reunión</w:t>
        </w:r>
      </w:hyperlink>
      <w:r w:rsidRPr="00B67D32">
        <w:rPr>
          <w:lang w:val="es-ES"/>
        </w:rPr>
        <w:t xml:space="preserve"> del</w:t>
      </w:r>
      <w:r w:rsidR="005F18E8">
        <w:rPr>
          <w:lang w:val="es-ES"/>
        </w:rPr>
        <w:t> </w:t>
      </w:r>
      <w:proofErr w:type="spellStart"/>
      <w:r w:rsidRPr="00B67D32">
        <w:rPr>
          <w:lang w:val="es-ES"/>
        </w:rPr>
        <w:t>GTC-PIeL</w:t>
      </w:r>
      <w:proofErr w:type="spellEnd"/>
      <w:r w:rsidRPr="00B67D32">
        <w:rPr>
          <w:lang w:val="es-ES"/>
        </w:rPr>
        <w:t>, celebrada los días 22 y 23 de enero de</w:t>
      </w:r>
      <w:r w:rsidR="00E51907">
        <w:rPr>
          <w:lang w:val="es-ES"/>
        </w:rPr>
        <w:t> </w:t>
      </w:r>
      <w:r w:rsidRPr="00B67D32">
        <w:rPr>
          <w:lang w:val="es-ES"/>
        </w:rPr>
        <w:t xml:space="preserve">2024, pueden consultarse en </w:t>
      </w:r>
      <w:hyperlink r:id="rId18" w:history="1">
        <w:r w:rsidR="00A5433C" w:rsidRPr="00B20EB8">
          <w:rPr>
            <w:rStyle w:val="Hyperlink"/>
            <w:rFonts w:eastAsia="Times New Roman" w:cs="Times New Roman"/>
            <w:szCs w:val="20"/>
            <w:lang w:val="es-ES"/>
          </w:rPr>
          <w:t>www.itu.int/md/S24-CLCWGCOP20-C-0006</w:t>
        </w:r>
      </w:hyperlink>
      <w:r w:rsidR="00AF60AF">
        <w:rPr>
          <w:lang w:val="es-ES"/>
        </w:rPr>
        <w:t>.</w:t>
      </w:r>
    </w:p>
    <w:p w14:paraId="4891B81A" w14:textId="079706B4" w:rsidR="00B67D32" w:rsidRPr="00B67D32" w:rsidRDefault="00B67D32" w:rsidP="00A5433C">
      <w:pPr>
        <w:jc w:val="both"/>
        <w:rPr>
          <w:lang w:val="es-ES"/>
        </w:rPr>
      </w:pPr>
      <w:r w:rsidRPr="00B67D32">
        <w:rPr>
          <w:lang w:val="es-ES"/>
        </w:rPr>
        <w:t>7</w:t>
      </w:r>
      <w:r w:rsidRPr="00B67D32">
        <w:rPr>
          <w:lang w:val="es-ES"/>
        </w:rPr>
        <w:tab/>
        <w:t xml:space="preserve">Los principales resultados de la </w:t>
      </w:r>
      <w:hyperlink r:id="rId19" w:history="1">
        <w:r w:rsidRPr="00B67D32">
          <w:rPr>
            <w:rStyle w:val="Hyperlink"/>
            <w:rFonts w:eastAsia="Times New Roman" w:cs="Times New Roman"/>
            <w:szCs w:val="20"/>
            <w:lang w:val="es-ES"/>
          </w:rPr>
          <w:t>21</w:t>
        </w:r>
        <w:r w:rsidR="00AF60AF">
          <w:rPr>
            <w:rStyle w:val="Hyperlink"/>
            <w:rFonts w:eastAsia="Times New Roman" w:cs="Times New Roman"/>
            <w:szCs w:val="20"/>
            <w:lang w:val="es-ES"/>
          </w:rPr>
          <w:t>.</w:t>
        </w:r>
        <w:r w:rsidRPr="00B67D32">
          <w:rPr>
            <w:rStyle w:val="Hyperlink"/>
            <w:rFonts w:eastAsia="Times New Roman" w:cs="Times New Roman"/>
            <w:szCs w:val="20"/>
            <w:lang w:val="es-ES"/>
          </w:rPr>
          <w:t>ª</w:t>
        </w:r>
        <w:r w:rsidR="00AF60AF">
          <w:rPr>
            <w:rStyle w:val="Hyperlink"/>
            <w:rFonts w:eastAsia="Times New Roman" w:cs="Times New Roman"/>
            <w:szCs w:val="20"/>
            <w:lang w:val="es-ES"/>
          </w:rPr>
          <w:t> </w:t>
        </w:r>
        <w:r w:rsidRPr="00B67D32">
          <w:rPr>
            <w:rStyle w:val="Hyperlink"/>
            <w:rFonts w:eastAsia="Times New Roman" w:cs="Times New Roman"/>
            <w:szCs w:val="20"/>
            <w:lang w:val="es-ES"/>
          </w:rPr>
          <w:t>reunión</w:t>
        </w:r>
      </w:hyperlink>
      <w:r w:rsidRPr="00B67D32">
        <w:rPr>
          <w:lang w:val="es-ES"/>
        </w:rPr>
        <w:t xml:space="preserve"> del</w:t>
      </w:r>
      <w:r w:rsidR="005F18E8">
        <w:rPr>
          <w:lang w:val="es-ES"/>
        </w:rPr>
        <w:t> </w:t>
      </w:r>
      <w:proofErr w:type="spellStart"/>
      <w:r w:rsidRPr="00B67D32">
        <w:rPr>
          <w:lang w:val="es-ES"/>
        </w:rPr>
        <w:t>GTC-PIeL</w:t>
      </w:r>
      <w:proofErr w:type="spellEnd"/>
      <w:r w:rsidRPr="00B67D32">
        <w:rPr>
          <w:lang w:val="es-ES"/>
        </w:rPr>
        <w:t>, celebrada los días 30 de septiembre y 1 de octubre de</w:t>
      </w:r>
      <w:r w:rsidR="00E51907">
        <w:rPr>
          <w:lang w:val="es-ES"/>
        </w:rPr>
        <w:t> </w:t>
      </w:r>
      <w:r w:rsidRPr="00B67D32">
        <w:rPr>
          <w:lang w:val="es-ES"/>
        </w:rPr>
        <w:t xml:space="preserve">2024, pueden consultarse en </w:t>
      </w:r>
      <w:hyperlink r:id="rId20" w:history="1">
        <w:r w:rsidR="00A5433C" w:rsidRPr="00B20EB8">
          <w:rPr>
            <w:rStyle w:val="Hyperlink"/>
            <w:rFonts w:eastAsia="Times New Roman" w:cs="Times New Roman"/>
            <w:szCs w:val="20"/>
            <w:lang w:val="es-ES"/>
          </w:rPr>
          <w:t>www.itu.int/md/S24-CLCWGCOP21-C-0004</w:t>
        </w:r>
      </w:hyperlink>
      <w:r w:rsidR="00AF60AF">
        <w:rPr>
          <w:lang w:val="es-ES"/>
        </w:rPr>
        <w:t>.</w:t>
      </w:r>
    </w:p>
    <w:p w14:paraId="1950A2AD" w14:textId="27F90290" w:rsidR="00B67D32" w:rsidRPr="00B67D32" w:rsidRDefault="00B67D32" w:rsidP="00A5433C">
      <w:pPr>
        <w:jc w:val="both"/>
        <w:rPr>
          <w:lang w:val="es-ES"/>
        </w:rPr>
      </w:pPr>
      <w:r w:rsidRPr="00B67D32">
        <w:rPr>
          <w:lang w:val="es-ES"/>
        </w:rPr>
        <w:t>8</w:t>
      </w:r>
      <w:r w:rsidRPr="00B67D32">
        <w:rPr>
          <w:lang w:val="es-ES"/>
        </w:rPr>
        <w:tab/>
        <w:t xml:space="preserve">Los principales resultados de la </w:t>
      </w:r>
      <w:hyperlink r:id="rId21" w:history="1">
        <w:r w:rsidRPr="00B67D32">
          <w:rPr>
            <w:rStyle w:val="Hyperlink"/>
            <w:rFonts w:eastAsia="Times New Roman" w:cs="Times New Roman"/>
            <w:szCs w:val="20"/>
            <w:lang w:val="es-ES"/>
          </w:rPr>
          <w:t>22</w:t>
        </w:r>
        <w:r w:rsidR="00AF60AF">
          <w:rPr>
            <w:rStyle w:val="Hyperlink"/>
            <w:rFonts w:eastAsia="Times New Roman" w:cs="Times New Roman"/>
            <w:szCs w:val="20"/>
            <w:lang w:val="es-ES"/>
          </w:rPr>
          <w:t>.</w:t>
        </w:r>
        <w:r w:rsidRPr="00B67D32">
          <w:rPr>
            <w:rStyle w:val="Hyperlink"/>
            <w:rFonts w:eastAsia="Times New Roman" w:cs="Times New Roman"/>
            <w:szCs w:val="20"/>
            <w:lang w:val="es-ES"/>
          </w:rPr>
          <w:t>ª</w:t>
        </w:r>
        <w:r w:rsidR="00AF60AF">
          <w:rPr>
            <w:rStyle w:val="Hyperlink"/>
            <w:rFonts w:eastAsia="Times New Roman" w:cs="Times New Roman"/>
            <w:szCs w:val="20"/>
            <w:lang w:val="es-ES"/>
          </w:rPr>
          <w:t> </w:t>
        </w:r>
        <w:r w:rsidRPr="00B67D32">
          <w:rPr>
            <w:rStyle w:val="Hyperlink"/>
            <w:rFonts w:eastAsia="Times New Roman" w:cs="Times New Roman"/>
            <w:szCs w:val="20"/>
            <w:lang w:val="es-ES"/>
          </w:rPr>
          <w:t>reunión</w:t>
        </w:r>
      </w:hyperlink>
      <w:r w:rsidRPr="00B67D32">
        <w:rPr>
          <w:lang w:val="es-ES"/>
        </w:rPr>
        <w:t xml:space="preserve"> del</w:t>
      </w:r>
      <w:r w:rsidR="005F18E8">
        <w:rPr>
          <w:lang w:val="es-ES"/>
        </w:rPr>
        <w:t> </w:t>
      </w:r>
      <w:proofErr w:type="spellStart"/>
      <w:r w:rsidRPr="00B67D32">
        <w:rPr>
          <w:lang w:val="es-ES"/>
        </w:rPr>
        <w:t>GTC-PIeL</w:t>
      </w:r>
      <w:proofErr w:type="spellEnd"/>
      <w:r w:rsidRPr="00B67D32">
        <w:rPr>
          <w:lang w:val="es-ES"/>
        </w:rPr>
        <w:t>, celebrada los días 12 y 13 de febrero de</w:t>
      </w:r>
      <w:r w:rsidR="00E51907">
        <w:rPr>
          <w:lang w:val="es-ES"/>
        </w:rPr>
        <w:t> </w:t>
      </w:r>
      <w:r w:rsidRPr="00B67D32">
        <w:rPr>
          <w:lang w:val="es-ES"/>
        </w:rPr>
        <w:t xml:space="preserve">2025, pueden consultarse en </w:t>
      </w:r>
      <w:hyperlink r:id="rId22" w:history="1">
        <w:r w:rsidR="00A5433C" w:rsidRPr="00B20EB8">
          <w:rPr>
            <w:rStyle w:val="Hyperlink"/>
            <w:rFonts w:eastAsia="Times New Roman" w:cs="Times New Roman"/>
            <w:szCs w:val="20"/>
            <w:lang w:val="es-ES"/>
          </w:rPr>
          <w:t>www.itu.int/md/S25-CLCWGCOP22-C-0003</w:t>
        </w:r>
      </w:hyperlink>
      <w:r w:rsidR="00AF60AF">
        <w:rPr>
          <w:lang w:val="es-ES"/>
        </w:rPr>
        <w:t>.</w:t>
      </w:r>
    </w:p>
    <w:p w14:paraId="457D8989" w14:textId="5E2785A2" w:rsidR="00B67D32" w:rsidRPr="00B67D32" w:rsidRDefault="00B67D32" w:rsidP="00A5433C">
      <w:pPr>
        <w:jc w:val="both"/>
        <w:rPr>
          <w:lang w:val="es-ES"/>
        </w:rPr>
      </w:pPr>
      <w:r w:rsidRPr="00B67D32">
        <w:rPr>
          <w:lang w:val="es-ES"/>
        </w:rPr>
        <w:t>9</w:t>
      </w:r>
      <w:r w:rsidRPr="00B67D32">
        <w:rPr>
          <w:lang w:val="es-ES"/>
        </w:rPr>
        <w:tab/>
        <w:t xml:space="preserve">Los principales resultados de la </w:t>
      </w:r>
      <w:hyperlink r:id="rId23" w:history="1">
        <w:r w:rsidRPr="00B67D32">
          <w:rPr>
            <w:rStyle w:val="Hyperlink"/>
            <w:rFonts w:eastAsia="Times New Roman" w:cs="Times New Roman"/>
            <w:szCs w:val="20"/>
            <w:lang w:val="es-ES"/>
          </w:rPr>
          <w:t>23</w:t>
        </w:r>
        <w:r w:rsidR="00AF60AF">
          <w:rPr>
            <w:rStyle w:val="Hyperlink"/>
            <w:rFonts w:eastAsia="Times New Roman" w:cs="Times New Roman"/>
            <w:szCs w:val="20"/>
            <w:lang w:val="es-ES"/>
          </w:rPr>
          <w:t>.</w:t>
        </w:r>
        <w:r w:rsidRPr="00B67D32">
          <w:rPr>
            <w:rStyle w:val="Hyperlink"/>
            <w:rFonts w:eastAsia="Times New Roman" w:cs="Times New Roman"/>
            <w:szCs w:val="20"/>
            <w:lang w:val="es-ES"/>
          </w:rPr>
          <w:t>ª</w:t>
        </w:r>
        <w:r w:rsidR="00AF60AF">
          <w:rPr>
            <w:rStyle w:val="Hyperlink"/>
            <w:rFonts w:eastAsia="Times New Roman" w:cs="Times New Roman"/>
            <w:szCs w:val="20"/>
            <w:lang w:val="es-ES"/>
          </w:rPr>
          <w:t> </w:t>
        </w:r>
        <w:r w:rsidRPr="00B67D32">
          <w:rPr>
            <w:rStyle w:val="Hyperlink"/>
            <w:rFonts w:eastAsia="Times New Roman" w:cs="Times New Roman"/>
            <w:szCs w:val="20"/>
            <w:lang w:val="es-ES"/>
          </w:rPr>
          <w:t>reunión</w:t>
        </w:r>
      </w:hyperlink>
      <w:r w:rsidRPr="00B67D32">
        <w:rPr>
          <w:lang w:val="es-ES"/>
        </w:rPr>
        <w:t xml:space="preserve"> del</w:t>
      </w:r>
      <w:r w:rsidR="005F18E8">
        <w:rPr>
          <w:lang w:val="es-ES"/>
        </w:rPr>
        <w:t> </w:t>
      </w:r>
      <w:proofErr w:type="spellStart"/>
      <w:r w:rsidRPr="00B67D32">
        <w:rPr>
          <w:lang w:val="es-ES"/>
        </w:rPr>
        <w:t>GTC</w:t>
      </w:r>
      <w:r w:rsidR="005F18E8">
        <w:rPr>
          <w:lang w:val="es-ES"/>
        </w:rPr>
        <w:noBreakHyphen/>
      </w:r>
      <w:r w:rsidRPr="00B67D32">
        <w:rPr>
          <w:lang w:val="es-ES"/>
        </w:rPr>
        <w:t>PIeL</w:t>
      </w:r>
      <w:proofErr w:type="spellEnd"/>
      <w:r w:rsidRPr="00B67D32">
        <w:rPr>
          <w:lang w:val="es-ES"/>
        </w:rPr>
        <w:t>, celebrada el 16 de septiembre de</w:t>
      </w:r>
      <w:r w:rsidR="00E51907">
        <w:rPr>
          <w:lang w:val="es-ES"/>
        </w:rPr>
        <w:t> </w:t>
      </w:r>
      <w:r w:rsidRPr="00B67D32">
        <w:rPr>
          <w:lang w:val="es-ES"/>
        </w:rPr>
        <w:t xml:space="preserve">2025, pueden consultarse en </w:t>
      </w:r>
      <w:hyperlink r:id="rId24" w:history="1">
        <w:r w:rsidR="00A5433C" w:rsidRPr="00B20EB8">
          <w:rPr>
            <w:rStyle w:val="Hyperlink"/>
            <w:rFonts w:eastAsia="Times New Roman" w:cs="Times New Roman"/>
            <w:szCs w:val="20"/>
            <w:lang w:val="es-ES"/>
          </w:rPr>
          <w:t>www.itu.int/md/S25-CLCWGCOP23-C-0005</w:t>
        </w:r>
      </w:hyperlink>
      <w:r w:rsidR="00AF60AF">
        <w:rPr>
          <w:lang w:val="es-ES"/>
        </w:rPr>
        <w:t>.</w:t>
      </w:r>
    </w:p>
    <w:p w14:paraId="7C121991" w14:textId="18A24E72" w:rsidR="00B67D32" w:rsidRPr="00B67D32" w:rsidRDefault="00B67D32" w:rsidP="00A5433C">
      <w:pPr>
        <w:jc w:val="both"/>
        <w:rPr>
          <w:lang w:val="es-ES"/>
        </w:rPr>
      </w:pPr>
      <w:r w:rsidRPr="00B67D32">
        <w:rPr>
          <w:lang w:val="es-ES"/>
        </w:rPr>
        <w:t>10</w:t>
      </w:r>
      <w:r w:rsidRPr="00B67D32">
        <w:rPr>
          <w:lang w:val="es-ES"/>
        </w:rPr>
        <w:tab/>
        <w:t xml:space="preserve">Los principales resultados de la </w:t>
      </w:r>
      <w:hyperlink r:id="rId25" w:history="1">
        <w:r w:rsidRPr="00B67D32">
          <w:rPr>
            <w:rStyle w:val="Hyperlink"/>
            <w:rFonts w:eastAsia="Times New Roman" w:cs="Times New Roman"/>
            <w:szCs w:val="20"/>
            <w:lang w:val="es-ES"/>
          </w:rPr>
          <w:t>24</w:t>
        </w:r>
        <w:r w:rsidR="00AF60AF">
          <w:rPr>
            <w:rStyle w:val="Hyperlink"/>
            <w:rFonts w:eastAsia="Times New Roman" w:cs="Times New Roman"/>
            <w:szCs w:val="20"/>
            <w:lang w:val="es-ES"/>
          </w:rPr>
          <w:t>.</w:t>
        </w:r>
        <w:r w:rsidRPr="00B67D32">
          <w:rPr>
            <w:rStyle w:val="Hyperlink"/>
            <w:rFonts w:eastAsia="Times New Roman" w:cs="Times New Roman"/>
            <w:szCs w:val="20"/>
            <w:lang w:val="es-ES"/>
          </w:rPr>
          <w:t>ª</w:t>
        </w:r>
        <w:r w:rsidR="00AF60AF">
          <w:rPr>
            <w:rStyle w:val="Hyperlink"/>
            <w:rFonts w:eastAsia="Times New Roman" w:cs="Times New Roman"/>
            <w:szCs w:val="20"/>
            <w:lang w:val="es-ES"/>
          </w:rPr>
          <w:t> </w:t>
        </w:r>
        <w:r w:rsidRPr="00B67D32">
          <w:rPr>
            <w:rStyle w:val="Hyperlink"/>
            <w:rFonts w:eastAsia="Times New Roman" w:cs="Times New Roman"/>
            <w:szCs w:val="20"/>
            <w:lang w:val="es-ES"/>
          </w:rPr>
          <w:t>reunión</w:t>
        </w:r>
      </w:hyperlink>
      <w:r w:rsidRPr="00B67D32">
        <w:rPr>
          <w:lang w:val="es-ES"/>
        </w:rPr>
        <w:t xml:space="preserve"> del</w:t>
      </w:r>
      <w:r w:rsidR="005F18E8">
        <w:rPr>
          <w:lang w:val="es-ES"/>
        </w:rPr>
        <w:t> </w:t>
      </w:r>
      <w:proofErr w:type="spellStart"/>
      <w:r w:rsidRPr="00B67D32">
        <w:rPr>
          <w:lang w:val="es-ES"/>
        </w:rPr>
        <w:t>GTC</w:t>
      </w:r>
      <w:r w:rsidR="005F18E8">
        <w:rPr>
          <w:lang w:val="es-ES"/>
        </w:rPr>
        <w:noBreakHyphen/>
      </w:r>
      <w:r w:rsidRPr="00B67D32">
        <w:rPr>
          <w:lang w:val="es-ES"/>
        </w:rPr>
        <w:t>PIeL</w:t>
      </w:r>
      <w:proofErr w:type="spellEnd"/>
      <w:r w:rsidRPr="00B67D32">
        <w:rPr>
          <w:lang w:val="es-ES"/>
        </w:rPr>
        <w:t>, celebrada el 19 de enero de</w:t>
      </w:r>
      <w:r w:rsidR="00E51907">
        <w:rPr>
          <w:lang w:val="es-ES"/>
        </w:rPr>
        <w:t> </w:t>
      </w:r>
      <w:r w:rsidRPr="00B67D32">
        <w:rPr>
          <w:lang w:val="es-ES"/>
        </w:rPr>
        <w:t xml:space="preserve">2026, pueden consultarse en </w:t>
      </w:r>
      <w:hyperlink r:id="rId26" w:history="1">
        <w:r w:rsidR="00A5433C" w:rsidRPr="00B20EB8">
          <w:rPr>
            <w:rStyle w:val="Hyperlink"/>
            <w:rFonts w:eastAsia="Times New Roman" w:cs="Times New Roman"/>
            <w:szCs w:val="20"/>
            <w:lang w:val="es-ES"/>
          </w:rPr>
          <w:t>www.itu.int/md/S26-CLCWGCOP24-C-0004</w:t>
        </w:r>
      </w:hyperlink>
      <w:r w:rsidRPr="00B67D32">
        <w:rPr>
          <w:lang w:val="es-ES"/>
        </w:rPr>
        <w:t>.</w:t>
      </w:r>
    </w:p>
    <w:p w14:paraId="5D6BD6D8" w14:textId="77777777" w:rsidR="00B67D32" w:rsidRPr="00B67D32" w:rsidRDefault="00B67D32" w:rsidP="00B67D32">
      <w:pPr>
        <w:pStyle w:val="Heading1"/>
        <w:rPr>
          <w:lang w:val="es-ES"/>
        </w:rPr>
      </w:pPr>
      <w:r w:rsidRPr="00B67D32">
        <w:rPr>
          <w:lang w:val="es-ES"/>
        </w:rPr>
        <w:t>III</w:t>
      </w:r>
      <w:r w:rsidRPr="00B67D32">
        <w:rPr>
          <w:lang w:val="es-ES"/>
        </w:rPr>
        <w:tab/>
        <w:t>Recomendaciones a la PP-26</w:t>
      </w:r>
    </w:p>
    <w:p w14:paraId="0D1E1063" w14:textId="6360F596" w:rsidR="00B67D32" w:rsidRPr="00B67D32" w:rsidRDefault="00B67D32" w:rsidP="004204C9">
      <w:pPr>
        <w:jc w:val="both"/>
        <w:rPr>
          <w:lang w:val="es-ES"/>
        </w:rPr>
      </w:pPr>
      <w:r w:rsidRPr="00B67D32">
        <w:rPr>
          <w:lang w:val="es-ES"/>
        </w:rPr>
        <w:t>11</w:t>
      </w:r>
      <w:r w:rsidRPr="00B67D32">
        <w:rPr>
          <w:lang w:val="es-ES"/>
        </w:rPr>
        <w:tab/>
        <w:t>Se invita a los consejeros a considerar el Informe cuadrienal de la Presidenta del</w:t>
      </w:r>
      <w:r w:rsidR="005F18E8">
        <w:rPr>
          <w:lang w:val="es-ES"/>
        </w:rPr>
        <w:t> </w:t>
      </w:r>
      <w:r w:rsidRPr="00B67D32">
        <w:rPr>
          <w:lang w:val="es-ES"/>
        </w:rPr>
        <w:t>GTC</w:t>
      </w:r>
      <w:r w:rsidR="005F18E8">
        <w:rPr>
          <w:lang w:val="es-ES"/>
        </w:rPr>
        <w:noBreakHyphen/>
      </w:r>
      <w:r w:rsidRPr="00B67D32">
        <w:rPr>
          <w:lang w:val="es-ES"/>
        </w:rPr>
        <w:t>PIeL y a recomendar a la Conferencia de Plenipotenciarios (PP-26) la continuación de las actividades del</w:t>
      </w:r>
      <w:r w:rsidR="005F18E8">
        <w:rPr>
          <w:lang w:val="es-ES"/>
        </w:rPr>
        <w:t> </w:t>
      </w:r>
      <w:r w:rsidRPr="00B67D32">
        <w:rPr>
          <w:lang w:val="es-ES"/>
        </w:rPr>
        <w:t>GTC</w:t>
      </w:r>
      <w:r w:rsidR="005F18E8">
        <w:rPr>
          <w:lang w:val="es-ES"/>
        </w:rPr>
        <w:noBreakHyphen/>
      </w:r>
      <w:r w:rsidRPr="00B67D32">
        <w:rPr>
          <w:lang w:val="es-ES"/>
        </w:rPr>
        <w:t>PIeL durante los próximos cuatro años.</w:t>
      </w:r>
    </w:p>
    <w:p w14:paraId="260C6361" w14:textId="77777777" w:rsidR="00F92BED" w:rsidRPr="00B67D32" w:rsidRDefault="00F92BED" w:rsidP="0032202E">
      <w:pPr>
        <w:pStyle w:val="Reasons"/>
        <w:rPr>
          <w:lang w:val="es-ES"/>
        </w:rPr>
      </w:pPr>
    </w:p>
    <w:p w14:paraId="444D579B" w14:textId="77777777" w:rsidR="00F92BED" w:rsidRPr="00F92BED" w:rsidRDefault="00F92BED" w:rsidP="00F92BED">
      <w:pPr>
        <w:jc w:val="center"/>
      </w:pPr>
      <w:r>
        <w:t>______________</w:t>
      </w:r>
    </w:p>
    <w:sectPr w:rsidR="00F92BED" w:rsidRPr="00F92BED" w:rsidSect="00C538FC">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C2C9" w14:textId="77777777" w:rsidR="00AD5A4D" w:rsidRDefault="00AD5A4D">
      <w:r>
        <w:separator/>
      </w:r>
    </w:p>
  </w:endnote>
  <w:endnote w:type="continuationSeparator" w:id="0">
    <w:p w14:paraId="004C17AA" w14:textId="77777777" w:rsidR="00AD5A4D" w:rsidRDefault="00AD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1777770" w14:textId="77777777" w:rsidTr="00E31DCE">
      <w:trPr>
        <w:jc w:val="center"/>
      </w:trPr>
      <w:tc>
        <w:tcPr>
          <w:tcW w:w="1803" w:type="dxa"/>
          <w:vAlign w:val="center"/>
        </w:tcPr>
        <w:p w14:paraId="077EA300" w14:textId="78E9DF8E" w:rsidR="003273A4" w:rsidRDefault="00B67D32" w:rsidP="003273A4">
          <w:pPr>
            <w:pStyle w:val="Header"/>
            <w:jc w:val="left"/>
            <w:rPr>
              <w:noProof/>
            </w:rPr>
          </w:pPr>
          <w:r>
            <w:rPr>
              <w:noProof/>
            </w:rPr>
            <w:t>2600454</w:t>
          </w:r>
        </w:p>
      </w:tc>
      <w:tc>
        <w:tcPr>
          <w:tcW w:w="8261" w:type="dxa"/>
        </w:tcPr>
        <w:p w14:paraId="203FFA71" w14:textId="5DCB2B3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57070">
            <w:rPr>
              <w:bCs/>
            </w:rPr>
            <w:t>18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F2DEFB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DC47F92" w14:textId="77777777" w:rsidTr="00E31DCE">
      <w:trPr>
        <w:jc w:val="center"/>
      </w:trPr>
      <w:tc>
        <w:tcPr>
          <w:tcW w:w="1803" w:type="dxa"/>
          <w:vAlign w:val="center"/>
        </w:tcPr>
        <w:p w14:paraId="302B7612"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E5D564D" w14:textId="0A099B3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67D32">
            <w:rPr>
              <w:bCs/>
            </w:rPr>
            <w:t>18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65ED55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474C" w14:textId="77777777" w:rsidR="00AD5A4D" w:rsidRDefault="00AD5A4D">
      <w:r>
        <w:t>____________________</w:t>
      </w:r>
    </w:p>
  </w:footnote>
  <w:footnote w:type="continuationSeparator" w:id="0">
    <w:p w14:paraId="5F8B497A" w14:textId="77777777" w:rsidR="00AD5A4D" w:rsidRDefault="00AD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C484" w14:textId="2ADBEBAC"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4D"/>
    <w:rsid w:val="000007D1"/>
    <w:rsid w:val="00057070"/>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51644"/>
    <w:rsid w:val="00277DEA"/>
    <w:rsid w:val="002801AA"/>
    <w:rsid w:val="002946E2"/>
    <w:rsid w:val="002C3F32"/>
    <w:rsid w:val="002C4676"/>
    <w:rsid w:val="002C70B0"/>
    <w:rsid w:val="002F3CC4"/>
    <w:rsid w:val="003032E2"/>
    <w:rsid w:val="0031300A"/>
    <w:rsid w:val="003273A4"/>
    <w:rsid w:val="0034796E"/>
    <w:rsid w:val="003A7126"/>
    <w:rsid w:val="004204C9"/>
    <w:rsid w:val="00445E93"/>
    <w:rsid w:val="004571B0"/>
    <w:rsid w:val="00465C35"/>
    <w:rsid w:val="00473962"/>
    <w:rsid w:val="004B5D49"/>
    <w:rsid w:val="004D3A3C"/>
    <w:rsid w:val="00513630"/>
    <w:rsid w:val="00560125"/>
    <w:rsid w:val="00585553"/>
    <w:rsid w:val="005B34D9"/>
    <w:rsid w:val="005D0CCF"/>
    <w:rsid w:val="005F0915"/>
    <w:rsid w:val="005F18E8"/>
    <w:rsid w:val="005F3BCB"/>
    <w:rsid w:val="005F410F"/>
    <w:rsid w:val="0060149A"/>
    <w:rsid w:val="00601924"/>
    <w:rsid w:val="006308DA"/>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A7639"/>
    <w:rsid w:val="007E5DD3"/>
    <w:rsid w:val="007F350B"/>
    <w:rsid w:val="007F377D"/>
    <w:rsid w:val="00820BE4"/>
    <w:rsid w:val="008451E8"/>
    <w:rsid w:val="0084546D"/>
    <w:rsid w:val="008F6ABC"/>
    <w:rsid w:val="00913B9C"/>
    <w:rsid w:val="00927B59"/>
    <w:rsid w:val="00927F93"/>
    <w:rsid w:val="00956E77"/>
    <w:rsid w:val="009A338E"/>
    <w:rsid w:val="009A76A8"/>
    <w:rsid w:val="009F4811"/>
    <w:rsid w:val="00A01F4F"/>
    <w:rsid w:val="00A109AF"/>
    <w:rsid w:val="00A5433C"/>
    <w:rsid w:val="00A94438"/>
    <w:rsid w:val="00AA390C"/>
    <w:rsid w:val="00AD5A4D"/>
    <w:rsid w:val="00AF0EAC"/>
    <w:rsid w:val="00AF60AF"/>
    <w:rsid w:val="00B0200A"/>
    <w:rsid w:val="00B060DF"/>
    <w:rsid w:val="00B1560D"/>
    <w:rsid w:val="00B574DB"/>
    <w:rsid w:val="00B67D32"/>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45C96"/>
    <w:rsid w:val="00D50A36"/>
    <w:rsid w:val="00D62446"/>
    <w:rsid w:val="00DA4EA2"/>
    <w:rsid w:val="00DC3D3E"/>
    <w:rsid w:val="00DE045E"/>
    <w:rsid w:val="00DE2C90"/>
    <w:rsid w:val="00DE3B24"/>
    <w:rsid w:val="00DE7376"/>
    <w:rsid w:val="00E06947"/>
    <w:rsid w:val="00E11319"/>
    <w:rsid w:val="00E21444"/>
    <w:rsid w:val="00E34072"/>
    <w:rsid w:val="00E3592D"/>
    <w:rsid w:val="00E50D76"/>
    <w:rsid w:val="00E51907"/>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94262"/>
  <w15:docId w15:val="{C27B7CD9-A2C1-41EF-A21E-C0F41B3E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E51907"/>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79-S.pdf" TargetMode="External"/><Relationship Id="rId13" Type="http://schemas.openxmlformats.org/officeDocument/2006/relationships/hyperlink" Target="https://www.itu.int/council/groups/wg-cop/first-meeting-march-2010/COP%20WG%20Doc%201-16%20Summary-1-WG-CP-revised%20draft-23-March-2010-final-revised-to%20be-published.doc" TargetMode="External"/><Relationship Id="rId18" Type="http://schemas.openxmlformats.org/officeDocument/2006/relationships/hyperlink" Target="http://www.itu.int/md/S24-CLCWGCOP20-C-0006" TargetMode="External"/><Relationship Id="rId26" Type="http://schemas.openxmlformats.org/officeDocument/2006/relationships/hyperlink" Target="http://www.itu.int/md/S26-CLCWGCOP24-C-0004" TargetMode="External"/><Relationship Id="rId3" Type="http://schemas.openxmlformats.org/officeDocument/2006/relationships/webSettings" Target="webSettings.xml"/><Relationship Id="rId21" Type="http://schemas.openxmlformats.org/officeDocument/2006/relationships/hyperlink" Target="https://www.itu.int/en/council/cwg-cop/Pages/Twenty-second-meeting.aspx" TargetMode="External"/><Relationship Id="rId7" Type="http://schemas.openxmlformats.org/officeDocument/2006/relationships/hyperlink" Target="https://www.itu.int/en/council/Documents/basic-texts-2023/RES-179-S.pdf" TargetMode="External"/><Relationship Id="rId12" Type="http://schemas.openxmlformats.org/officeDocument/2006/relationships/hyperlink" Target="https://www.itu.int/en/council/Documents/basic-texts-2023/RES-179-S.pdf" TargetMode="External"/><Relationship Id="rId17" Type="http://schemas.openxmlformats.org/officeDocument/2006/relationships/hyperlink" Target="https://www.itu.int/en/council/cwg-cop/Pages/Twentieth-meeting.aspx" TargetMode="External"/><Relationship Id="rId25" Type="http://schemas.openxmlformats.org/officeDocument/2006/relationships/hyperlink" Target="https://www.itu.int/en/council/cwg-cop/Pages/default.aspx" TargetMode="External"/><Relationship Id="rId2" Type="http://schemas.openxmlformats.org/officeDocument/2006/relationships/settings" Target="settings.xml"/><Relationship Id="rId16" Type="http://schemas.openxmlformats.org/officeDocument/2006/relationships/hyperlink" Target="http://www.itu.int/md/S23-CLCWGCOP19-C-0005/en" TargetMode="External"/><Relationship Id="rId20" Type="http://schemas.openxmlformats.org/officeDocument/2006/relationships/hyperlink" Target="http://www.itu.int/md/S24-CLCWGCOP21-C-0004"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md/S24-CL-C-0140/es" TargetMode="External"/><Relationship Id="rId11" Type="http://schemas.openxmlformats.org/officeDocument/2006/relationships/hyperlink" Target="https://www.itu.int/md/S24-CL-C-0140/es" TargetMode="External"/><Relationship Id="rId24" Type="http://schemas.openxmlformats.org/officeDocument/2006/relationships/hyperlink" Target="http://www.itu.int/md/S25-CLCWGCOP23-C-0005" TargetMode="External"/><Relationship Id="rId5" Type="http://schemas.openxmlformats.org/officeDocument/2006/relationships/endnotes" Target="endnotes.xml"/><Relationship Id="rId15" Type="http://schemas.openxmlformats.org/officeDocument/2006/relationships/hyperlink" Target="https://www.itu.int/en/council/cwg-cop/Pages/First-meeting-after-PP-22.aspx" TargetMode="External"/><Relationship Id="rId23" Type="http://schemas.openxmlformats.org/officeDocument/2006/relationships/hyperlink" Target="https://www.itu.int/en/council/cwg-cop/Pages/default.aspx" TargetMode="External"/><Relationship Id="rId28" Type="http://schemas.openxmlformats.org/officeDocument/2006/relationships/header" Target="header1.xml"/><Relationship Id="rId10" Type="http://schemas.openxmlformats.org/officeDocument/2006/relationships/hyperlink" Target="https://www.itu.int/en/council/cwg-cop/Pages/default.aspx" TargetMode="External"/><Relationship Id="rId19" Type="http://schemas.openxmlformats.org/officeDocument/2006/relationships/hyperlink" Target="https://www.itu.int/en/council/cwg-cop/Pages/Tweenty-first-meeting.asp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md/S24-CL-C-0140/es" TargetMode="External"/><Relationship Id="rId14" Type="http://schemas.openxmlformats.org/officeDocument/2006/relationships/hyperlink" Target="https://www.itu.int/en/council/Documents/basic-texts-2023/RES-179-S.pdf" TargetMode="External"/><Relationship Id="rId22" Type="http://schemas.openxmlformats.org/officeDocument/2006/relationships/hyperlink" Target="http://www.itu.int/md/S25-CLCWGCOP22-C-0003"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864</Words>
  <Characters>6474</Characters>
  <Application>Microsoft Office Word</Application>
  <DocSecurity>0</DocSecurity>
  <Lines>117</Lines>
  <Paragraphs>55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7283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cuadrienal del Grupo de Trabajo del Consejo sobre protección de la infancia en línea (2022-2026)</dc:title>
  <dc:subject>Consejo 2026 de la UIT</dc:subject>
  <cp:keywords>C26; C2026; Council 2026; PP26</cp:keywords>
  <dc:description/>
  <cp:lastPrinted>2006-03-24T09:51:00Z</cp:lastPrinted>
  <dcterms:created xsi:type="dcterms:W3CDTF">2026-03-20T17:37:00Z</dcterms:created>
  <dcterms:modified xsi:type="dcterms:W3CDTF">2026-03-20T17:42:00Z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