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00267" w14:paraId="78D88BC1" w14:textId="77777777" w:rsidTr="00796BDB">
        <w:trPr>
          <w:cantSplit/>
          <w:trHeight w:val="23"/>
        </w:trPr>
        <w:tc>
          <w:tcPr>
            <w:tcW w:w="3969" w:type="dxa"/>
            <w:vMerge w:val="restart"/>
            <w:tcMar>
              <w:left w:w="0" w:type="dxa"/>
            </w:tcMar>
          </w:tcPr>
          <w:p w14:paraId="592CD268" w14:textId="4251FAB3" w:rsidR="00D72F49" w:rsidRPr="00100267" w:rsidRDefault="00D72F49" w:rsidP="00796BDB">
            <w:pPr>
              <w:tabs>
                <w:tab w:val="left" w:pos="851"/>
              </w:tabs>
              <w:spacing w:before="0" w:line="240" w:lineRule="atLeast"/>
              <w:rPr>
                <w:b/>
              </w:rPr>
            </w:pPr>
            <w:r w:rsidRPr="00100267">
              <w:rPr>
                <w:b/>
              </w:rPr>
              <w:t xml:space="preserve">Point de l'ordre du </w:t>
            </w:r>
            <w:proofErr w:type="gramStart"/>
            <w:r w:rsidRPr="00100267">
              <w:rPr>
                <w:b/>
              </w:rPr>
              <w:t>jour:</w:t>
            </w:r>
            <w:proofErr w:type="gramEnd"/>
            <w:r w:rsidR="001A686C" w:rsidRPr="00100267">
              <w:rPr>
                <w:b/>
              </w:rPr>
              <w:t xml:space="preserve"> </w:t>
            </w:r>
            <w:proofErr w:type="spellStart"/>
            <w:r w:rsidR="001A686C" w:rsidRPr="00100267">
              <w:rPr>
                <w:b/>
                <w:bCs/>
                <w:color w:val="000000"/>
              </w:rPr>
              <w:t>PL</w:t>
            </w:r>
            <w:r w:rsidR="0046452B">
              <w:rPr>
                <w:b/>
                <w:bCs/>
                <w:color w:val="000000"/>
              </w:rPr>
              <w:t>-</w:t>
            </w:r>
            <w:r w:rsidR="001A686C" w:rsidRPr="00100267">
              <w:rPr>
                <w:b/>
                <w:bCs/>
                <w:color w:val="000000"/>
              </w:rPr>
              <w:t>2</w:t>
            </w:r>
            <w:proofErr w:type="spellEnd"/>
          </w:p>
        </w:tc>
        <w:tc>
          <w:tcPr>
            <w:tcW w:w="5245" w:type="dxa"/>
          </w:tcPr>
          <w:p w14:paraId="2790CB6B" w14:textId="7217014F" w:rsidR="00D72F49" w:rsidRPr="00100267" w:rsidRDefault="00D72F49" w:rsidP="00796BDB">
            <w:pPr>
              <w:tabs>
                <w:tab w:val="left" w:pos="851"/>
              </w:tabs>
              <w:spacing w:before="0" w:line="240" w:lineRule="atLeast"/>
              <w:jc w:val="right"/>
              <w:rPr>
                <w:b/>
              </w:rPr>
            </w:pPr>
            <w:r w:rsidRPr="00100267">
              <w:rPr>
                <w:b/>
              </w:rPr>
              <w:t>Document C2</w:t>
            </w:r>
            <w:r w:rsidR="00E4448E" w:rsidRPr="00100267">
              <w:rPr>
                <w:b/>
              </w:rPr>
              <w:t>6</w:t>
            </w:r>
            <w:r w:rsidRPr="00100267">
              <w:rPr>
                <w:b/>
              </w:rPr>
              <w:t>/</w:t>
            </w:r>
            <w:r w:rsidR="001A686C" w:rsidRPr="00100267">
              <w:rPr>
                <w:b/>
              </w:rPr>
              <w:t>18</w:t>
            </w:r>
            <w:r w:rsidRPr="00100267">
              <w:rPr>
                <w:b/>
              </w:rPr>
              <w:t>-F</w:t>
            </w:r>
          </w:p>
        </w:tc>
      </w:tr>
      <w:tr w:rsidR="00D72F49" w:rsidRPr="00100267" w14:paraId="7B6BA89D" w14:textId="77777777" w:rsidTr="00796BDB">
        <w:trPr>
          <w:cantSplit/>
        </w:trPr>
        <w:tc>
          <w:tcPr>
            <w:tcW w:w="3969" w:type="dxa"/>
            <w:vMerge/>
          </w:tcPr>
          <w:p w14:paraId="26765AAF" w14:textId="77777777" w:rsidR="00D72F49" w:rsidRPr="00100267" w:rsidRDefault="00D72F49" w:rsidP="00796BDB">
            <w:pPr>
              <w:tabs>
                <w:tab w:val="left" w:pos="851"/>
              </w:tabs>
              <w:spacing w:line="240" w:lineRule="atLeast"/>
              <w:rPr>
                <w:b/>
              </w:rPr>
            </w:pPr>
          </w:p>
        </w:tc>
        <w:tc>
          <w:tcPr>
            <w:tcW w:w="5245" w:type="dxa"/>
          </w:tcPr>
          <w:p w14:paraId="2581B0E3" w14:textId="0178226A" w:rsidR="00D72F49" w:rsidRPr="00100267" w:rsidRDefault="00CE01A7" w:rsidP="00796BDB">
            <w:pPr>
              <w:tabs>
                <w:tab w:val="left" w:pos="851"/>
              </w:tabs>
              <w:spacing w:before="0"/>
              <w:jc w:val="right"/>
              <w:rPr>
                <w:b/>
              </w:rPr>
            </w:pPr>
            <w:r w:rsidRPr="00100267">
              <w:rPr>
                <w:b/>
                <w:bCs/>
                <w:color w:val="000000"/>
              </w:rPr>
              <w:t>18 mars</w:t>
            </w:r>
            <w:r w:rsidR="001A686C" w:rsidRPr="00100267">
              <w:rPr>
                <w:b/>
                <w:bCs/>
                <w:color w:val="000000"/>
              </w:rPr>
              <w:t xml:space="preserve"> 2026</w:t>
            </w:r>
          </w:p>
        </w:tc>
      </w:tr>
      <w:tr w:rsidR="00D72F49" w:rsidRPr="00100267" w14:paraId="2FD07D14" w14:textId="77777777" w:rsidTr="00796BDB">
        <w:trPr>
          <w:cantSplit/>
          <w:trHeight w:val="23"/>
        </w:trPr>
        <w:tc>
          <w:tcPr>
            <w:tcW w:w="3969" w:type="dxa"/>
            <w:vMerge/>
          </w:tcPr>
          <w:p w14:paraId="6C30790E" w14:textId="77777777" w:rsidR="00D72F49" w:rsidRPr="00100267" w:rsidRDefault="00D72F49" w:rsidP="00796BDB">
            <w:pPr>
              <w:tabs>
                <w:tab w:val="left" w:pos="851"/>
              </w:tabs>
              <w:spacing w:line="240" w:lineRule="atLeast"/>
              <w:rPr>
                <w:b/>
              </w:rPr>
            </w:pPr>
          </w:p>
        </w:tc>
        <w:tc>
          <w:tcPr>
            <w:tcW w:w="5245" w:type="dxa"/>
          </w:tcPr>
          <w:p w14:paraId="1AA10F31" w14:textId="77777777" w:rsidR="00D72F49" w:rsidRPr="00100267" w:rsidRDefault="00D72F49" w:rsidP="00796BDB">
            <w:pPr>
              <w:tabs>
                <w:tab w:val="left" w:pos="851"/>
              </w:tabs>
              <w:spacing w:before="0" w:line="240" w:lineRule="atLeast"/>
              <w:jc w:val="right"/>
              <w:rPr>
                <w:b/>
              </w:rPr>
            </w:pPr>
            <w:r w:rsidRPr="00100267">
              <w:rPr>
                <w:b/>
              </w:rPr>
              <w:t>Original: anglais</w:t>
            </w:r>
          </w:p>
        </w:tc>
      </w:tr>
      <w:tr w:rsidR="00D72F49" w:rsidRPr="00100267" w14:paraId="5BA727D1" w14:textId="77777777" w:rsidTr="00796BDB">
        <w:trPr>
          <w:cantSplit/>
          <w:trHeight w:val="23"/>
        </w:trPr>
        <w:tc>
          <w:tcPr>
            <w:tcW w:w="3969" w:type="dxa"/>
          </w:tcPr>
          <w:p w14:paraId="6C5B3D88" w14:textId="77777777" w:rsidR="00D72F49" w:rsidRPr="00100267" w:rsidRDefault="00D72F49" w:rsidP="00B77AF4">
            <w:pPr>
              <w:tabs>
                <w:tab w:val="left" w:pos="851"/>
              </w:tabs>
              <w:spacing w:before="0" w:line="240" w:lineRule="atLeast"/>
              <w:rPr>
                <w:b/>
              </w:rPr>
            </w:pPr>
          </w:p>
        </w:tc>
        <w:tc>
          <w:tcPr>
            <w:tcW w:w="5245" w:type="dxa"/>
          </w:tcPr>
          <w:p w14:paraId="03547F60" w14:textId="77777777" w:rsidR="00D72F49" w:rsidRPr="00100267" w:rsidRDefault="00D72F49" w:rsidP="00B77AF4">
            <w:pPr>
              <w:tabs>
                <w:tab w:val="left" w:pos="851"/>
              </w:tabs>
              <w:spacing w:before="0" w:line="240" w:lineRule="atLeast"/>
              <w:jc w:val="right"/>
              <w:rPr>
                <w:b/>
              </w:rPr>
            </w:pPr>
          </w:p>
        </w:tc>
      </w:tr>
      <w:tr w:rsidR="00D72F49" w:rsidRPr="00100267" w14:paraId="01415321" w14:textId="77777777" w:rsidTr="00796BDB">
        <w:trPr>
          <w:cantSplit/>
        </w:trPr>
        <w:tc>
          <w:tcPr>
            <w:tcW w:w="9214" w:type="dxa"/>
            <w:gridSpan w:val="2"/>
            <w:tcMar>
              <w:left w:w="0" w:type="dxa"/>
            </w:tcMar>
          </w:tcPr>
          <w:p w14:paraId="36AF61A2" w14:textId="4E0DCD0F" w:rsidR="00D72F49" w:rsidRPr="0046452B" w:rsidRDefault="001A686C" w:rsidP="007957D5">
            <w:pPr>
              <w:pStyle w:val="Source"/>
              <w:framePr w:hSpace="0" w:wrap="auto" w:vAnchor="margin" w:hAnchor="text" w:xAlign="left" w:yAlign="inline"/>
              <w:spacing w:before="480"/>
            </w:pPr>
            <w:r w:rsidRPr="0046452B">
              <w:t xml:space="preserve">Rapport de la Présidente du </w:t>
            </w:r>
            <w:proofErr w:type="spellStart"/>
            <w:r w:rsidRPr="0046452B">
              <w:t>GTC</w:t>
            </w:r>
            <w:proofErr w:type="spellEnd"/>
            <w:r w:rsidRPr="0046452B">
              <w:t>-COP</w:t>
            </w:r>
          </w:p>
        </w:tc>
      </w:tr>
      <w:tr w:rsidR="00D72F49" w:rsidRPr="00100267" w14:paraId="33997744" w14:textId="77777777" w:rsidTr="00796BDB">
        <w:trPr>
          <w:cantSplit/>
        </w:trPr>
        <w:tc>
          <w:tcPr>
            <w:tcW w:w="9214" w:type="dxa"/>
            <w:gridSpan w:val="2"/>
            <w:tcMar>
              <w:left w:w="0" w:type="dxa"/>
            </w:tcMar>
          </w:tcPr>
          <w:p w14:paraId="421ED335" w14:textId="4252EEB4" w:rsidR="00D72F49" w:rsidRPr="00100267" w:rsidRDefault="00355210" w:rsidP="00B77AF4">
            <w:pPr>
              <w:pStyle w:val="Subtitle"/>
              <w:framePr w:hSpace="0" w:wrap="auto" w:hAnchor="text" w:xAlign="left" w:yAlign="inline"/>
              <w:spacing w:after="120"/>
              <w:rPr>
                <w:sz w:val="32"/>
                <w:szCs w:val="32"/>
                <w:lang w:val="fr-FR"/>
              </w:rPr>
            </w:pPr>
            <w:r w:rsidRPr="00100267">
              <w:rPr>
                <w:rFonts w:cstheme="minorHAnsi"/>
                <w:sz w:val="32"/>
                <w:szCs w:val="32"/>
                <w:lang w:val="fr-FR"/>
              </w:rPr>
              <w:t>RAPPORT QUADRIENNAL DU GROUPE DE TRAVAIL DU CONSEIL SUR LA PROTECTION EN LIGNE DES ENFANTS (2022-2026)</w:t>
            </w:r>
          </w:p>
        </w:tc>
      </w:tr>
      <w:tr w:rsidR="00D72F49" w:rsidRPr="00100267" w14:paraId="53FADF13" w14:textId="77777777" w:rsidTr="00796BDB">
        <w:trPr>
          <w:cantSplit/>
        </w:trPr>
        <w:tc>
          <w:tcPr>
            <w:tcW w:w="9214" w:type="dxa"/>
            <w:gridSpan w:val="2"/>
            <w:tcBorders>
              <w:top w:val="single" w:sz="4" w:space="0" w:color="auto"/>
              <w:bottom w:val="single" w:sz="4" w:space="0" w:color="auto"/>
            </w:tcBorders>
            <w:tcMar>
              <w:left w:w="0" w:type="dxa"/>
            </w:tcMar>
          </w:tcPr>
          <w:p w14:paraId="218136EF" w14:textId="77777777" w:rsidR="00D72F49" w:rsidRPr="00100267" w:rsidRDefault="00F37FE5" w:rsidP="00796BDB">
            <w:pPr>
              <w:spacing w:before="160"/>
              <w:rPr>
                <w:b/>
                <w:bCs/>
                <w:sz w:val="26"/>
                <w:szCs w:val="26"/>
              </w:rPr>
            </w:pPr>
            <w:r w:rsidRPr="00100267">
              <w:rPr>
                <w:b/>
                <w:bCs/>
                <w:sz w:val="26"/>
                <w:szCs w:val="26"/>
              </w:rPr>
              <w:t>Objet</w:t>
            </w:r>
          </w:p>
          <w:p w14:paraId="7BCBFC44" w14:textId="3217BBFB" w:rsidR="001A686C" w:rsidRPr="00100267" w:rsidRDefault="001A686C" w:rsidP="0046452B">
            <w:pPr>
              <w:spacing w:before="100"/>
              <w:jc w:val="both"/>
            </w:pPr>
            <w:r w:rsidRPr="00100267">
              <w:t xml:space="preserve">Conformément à la Résolution </w:t>
            </w:r>
            <w:hyperlink r:id="rId8" w:history="1">
              <w:r w:rsidRPr="00F623C6">
                <w:rPr>
                  <w:rStyle w:val="Hyperlink"/>
                  <w:rFonts w:eastAsia="Times New Roman" w:cs="Times New Roman"/>
                  <w:szCs w:val="20"/>
                </w:rPr>
                <w:t>1306 (</w:t>
              </w:r>
              <w:proofErr w:type="spellStart"/>
              <w:r w:rsidRPr="00F623C6">
                <w:rPr>
                  <w:rStyle w:val="Hyperlink"/>
                  <w:rFonts w:eastAsia="Times New Roman" w:cs="Times New Roman"/>
                  <w:szCs w:val="20"/>
                </w:rPr>
                <w:t>C09</w:t>
              </w:r>
              <w:proofErr w:type="spellEnd"/>
              <w:r w:rsidRPr="00F623C6">
                <w:rPr>
                  <w:rStyle w:val="Hyperlink"/>
                  <w:rFonts w:eastAsia="Times New Roman" w:cs="Times New Roman"/>
                  <w:szCs w:val="20"/>
                </w:rPr>
                <w:t xml:space="preserve">, dernière mod. </w:t>
              </w:r>
              <w:proofErr w:type="spellStart"/>
              <w:r w:rsidRPr="00F623C6">
                <w:rPr>
                  <w:rStyle w:val="Hyperlink"/>
                  <w:rFonts w:eastAsia="Times New Roman" w:cs="Times New Roman"/>
                  <w:szCs w:val="20"/>
                </w:rPr>
                <w:t>C24</w:t>
              </w:r>
              <w:proofErr w:type="spellEnd"/>
              <w:r w:rsidRPr="00F623C6">
                <w:rPr>
                  <w:rStyle w:val="Hyperlink"/>
                  <w:rFonts w:eastAsia="Times New Roman" w:cs="Times New Roman"/>
                  <w:szCs w:val="20"/>
                </w:rPr>
                <w:t>)</w:t>
              </w:r>
            </w:hyperlink>
            <w:r w:rsidRPr="00100267">
              <w:t xml:space="preserve"> </w:t>
            </w:r>
            <w:r w:rsidR="00B77AF4" w:rsidRPr="00100267">
              <w:t xml:space="preserve">du Conseil de l'UIT </w:t>
            </w:r>
            <w:r w:rsidRPr="00100267">
              <w:t xml:space="preserve">et à la Résolution </w:t>
            </w:r>
            <w:hyperlink r:id="rId9" w:history="1">
              <w:r w:rsidRPr="00F623C6">
                <w:rPr>
                  <w:rStyle w:val="Hyperlink"/>
                  <w:rFonts w:eastAsia="Times New Roman" w:cs="Times New Roman"/>
                  <w:szCs w:val="20"/>
                </w:rPr>
                <w:t>179 (Rév. Bucarest, 2022)</w:t>
              </w:r>
            </w:hyperlink>
            <w:r w:rsidRPr="00100267">
              <w:t xml:space="preserve"> de la Conférence de plénipotentiaires, le présent document contient le rapport quadriennal du Président du Groupe de travail du Conseil sur la protection en ligne des enfants (GTC-COP) aux sessions de 2023 et 2024 du Conseil, et de la Présidente du GTC-COP aux sessions de 2025 et 2026 du Conseil.</w:t>
            </w:r>
            <w:hyperlink r:id="rId10" w:history="1"/>
            <w:hyperlink r:id="rId11" w:history="1"/>
          </w:p>
          <w:p w14:paraId="5B99B137" w14:textId="77777777" w:rsidR="001A686C" w:rsidRPr="00100267" w:rsidRDefault="001A686C" w:rsidP="0046452B">
            <w:pPr>
              <w:spacing w:before="100"/>
              <w:jc w:val="both"/>
            </w:pPr>
            <w:r w:rsidRPr="00100267">
              <w:t>Le Conseil, conscient de la nécessité constante de traiter la question de la protection en ligne des enfants dans un environnement numérique en évolution rapide, y compris des nouveaux risques et des nouvelles possibilités associés aux nouvelles technologies, et d'offrir un cadre dédié pour l'échange de données d'expérience, la coordination et l'échange d'informations entre les États Membres et les parties prenantes entre les sessions du Conseil, pourrait décider de maintenir le GTC-COP pour la prochaine période.</w:t>
            </w:r>
          </w:p>
          <w:p w14:paraId="75253062" w14:textId="32307634" w:rsidR="00D72F49" w:rsidRPr="00100267" w:rsidRDefault="001A686C" w:rsidP="0046452B">
            <w:pPr>
              <w:spacing w:before="100"/>
              <w:jc w:val="both"/>
            </w:pPr>
            <w:r w:rsidRPr="00100267">
              <w:t>Le Groupe de travail du Conseil sur la protection en ligne des enfants présente chaque année un rapport d'activité au Conseil.</w:t>
            </w:r>
          </w:p>
          <w:p w14:paraId="2EBE1D55" w14:textId="77777777" w:rsidR="00D72F49" w:rsidRPr="00100267" w:rsidRDefault="00D72F49" w:rsidP="00796BDB">
            <w:pPr>
              <w:spacing w:before="160"/>
              <w:rPr>
                <w:b/>
                <w:bCs/>
                <w:sz w:val="26"/>
                <w:szCs w:val="26"/>
              </w:rPr>
            </w:pPr>
            <w:r w:rsidRPr="00100267">
              <w:rPr>
                <w:b/>
                <w:bCs/>
                <w:sz w:val="26"/>
                <w:szCs w:val="26"/>
              </w:rPr>
              <w:t>Suite à donner par le Conseil</w:t>
            </w:r>
          </w:p>
          <w:p w14:paraId="4E7817ED" w14:textId="3BAB2A93" w:rsidR="00D72F49" w:rsidRPr="00100267" w:rsidRDefault="001A686C" w:rsidP="0046452B">
            <w:pPr>
              <w:spacing w:before="100"/>
              <w:jc w:val="both"/>
            </w:pPr>
            <w:r w:rsidRPr="00100267">
              <w:t xml:space="preserve">Le Conseil est invité </w:t>
            </w:r>
            <w:r w:rsidRPr="00100267">
              <w:rPr>
                <w:b/>
                <w:bCs/>
              </w:rPr>
              <w:t>à examiner</w:t>
            </w:r>
            <w:r w:rsidRPr="00100267">
              <w:t xml:space="preserve"> le présent rapport et </w:t>
            </w:r>
            <w:r w:rsidRPr="00100267">
              <w:rPr>
                <w:b/>
                <w:bCs/>
              </w:rPr>
              <w:t>à soumettre</w:t>
            </w:r>
            <w:r w:rsidRPr="00100267">
              <w:t xml:space="preserve"> ses recommandations à la Conférence de plénipotentiaires selon qu'il convient, notamment en ce qui concerne la poursuite des activités du GTC-COP pendant les quatre prochaines années.</w:t>
            </w:r>
          </w:p>
          <w:p w14:paraId="703AB4F6" w14:textId="537BB462" w:rsidR="00D72F49" w:rsidRPr="00100267" w:rsidRDefault="00D72F49" w:rsidP="00796BDB">
            <w:pPr>
              <w:spacing w:before="160"/>
              <w:rPr>
                <w:b/>
                <w:bCs/>
                <w:sz w:val="26"/>
                <w:szCs w:val="26"/>
              </w:rPr>
            </w:pPr>
            <w:r w:rsidRPr="00100267">
              <w:rPr>
                <w:b/>
                <w:bCs/>
                <w:sz w:val="26"/>
                <w:szCs w:val="26"/>
              </w:rPr>
              <w:t xml:space="preserve">Lien pertinent avec le </w:t>
            </w:r>
            <w:r w:rsidR="00F37FE5" w:rsidRPr="00100267">
              <w:rPr>
                <w:b/>
                <w:bCs/>
                <w:sz w:val="26"/>
                <w:szCs w:val="26"/>
              </w:rPr>
              <w:t>p</w:t>
            </w:r>
            <w:r w:rsidRPr="00100267">
              <w:rPr>
                <w:b/>
                <w:bCs/>
                <w:sz w:val="26"/>
                <w:szCs w:val="26"/>
              </w:rPr>
              <w:t>lan stratégique</w:t>
            </w:r>
          </w:p>
          <w:p w14:paraId="41BE8DDE" w14:textId="77777777" w:rsidR="00D72F49" w:rsidRDefault="001A686C" w:rsidP="0046452B">
            <w:pPr>
              <w:spacing w:before="100"/>
              <w:jc w:val="both"/>
            </w:pPr>
            <w:r w:rsidRPr="00100267">
              <w:t xml:space="preserve">Transformation numérique </w:t>
            </w:r>
            <w:proofErr w:type="gramStart"/>
            <w:r w:rsidRPr="00100267">
              <w:t>durable:</w:t>
            </w:r>
            <w:proofErr w:type="gramEnd"/>
            <w:r w:rsidRPr="00100267">
              <w:t xml:space="preserve"> Encourager une utilisation équitable et inclusive des télécommunications/TIC pour mobiliser les individus et les sociétés en faveur du développement durable.</w:t>
            </w:r>
          </w:p>
          <w:p w14:paraId="46555D8E" w14:textId="77777777" w:rsidR="0046452B" w:rsidRPr="00100267" w:rsidRDefault="0046452B" w:rsidP="0046452B">
            <w:pPr>
              <w:spacing w:before="160"/>
              <w:rPr>
                <w:b/>
                <w:bCs/>
                <w:sz w:val="26"/>
                <w:szCs w:val="26"/>
              </w:rPr>
            </w:pPr>
            <w:r w:rsidRPr="00100267">
              <w:rPr>
                <w:b/>
                <w:bCs/>
                <w:sz w:val="26"/>
                <w:szCs w:val="26"/>
              </w:rPr>
              <w:t>Incidences financières</w:t>
            </w:r>
          </w:p>
          <w:p w14:paraId="53F2FD9B" w14:textId="77777777" w:rsidR="0046452B" w:rsidRPr="00100267" w:rsidRDefault="0046452B" w:rsidP="0046452B">
            <w:pPr>
              <w:spacing w:before="100"/>
              <w:rPr>
                <w:szCs w:val="24"/>
              </w:rPr>
            </w:pPr>
            <w:r w:rsidRPr="00100267">
              <w:rPr>
                <w:szCs w:val="24"/>
              </w:rPr>
              <w:t>Dans les limites du budget alloué pour 2025-2026.</w:t>
            </w:r>
          </w:p>
          <w:p w14:paraId="2BF8082A" w14:textId="77777777" w:rsidR="0046452B" w:rsidRPr="00100267" w:rsidRDefault="0046452B" w:rsidP="00B77AF4">
            <w:pPr>
              <w:spacing w:before="100"/>
              <w:rPr>
                <w:caps/>
                <w:sz w:val="22"/>
              </w:rPr>
            </w:pPr>
            <w:r w:rsidRPr="00100267">
              <w:rPr>
                <w:sz w:val="22"/>
              </w:rPr>
              <w:t>__________________</w:t>
            </w:r>
          </w:p>
          <w:p w14:paraId="655DF977" w14:textId="77777777" w:rsidR="0046452B" w:rsidRPr="00100267" w:rsidRDefault="0046452B" w:rsidP="0046452B">
            <w:pPr>
              <w:spacing w:before="160"/>
              <w:rPr>
                <w:b/>
                <w:bCs/>
                <w:sz w:val="26"/>
                <w:szCs w:val="26"/>
              </w:rPr>
            </w:pPr>
            <w:r w:rsidRPr="00100267">
              <w:rPr>
                <w:b/>
                <w:bCs/>
                <w:sz w:val="26"/>
                <w:szCs w:val="26"/>
              </w:rPr>
              <w:t>Références</w:t>
            </w:r>
          </w:p>
          <w:p w14:paraId="37D726DE" w14:textId="4084E509" w:rsidR="0046452B" w:rsidRPr="0046452B" w:rsidRDefault="0046452B" w:rsidP="0046452B">
            <w:pPr>
              <w:spacing w:before="100" w:after="100"/>
              <w:rPr>
                <w:i/>
                <w:iCs/>
                <w:sz w:val="22"/>
                <w:szCs w:val="22"/>
              </w:rPr>
            </w:pPr>
            <w:r w:rsidRPr="0046452B">
              <w:rPr>
                <w:i/>
                <w:iCs/>
                <w:sz w:val="22"/>
                <w:szCs w:val="22"/>
              </w:rPr>
              <w:t xml:space="preserve">Résolution </w:t>
            </w:r>
            <w:hyperlink r:id="rId12" w:history="1">
              <w:r w:rsidRPr="007957D5">
                <w:rPr>
                  <w:rStyle w:val="Hyperlink"/>
                  <w:rFonts w:eastAsia="Times New Roman" w:cs="Times New Roman"/>
                  <w:i/>
                  <w:iCs/>
                  <w:sz w:val="22"/>
                </w:rPr>
                <w:t>179 (Rév. Bucarest, 2022)</w:t>
              </w:r>
            </w:hyperlink>
            <w:r w:rsidRPr="0046452B">
              <w:rPr>
                <w:i/>
                <w:iCs/>
                <w:sz w:val="22"/>
                <w:szCs w:val="22"/>
              </w:rPr>
              <w:t xml:space="preserve"> de la Conférence de </w:t>
            </w:r>
            <w:proofErr w:type="gramStart"/>
            <w:r w:rsidRPr="0046452B">
              <w:rPr>
                <w:i/>
                <w:iCs/>
                <w:sz w:val="22"/>
                <w:szCs w:val="22"/>
              </w:rPr>
              <w:t>plénipotentiaires;</w:t>
            </w:r>
            <w:proofErr w:type="gramEnd"/>
            <w:r w:rsidRPr="0046452B">
              <w:rPr>
                <w:i/>
                <w:iCs/>
                <w:sz w:val="22"/>
                <w:szCs w:val="22"/>
              </w:rPr>
              <w:t xml:space="preserve"> Résolution </w:t>
            </w:r>
            <w:hyperlink r:id="rId13" w:history="1">
              <w:r w:rsidRPr="007957D5">
                <w:rPr>
                  <w:rStyle w:val="Hyperlink"/>
                  <w:rFonts w:eastAsia="Times New Roman" w:cs="Times New Roman"/>
                  <w:i/>
                  <w:iCs/>
                  <w:sz w:val="22"/>
                </w:rPr>
                <w:t>1306 (</w:t>
              </w:r>
              <w:proofErr w:type="spellStart"/>
              <w:r w:rsidRPr="007957D5">
                <w:rPr>
                  <w:rStyle w:val="Hyperlink"/>
                  <w:rFonts w:eastAsia="Times New Roman" w:cs="Times New Roman"/>
                  <w:i/>
                  <w:iCs/>
                  <w:sz w:val="22"/>
                </w:rPr>
                <w:t>C09</w:t>
              </w:r>
              <w:proofErr w:type="spellEnd"/>
              <w:r w:rsidRPr="007957D5">
                <w:rPr>
                  <w:rStyle w:val="Hyperlink"/>
                  <w:rFonts w:eastAsia="Times New Roman" w:cs="Times New Roman"/>
                  <w:i/>
                  <w:iCs/>
                  <w:sz w:val="22"/>
                </w:rPr>
                <w:t xml:space="preserve">, dernière mod. </w:t>
              </w:r>
              <w:proofErr w:type="spellStart"/>
              <w:r w:rsidRPr="007957D5">
                <w:rPr>
                  <w:rStyle w:val="Hyperlink"/>
                  <w:rFonts w:eastAsia="Times New Roman" w:cs="Times New Roman"/>
                  <w:i/>
                  <w:iCs/>
                  <w:sz w:val="22"/>
                </w:rPr>
                <w:t>C24</w:t>
              </w:r>
              <w:proofErr w:type="spellEnd"/>
              <w:r w:rsidRPr="007957D5">
                <w:rPr>
                  <w:rStyle w:val="Hyperlink"/>
                  <w:rFonts w:eastAsia="Times New Roman" w:cs="Times New Roman"/>
                  <w:i/>
                  <w:iCs/>
                  <w:sz w:val="22"/>
                </w:rPr>
                <w:t>)</w:t>
              </w:r>
            </w:hyperlink>
            <w:r w:rsidRPr="0046452B">
              <w:rPr>
                <w:i/>
                <w:iCs/>
                <w:sz w:val="22"/>
                <w:szCs w:val="22"/>
              </w:rPr>
              <w:t xml:space="preserve"> </w:t>
            </w:r>
            <w:r w:rsidRPr="0046452B">
              <w:rPr>
                <w:i/>
                <w:iCs/>
                <w:sz w:val="22"/>
                <w:szCs w:val="22"/>
              </w:rPr>
              <w:t>du Conseil</w:t>
            </w:r>
          </w:p>
        </w:tc>
      </w:tr>
    </w:tbl>
    <w:p w14:paraId="26DA3DD1" w14:textId="28DF7D36" w:rsidR="001A686C" w:rsidRPr="00B77AF4" w:rsidRDefault="001A686C">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B77AF4">
        <w:rPr>
          <w:sz w:val="10"/>
          <w:szCs w:val="10"/>
        </w:rPr>
        <w:br w:type="page"/>
      </w:r>
    </w:p>
    <w:p w14:paraId="184B36FD" w14:textId="073204E2" w:rsidR="001A686C" w:rsidRPr="00100267" w:rsidRDefault="00BC2B80" w:rsidP="001A686C">
      <w:pPr>
        <w:pStyle w:val="Heading1"/>
      </w:pPr>
      <w:r w:rsidRPr="00100267">
        <w:rPr>
          <w:bCs/>
        </w:rPr>
        <w:lastRenderedPageBreak/>
        <w:t>I</w:t>
      </w:r>
      <w:r w:rsidR="00503084" w:rsidRPr="00100267">
        <w:rPr>
          <w:bCs/>
        </w:rPr>
        <w:tab/>
      </w:r>
      <w:r w:rsidR="001A686C" w:rsidRPr="00100267">
        <w:rPr>
          <w:bCs/>
        </w:rPr>
        <w:t>Introduction</w:t>
      </w:r>
    </w:p>
    <w:p w14:paraId="18894E45" w14:textId="38CC973A" w:rsidR="001A686C" w:rsidRPr="00100267" w:rsidRDefault="001A686C" w:rsidP="006E3F9B">
      <w:pPr>
        <w:jc w:val="both"/>
        <w:rPr>
          <w:rFonts w:cs="Calibri"/>
        </w:rPr>
      </w:pPr>
      <w:r w:rsidRPr="00100267">
        <w:t>1</w:t>
      </w:r>
      <w:r w:rsidRPr="00100267">
        <w:tab/>
        <w:t xml:space="preserve">Le </w:t>
      </w:r>
      <w:hyperlink r:id="rId14" w:anchor="/fr" w:history="1">
        <w:r w:rsidRPr="00100267">
          <w:rPr>
            <w:rStyle w:val="Hyperlink"/>
            <w:rFonts w:eastAsia="Times New Roman" w:cs="Times New Roman"/>
            <w:szCs w:val="20"/>
          </w:rPr>
          <w:t>Groupe de travail du Conseil de l'UIT sur la protection en ligne des enfants</w:t>
        </w:r>
      </w:hyperlink>
      <w:r w:rsidRPr="00100267">
        <w:t xml:space="preserve"> (GTC</w:t>
      </w:r>
      <w:r w:rsidR="00CE01A7" w:rsidRPr="00100267">
        <w:noBreakHyphen/>
      </w:r>
      <w:r w:rsidRPr="00100267">
        <w:t xml:space="preserve">COP) a été établi par le Conseil dans sa Résolution </w:t>
      </w:r>
      <w:hyperlink r:id="rId15" w:history="1">
        <w:r w:rsidRPr="006E3F9B">
          <w:rPr>
            <w:rStyle w:val="Hyperlink"/>
            <w:rFonts w:eastAsia="Times New Roman" w:cs="Times New Roman"/>
            <w:szCs w:val="20"/>
          </w:rPr>
          <w:t>1306 (</w:t>
        </w:r>
        <w:proofErr w:type="spellStart"/>
        <w:r w:rsidRPr="006E3F9B">
          <w:rPr>
            <w:rStyle w:val="Hyperlink"/>
            <w:rFonts w:eastAsia="Times New Roman" w:cs="Times New Roman"/>
            <w:szCs w:val="20"/>
          </w:rPr>
          <w:t>C09</w:t>
        </w:r>
        <w:proofErr w:type="spellEnd"/>
        <w:r w:rsidRPr="006E3F9B">
          <w:rPr>
            <w:rStyle w:val="Hyperlink"/>
            <w:rFonts w:eastAsia="Times New Roman" w:cs="Times New Roman"/>
            <w:szCs w:val="20"/>
          </w:rPr>
          <w:t>, dernière</w:t>
        </w:r>
        <w:r w:rsidR="00503084" w:rsidRPr="006E3F9B">
          <w:rPr>
            <w:rStyle w:val="Hyperlink"/>
            <w:rFonts w:eastAsia="Times New Roman" w:cs="Times New Roman"/>
            <w:szCs w:val="20"/>
          </w:rPr>
          <w:t> </w:t>
        </w:r>
        <w:r w:rsidRPr="006E3F9B">
          <w:rPr>
            <w:rStyle w:val="Hyperlink"/>
            <w:rFonts w:eastAsia="Times New Roman" w:cs="Times New Roman"/>
            <w:szCs w:val="20"/>
          </w:rPr>
          <w:t>mod.</w:t>
        </w:r>
        <w:r w:rsidR="00503084" w:rsidRPr="006E3F9B">
          <w:rPr>
            <w:rStyle w:val="Hyperlink"/>
            <w:rFonts w:eastAsia="Times New Roman" w:cs="Times New Roman"/>
            <w:szCs w:val="20"/>
          </w:rPr>
          <w:t> </w:t>
        </w:r>
        <w:proofErr w:type="spellStart"/>
        <w:r w:rsidRPr="006E3F9B">
          <w:rPr>
            <w:rStyle w:val="Hyperlink"/>
            <w:rFonts w:eastAsia="Times New Roman" w:cs="Times New Roman"/>
            <w:szCs w:val="20"/>
          </w:rPr>
          <w:t>C24</w:t>
        </w:r>
        <w:proofErr w:type="spellEnd"/>
        <w:r w:rsidRPr="006E3F9B">
          <w:rPr>
            <w:rStyle w:val="Hyperlink"/>
            <w:rFonts w:eastAsia="Times New Roman" w:cs="Times New Roman"/>
            <w:szCs w:val="20"/>
          </w:rPr>
          <w:t>)</w:t>
        </w:r>
      </w:hyperlink>
      <w:r w:rsidRPr="00100267">
        <w:t xml:space="preserve">, conformément à la Résolution </w:t>
      </w:r>
      <w:hyperlink r:id="rId16" w:history="1">
        <w:r w:rsidRPr="006E3F9B">
          <w:rPr>
            <w:rStyle w:val="Hyperlink"/>
            <w:rFonts w:eastAsia="Times New Roman" w:cs="Times New Roman"/>
            <w:szCs w:val="20"/>
          </w:rPr>
          <w:t>179 (Rév. Bucarest. 2022)</w:t>
        </w:r>
      </w:hyperlink>
      <w:r w:rsidRPr="00100267">
        <w:t xml:space="preserve"> de la Conférence de plénipotentiaires. La participation à ses travaux est ouverte à toutes les parties prenantes pertinentes.</w:t>
      </w:r>
      <w:hyperlink r:id="rId17" w:history="1"/>
      <w:hyperlink r:id="rId18" w:history="1"/>
      <w:hyperlink r:id="rId19" w:history="1"/>
    </w:p>
    <w:p w14:paraId="668C760B" w14:textId="7C393511" w:rsidR="001A686C" w:rsidRPr="00100267" w:rsidRDefault="001A686C" w:rsidP="006E3F9B">
      <w:pPr>
        <w:jc w:val="both"/>
        <w:rPr>
          <w:rFonts w:cs="Calibri"/>
        </w:rPr>
      </w:pPr>
      <w:bookmarkStart w:id="0" w:name="_Hlk221109652"/>
      <w:r w:rsidRPr="00100267">
        <w:t>2</w:t>
      </w:r>
      <w:r w:rsidRPr="00100267">
        <w:tab/>
        <w:t xml:space="preserve">Le mandat du </w:t>
      </w:r>
      <w:proofErr w:type="spellStart"/>
      <w:r w:rsidRPr="00100267">
        <w:t>GTC</w:t>
      </w:r>
      <w:proofErr w:type="spellEnd"/>
      <w:r w:rsidRPr="00100267">
        <w:t>-</w:t>
      </w:r>
      <w:r w:rsidR="00E40E06" w:rsidRPr="00100267">
        <w:t>COP</w:t>
      </w:r>
      <w:r w:rsidR="00E40E06" w:rsidRPr="00100267">
        <w:t xml:space="preserve"> </w:t>
      </w:r>
      <w:r w:rsidRPr="00100267">
        <w:t xml:space="preserve">est défini dans </w:t>
      </w:r>
      <w:hyperlink r:id="rId20" w:history="1">
        <w:r w:rsidRPr="006E3F9B">
          <w:rPr>
            <w:rStyle w:val="Hyperlink"/>
            <w:rFonts w:eastAsia="Times New Roman" w:cs="Times New Roman"/>
            <w:szCs w:val="20"/>
          </w:rPr>
          <w:t>l'Annexe 1 du r</w:t>
        </w:r>
        <w:r w:rsidRPr="006E3F9B">
          <w:rPr>
            <w:rStyle w:val="Hyperlink"/>
            <w:rFonts w:eastAsia="Times New Roman" w:cs="Times New Roman"/>
            <w:szCs w:val="20"/>
          </w:rPr>
          <w:t>a</w:t>
        </w:r>
        <w:r w:rsidRPr="006E3F9B">
          <w:rPr>
            <w:rStyle w:val="Hyperlink"/>
            <w:rFonts w:eastAsia="Times New Roman" w:cs="Times New Roman"/>
            <w:szCs w:val="20"/>
          </w:rPr>
          <w:t>p</w:t>
        </w:r>
        <w:r w:rsidRPr="006E3F9B">
          <w:rPr>
            <w:rStyle w:val="Hyperlink"/>
            <w:rFonts w:eastAsia="Times New Roman" w:cs="Times New Roman"/>
            <w:szCs w:val="20"/>
          </w:rPr>
          <w:t>p</w:t>
        </w:r>
        <w:r w:rsidRPr="006E3F9B">
          <w:rPr>
            <w:rStyle w:val="Hyperlink"/>
            <w:rFonts w:eastAsia="Times New Roman" w:cs="Times New Roman"/>
            <w:szCs w:val="20"/>
          </w:rPr>
          <w:t>ort de la première</w:t>
        </w:r>
        <w:r w:rsidR="00503084" w:rsidRPr="006E3F9B">
          <w:rPr>
            <w:rStyle w:val="Hyperlink"/>
            <w:rFonts w:eastAsia="Times New Roman" w:cs="Times New Roman"/>
            <w:szCs w:val="20"/>
          </w:rPr>
          <w:t> </w:t>
        </w:r>
        <w:r w:rsidRPr="006E3F9B">
          <w:rPr>
            <w:rStyle w:val="Hyperlink"/>
            <w:rFonts w:eastAsia="Times New Roman" w:cs="Times New Roman"/>
            <w:szCs w:val="20"/>
          </w:rPr>
          <w:t>réunion</w:t>
        </w:r>
      </w:hyperlink>
      <w:r w:rsidRPr="00100267">
        <w:t>.</w:t>
      </w:r>
      <w:hyperlink r:id="rId21" w:history="1"/>
    </w:p>
    <w:bookmarkEnd w:id="0"/>
    <w:p w14:paraId="3599810D" w14:textId="225ED7E9" w:rsidR="001A686C" w:rsidRPr="00100267" w:rsidRDefault="001A686C" w:rsidP="006E3F9B">
      <w:pPr>
        <w:jc w:val="both"/>
        <w:rPr>
          <w:rFonts w:cs="Calibri"/>
          <w:spacing w:val="-2"/>
        </w:rPr>
      </w:pPr>
      <w:r w:rsidRPr="00100267">
        <w:t>3</w:t>
      </w:r>
      <w:r w:rsidRPr="00100267">
        <w:tab/>
        <w:t xml:space="preserve">Par sa Résolution </w:t>
      </w:r>
      <w:hyperlink r:id="rId22" w:history="1">
        <w:r w:rsidRPr="006E3F9B">
          <w:rPr>
            <w:rStyle w:val="Hyperlink"/>
            <w:rFonts w:eastAsia="Times New Roman" w:cs="Times New Roman"/>
            <w:szCs w:val="20"/>
          </w:rPr>
          <w:t>179 (Rév. Bucarest, 2022)</w:t>
        </w:r>
      </w:hyperlink>
      <w:r w:rsidRPr="00100267">
        <w:t xml:space="preserve">, la Conférence de plénipotentiaires a chargé le </w:t>
      </w:r>
      <w:proofErr w:type="gramStart"/>
      <w:r w:rsidRPr="00100267">
        <w:t>Conseil:</w:t>
      </w:r>
      <w:proofErr w:type="gramEnd"/>
      <w:hyperlink r:id="rId23" w:history="1"/>
    </w:p>
    <w:p w14:paraId="5CF8AFA1" w14:textId="3FCD9989" w:rsidR="001A686C" w:rsidRPr="00100267" w:rsidRDefault="001A686C" w:rsidP="006E3F9B">
      <w:pPr>
        <w:pStyle w:val="enumlev1"/>
        <w:jc w:val="both"/>
      </w:pPr>
      <w:r w:rsidRPr="00100267">
        <w:t>a)</w:t>
      </w:r>
      <w:r w:rsidRPr="00100267">
        <w:tab/>
        <w:t xml:space="preserve">de poursuivre les travaux menés par le GTC-COP, afin de faciliter la fourniture par les membres de contributions et d'orientations sur le rôle de l'UIT dans la protection en ligne des enfants et de servir de cadre de discussion et d'échange de bonnes pratiques; </w:t>
      </w:r>
    </w:p>
    <w:p w14:paraId="4B76A082" w14:textId="60FA60E4" w:rsidR="001A686C" w:rsidRPr="00100267" w:rsidRDefault="001A686C" w:rsidP="006E3F9B">
      <w:pPr>
        <w:pStyle w:val="enumlev1"/>
        <w:jc w:val="both"/>
      </w:pPr>
      <w:r w:rsidRPr="00100267">
        <w:t>b)</w:t>
      </w:r>
      <w:r w:rsidRPr="00100267">
        <w:tab/>
        <w:t>de faciliter la contribution et la participation de toutes les parties prenantes concernées aux travaux du GTC-COP, afin d'assurer la plus grande collaboration possible lors de la mise en œuvre de cette Résolution;</w:t>
      </w:r>
    </w:p>
    <w:p w14:paraId="20F88015" w14:textId="55D08A63" w:rsidR="001A686C" w:rsidRPr="00100267" w:rsidRDefault="001A686C" w:rsidP="006E3F9B">
      <w:pPr>
        <w:pStyle w:val="enumlev1"/>
        <w:jc w:val="both"/>
      </w:pPr>
      <w:r w:rsidRPr="00100267">
        <w:t>c)</w:t>
      </w:r>
      <w:r w:rsidRPr="00100267">
        <w:tab/>
        <w:t>d'encourager le GTC-COP à établir une liaison avec le Groupe de travail du Conseil sur les questions de politiques publiques internationales relatives à l'Internet (GTC</w:t>
      </w:r>
      <w:r w:rsidR="00503084" w:rsidRPr="00100267">
        <w:noBreakHyphen/>
      </w:r>
      <w:r w:rsidRPr="00100267">
        <w:t>Internet), s'il y a lieu, afin de contribuer d'une manière avantageuse pour tous à la réalisation des travaux sur les questions pertinentes qui relèvent du mandat de ces groupes de travail du Conseil;</w:t>
      </w:r>
    </w:p>
    <w:p w14:paraId="78566BD5" w14:textId="33FDAE3F" w:rsidR="001A686C" w:rsidRPr="00100267" w:rsidRDefault="001A686C" w:rsidP="006E3F9B">
      <w:pPr>
        <w:pStyle w:val="enumlev1"/>
        <w:jc w:val="both"/>
      </w:pPr>
      <w:r w:rsidRPr="00100267">
        <w:t>d)</w:t>
      </w:r>
      <w:r w:rsidRPr="00100267">
        <w:tab/>
        <w:t>d'encourager le GTC-COP à établir une liaison avec la Commission d'études 2 de l'UIT</w:t>
      </w:r>
      <w:r w:rsidR="00503084" w:rsidRPr="00100267">
        <w:noBreakHyphen/>
      </w:r>
      <w:r w:rsidRPr="00100267">
        <w:t>D, en faisant connaître les résultats des réunions de ce groupe, afin de favoriser les discussions sur les Questions à l'étude pertinentes;</w:t>
      </w:r>
    </w:p>
    <w:p w14:paraId="2673D227" w14:textId="26128094" w:rsidR="001A686C" w:rsidRPr="00100267" w:rsidRDefault="001A686C" w:rsidP="006E3F9B">
      <w:pPr>
        <w:pStyle w:val="enumlev1"/>
        <w:jc w:val="both"/>
      </w:pPr>
      <w:r w:rsidRPr="00100267">
        <w:t>e)</w:t>
      </w:r>
      <w:r w:rsidRPr="00100267">
        <w:tab/>
        <w:t>d'encourager le GTC-COP à mener des consultations en ligne auprès des jeunes, afin de recueillir leurs vues et leur avis sur les différentes questions liées à la protection en ligne des enfants, avant et pendant sa réunion;</w:t>
      </w:r>
    </w:p>
    <w:p w14:paraId="4451DABD" w14:textId="5BBC46F1" w:rsidR="001A686C" w:rsidRPr="00100267" w:rsidRDefault="001A686C" w:rsidP="006E3F9B">
      <w:pPr>
        <w:pStyle w:val="enumlev1"/>
        <w:jc w:val="both"/>
      </w:pPr>
      <w:r w:rsidRPr="00100267">
        <w:t>f)</w:t>
      </w:r>
      <w:r w:rsidRPr="00100267">
        <w:tab/>
        <w:t>de continuer de rendre accessibles au public, sans protection par des mots de passe, les documents finals relatifs aux questions de protection en ligne des enfants.</w:t>
      </w:r>
    </w:p>
    <w:p w14:paraId="134163D2" w14:textId="77777777" w:rsidR="001A686C" w:rsidRPr="00100267" w:rsidRDefault="001A686C" w:rsidP="006E3F9B">
      <w:pPr>
        <w:jc w:val="both"/>
        <w:rPr>
          <w:rFonts w:cs="Calibri"/>
          <w:szCs w:val="24"/>
        </w:rPr>
      </w:pPr>
      <w:r w:rsidRPr="00100267">
        <w:t>4</w:t>
      </w:r>
      <w:r w:rsidRPr="00100267">
        <w:tab/>
        <w:t>Les 19ème, 20ème et 21ème réunions du Groupe de travail du Conseil sur la protection en ligne des enfants se sont tenues sous la présidence de M. Abdelaziz Al Zarooni (Émirats arabes unis), assisté des six Vice-Présidents suivants:</w:t>
      </w:r>
    </w:p>
    <w:p w14:paraId="4E9F3CFD" w14:textId="2FB0D69F" w:rsidR="001A686C" w:rsidRPr="00100267" w:rsidRDefault="001A686C" w:rsidP="00E2518D">
      <w:pPr>
        <w:pStyle w:val="enumlev1"/>
        <w:tabs>
          <w:tab w:val="clear" w:pos="2268"/>
          <w:tab w:val="clear" w:pos="2835"/>
        </w:tabs>
        <w:jc w:val="both"/>
      </w:pPr>
      <w:r w:rsidRPr="00100267">
        <w:t>–</w:t>
      </w:r>
      <w:r w:rsidRPr="00100267">
        <w:tab/>
      </w:r>
      <w:proofErr w:type="spellStart"/>
      <w:r w:rsidRPr="00100267">
        <w:t>AFR</w:t>
      </w:r>
      <w:proofErr w:type="spellEnd"/>
      <w:r w:rsidR="006E3F9B">
        <w:tab/>
      </w:r>
      <w:r w:rsidR="00CE01A7" w:rsidRPr="00100267">
        <w:t xml:space="preserve">– </w:t>
      </w:r>
      <w:r w:rsidRPr="00100267">
        <w:t>Mme Stella Chubiyo Erebor (Nigéria)</w:t>
      </w:r>
    </w:p>
    <w:p w14:paraId="4DF39D9C" w14:textId="666587A1" w:rsidR="001A686C" w:rsidRPr="00100267" w:rsidRDefault="001A686C" w:rsidP="00E2518D">
      <w:pPr>
        <w:pStyle w:val="enumlev1"/>
        <w:tabs>
          <w:tab w:val="clear" w:pos="2268"/>
          <w:tab w:val="clear" w:pos="2835"/>
        </w:tabs>
        <w:jc w:val="both"/>
      </w:pPr>
      <w:r w:rsidRPr="00100267">
        <w:t>–</w:t>
      </w:r>
      <w:r w:rsidRPr="00100267">
        <w:tab/>
        <w:t>AMS</w:t>
      </w:r>
      <w:r w:rsidR="00E2518D">
        <w:tab/>
      </w:r>
      <w:r w:rsidR="00CE01A7" w:rsidRPr="00100267">
        <w:t xml:space="preserve">– </w:t>
      </w:r>
      <w:r w:rsidRPr="00100267">
        <w:t>M. Kemie</w:t>
      </w:r>
      <w:r w:rsidR="00BC2B80" w:rsidRPr="00100267">
        <w:t xml:space="preserve"> </w:t>
      </w:r>
      <w:r w:rsidRPr="00100267">
        <w:t>Alexander Jones (Bahamas)</w:t>
      </w:r>
    </w:p>
    <w:p w14:paraId="15F25280" w14:textId="60111A28" w:rsidR="001A686C" w:rsidRPr="00100267" w:rsidRDefault="001A686C" w:rsidP="00E2518D">
      <w:pPr>
        <w:pStyle w:val="enumlev1"/>
        <w:tabs>
          <w:tab w:val="clear" w:pos="2268"/>
          <w:tab w:val="clear" w:pos="2835"/>
        </w:tabs>
        <w:jc w:val="both"/>
      </w:pPr>
      <w:r w:rsidRPr="00100267">
        <w:t>–</w:t>
      </w:r>
      <w:r w:rsidRPr="00100267">
        <w:tab/>
        <w:t>ARB</w:t>
      </w:r>
      <w:r w:rsidR="00CE01A7" w:rsidRPr="00100267">
        <w:t xml:space="preserve"> </w:t>
      </w:r>
      <w:r w:rsidR="00E2518D">
        <w:tab/>
      </w:r>
      <w:r w:rsidR="00CE01A7" w:rsidRPr="00100267">
        <w:t xml:space="preserve">– </w:t>
      </w:r>
      <w:r w:rsidRPr="00100267">
        <w:t>Mme May Ali Alghatam (Bahreïn)</w:t>
      </w:r>
    </w:p>
    <w:p w14:paraId="0C53B066" w14:textId="0B25553D" w:rsidR="001A686C" w:rsidRPr="00100267" w:rsidRDefault="001A686C" w:rsidP="00E2518D">
      <w:pPr>
        <w:pStyle w:val="enumlev1"/>
        <w:tabs>
          <w:tab w:val="clear" w:pos="2268"/>
          <w:tab w:val="clear" w:pos="2835"/>
        </w:tabs>
        <w:jc w:val="both"/>
      </w:pPr>
      <w:r w:rsidRPr="00100267">
        <w:t>–</w:t>
      </w:r>
      <w:r w:rsidRPr="00100267">
        <w:tab/>
        <w:t>ASP</w:t>
      </w:r>
      <w:r w:rsidR="00CE01A7" w:rsidRPr="00100267">
        <w:t xml:space="preserve"> </w:t>
      </w:r>
      <w:r w:rsidR="00E2518D">
        <w:tab/>
      </w:r>
      <w:r w:rsidR="00CE01A7" w:rsidRPr="00100267">
        <w:t xml:space="preserve">– </w:t>
      </w:r>
      <w:r w:rsidRPr="00100267">
        <w:t>Mme Celine Melanie A. Dee (Philippines)</w:t>
      </w:r>
    </w:p>
    <w:p w14:paraId="01A2FFDE" w14:textId="3243BD6F" w:rsidR="001A686C" w:rsidRPr="00100267" w:rsidRDefault="001A686C" w:rsidP="00E2518D">
      <w:pPr>
        <w:pStyle w:val="enumlev1"/>
        <w:tabs>
          <w:tab w:val="clear" w:pos="2268"/>
          <w:tab w:val="clear" w:pos="2835"/>
        </w:tabs>
        <w:jc w:val="both"/>
      </w:pPr>
      <w:r w:rsidRPr="00100267">
        <w:t>–</w:t>
      </w:r>
      <w:r w:rsidRPr="00100267">
        <w:tab/>
        <w:t>CEI</w:t>
      </w:r>
      <w:r w:rsidR="00CE01A7" w:rsidRPr="00100267">
        <w:t xml:space="preserve"> </w:t>
      </w:r>
      <w:r w:rsidR="00E2518D">
        <w:tab/>
      </w:r>
      <w:r w:rsidR="00CE01A7" w:rsidRPr="00100267">
        <w:t xml:space="preserve">– </w:t>
      </w:r>
      <w:r w:rsidRPr="00100267">
        <w:t>Mme Seljan Aghasarkari (Azerbaïdjan)</w:t>
      </w:r>
    </w:p>
    <w:p w14:paraId="653E8DB6" w14:textId="6BC70E9C" w:rsidR="001A686C" w:rsidRPr="00100267" w:rsidRDefault="001A686C" w:rsidP="00E2518D">
      <w:pPr>
        <w:pStyle w:val="enumlev1"/>
        <w:tabs>
          <w:tab w:val="clear" w:pos="2268"/>
          <w:tab w:val="clear" w:pos="2835"/>
        </w:tabs>
        <w:jc w:val="both"/>
        <w:rPr>
          <w:szCs w:val="24"/>
        </w:rPr>
      </w:pPr>
      <w:r w:rsidRPr="00100267">
        <w:t>–</w:t>
      </w:r>
      <w:r w:rsidRPr="00100267">
        <w:tab/>
        <w:t>EUR</w:t>
      </w:r>
      <w:r w:rsidR="00CE01A7" w:rsidRPr="00100267">
        <w:t xml:space="preserve"> </w:t>
      </w:r>
      <w:r w:rsidR="00E2518D">
        <w:tab/>
      </w:r>
      <w:r w:rsidR="00CE01A7" w:rsidRPr="00100267">
        <w:t xml:space="preserve">– </w:t>
      </w:r>
      <w:r w:rsidRPr="00100267">
        <w:t>M. Domenico Alfieri (Italie)</w:t>
      </w:r>
    </w:p>
    <w:p w14:paraId="2BCF6373" w14:textId="77777777" w:rsidR="001A686C" w:rsidRPr="00100267" w:rsidRDefault="001A686C" w:rsidP="006E3F9B">
      <w:pPr>
        <w:jc w:val="both"/>
      </w:pPr>
      <w:r w:rsidRPr="00100267">
        <w:t>Depuis la 22ème réunion du GTC-COP, le Groupe est présidé par Mme Stella Chubiyo Erebor (Nigéria).</w:t>
      </w:r>
    </w:p>
    <w:p w14:paraId="4E26FA09" w14:textId="77777777" w:rsidR="001A686C" w:rsidRPr="00100267" w:rsidRDefault="001A686C" w:rsidP="001A686C">
      <w:pPr>
        <w:pStyle w:val="Heading1"/>
      </w:pPr>
      <w:r w:rsidRPr="00100267">
        <w:rPr>
          <w:bCs/>
        </w:rPr>
        <w:lastRenderedPageBreak/>
        <w:t>II</w:t>
      </w:r>
      <w:r w:rsidRPr="00100267">
        <w:tab/>
      </w:r>
      <w:r w:rsidRPr="00100267">
        <w:rPr>
          <w:bCs/>
        </w:rPr>
        <w:t>Activités du GTC-COP</w:t>
      </w:r>
    </w:p>
    <w:p w14:paraId="4852FB25" w14:textId="0D08D82F" w:rsidR="001A686C" w:rsidRPr="00E40E06" w:rsidRDefault="001A686C" w:rsidP="00E2518D">
      <w:pPr>
        <w:jc w:val="both"/>
      </w:pPr>
      <w:r w:rsidRPr="00E40E06">
        <w:t>5</w:t>
      </w:r>
      <w:r w:rsidRPr="00E40E06">
        <w:tab/>
        <w:t xml:space="preserve">Les principaux résultats de la </w:t>
      </w:r>
      <w:hyperlink r:id="rId24" w:history="1">
        <w:r w:rsidRPr="00E40E06">
          <w:rPr>
            <w:rStyle w:val="Hyperlink"/>
            <w:rFonts w:eastAsia="Times New Roman" w:cs="Times New Roman"/>
            <w:szCs w:val="20"/>
          </w:rPr>
          <w:t>19ème réunion</w:t>
        </w:r>
      </w:hyperlink>
      <w:r w:rsidRPr="00E40E06">
        <w:t xml:space="preserve"> du </w:t>
      </w:r>
      <w:proofErr w:type="spellStart"/>
      <w:r w:rsidRPr="00E40E06">
        <w:t>GTC</w:t>
      </w:r>
      <w:proofErr w:type="spellEnd"/>
      <w:r w:rsidRPr="00E40E06">
        <w:t>-COP, qui s'est tenue le</w:t>
      </w:r>
      <w:r w:rsidR="00CE01A7" w:rsidRPr="00E40E06">
        <w:t> </w:t>
      </w:r>
      <w:r w:rsidRPr="00E40E06">
        <w:t>10</w:t>
      </w:r>
      <w:r w:rsidR="00917E24" w:rsidRPr="00E40E06">
        <w:t> </w:t>
      </w:r>
      <w:r w:rsidRPr="00E40E06">
        <w:t>octobre</w:t>
      </w:r>
      <w:r w:rsidR="00917E24" w:rsidRPr="00E40E06">
        <w:t> </w:t>
      </w:r>
      <w:r w:rsidRPr="00E40E06">
        <w:t>2023, sont présentés à l'adresse suivante:</w:t>
      </w:r>
      <w:r w:rsidR="00E2518D" w:rsidRPr="00E40E06">
        <w:t xml:space="preserve"> </w:t>
      </w:r>
      <w:hyperlink r:id="rId25" w:history="1">
        <w:r w:rsidR="00E2518D" w:rsidRPr="00E40E06">
          <w:rPr>
            <w:rStyle w:val="Hyperlink"/>
            <w:rFonts w:eastAsia="Times New Roman" w:cs="Times New Roman"/>
            <w:szCs w:val="20"/>
          </w:rPr>
          <w:t>www.itu.int/md/S23-CLCWGCOP19-C-0005/en</w:t>
        </w:r>
      </w:hyperlink>
      <w:r w:rsidRPr="00E40E06">
        <w:t>.</w:t>
      </w:r>
      <w:hyperlink r:id="rId26" w:history="1"/>
      <w:hyperlink r:id="rId27" w:history="1"/>
    </w:p>
    <w:p w14:paraId="3279860C" w14:textId="4D9D71DB" w:rsidR="001A686C" w:rsidRPr="00E40E06" w:rsidRDefault="001A686C" w:rsidP="00E2518D">
      <w:pPr>
        <w:jc w:val="both"/>
      </w:pPr>
      <w:r w:rsidRPr="00E40E06">
        <w:t>6</w:t>
      </w:r>
      <w:r w:rsidRPr="00E40E06">
        <w:tab/>
        <w:t xml:space="preserve">Les principaux résultats de la </w:t>
      </w:r>
      <w:hyperlink r:id="rId28" w:history="1">
        <w:r w:rsidRPr="00E40E06">
          <w:rPr>
            <w:rStyle w:val="Hyperlink"/>
            <w:rFonts w:eastAsia="Times New Roman" w:cs="Times New Roman"/>
            <w:szCs w:val="20"/>
          </w:rPr>
          <w:t>20ème réunion</w:t>
        </w:r>
      </w:hyperlink>
      <w:r w:rsidRPr="00E40E06">
        <w:t xml:space="preserve"> du </w:t>
      </w:r>
      <w:proofErr w:type="spellStart"/>
      <w:r w:rsidRPr="00E40E06">
        <w:t>GTC</w:t>
      </w:r>
      <w:proofErr w:type="spellEnd"/>
      <w:r w:rsidRPr="00E40E06">
        <w:t>-COP, qui s'est tenue les</w:t>
      </w:r>
      <w:r w:rsidR="00CE01A7" w:rsidRPr="00E40E06">
        <w:t> </w:t>
      </w:r>
      <w:r w:rsidRPr="00E40E06">
        <w:t>22</w:t>
      </w:r>
      <w:r w:rsidR="00CE01A7" w:rsidRPr="00E40E06">
        <w:t> </w:t>
      </w:r>
      <w:r w:rsidRPr="00E40E06">
        <w:t>et</w:t>
      </w:r>
      <w:r w:rsidR="00CE01A7" w:rsidRPr="00E40E06">
        <w:t> </w:t>
      </w:r>
      <w:r w:rsidRPr="00E40E06">
        <w:t>23</w:t>
      </w:r>
      <w:r w:rsidR="00917E24" w:rsidRPr="00E40E06">
        <w:t> </w:t>
      </w:r>
      <w:r w:rsidRPr="00E40E06">
        <w:t>janvier 2024, sont présentés à l'adresse suivante:</w:t>
      </w:r>
      <w:r w:rsidR="00E2518D" w:rsidRPr="00E40E06">
        <w:t xml:space="preserve"> </w:t>
      </w:r>
      <w:hyperlink r:id="rId29" w:history="1">
        <w:r w:rsidR="00E2518D" w:rsidRPr="00E40E06">
          <w:rPr>
            <w:rStyle w:val="Hyperlink"/>
            <w:rFonts w:eastAsia="Times New Roman" w:cs="Times New Roman"/>
            <w:szCs w:val="20"/>
          </w:rPr>
          <w:t>www.itu.int/md/S24-CLCWGCOP20-C-0006/en</w:t>
        </w:r>
      </w:hyperlink>
      <w:r w:rsidRPr="00E40E06">
        <w:t>.</w:t>
      </w:r>
      <w:hyperlink r:id="rId30" w:history="1"/>
      <w:hyperlink r:id="rId31" w:history="1"/>
    </w:p>
    <w:p w14:paraId="7B183866" w14:textId="40D6A29B" w:rsidR="001A686C" w:rsidRPr="00E40E06" w:rsidRDefault="001A686C" w:rsidP="00E2518D">
      <w:pPr>
        <w:jc w:val="both"/>
      </w:pPr>
      <w:r w:rsidRPr="00E40E06">
        <w:t>7</w:t>
      </w:r>
      <w:r w:rsidRPr="00E40E06">
        <w:tab/>
        <w:t xml:space="preserve">Les principaux résultats de la </w:t>
      </w:r>
      <w:hyperlink r:id="rId32" w:history="1">
        <w:r w:rsidRPr="00E40E06">
          <w:rPr>
            <w:rStyle w:val="Hyperlink"/>
            <w:rFonts w:eastAsia="Times New Roman" w:cs="Times New Roman"/>
            <w:szCs w:val="20"/>
          </w:rPr>
          <w:t>21ème réunion</w:t>
        </w:r>
      </w:hyperlink>
      <w:r w:rsidRPr="00E40E06">
        <w:t xml:space="preserve"> du GTC-COP, qui s'est tenue les</w:t>
      </w:r>
      <w:r w:rsidR="00CE01A7" w:rsidRPr="00E40E06">
        <w:t> </w:t>
      </w:r>
      <w:r w:rsidRPr="00E40E06">
        <w:t>30</w:t>
      </w:r>
      <w:r w:rsidR="00917E24" w:rsidRPr="00E40E06">
        <w:t> </w:t>
      </w:r>
      <w:r w:rsidRPr="00E40E06">
        <w:t xml:space="preserve">septembre et le 1er octobre 2024, sont présentés à l'adresse suivante: </w:t>
      </w:r>
      <w:hyperlink r:id="rId33" w:history="1">
        <w:r w:rsidR="00E2518D" w:rsidRPr="00E40E06">
          <w:rPr>
            <w:rStyle w:val="Hyperlink"/>
            <w:rFonts w:eastAsia="Times New Roman" w:cs="Times New Roman"/>
            <w:szCs w:val="20"/>
          </w:rPr>
          <w:t>www.itu.int/md/S24-CLCWGCOP21-C-0004/en</w:t>
        </w:r>
      </w:hyperlink>
      <w:r w:rsidRPr="00E40E06">
        <w:t>.</w:t>
      </w:r>
      <w:hyperlink r:id="rId34" w:history="1"/>
      <w:hyperlink r:id="rId35" w:history="1"/>
    </w:p>
    <w:p w14:paraId="6B388A2D" w14:textId="3F50A505" w:rsidR="001A686C" w:rsidRPr="00E40E06" w:rsidRDefault="001A686C" w:rsidP="00E2518D">
      <w:pPr>
        <w:jc w:val="both"/>
      </w:pPr>
      <w:r w:rsidRPr="00E40E06">
        <w:t>8</w:t>
      </w:r>
      <w:r w:rsidRPr="00E40E06">
        <w:tab/>
        <w:t xml:space="preserve">Les principaux résultats de la </w:t>
      </w:r>
      <w:hyperlink r:id="rId36" w:history="1">
        <w:r w:rsidRPr="00E40E06">
          <w:rPr>
            <w:rStyle w:val="Hyperlink"/>
            <w:rFonts w:eastAsia="Times New Roman" w:cs="Times New Roman"/>
            <w:szCs w:val="20"/>
          </w:rPr>
          <w:t>22ème réunion</w:t>
        </w:r>
      </w:hyperlink>
      <w:r w:rsidRPr="00E40E06">
        <w:t xml:space="preserve"> du </w:t>
      </w:r>
      <w:proofErr w:type="spellStart"/>
      <w:r w:rsidRPr="00E40E06">
        <w:t>GTC</w:t>
      </w:r>
      <w:proofErr w:type="spellEnd"/>
      <w:r w:rsidRPr="00E40E06">
        <w:t>-COP, qui s'est tenue les</w:t>
      </w:r>
      <w:r w:rsidR="00CE01A7" w:rsidRPr="00E40E06">
        <w:t> </w:t>
      </w:r>
      <w:r w:rsidRPr="00E40E06">
        <w:t>12</w:t>
      </w:r>
      <w:r w:rsidR="00CE01A7" w:rsidRPr="00E40E06">
        <w:t> </w:t>
      </w:r>
      <w:r w:rsidRPr="00E40E06">
        <w:t>et</w:t>
      </w:r>
      <w:r w:rsidR="00CE01A7" w:rsidRPr="00E40E06">
        <w:t> </w:t>
      </w:r>
      <w:r w:rsidRPr="00E40E06">
        <w:t>13</w:t>
      </w:r>
      <w:r w:rsidR="00917E24" w:rsidRPr="00E40E06">
        <w:t> </w:t>
      </w:r>
      <w:r w:rsidRPr="00E40E06">
        <w:t>février 2025, sont présentés à l'adresse suivante:</w:t>
      </w:r>
      <w:r w:rsidR="00E2518D" w:rsidRPr="00E40E06">
        <w:t xml:space="preserve"> </w:t>
      </w:r>
      <w:hyperlink r:id="rId37" w:history="1">
        <w:r w:rsidR="00E2518D" w:rsidRPr="00E40E06">
          <w:rPr>
            <w:rStyle w:val="Hyperlink"/>
            <w:rFonts w:eastAsia="Times New Roman" w:cs="Times New Roman"/>
            <w:szCs w:val="20"/>
          </w:rPr>
          <w:t>www.itu.int/md/S25-CLCWGCOP22-C-0003/en</w:t>
        </w:r>
      </w:hyperlink>
      <w:r w:rsidRPr="00E40E06">
        <w:t>.</w:t>
      </w:r>
      <w:hyperlink r:id="rId38" w:history="1"/>
      <w:hyperlink r:id="rId39" w:history="1"/>
    </w:p>
    <w:p w14:paraId="7319DA8E" w14:textId="4CA4BB16" w:rsidR="001A686C" w:rsidRPr="00E40E06" w:rsidRDefault="001A686C" w:rsidP="00E2518D">
      <w:pPr>
        <w:jc w:val="both"/>
      </w:pPr>
      <w:r w:rsidRPr="00E40E06">
        <w:t>9</w:t>
      </w:r>
      <w:r w:rsidRPr="00E40E06">
        <w:tab/>
        <w:t xml:space="preserve">Les principaux résultats de la </w:t>
      </w:r>
      <w:hyperlink r:id="rId40" w:anchor="/fr" w:history="1">
        <w:r w:rsidRPr="00E40E06">
          <w:rPr>
            <w:rStyle w:val="Hyperlink"/>
            <w:rFonts w:eastAsia="Times New Roman" w:cs="Times New Roman"/>
            <w:szCs w:val="20"/>
          </w:rPr>
          <w:t>23ème réunion</w:t>
        </w:r>
      </w:hyperlink>
      <w:r w:rsidRPr="00E40E06">
        <w:t xml:space="preserve"> du </w:t>
      </w:r>
      <w:proofErr w:type="spellStart"/>
      <w:r w:rsidRPr="00E40E06">
        <w:t>GTC</w:t>
      </w:r>
      <w:proofErr w:type="spellEnd"/>
      <w:r w:rsidRPr="00E40E06">
        <w:t>-COP, qui s'est tenue le</w:t>
      </w:r>
      <w:r w:rsidR="00CE01A7" w:rsidRPr="00E40E06">
        <w:t> </w:t>
      </w:r>
      <w:r w:rsidRPr="00E40E06">
        <w:t>16</w:t>
      </w:r>
      <w:r w:rsidR="00917E24" w:rsidRPr="00E40E06">
        <w:t> </w:t>
      </w:r>
      <w:r w:rsidRPr="00E40E06">
        <w:t>septembre 2025, sont présentés à l'adresse suivante:</w:t>
      </w:r>
      <w:r w:rsidR="00E2518D" w:rsidRPr="00E40E06">
        <w:t xml:space="preserve"> </w:t>
      </w:r>
      <w:hyperlink r:id="rId41" w:history="1">
        <w:r w:rsidR="00E2518D" w:rsidRPr="00E40E06">
          <w:rPr>
            <w:rStyle w:val="Hyperlink"/>
            <w:rFonts w:eastAsia="Times New Roman" w:cs="Times New Roman"/>
            <w:szCs w:val="20"/>
          </w:rPr>
          <w:t>www.itu.int/md/S25-CLCWGCOP23-C-0005/en</w:t>
        </w:r>
      </w:hyperlink>
      <w:r w:rsidRPr="00E40E06">
        <w:t>.</w:t>
      </w:r>
      <w:hyperlink r:id="rId42" w:history="1"/>
      <w:hyperlink r:id="rId43" w:history="1"/>
    </w:p>
    <w:p w14:paraId="41E25D51" w14:textId="255E4785" w:rsidR="001A686C" w:rsidRPr="0092188A" w:rsidRDefault="001A686C" w:rsidP="00E2518D">
      <w:pPr>
        <w:jc w:val="both"/>
        <w:rPr>
          <w:spacing w:val="-3"/>
        </w:rPr>
      </w:pPr>
      <w:r w:rsidRPr="00E40E06">
        <w:t>10</w:t>
      </w:r>
      <w:r w:rsidRPr="00E40E06">
        <w:tab/>
        <w:t xml:space="preserve">Les principaux résultats de la </w:t>
      </w:r>
      <w:hyperlink r:id="rId44" w:anchor="/fr" w:history="1">
        <w:r w:rsidRPr="00E40E06">
          <w:rPr>
            <w:rStyle w:val="Hyperlink"/>
            <w:rFonts w:eastAsia="Times New Roman" w:cs="Times New Roman"/>
            <w:szCs w:val="20"/>
          </w:rPr>
          <w:t>24ème réunion</w:t>
        </w:r>
      </w:hyperlink>
      <w:r w:rsidRPr="00E40E06">
        <w:t xml:space="preserve"> du </w:t>
      </w:r>
      <w:proofErr w:type="spellStart"/>
      <w:r w:rsidRPr="00E40E06">
        <w:t>GTC</w:t>
      </w:r>
      <w:proofErr w:type="spellEnd"/>
      <w:r w:rsidRPr="00E40E06">
        <w:t>-COP, qui s'est tenue le</w:t>
      </w:r>
      <w:r w:rsidR="00CE01A7" w:rsidRPr="00E40E06">
        <w:t> </w:t>
      </w:r>
      <w:r w:rsidRPr="00E40E06">
        <w:t>19</w:t>
      </w:r>
      <w:r w:rsidR="00917E24" w:rsidRPr="00E40E06">
        <w:t> </w:t>
      </w:r>
      <w:r w:rsidRPr="00E40E06">
        <w:t>janvier</w:t>
      </w:r>
      <w:r w:rsidR="00917E24" w:rsidRPr="00E40E06">
        <w:t> </w:t>
      </w:r>
      <w:r w:rsidRPr="00E40E06">
        <w:t>2026, sont présentés à l'adresse suivante:</w:t>
      </w:r>
      <w:r w:rsidR="00E2518D" w:rsidRPr="00E40E06">
        <w:t xml:space="preserve"> </w:t>
      </w:r>
      <w:hyperlink r:id="rId45" w:history="1">
        <w:r w:rsidR="00E2518D" w:rsidRPr="00E40E06">
          <w:rPr>
            <w:rStyle w:val="Hyperlink"/>
            <w:rFonts w:eastAsia="Times New Roman" w:cs="Times New Roman"/>
            <w:szCs w:val="20"/>
          </w:rPr>
          <w:t>www.itu.int/md/S26-CLCWGCOP24-C-0004/en</w:t>
        </w:r>
      </w:hyperlink>
      <w:r w:rsidRPr="00E40E06">
        <w:t>.</w:t>
      </w:r>
      <w:hyperlink r:id="rId46" w:history="1"/>
      <w:hyperlink r:id="rId47" w:history="1"/>
    </w:p>
    <w:p w14:paraId="2422BD47" w14:textId="77777777" w:rsidR="001A686C" w:rsidRPr="00100267" w:rsidRDefault="001A686C" w:rsidP="001A686C">
      <w:pPr>
        <w:pStyle w:val="Heading1"/>
        <w:rPr>
          <w:rFonts w:cs="Calibri"/>
        </w:rPr>
      </w:pPr>
      <w:r w:rsidRPr="00100267">
        <w:rPr>
          <w:bCs/>
        </w:rPr>
        <w:t>III</w:t>
      </w:r>
      <w:r w:rsidRPr="00100267">
        <w:tab/>
      </w:r>
      <w:r w:rsidRPr="00100267">
        <w:rPr>
          <w:bCs/>
        </w:rPr>
        <w:t>Recommandations à l'intention de la PP-26</w:t>
      </w:r>
    </w:p>
    <w:p w14:paraId="63C3FFE4" w14:textId="71C069B6" w:rsidR="001A686C" w:rsidRDefault="001A686C" w:rsidP="0092188A">
      <w:pPr>
        <w:jc w:val="both"/>
      </w:pPr>
      <w:r w:rsidRPr="00100267">
        <w:t>11</w:t>
      </w:r>
      <w:r w:rsidRPr="00100267">
        <w:tab/>
        <w:t>Les Conseillers sont invités à examiner le rapport quadriennal de la Présidente du</w:t>
      </w:r>
      <w:r w:rsidR="00100267" w:rsidRPr="00100267">
        <w:t> </w:t>
      </w:r>
      <w:r w:rsidRPr="00100267">
        <w:t>GTC</w:t>
      </w:r>
      <w:r w:rsidR="00917E24" w:rsidRPr="00100267">
        <w:noBreakHyphen/>
      </w:r>
      <w:r w:rsidRPr="00100267">
        <w:t>COP et à recommander à la Conférence de plénipotentiaires de 2026 la poursuite</w:t>
      </w:r>
      <w:r w:rsidR="00100267" w:rsidRPr="00100267">
        <w:t> </w:t>
      </w:r>
      <w:r w:rsidRPr="00100267">
        <w:t>des activités du GTC-COP pendant les quatre prochaines années.</w:t>
      </w:r>
    </w:p>
    <w:p w14:paraId="5CED8948" w14:textId="77777777" w:rsidR="0092188A" w:rsidRPr="00100267" w:rsidRDefault="0092188A" w:rsidP="0092188A">
      <w:pPr>
        <w:jc w:val="both"/>
        <w:rPr>
          <w:b/>
          <w:bCs/>
        </w:rPr>
      </w:pPr>
    </w:p>
    <w:p w14:paraId="3CC9E87A" w14:textId="77777777" w:rsidR="00897553" w:rsidRPr="00100267" w:rsidRDefault="006A11AE" w:rsidP="002D2336">
      <w:pPr>
        <w:jc w:val="center"/>
      </w:pPr>
      <w:r w:rsidRPr="00100267">
        <w:t>______________</w:t>
      </w:r>
    </w:p>
    <w:sectPr w:rsidR="00897553" w:rsidRPr="00100267" w:rsidSect="0046452B">
      <w:headerReference w:type="even" r:id="rId48"/>
      <w:footerReference w:type="even" r:id="rId49"/>
      <w:footerReference w:type="default" r:id="rId50"/>
      <w:headerReference w:type="first" r:id="rId51"/>
      <w:footerReference w:type="first" r:id="rId52"/>
      <w:pgSz w:w="11907" w:h="16840" w:code="9"/>
      <w:pgMar w:top="1418" w:right="1418" w:bottom="1418" w:left="1418" w:header="567" w:footer="567"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F4F" w14:textId="77777777" w:rsidR="0052480D" w:rsidRDefault="0052480D">
      <w:r>
        <w:separator/>
      </w:r>
    </w:p>
  </w:endnote>
  <w:endnote w:type="continuationSeparator" w:id="0">
    <w:p w14:paraId="65D8ED61" w14:textId="77777777" w:rsidR="0052480D" w:rsidRDefault="0052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D76D" w14:textId="33D7E04C" w:rsidR="00732045" w:rsidRPr="00113F92" w:rsidRDefault="00271321">
    <w:pPr>
      <w:pStyle w:val="Footer"/>
      <w:rPr>
        <w:lang w:val="it-IT"/>
      </w:rPr>
    </w:pPr>
    <w:r>
      <w:fldChar w:fldCharType="begin"/>
    </w:r>
    <w:r w:rsidRPr="00113F92">
      <w:rPr>
        <w:lang w:val="it-IT"/>
      </w:rPr>
      <w:instrText xml:space="preserve"> FILENAME \p \* MERGEFORMAT </w:instrText>
    </w:r>
    <w:r>
      <w:fldChar w:fldCharType="separate"/>
    </w:r>
    <w:r w:rsidR="00052D97" w:rsidRPr="00113F92">
      <w:rPr>
        <w:lang w:val="it-IT"/>
      </w:rPr>
      <w:t>P:\FRA\gDoc\SG\C26\2600454F.docx</w:t>
    </w:r>
    <w:r>
      <w:fldChar w:fldCharType="end"/>
    </w:r>
    <w:r w:rsidR="00732045" w:rsidRPr="00113F92">
      <w:rPr>
        <w:lang w:val="it-IT"/>
      </w:rPr>
      <w:tab/>
    </w:r>
    <w:r w:rsidR="002F1B76">
      <w:fldChar w:fldCharType="begin"/>
    </w:r>
    <w:r w:rsidR="00732045">
      <w:instrText xml:space="preserve"> savedate \@ dd.MM.yy </w:instrText>
    </w:r>
    <w:r w:rsidR="002F1B76">
      <w:fldChar w:fldCharType="separate"/>
    </w:r>
    <w:r w:rsidR="0046452B">
      <w:t>18.03.26</w:t>
    </w:r>
    <w:r w:rsidR="002F1B76">
      <w:fldChar w:fldCharType="end"/>
    </w:r>
    <w:r w:rsidR="00732045" w:rsidRPr="00113F92">
      <w:rPr>
        <w:lang w:val="it-IT"/>
      </w:rPr>
      <w:tab/>
    </w:r>
    <w:r w:rsidR="002F1B76">
      <w:fldChar w:fldCharType="begin"/>
    </w:r>
    <w:r w:rsidR="00732045">
      <w:instrText xml:space="preserve"> printdate \@ dd.MM.yy </w:instrText>
    </w:r>
    <w:r w:rsidR="002F1B76">
      <w:fldChar w:fldCharType="separate"/>
    </w:r>
    <w:r w:rsidR="00052D9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861253B" w14:textId="77777777" w:rsidTr="00E31DCE">
      <w:trPr>
        <w:jc w:val="center"/>
      </w:trPr>
      <w:tc>
        <w:tcPr>
          <w:tcW w:w="1803" w:type="dxa"/>
          <w:vAlign w:val="center"/>
        </w:tcPr>
        <w:p w14:paraId="0843ED4E" w14:textId="18DEC680" w:rsidR="00A51849" w:rsidRDefault="001A686C" w:rsidP="00A51849">
          <w:pPr>
            <w:pStyle w:val="Header"/>
            <w:jc w:val="left"/>
            <w:rPr>
              <w:noProof/>
            </w:rPr>
          </w:pPr>
          <w:r>
            <w:rPr>
              <w:noProof/>
            </w:rPr>
            <w:t>2600454</w:t>
          </w:r>
        </w:p>
      </w:tc>
      <w:tc>
        <w:tcPr>
          <w:tcW w:w="8261" w:type="dxa"/>
        </w:tcPr>
        <w:p w14:paraId="30F37F23" w14:textId="38F4915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1A686C">
            <w:rPr>
              <w:bCs/>
            </w:rPr>
            <w:t>18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1DDEEC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0B96F9" w14:textId="77777777" w:rsidTr="00E31DCE">
      <w:trPr>
        <w:jc w:val="center"/>
      </w:trPr>
      <w:tc>
        <w:tcPr>
          <w:tcW w:w="1803" w:type="dxa"/>
          <w:vAlign w:val="center"/>
        </w:tcPr>
        <w:p w14:paraId="48967D59"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50538B15" w14:textId="42C6802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1A686C">
            <w:rPr>
              <w:bCs/>
            </w:rPr>
            <w:t>18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AB88F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D5DA" w14:textId="77777777" w:rsidR="0052480D" w:rsidRDefault="0052480D">
      <w:r>
        <w:t>____________________</w:t>
      </w:r>
    </w:p>
  </w:footnote>
  <w:footnote w:type="continuationSeparator" w:id="0">
    <w:p w14:paraId="39D23026" w14:textId="77777777" w:rsidR="0052480D" w:rsidRDefault="0052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2FB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515F2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F8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C"/>
    <w:rsid w:val="00052D97"/>
    <w:rsid w:val="00076A2C"/>
    <w:rsid w:val="000D0D0A"/>
    <w:rsid w:val="000F6D66"/>
    <w:rsid w:val="00100267"/>
    <w:rsid w:val="00103163"/>
    <w:rsid w:val="00106B19"/>
    <w:rsid w:val="001133EF"/>
    <w:rsid w:val="00113F92"/>
    <w:rsid w:val="00115D93"/>
    <w:rsid w:val="001247A8"/>
    <w:rsid w:val="001342E0"/>
    <w:rsid w:val="001370B2"/>
    <w:rsid w:val="001378C0"/>
    <w:rsid w:val="001658F9"/>
    <w:rsid w:val="0018694A"/>
    <w:rsid w:val="0019129B"/>
    <w:rsid w:val="001A3287"/>
    <w:rsid w:val="001A6508"/>
    <w:rsid w:val="001A686C"/>
    <w:rsid w:val="001D4C31"/>
    <w:rsid w:val="001E4D21"/>
    <w:rsid w:val="00207CD1"/>
    <w:rsid w:val="00226657"/>
    <w:rsid w:val="002477A2"/>
    <w:rsid w:val="00251644"/>
    <w:rsid w:val="00263A51"/>
    <w:rsid w:val="00267E02"/>
    <w:rsid w:val="00271321"/>
    <w:rsid w:val="00277DEA"/>
    <w:rsid w:val="002A5D44"/>
    <w:rsid w:val="002C3F32"/>
    <w:rsid w:val="002C4E3D"/>
    <w:rsid w:val="002D2336"/>
    <w:rsid w:val="002E0BC4"/>
    <w:rsid w:val="002F1B76"/>
    <w:rsid w:val="0033568E"/>
    <w:rsid w:val="00355210"/>
    <w:rsid w:val="00355FF5"/>
    <w:rsid w:val="00361350"/>
    <w:rsid w:val="003C3FAE"/>
    <w:rsid w:val="004038CB"/>
    <w:rsid w:val="0040546F"/>
    <w:rsid w:val="004177BD"/>
    <w:rsid w:val="0042404A"/>
    <w:rsid w:val="0044618F"/>
    <w:rsid w:val="0046452B"/>
    <w:rsid w:val="00465C35"/>
    <w:rsid w:val="0046769A"/>
    <w:rsid w:val="00475FB3"/>
    <w:rsid w:val="004C37A9"/>
    <w:rsid w:val="004D1D50"/>
    <w:rsid w:val="004F259E"/>
    <w:rsid w:val="004F633A"/>
    <w:rsid w:val="00503084"/>
    <w:rsid w:val="00504C7F"/>
    <w:rsid w:val="00511F1D"/>
    <w:rsid w:val="00520F36"/>
    <w:rsid w:val="0052480D"/>
    <w:rsid w:val="00524E8D"/>
    <w:rsid w:val="00534E13"/>
    <w:rsid w:val="00540615"/>
    <w:rsid w:val="00540A6D"/>
    <w:rsid w:val="00553536"/>
    <w:rsid w:val="00566679"/>
    <w:rsid w:val="00571EEA"/>
    <w:rsid w:val="00575417"/>
    <w:rsid w:val="005768E1"/>
    <w:rsid w:val="005B1938"/>
    <w:rsid w:val="005C3890"/>
    <w:rsid w:val="005F6926"/>
    <w:rsid w:val="005F7BFE"/>
    <w:rsid w:val="00600017"/>
    <w:rsid w:val="00602682"/>
    <w:rsid w:val="006235CA"/>
    <w:rsid w:val="0062366E"/>
    <w:rsid w:val="00627ADE"/>
    <w:rsid w:val="006643AB"/>
    <w:rsid w:val="006A11AE"/>
    <w:rsid w:val="006B224B"/>
    <w:rsid w:val="006E3F9B"/>
    <w:rsid w:val="006F0A53"/>
    <w:rsid w:val="0071402E"/>
    <w:rsid w:val="007210CD"/>
    <w:rsid w:val="00732045"/>
    <w:rsid w:val="0073275D"/>
    <w:rsid w:val="007369DB"/>
    <w:rsid w:val="0077110E"/>
    <w:rsid w:val="007956C2"/>
    <w:rsid w:val="007957D5"/>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17E24"/>
    <w:rsid w:val="0092188A"/>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2306"/>
    <w:rsid w:val="00AB64A8"/>
    <w:rsid w:val="00AC0266"/>
    <w:rsid w:val="00AC0F1D"/>
    <w:rsid w:val="00AD24EC"/>
    <w:rsid w:val="00B27B00"/>
    <w:rsid w:val="00B309F9"/>
    <w:rsid w:val="00B32B60"/>
    <w:rsid w:val="00B51005"/>
    <w:rsid w:val="00B61619"/>
    <w:rsid w:val="00B77AF4"/>
    <w:rsid w:val="00B95160"/>
    <w:rsid w:val="00BB38C1"/>
    <w:rsid w:val="00BB4545"/>
    <w:rsid w:val="00BC2B80"/>
    <w:rsid w:val="00BD5873"/>
    <w:rsid w:val="00BF4B60"/>
    <w:rsid w:val="00C049D7"/>
    <w:rsid w:val="00C04BE3"/>
    <w:rsid w:val="00C25D29"/>
    <w:rsid w:val="00C2625E"/>
    <w:rsid w:val="00C27A7C"/>
    <w:rsid w:val="00C42437"/>
    <w:rsid w:val="00CA08ED"/>
    <w:rsid w:val="00CC6EAA"/>
    <w:rsid w:val="00CE01A7"/>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18D"/>
    <w:rsid w:val="00E25AD0"/>
    <w:rsid w:val="00E40E06"/>
    <w:rsid w:val="00E4428F"/>
    <w:rsid w:val="00E4448E"/>
    <w:rsid w:val="00E47427"/>
    <w:rsid w:val="00E93668"/>
    <w:rsid w:val="00E95647"/>
    <w:rsid w:val="00EB6350"/>
    <w:rsid w:val="00ED799B"/>
    <w:rsid w:val="00F15B57"/>
    <w:rsid w:val="00F35EF4"/>
    <w:rsid w:val="00F37FE5"/>
    <w:rsid w:val="00F427DB"/>
    <w:rsid w:val="00F623C6"/>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771B"/>
  <w15:docId w15:val="{6F9D6E37-10E3-454B-8F5B-2FCC3FF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46452B"/>
    <w:pPr>
      <w:framePr w:hSpace="181" w:wrap="around" w:vAnchor="page" w:hAnchor="page" w:x="1589" w:y="2314"/>
      <w:spacing w:before="840"/>
    </w:pPr>
    <w:rPr>
      <w:rFonts w:cstheme="minorHAnsi"/>
      <w:b/>
      <w:bCs/>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40/fr" TargetMode="External"/><Relationship Id="rId18" Type="http://schemas.openxmlformats.org/officeDocument/2006/relationships/hyperlink" Target="https://www.itu.int/md/S24-CL-C-0140/en" TargetMode="External"/><Relationship Id="rId26" Type="http://schemas.openxmlformats.org/officeDocument/2006/relationships/hyperlink" Target="https://www.itu.int/en/council/cwg-cop/Pages/First-meeting-after-PP-22.aspx" TargetMode="External"/><Relationship Id="rId39" Type="http://schemas.openxmlformats.org/officeDocument/2006/relationships/hyperlink" Target="https://www.itu.int/md/S25-CLCWGCOP22-C-0003/en" TargetMode="External"/><Relationship Id="rId21" Type="http://schemas.openxmlformats.org/officeDocument/2006/relationships/hyperlink" Target="https://www.itu.int/council/groups/wg-cop/first-meeting-march-2010/COP%20WG%20Doc%201-16%20Summary-1-WG-CP-revised%20draft-23-March-2010-final-revised-to%20be-published.doc" TargetMode="External"/><Relationship Id="rId34" Type="http://schemas.openxmlformats.org/officeDocument/2006/relationships/hyperlink" Target="https://www.itu.int/en/council/cwg-cop/Pages/Tweenty-first-meeting.aspx" TargetMode="External"/><Relationship Id="rId42" Type="http://schemas.openxmlformats.org/officeDocument/2006/relationships/hyperlink" Target="https://www.itu.int/en/council/cwg-cop/Pages/default.aspx" TargetMode="External"/><Relationship Id="rId47" Type="http://schemas.openxmlformats.org/officeDocument/2006/relationships/hyperlink" Target="https://www.itu.int/md/S26-CLCWGCOP24-C-0004/en"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council/Documents/basic-texts-2023/RES-179-F.pdf" TargetMode="External"/><Relationship Id="rId29" Type="http://schemas.openxmlformats.org/officeDocument/2006/relationships/hyperlink" Target="http://www.itu.int/md/S24-CLCWGCOP20-C-0006/en" TargetMode="External"/><Relationship Id="rId11" Type="http://schemas.openxmlformats.org/officeDocument/2006/relationships/hyperlink" Target="https://www.itu.int/en/council/Documents/basic-texts-2023/RES-179-E.pdf" TargetMode="External"/><Relationship Id="rId24" Type="http://schemas.openxmlformats.org/officeDocument/2006/relationships/hyperlink" Target="https://www.itu.int/en/council/cwg-cop/Pages/First-meeting-after-PP-22.aspx" TargetMode="External"/><Relationship Id="rId32" Type="http://schemas.openxmlformats.org/officeDocument/2006/relationships/hyperlink" Target="https://www.itu.int/en/council/cwg-cop/Pages/Tweenty-first-meeting.aspx" TargetMode="External"/><Relationship Id="rId37" Type="http://schemas.openxmlformats.org/officeDocument/2006/relationships/hyperlink" Target="http://www.itu.int/md/S25-CLCWGCOP22-C-0003/en" TargetMode="External"/><Relationship Id="rId40" Type="http://schemas.openxmlformats.org/officeDocument/2006/relationships/hyperlink" Target="https://www.itu.int/en/council/cwg-cop/Pages/default.aspx" TargetMode="External"/><Relationship Id="rId45" Type="http://schemas.openxmlformats.org/officeDocument/2006/relationships/hyperlink" Target="http://www.itu.int/md/S26-CLCWGCOP24-C-0004/e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md/S24-CL-C-0140/en" TargetMode="External"/><Relationship Id="rId19" Type="http://schemas.openxmlformats.org/officeDocument/2006/relationships/hyperlink" Target="https://www.itu.int/en/council/Documents/basic-texts-2023/RES-179-E.pdf" TargetMode="External"/><Relationship Id="rId31" Type="http://schemas.openxmlformats.org/officeDocument/2006/relationships/hyperlink" Target="https://www.itu.int/md/S24-CLCWGCOP20-C-0006/en" TargetMode="External"/><Relationship Id="rId44" Type="http://schemas.openxmlformats.org/officeDocument/2006/relationships/hyperlink" Target="https://www.itu.int/en/council/cwg-cop/Pages/default.aspx"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en/council/Documents/basic-texts-2023/RES-179-F.pdf" TargetMode="External"/><Relationship Id="rId14" Type="http://schemas.openxmlformats.org/officeDocument/2006/relationships/hyperlink" Target="https://www.itu.int/en/council/cwg-cop/Pages/default.aspx" TargetMode="External"/><Relationship Id="rId22" Type="http://schemas.openxmlformats.org/officeDocument/2006/relationships/hyperlink" Target="https://www.itu.int/en/council/Documents/basic-texts-2023/RES-179-F.pdf" TargetMode="External"/><Relationship Id="rId27" Type="http://schemas.openxmlformats.org/officeDocument/2006/relationships/hyperlink" Target="https://www.itu.int/md/S23-CLCWGCOP19-C-0005/en" TargetMode="External"/><Relationship Id="rId30" Type="http://schemas.openxmlformats.org/officeDocument/2006/relationships/hyperlink" Target="https://www.itu.int/en/council/cwg-cop/Pages/Twentieth-meeting.aspx" TargetMode="External"/><Relationship Id="rId35" Type="http://schemas.openxmlformats.org/officeDocument/2006/relationships/hyperlink" Target="https://www.itu.int/md/S24-CLCWGCOP21-C-0004/en" TargetMode="External"/><Relationship Id="rId43" Type="http://schemas.openxmlformats.org/officeDocument/2006/relationships/hyperlink" Target="https://www.itu.int/md/S25-CLCWGCOP23-C-0005/en" TargetMode="External"/><Relationship Id="rId48" Type="http://schemas.openxmlformats.org/officeDocument/2006/relationships/header" Target="header1.xml"/><Relationship Id="rId8" Type="http://schemas.openxmlformats.org/officeDocument/2006/relationships/hyperlink" Target="https://www.itu.int/md/S24-CL-C-0140/fr"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tu.int/en/council/Documents/basic-texts-2023/RES-179-F.pdf" TargetMode="External"/><Relationship Id="rId17" Type="http://schemas.openxmlformats.org/officeDocument/2006/relationships/hyperlink" Target="https://www.itu.int/en/council/cwg-cop/Pages/default.aspx" TargetMode="External"/><Relationship Id="rId25" Type="http://schemas.openxmlformats.org/officeDocument/2006/relationships/hyperlink" Target="http://www.itu.int/md/S23-CLCWGCOP19-C-0005/en" TargetMode="External"/><Relationship Id="rId33" Type="http://schemas.openxmlformats.org/officeDocument/2006/relationships/hyperlink" Target="http://www.itu.int/md/S24-CLCWGCOP21-C-0004/en" TargetMode="External"/><Relationship Id="rId38" Type="http://schemas.openxmlformats.org/officeDocument/2006/relationships/hyperlink" Target="https://www.itu.int/en/council/cwg-cop/Pages/Twenty-second-meeting.aspx" TargetMode="External"/><Relationship Id="rId46" Type="http://schemas.openxmlformats.org/officeDocument/2006/relationships/hyperlink" Target="https://www.itu.int/en/council/cwg-cop/Pages/default.aspx" TargetMode="External"/><Relationship Id="rId20" Type="http://schemas.openxmlformats.org/officeDocument/2006/relationships/hyperlink" Target="https://www.itu.int/en/council/cwg-cop/Documents/2025/Summary-1-WG-CP-revised%20draft-22-March-2010-final.doc" TargetMode="External"/><Relationship Id="rId41" Type="http://schemas.openxmlformats.org/officeDocument/2006/relationships/hyperlink" Target="http://www.itu.int/md/S25-CLCWGCOP23-C-0005/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CL-C-0140/fr" TargetMode="External"/><Relationship Id="rId23" Type="http://schemas.openxmlformats.org/officeDocument/2006/relationships/hyperlink" Target="https://www.itu.int/en/council/Documents/basic-texts-2023/RES-179-E.pdf" TargetMode="External"/><Relationship Id="rId28" Type="http://schemas.openxmlformats.org/officeDocument/2006/relationships/hyperlink" Target="https://www.itu.int/en/council/cwg-cop/Pages/Twentieth-meeting.aspx" TargetMode="External"/><Relationship Id="rId36" Type="http://schemas.openxmlformats.org/officeDocument/2006/relationships/hyperlink" Target="https://www.itu.int/en/council/cwg-cop/Pages/Twenty-second-meeting.aspx"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A50A-6578-4567-B521-99ACACF8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27</TotalTime>
  <Pages>3</Pages>
  <Words>920</Words>
  <Characters>8253</Characters>
  <Application>Microsoft Office Word</Application>
  <DocSecurity>0</DocSecurity>
  <Lines>175</Lines>
  <Paragraphs>100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9073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quadriennal du Groupe de travail du Conseil sur la protection en ligne des enfants (2022-2026)</dc:title>
  <dc:subject>Conseil 2026 de l'UIT</dc:subject>
  <cp:keywords>C26; C2026; Council 2026; PP26</cp:keywords>
  <dc:description/>
  <cp:lastPrinted>2000-07-18T08:55:00Z</cp:lastPrinted>
  <dcterms:created xsi:type="dcterms:W3CDTF">2026-03-20T14:56:00Z</dcterms:created>
  <dcterms:modified xsi:type="dcterms:W3CDTF">2026-03-20T15:21:00Z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