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5186090E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F175264" w14:textId="0FD1CFCD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135C5E" w:rsidRPr="00135C5E">
              <w:rPr>
                <w:rFonts w:cstheme="minorHAnsi"/>
                <w:b/>
                <w:bCs/>
                <w:lang w:val="ru-RU"/>
              </w:rPr>
              <w:t>PL</w:t>
            </w:r>
            <w:r w:rsidR="00330EC1">
              <w:rPr>
                <w:rFonts w:cstheme="minorHAnsi"/>
                <w:b/>
                <w:bCs/>
                <w:lang w:val="es-ES"/>
              </w:rPr>
              <w:t>-</w:t>
            </w:r>
            <w:r w:rsidR="00135C5E" w:rsidRPr="00135C5E">
              <w:rPr>
                <w:rFonts w:cstheme="minorHAnsi"/>
                <w:b/>
                <w:bCs/>
                <w:lang w:val="ru-RU"/>
              </w:rPr>
              <w:t>2</w:t>
            </w:r>
          </w:p>
        </w:tc>
        <w:tc>
          <w:tcPr>
            <w:tcW w:w="5245" w:type="dxa"/>
          </w:tcPr>
          <w:p w14:paraId="0CC08A4B" w14:textId="6F1CBAE5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135C5E">
              <w:rPr>
                <w:rFonts w:hint="eastAsia"/>
                <w:b/>
                <w:lang w:val="fr-CH" w:eastAsia="zh-CN"/>
              </w:rPr>
              <w:t>18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1D72B70F" w14:textId="77777777" w:rsidTr="00555C29">
        <w:trPr>
          <w:cantSplit/>
        </w:trPr>
        <w:tc>
          <w:tcPr>
            <w:tcW w:w="3969" w:type="dxa"/>
            <w:vMerge/>
          </w:tcPr>
          <w:p w14:paraId="1E164590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777793B" w14:textId="1CB97501" w:rsidR="00E24D59" w:rsidRPr="00E85629" w:rsidRDefault="00135C5E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 w:rsidR="007A211A">
              <w:rPr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 w:rsidR="007A211A">
              <w:rPr>
                <w:b/>
                <w:lang w:eastAsia="zh-CN"/>
              </w:rPr>
              <w:t>18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31C95863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54E58022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3716F59" w14:textId="73940EB6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135C5E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0FA447AF" w14:textId="77777777" w:rsidTr="00555C29">
        <w:trPr>
          <w:cantSplit/>
          <w:trHeight w:val="23"/>
        </w:trPr>
        <w:tc>
          <w:tcPr>
            <w:tcW w:w="3969" w:type="dxa"/>
          </w:tcPr>
          <w:p w14:paraId="1450AA8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5A9D6D9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49125908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C5EBA00" w14:textId="7F9C8090" w:rsidR="00E24D59" w:rsidRPr="00C24DAC" w:rsidRDefault="00135C5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135C5E">
              <w:rPr>
                <w:rFonts w:hint="eastAsia"/>
              </w:rPr>
              <w:t>理事会保护上网儿童工作组（</w:t>
            </w:r>
            <w:r w:rsidRPr="00135C5E">
              <w:rPr>
                <w:rFonts w:hint="eastAsia"/>
              </w:rPr>
              <w:t>CWG-COP</w:t>
            </w:r>
            <w:r w:rsidRPr="00135C5E">
              <w:rPr>
                <w:rFonts w:hint="eastAsia"/>
              </w:rPr>
              <w:t>）主席的报告</w:t>
            </w:r>
          </w:p>
        </w:tc>
      </w:tr>
      <w:tr w:rsidR="00E24D59" w:rsidRPr="00813E5E" w14:paraId="58482120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FEE693D" w14:textId="3F54961E" w:rsidR="00E24D59" w:rsidRPr="00C24DAC" w:rsidRDefault="00135C5E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135C5E">
              <w:rPr>
                <w:rFonts w:hint="eastAsia"/>
              </w:rPr>
              <w:t>理事会保护上网儿童工作组四年期报告（</w:t>
            </w:r>
            <w:r w:rsidRPr="00135C5E">
              <w:rPr>
                <w:rFonts w:hint="eastAsia"/>
              </w:rPr>
              <w:t>2022-2026</w:t>
            </w:r>
            <w:r w:rsidRPr="00135C5E">
              <w:rPr>
                <w:rFonts w:hint="eastAsia"/>
              </w:rPr>
              <w:t>）</w:t>
            </w:r>
          </w:p>
        </w:tc>
      </w:tr>
      <w:tr w:rsidR="00E24D59" w:rsidRPr="00813E5E" w14:paraId="59B33365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22BABE7" w14:textId="04863F2E" w:rsidR="003F086E" w:rsidRPr="007A211A" w:rsidRDefault="003F086E" w:rsidP="00555C29">
            <w:pPr>
              <w:rPr>
                <w:rFonts w:eastAsiaTheme="minorEastAsia" w:cs="Calibri"/>
                <w:b/>
                <w:bCs/>
                <w:u w:val="single"/>
                <w:lang w:eastAsia="zh-CN"/>
              </w:rPr>
            </w:pPr>
            <w:r w:rsidRPr="00434F12">
              <w:rPr>
                <w:rFonts w:eastAsiaTheme="minorEastAsia" w:cs="Calibri"/>
                <w:b/>
                <w:bCs/>
                <w:lang w:eastAsia="zh-CN"/>
              </w:rPr>
              <w:t>目的</w:t>
            </w:r>
          </w:p>
          <w:p w14:paraId="406EB09C" w14:textId="28C9DA4A" w:rsidR="003F086E" w:rsidRPr="00434F12" w:rsidRDefault="00135C5E" w:rsidP="00135C5E">
            <w:pPr>
              <w:ind w:firstLineChars="200" w:firstLine="480"/>
              <w:rPr>
                <w:rFonts w:eastAsiaTheme="minorEastAsia" w:cs="Calibri"/>
                <w:lang w:eastAsia="zh-CN"/>
              </w:rPr>
            </w:pPr>
            <w:r w:rsidRPr="00434F12">
              <w:rPr>
                <w:rFonts w:eastAsiaTheme="minorEastAsia" w:cs="Calibri"/>
                <w:lang w:eastAsia="zh-CN"/>
              </w:rPr>
              <w:t>根据国际电联理事会</w:t>
            </w:r>
            <w:r w:rsidRPr="00434F12">
              <w:rPr>
                <w:rFonts w:eastAsiaTheme="minorEastAsia" w:cs="Calibri"/>
                <w:u w:val="single"/>
              </w:rPr>
              <w:fldChar w:fldCharType="begin"/>
            </w:r>
            <w:r w:rsidRPr="00434F12">
              <w:rPr>
                <w:rFonts w:eastAsiaTheme="minorEastAsia" w:cs="Calibri"/>
                <w:u w:val="single"/>
                <w:lang w:eastAsia="zh-CN"/>
              </w:rPr>
              <w:instrText>HYPERLINK "https://www.itu.int/md/S24-CL-C-0140/en"</w:instrText>
            </w:r>
            <w:r w:rsidRPr="00434F12">
              <w:rPr>
                <w:rFonts w:eastAsiaTheme="minorEastAsia" w:cs="Calibri"/>
                <w:u w:val="single"/>
              </w:rPr>
            </w:r>
            <w:r w:rsidRPr="00434F12">
              <w:rPr>
                <w:rFonts w:eastAsiaTheme="minorEastAsia" w:cs="Calibri"/>
                <w:u w:val="single"/>
              </w:rPr>
              <w:fldChar w:fldCharType="separate"/>
            </w:r>
            <w:r w:rsidRPr="00434F12">
              <w:rPr>
                <w:rStyle w:val="Hyperlink"/>
                <w:rFonts w:eastAsiaTheme="minorEastAsia" w:cs="Calibri"/>
                <w:noProof w:val="0"/>
                <w:u w:val="single"/>
                <w:lang w:eastAsia="zh-CN"/>
              </w:rPr>
              <w:t>第</w:t>
            </w:r>
            <w:r w:rsidRPr="00434F12">
              <w:rPr>
                <w:rStyle w:val="Hyperlink"/>
                <w:rFonts w:eastAsiaTheme="minorEastAsia" w:cs="Calibri"/>
                <w:noProof w:val="0"/>
                <w:u w:val="single"/>
                <w:lang w:eastAsia="zh-CN"/>
              </w:rPr>
              <w:t>1306</w:t>
            </w:r>
            <w:r w:rsidRPr="00434F12">
              <w:rPr>
                <w:rStyle w:val="Hyperlink"/>
                <w:rFonts w:eastAsiaTheme="minorEastAsia" w:cs="Calibri"/>
                <w:noProof w:val="0"/>
                <w:u w:val="single"/>
                <w:lang w:eastAsia="zh-CN"/>
              </w:rPr>
              <w:t>号决议</w:t>
            </w:r>
            <w:r w:rsidRPr="00434F12">
              <w:rPr>
                <w:rFonts w:eastAsiaTheme="minorEastAsia" w:cs="Calibri"/>
                <w:u w:val="single"/>
              </w:rPr>
              <w:fldChar w:fldCharType="end"/>
            </w:r>
            <w:hyperlink r:id="rId8" w:history="1">
              <w:r w:rsidRPr="007A211A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（</w:t>
              </w:r>
              <w:proofErr w:type="spellStart"/>
              <w:r w:rsidRPr="007A211A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C09</w:t>
              </w:r>
              <w:proofErr w:type="spellEnd"/>
              <w:r w:rsidRPr="007A211A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，最</w:t>
              </w:r>
              <w:r w:rsidR="004616E4" w:rsidRPr="007A211A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后</w:t>
              </w:r>
              <w:r w:rsidRPr="007A211A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修正</w:t>
              </w:r>
              <w:proofErr w:type="spellStart"/>
              <w:r w:rsidRPr="007A211A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C24</w:t>
              </w:r>
              <w:proofErr w:type="spellEnd"/>
              <w:r w:rsidRPr="007A211A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）</w:t>
              </w:r>
            </w:hyperlink>
            <w:r w:rsidRPr="00434F12">
              <w:rPr>
                <w:rFonts w:eastAsiaTheme="minorEastAsia" w:cs="Calibri"/>
                <w:lang w:eastAsia="zh-CN"/>
              </w:rPr>
              <w:t>和</w:t>
            </w:r>
            <w:r w:rsidR="00C95FF3" w:rsidRPr="00434F12">
              <w:rPr>
                <w:rFonts w:eastAsiaTheme="minorEastAsia" w:cs="Calibri"/>
                <w:lang w:eastAsia="zh-CN"/>
              </w:rPr>
              <w:t>全权代表大会</w:t>
            </w:r>
            <w:hyperlink r:id="rId9" w:history="1">
              <w:r w:rsidRPr="00434F12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第</w:t>
              </w:r>
              <w:r w:rsidRPr="00434F12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179</w:t>
              </w:r>
              <w:r w:rsidRPr="00434F12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号决议</w:t>
              </w:r>
            </w:hyperlink>
            <w:hyperlink r:id="rId10" w:history="1">
              <w:r w:rsidRPr="006F0CFB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（</w:t>
              </w:r>
              <w:r w:rsidRPr="006F0CFB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2022</w:t>
              </w:r>
              <w:r w:rsidRPr="006F0CFB">
                <w:rPr>
                  <w:rStyle w:val="Hyperlink"/>
                  <w:rFonts w:eastAsiaTheme="minorEastAsia" w:cs="Calibri"/>
                  <w:noProof w:val="0"/>
                  <w:u w:val="single"/>
                  <w:lang w:eastAsia="zh-CN"/>
                </w:rPr>
                <w:t>年，布加勒斯特，修订版）</w:t>
              </w:r>
            </w:hyperlink>
            <w:r w:rsidRPr="00434F12">
              <w:rPr>
                <w:rFonts w:eastAsiaTheme="minorEastAsia" w:cs="Calibri"/>
                <w:lang w:eastAsia="zh-CN"/>
              </w:rPr>
              <w:t>，本文件介绍了理事会保护上网儿童工作组（</w:t>
            </w:r>
            <w:r w:rsidRPr="00434F12">
              <w:rPr>
                <w:rFonts w:eastAsiaTheme="minorEastAsia" w:cs="Calibri"/>
                <w:lang w:eastAsia="zh-CN"/>
              </w:rPr>
              <w:t>CWG-COP</w:t>
            </w:r>
            <w:r w:rsidRPr="00434F12">
              <w:rPr>
                <w:rFonts w:eastAsiaTheme="minorEastAsia" w:cs="Calibri"/>
                <w:lang w:eastAsia="zh-CN"/>
              </w:rPr>
              <w:t>）主席提交理事会</w:t>
            </w:r>
            <w:r w:rsidRPr="00434F12">
              <w:rPr>
                <w:rFonts w:eastAsiaTheme="minorEastAsia" w:cs="Calibri"/>
                <w:lang w:eastAsia="zh-CN"/>
              </w:rPr>
              <w:t>2023</w:t>
            </w:r>
            <w:r w:rsidRPr="00434F12">
              <w:rPr>
                <w:rFonts w:eastAsiaTheme="minorEastAsia" w:cs="Calibri"/>
                <w:lang w:eastAsia="zh-CN"/>
              </w:rPr>
              <w:t>、</w:t>
            </w:r>
            <w:r w:rsidRPr="00434F12">
              <w:rPr>
                <w:rFonts w:eastAsiaTheme="minorEastAsia" w:cs="Calibri"/>
                <w:lang w:eastAsia="zh-CN"/>
              </w:rPr>
              <w:t>2024</w:t>
            </w:r>
            <w:r w:rsidRPr="00434F12">
              <w:rPr>
                <w:rFonts w:eastAsiaTheme="minorEastAsia" w:cs="Calibri"/>
                <w:lang w:eastAsia="zh-CN"/>
              </w:rPr>
              <w:t>、</w:t>
            </w:r>
            <w:r w:rsidRPr="00434F12">
              <w:rPr>
                <w:rFonts w:eastAsiaTheme="minorEastAsia" w:cs="Calibri"/>
                <w:lang w:eastAsia="zh-CN"/>
              </w:rPr>
              <w:t>2025</w:t>
            </w:r>
            <w:r w:rsidRPr="00434F12">
              <w:rPr>
                <w:rFonts w:eastAsiaTheme="minorEastAsia" w:cs="Calibri"/>
                <w:lang w:eastAsia="zh-CN"/>
              </w:rPr>
              <w:t>和</w:t>
            </w:r>
            <w:r w:rsidRPr="00434F12">
              <w:rPr>
                <w:rFonts w:eastAsiaTheme="minorEastAsia" w:cs="Calibri"/>
                <w:lang w:eastAsia="zh-CN"/>
              </w:rPr>
              <w:t>2026</w:t>
            </w:r>
            <w:r w:rsidRPr="00434F12">
              <w:rPr>
                <w:rFonts w:eastAsiaTheme="minorEastAsia" w:cs="Calibri"/>
                <w:lang w:eastAsia="zh-CN"/>
              </w:rPr>
              <w:t>年会议的四年期报告。</w:t>
            </w:r>
          </w:p>
          <w:p w14:paraId="332824E1" w14:textId="7246EA86" w:rsidR="00135C5E" w:rsidRPr="00434F12" w:rsidRDefault="00135C5E" w:rsidP="00135C5E">
            <w:pPr>
              <w:ind w:firstLineChars="200" w:firstLine="480"/>
              <w:rPr>
                <w:rFonts w:eastAsiaTheme="minorEastAsia" w:cs="Calibri"/>
                <w:lang w:eastAsia="zh-CN"/>
              </w:rPr>
            </w:pPr>
            <w:r w:rsidRPr="00434F12">
              <w:rPr>
                <w:rFonts w:eastAsiaTheme="minorEastAsia" w:cs="Calibri"/>
                <w:lang w:eastAsia="zh-CN"/>
              </w:rPr>
              <w:t>理事会认识到，在瞬息万变的数字环境中（包括与新技术相关的新兴风险和机遇）</w:t>
            </w:r>
            <w:r w:rsidR="00E4040C" w:rsidRPr="00434F12">
              <w:rPr>
                <w:rFonts w:eastAsiaTheme="minorEastAsia" w:cs="Calibri"/>
                <w:lang w:eastAsia="zh-CN"/>
              </w:rPr>
              <w:t>持续需要解决</w:t>
            </w:r>
            <w:r w:rsidRPr="00434F12">
              <w:rPr>
                <w:rFonts w:eastAsiaTheme="minorEastAsia" w:cs="Calibri"/>
                <w:lang w:eastAsia="zh-CN"/>
              </w:rPr>
              <w:t>保护上网儿童问题，并</w:t>
            </w:r>
            <w:r w:rsidR="00A8756D" w:rsidRPr="00434F12">
              <w:rPr>
                <w:rFonts w:eastAsiaTheme="minorEastAsia" w:cs="Calibri"/>
                <w:lang w:eastAsia="zh-CN"/>
              </w:rPr>
              <w:t>在</w:t>
            </w:r>
            <w:r w:rsidR="00437348" w:rsidRPr="00434F12">
              <w:rPr>
                <w:rFonts w:eastAsiaTheme="minorEastAsia" w:cs="Calibri"/>
                <w:lang w:val="en-US" w:eastAsia="zh-CN"/>
              </w:rPr>
              <w:t>两届</w:t>
            </w:r>
            <w:r w:rsidR="00A8756D" w:rsidRPr="00434F12">
              <w:rPr>
                <w:rFonts w:eastAsiaTheme="minorEastAsia" w:cs="Calibri"/>
                <w:lang w:eastAsia="zh-CN"/>
              </w:rPr>
              <w:t>理事会</w:t>
            </w:r>
            <w:r w:rsidR="00437348" w:rsidRPr="00434F12">
              <w:rPr>
                <w:rFonts w:eastAsiaTheme="minorEastAsia" w:cs="Calibri"/>
                <w:lang w:eastAsia="zh-CN"/>
              </w:rPr>
              <w:t>之间</w:t>
            </w:r>
            <w:r w:rsidR="00A8756D" w:rsidRPr="00434F12">
              <w:rPr>
                <w:rFonts w:eastAsiaTheme="minorEastAsia" w:cs="Calibri"/>
                <w:lang w:eastAsia="zh-CN"/>
              </w:rPr>
              <w:t>为成员国和利益攸关方提供一个</w:t>
            </w:r>
            <w:r w:rsidR="00437348" w:rsidRPr="00434F12">
              <w:rPr>
                <w:rFonts w:eastAsiaTheme="minorEastAsia" w:cs="Calibri"/>
                <w:lang w:eastAsia="zh-CN"/>
              </w:rPr>
              <w:t>专用论坛</w:t>
            </w:r>
            <w:r w:rsidR="00A8756D" w:rsidRPr="00434F12">
              <w:rPr>
                <w:rFonts w:eastAsiaTheme="minorEastAsia" w:cs="Calibri"/>
                <w:lang w:eastAsia="zh-CN"/>
              </w:rPr>
              <w:t>，以便交流经验、开展协调和共享信息，</w:t>
            </w:r>
            <w:r w:rsidR="00E4040C" w:rsidRPr="00434F12">
              <w:rPr>
                <w:rFonts w:eastAsiaTheme="minorEastAsia" w:cs="Calibri"/>
                <w:lang w:eastAsia="zh-CN"/>
              </w:rPr>
              <w:t>因此</w:t>
            </w:r>
            <w:r w:rsidR="00A8756D" w:rsidRPr="00434F12">
              <w:rPr>
                <w:rFonts w:eastAsiaTheme="minorEastAsia" w:cs="Calibri"/>
                <w:lang w:eastAsia="zh-CN"/>
              </w:rPr>
              <w:t>可决定在下一周期保留</w:t>
            </w:r>
            <w:r w:rsidR="00A8756D" w:rsidRPr="00434F12">
              <w:rPr>
                <w:rFonts w:eastAsiaTheme="minorEastAsia" w:cs="Calibri"/>
                <w:lang w:eastAsia="zh-CN"/>
              </w:rPr>
              <w:t>CWG-COP</w:t>
            </w:r>
            <w:r w:rsidR="00A8756D" w:rsidRPr="00434F12">
              <w:rPr>
                <w:rFonts w:eastAsiaTheme="minorEastAsia" w:cs="Calibri"/>
                <w:lang w:eastAsia="zh-CN"/>
              </w:rPr>
              <w:t>。</w:t>
            </w:r>
          </w:p>
          <w:p w14:paraId="68FD5332" w14:textId="5BD016F4" w:rsidR="00A8756D" w:rsidRPr="00434F12" w:rsidRDefault="00A8756D" w:rsidP="00135C5E">
            <w:pPr>
              <w:ind w:firstLineChars="200" w:firstLine="480"/>
              <w:rPr>
                <w:rFonts w:eastAsiaTheme="minorEastAsia" w:cs="Calibri"/>
                <w:lang w:eastAsia="zh-CN"/>
              </w:rPr>
            </w:pPr>
            <w:r w:rsidRPr="00434F12">
              <w:rPr>
                <w:rFonts w:eastAsiaTheme="minorEastAsia" w:cs="Calibri"/>
                <w:lang w:eastAsia="zh-CN"/>
              </w:rPr>
              <w:t>理事会保护上网儿童工作组每年就其开展的活动向理事会做出报告。</w:t>
            </w:r>
          </w:p>
          <w:p w14:paraId="717A1587" w14:textId="77777777" w:rsidR="003F086E" w:rsidRPr="00434F12" w:rsidRDefault="003F086E" w:rsidP="00555C29">
            <w:pPr>
              <w:rPr>
                <w:rFonts w:eastAsiaTheme="minorEastAsia" w:cs="Calibri"/>
                <w:b/>
                <w:bCs/>
                <w:lang w:eastAsia="zh-CN"/>
              </w:rPr>
            </w:pPr>
            <w:r w:rsidRPr="00434F12">
              <w:rPr>
                <w:rFonts w:eastAsiaTheme="minorEastAsia" w:cs="Calibri"/>
                <w:b/>
                <w:bCs/>
                <w:lang w:eastAsia="zh-CN"/>
              </w:rPr>
              <w:t>理事会需采取的行动</w:t>
            </w:r>
          </w:p>
          <w:p w14:paraId="7398D978" w14:textId="69C1AB80" w:rsidR="003F086E" w:rsidRPr="00434F12" w:rsidRDefault="00A8756D" w:rsidP="00AB0220">
            <w:pPr>
              <w:ind w:firstLineChars="200" w:firstLine="480"/>
              <w:rPr>
                <w:rFonts w:eastAsiaTheme="minorEastAsia" w:cs="Calibri"/>
                <w:b/>
                <w:bCs/>
                <w:szCs w:val="24"/>
                <w:lang w:val="en-US" w:eastAsia="zh-CN"/>
              </w:rPr>
            </w:pPr>
            <w:r w:rsidRPr="00434F12">
              <w:rPr>
                <w:rFonts w:eastAsiaTheme="minorEastAsia" w:cs="Calibri"/>
                <w:szCs w:val="24"/>
                <w:lang w:eastAsia="zh-CN"/>
              </w:rPr>
              <w:t>请</w:t>
            </w:r>
            <w:r w:rsidR="00C95FF3" w:rsidRPr="00434F12">
              <w:rPr>
                <w:rFonts w:eastAsiaTheme="minorEastAsia" w:cs="Calibri"/>
                <w:szCs w:val="24"/>
                <w:lang w:eastAsia="zh-CN"/>
              </w:rPr>
              <w:t>理事会</w:t>
            </w:r>
            <w:r w:rsidRPr="00434F12">
              <w:rPr>
                <w:rFonts w:eastAsiaTheme="minorEastAsia" w:cs="Calibri"/>
                <w:b/>
                <w:szCs w:val="24"/>
                <w:lang w:eastAsia="zh-CN"/>
              </w:rPr>
              <w:t>审议</w:t>
            </w:r>
            <w:r w:rsidRPr="00434F12">
              <w:rPr>
                <w:rFonts w:eastAsiaTheme="minorEastAsia" w:cs="Calibri"/>
                <w:szCs w:val="24"/>
                <w:lang w:eastAsia="zh-CN"/>
              </w:rPr>
              <w:t>本报告并</w:t>
            </w:r>
            <w:r w:rsidRPr="00434F12">
              <w:rPr>
                <w:rFonts w:eastAsiaTheme="minorEastAsia" w:cs="Calibri"/>
                <w:bCs/>
                <w:szCs w:val="24"/>
                <w:lang w:eastAsia="zh-CN"/>
              </w:rPr>
              <w:t>酌情</w:t>
            </w:r>
            <w:r w:rsidR="00C95FF3" w:rsidRPr="00434F12">
              <w:rPr>
                <w:rFonts w:eastAsiaTheme="minorEastAsia" w:cs="Calibri"/>
                <w:bCs/>
                <w:szCs w:val="24"/>
                <w:lang w:eastAsia="zh-CN"/>
              </w:rPr>
              <w:t>向全权代表大会</w:t>
            </w:r>
            <w:r w:rsidR="00C95FF3" w:rsidRPr="00434F12">
              <w:rPr>
                <w:rFonts w:eastAsiaTheme="minorEastAsia" w:cs="Calibri"/>
                <w:b/>
                <w:szCs w:val="24"/>
                <w:lang w:eastAsia="zh-CN"/>
              </w:rPr>
              <w:t>提交</w:t>
            </w:r>
            <w:r w:rsidR="00C95FF3" w:rsidRPr="00434F12">
              <w:rPr>
                <w:rFonts w:eastAsiaTheme="minorEastAsia" w:cs="Calibri"/>
                <w:bCs/>
                <w:szCs w:val="24"/>
                <w:lang w:eastAsia="zh-CN"/>
              </w:rPr>
              <w:t>建议</w:t>
            </w:r>
            <w:r w:rsidRPr="00434F12">
              <w:rPr>
                <w:rFonts w:eastAsiaTheme="minorEastAsia" w:cs="Calibri"/>
                <w:szCs w:val="24"/>
                <w:lang w:val="en-US" w:eastAsia="zh-CN"/>
              </w:rPr>
              <w:t>，</w:t>
            </w:r>
            <w:r w:rsidRPr="00434F12">
              <w:rPr>
                <w:rFonts w:eastAsiaTheme="minorEastAsia" w:cs="Calibri"/>
                <w:szCs w:val="24"/>
                <w:lang w:val="de-DE" w:eastAsia="zh-CN"/>
              </w:rPr>
              <w:t>特别是在今后四年继续开展</w:t>
            </w:r>
            <w:r w:rsidRPr="00434F12">
              <w:rPr>
                <w:rFonts w:eastAsiaTheme="minorEastAsia" w:cs="Calibri"/>
                <w:szCs w:val="24"/>
                <w:lang w:val="de-DE" w:eastAsia="zh-CN"/>
              </w:rPr>
              <w:t>CWG-COP</w:t>
            </w:r>
            <w:r w:rsidRPr="00434F12">
              <w:rPr>
                <w:rFonts w:eastAsiaTheme="minorEastAsia" w:cs="Calibri"/>
                <w:szCs w:val="24"/>
                <w:lang w:val="de-DE" w:eastAsia="zh-CN"/>
              </w:rPr>
              <w:t>的活动。</w:t>
            </w:r>
          </w:p>
          <w:p w14:paraId="49DBD37E" w14:textId="77777777" w:rsidR="003F086E" w:rsidRPr="00434F12" w:rsidRDefault="003F086E" w:rsidP="00555C29">
            <w:pPr>
              <w:rPr>
                <w:rFonts w:eastAsiaTheme="minorEastAsia" w:cs="Calibri"/>
                <w:b/>
                <w:bCs/>
                <w:lang w:eastAsia="zh-CN"/>
              </w:rPr>
            </w:pPr>
            <w:r w:rsidRPr="00434F12">
              <w:rPr>
                <w:rFonts w:eastAsiaTheme="minorEastAsia" w:cs="Calibri"/>
                <w:b/>
                <w:bCs/>
                <w:lang w:eastAsia="zh-CN"/>
              </w:rPr>
              <w:t>与《战略规划》的关联</w:t>
            </w:r>
          </w:p>
          <w:p w14:paraId="114D6F34" w14:textId="0389AB34" w:rsidR="003F086E" w:rsidRPr="00434F12" w:rsidRDefault="00A8756D" w:rsidP="00434F12">
            <w:pPr>
              <w:ind w:firstLineChars="200" w:firstLine="480"/>
              <w:rPr>
                <w:rFonts w:eastAsiaTheme="minorEastAsia" w:cs="Calibri"/>
                <w:lang w:eastAsia="zh-CN"/>
              </w:rPr>
            </w:pPr>
            <w:r w:rsidRPr="00434F12">
              <w:rPr>
                <w:rFonts w:eastAsiaTheme="minorEastAsia" w:cs="Calibri"/>
                <w:lang w:eastAsia="zh-CN"/>
              </w:rPr>
              <w:t>可持续数字化转型：推动电信</w:t>
            </w:r>
            <w:r w:rsidRPr="00434F12">
              <w:rPr>
                <w:rFonts w:eastAsiaTheme="minorEastAsia" w:cs="Calibri"/>
                <w:lang w:eastAsia="zh-CN"/>
              </w:rPr>
              <w:t>/ICT</w:t>
            </w:r>
            <w:r w:rsidRPr="00434F12">
              <w:rPr>
                <w:rFonts w:eastAsiaTheme="minorEastAsia" w:cs="Calibri"/>
                <w:lang w:eastAsia="zh-CN"/>
              </w:rPr>
              <w:t>的公平和包容性使用，增强公民和社会的能力以实现可持续发展。</w:t>
            </w:r>
          </w:p>
          <w:p w14:paraId="62AFDCFA" w14:textId="77777777" w:rsidR="003F086E" w:rsidRPr="00434F12" w:rsidRDefault="003F086E" w:rsidP="00555C29">
            <w:pPr>
              <w:rPr>
                <w:rFonts w:eastAsiaTheme="minorEastAsia" w:cs="Calibri"/>
                <w:b/>
                <w:bCs/>
                <w:lang w:eastAsia="zh-CN"/>
              </w:rPr>
            </w:pPr>
            <w:r w:rsidRPr="00434F12">
              <w:rPr>
                <w:rFonts w:eastAsiaTheme="minorEastAsia" w:cs="Calibri"/>
                <w:b/>
                <w:bCs/>
                <w:lang w:eastAsia="zh-CN"/>
              </w:rPr>
              <w:t>财务影响</w:t>
            </w:r>
          </w:p>
          <w:p w14:paraId="0FBD60C7" w14:textId="0E1A04C7" w:rsidR="008F64AD" w:rsidRPr="00477D57" w:rsidRDefault="00A8756D" w:rsidP="00434F12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434F12">
              <w:rPr>
                <w:rFonts w:eastAsiaTheme="minorEastAsia" w:cs="Calibri"/>
                <w:lang w:eastAsia="zh-CN"/>
              </w:rPr>
              <w:t>在</w:t>
            </w:r>
            <w:r w:rsidRPr="00434F12">
              <w:rPr>
                <w:rFonts w:eastAsiaTheme="minorEastAsia" w:cs="Calibri"/>
                <w:lang w:eastAsia="zh-CN"/>
              </w:rPr>
              <w:t>2025-2026</w:t>
            </w:r>
            <w:r w:rsidRPr="00434F12">
              <w:rPr>
                <w:rFonts w:eastAsiaTheme="minorEastAsia" w:cs="Calibri"/>
                <w:lang w:eastAsia="zh-CN"/>
              </w:rPr>
              <w:t>年划拨预算范围内</w:t>
            </w:r>
            <w:r w:rsidRPr="00A8756D"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6F3672BB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16DC51DE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1D3D74B6" w14:textId="34CACD93" w:rsidR="00E24D59" w:rsidRPr="004616E4" w:rsidRDefault="004616E4" w:rsidP="00434F12">
            <w:pPr>
              <w:spacing w:after="120"/>
              <w:ind w:firstLineChars="200" w:firstLine="440"/>
              <w:rPr>
                <w:rFonts w:ascii="STKaiti" w:eastAsia="STKaiti" w:hAnsi="STKaiti" w:cs="Calibri"/>
                <w:sz w:val="22"/>
                <w:szCs w:val="22"/>
                <w:lang w:eastAsia="zh-CN"/>
              </w:rPr>
            </w:pPr>
            <w:r w:rsidRPr="004616E4">
              <w:rPr>
                <w:rFonts w:ascii="STKaiti" w:eastAsia="STKaiti" w:hAnsi="STKaiti" w:cs="Calibri"/>
                <w:sz w:val="22"/>
                <w:szCs w:val="22"/>
                <w:lang w:eastAsia="zh-CN"/>
              </w:rPr>
              <w:t>全权代表大会</w:t>
            </w:r>
            <w:r w:rsidRPr="00434F12">
              <w:rPr>
                <w:u w:val="single"/>
              </w:rPr>
              <w:fldChar w:fldCharType="begin"/>
            </w:r>
            <w:r w:rsidR="00853567">
              <w:rPr>
                <w:u w:val="single"/>
                <w:lang w:eastAsia="zh-CN"/>
              </w:rPr>
              <w:instrText>HYPERLINK "https://www.itu.int/en/council/Documents/basic-texts-2023/RES-179-C.pdf"</w:instrText>
            </w:r>
            <w:r w:rsidRPr="00434F12">
              <w:rPr>
                <w:u w:val="single"/>
              </w:rPr>
            </w:r>
            <w:r w:rsidRPr="00434F12">
              <w:rPr>
                <w:u w:val="single"/>
              </w:rPr>
              <w:fldChar w:fldCharType="separate"/>
            </w:r>
            <w:r w:rsidRPr="00434F12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第</w:t>
            </w:r>
            <w:r w:rsidRPr="00434F12">
              <w:rPr>
                <w:rStyle w:val="Hyperlink"/>
                <w:rFonts w:eastAsia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179</w:t>
            </w:r>
            <w:r w:rsidRPr="00434F12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u w:val="single"/>
                <w:lang w:eastAsia="zh-CN"/>
              </w:rPr>
              <w:t>号决议</w:t>
            </w:r>
            <w:r w:rsidRPr="00434F12">
              <w:rPr>
                <w:u w:val="single"/>
              </w:rPr>
              <w:fldChar w:fldCharType="end"/>
            </w:r>
            <w:hyperlink r:id="rId11" w:history="1">
              <w:r w:rsidRPr="00853567">
                <w:rPr>
                  <w:rStyle w:val="Hyperlink"/>
                  <w:rFonts w:eastAsia="STKaiti"/>
                  <w:noProof w:val="0"/>
                  <w:u w:val="single"/>
                  <w:lang w:eastAsia="zh-CN"/>
                </w:rPr>
                <w:t>（</w:t>
              </w:r>
              <w:r w:rsidRPr="00853567">
                <w:rPr>
                  <w:rStyle w:val="Hyperlink"/>
                  <w:rFonts w:eastAsia="STKaiti"/>
                  <w:noProof w:val="0"/>
                  <w:u w:val="single"/>
                  <w:lang w:eastAsia="zh-CN"/>
                </w:rPr>
                <w:t>2022</w:t>
              </w:r>
              <w:r w:rsidRPr="00853567">
                <w:rPr>
                  <w:rStyle w:val="Hyperlink"/>
                  <w:rFonts w:eastAsia="STKaiti"/>
                  <w:noProof w:val="0"/>
                  <w:u w:val="single"/>
                  <w:lang w:eastAsia="zh-CN"/>
                </w:rPr>
                <w:t>年，布加勒斯特，修订版）</w:t>
              </w:r>
            </w:hyperlink>
            <w:r w:rsidR="00434F12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hyperlink r:id="rId12" w:history="1">
              <w:r w:rsidRPr="00434F12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理事会第</w:t>
              </w:r>
              <w:r w:rsidRPr="00434F12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1306</w:t>
              </w:r>
              <w:r w:rsidRPr="00434F12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号决议（</w:t>
              </w:r>
              <w:proofErr w:type="spellStart"/>
              <w:r w:rsidRPr="00434F12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C09</w:t>
              </w:r>
              <w:proofErr w:type="spellEnd"/>
              <w:r w:rsidRPr="00434F12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，最后修正</w:t>
              </w:r>
              <w:proofErr w:type="spellStart"/>
              <w:r w:rsidRPr="00434F12">
                <w:rPr>
                  <w:rStyle w:val="Hyperlink"/>
                  <w:rFonts w:eastAsia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C24</w:t>
              </w:r>
              <w:proofErr w:type="spellEnd"/>
              <w:r w:rsidRPr="00434F12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u w:val="single"/>
                  <w:lang w:eastAsia="zh-CN"/>
                </w:rPr>
                <w:t>）</w:t>
              </w:r>
            </w:hyperlink>
          </w:p>
        </w:tc>
      </w:tr>
      <w:bookmarkEnd w:id="2"/>
      <w:bookmarkEnd w:id="6"/>
    </w:tbl>
    <w:p w14:paraId="4AC79C42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66C25F66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9DAC807" w14:textId="220A26EC" w:rsidR="00B602DA" w:rsidRPr="00D735D3" w:rsidRDefault="00750172" w:rsidP="00B602DA">
      <w:pPr>
        <w:pStyle w:val="Heading1"/>
        <w:rPr>
          <w:sz w:val="24"/>
          <w:szCs w:val="24"/>
          <w:lang w:val="zh-CN" w:eastAsia="zh-CN"/>
        </w:rPr>
      </w:pPr>
      <w:r w:rsidRPr="00D735D3">
        <w:rPr>
          <w:rFonts w:hint="eastAsia"/>
          <w:sz w:val="24"/>
          <w:szCs w:val="24"/>
          <w:lang w:val="zh-CN" w:eastAsia="zh-CN"/>
        </w:rPr>
        <w:lastRenderedPageBreak/>
        <w:t>一</w:t>
      </w:r>
      <w:r w:rsidR="00B602DA" w:rsidRPr="00D735D3">
        <w:rPr>
          <w:sz w:val="24"/>
          <w:szCs w:val="24"/>
          <w:lang w:val="zh-CN" w:eastAsia="zh-CN"/>
        </w:rPr>
        <w:tab/>
      </w:r>
      <w:r w:rsidR="00B602DA" w:rsidRPr="00D735D3">
        <w:rPr>
          <w:rFonts w:hint="eastAsia"/>
          <w:sz w:val="24"/>
          <w:szCs w:val="24"/>
          <w:lang w:val="zh-CN" w:eastAsia="zh-CN"/>
        </w:rPr>
        <w:t>引言</w:t>
      </w:r>
    </w:p>
    <w:p w14:paraId="09389B33" w14:textId="7CD8D745" w:rsidR="00B602DA" w:rsidRPr="00DD4650" w:rsidRDefault="00B602DA" w:rsidP="00B602DA">
      <w:pPr>
        <w:snapToGrid w:val="0"/>
        <w:rPr>
          <w:lang w:val="en-US" w:eastAsia="zh-CN"/>
        </w:rPr>
      </w:pPr>
      <w:r w:rsidRPr="00DD4650">
        <w:rPr>
          <w:lang w:val="en-US" w:eastAsia="zh-CN"/>
        </w:rPr>
        <w:t>1</w:t>
      </w:r>
      <w:r w:rsidRPr="00DD4650">
        <w:rPr>
          <w:lang w:val="en-US" w:eastAsia="zh-CN"/>
        </w:rPr>
        <w:tab/>
      </w:r>
      <w:hyperlink r:id="rId13" w:anchor="/zh" w:history="1">
        <w:r w:rsidRPr="000109DB">
          <w:rPr>
            <w:rStyle w:val="Hyperlink"/>
            <w:rFonts w:eastAsia="SimSun" w:hint="eastAsia"/>
            <w:u w:val="single"/>
            <w:lang w:eastAsia="zh-CN"/>
          </w:rPr>
          <w:t>国际电联理事会保护上网儿童工作组</w:t>
        </w:r>
      </w:hyperlink>
      <w:r>
        <w:rPr>
          <w:rFonts w:hint="eastAsia"/>
          <w:lang w:val="en-US" w:eastAsia="zh-CN"/>
        </w:rPr>
        <w:t>（</w:t>
      </w:r>
      <w:r>
        <w:rPr>
          <w:lang w:val="en-US" w:eastAsia="zh-CN"/>
        </w:rPr>
        <w:t>CWG-COP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val="zh-CN" w:eastAsia="zh-CN"/>
        </w:rPr>
        <w:t>是</w:t>
      </w:r>
      <w:r>
        <w:rPr>
          <w:rFonts w:hint="eastAsia"/>
          <w:lang w:val="en-US" w:eastAsia="zh-CN"/>
        </w:rPr>
        <w:t>根据国际电联</w:t>
      </w:r>
      <w:r w:rsidRPr="00786896">
        <w:rPr>
          <w:rFonts w:hint="eastAsia"/>
          <w:lang w:eastAsia="zh-CN"/>
        </w:rPr>
        <w:t>全权代表大会</w:t>
      </w:r>
      <w:hyperlink r:id="rId14" w:history="1">
        <w:r w:rsidRPr="000109DB">
          <w:rPr>
            <w:rStyle w:val="Hyperlink"/>
            <w:rFonts w:eastAsia="SimSun" w:hint="eastAsia"/>
            <w:u w:val="single"/>
            <w:lang w:eastAsia="zh-CN"/>
          </w:rPr>
          <w:t>第</w:t>
        </w:r>
        <w:r w:rsidRPr="000109DB">
          <w:rPr>
            <w:rStyle w:val="Hyperlink"/>
            <w:rFonts w:eastAsia="SimSun" w:hint="eastAsia"/>
            <w:u w:val="single"/>
            <w:lang w:eastAsia="zh-CN"/>
          </w:rPr>
          <w:t>179</w:t>
        </w:r>
        <w:r w:rsidRPr="000109DB">
          <w:rPr>
            <w:rStyle w:val="Hyperlink"/>
            <w:rFonts w:eastAsia="SimSun" w:hint="eastAsia"/>
            <w:u w:val="single"/>
            <w:lang w:eastAsia="zh-CN"/>
          </w:rPr>
          <w:t>号决议</w:t>
        </w:r>
      </w:hyperlink>
      <w:hyperlink r:id="rId15" w:history="1">
        <w:r w:rsidRPr="0053346D">
          <w:rPr>
            <w:rStyle w:val="Hyperlink"/>
            <w:rFonts w:eastAsia="SimSun" w:hint="eastAsia"/>
            <w:u w:val="single"/>
            <w:lang w:eastAsia="zh-CN"/>
          </w:rPr>
          <w:t>（</w:t>
        </w:r>
        <w:r w:rsidRPr="0053346D">
          <w:rPr>
            <w:rStyle w:val="Hyperlink"/>
            <w:rFonts w:eastAsia="SimSun" w:hint="eastAsia"/>
            <w:u w:val="single"/>
            <w:lang w:eastAsia="zh-CN"/>
          </w:rPr>
          <w:t>2022</w:t>
        </w:r>
        <w:r w:rsidRPr="0053346D">
          <w:rPr>
            <w:rStyle w:val="Hyperlink"/>
            <w:rFonts w:eastAsia="SimSun" w:hint="eastAsia"/>
            <w:u w:val="single"/>
            <w:lang w:eastAsia="zh-CN"/>
          </w:rPr>
          <w:t>年，布加勒斯特，修订版）</w:t>
        </w:r>
      </w:hyperlink>
      <w:r w:rsidRPr="00434F12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通过</w:t>
      </w:r>
      <w:r w:rsidRPr="00CD0E8C">
        <w:rPr>
          <w:rFonts w:hint="eastAsia"/>
          <w:lang w:val="en-US" w:eastAsia="zh-CN"/>
        </w:rPr>
        <w:t>理事会</w:t>
      </w:r>
      <w:hyperlink r:id="rId16" w:history="1">
        <w:r w:rsidRPr="000109DB">
          <w:rPr>
            <w:rStyle w:val="Hyperlink"/>
            <w:rFonts w:eastAsia="SimSun" w:hint="eastAsia"/>
            <w:u w:val="single"/>
            <w:lang w:eastAsia="zh-CN"/>
          </w:rPr>
          <w:t>第</w:t>
        </w:r>
        <w:r w:rsidRPr="000109DB">
          <w:rPr>
            <w:rStyle w:val="Hyperlink"/>
            <w:rFonts w:eastAsia="SimSun" w:hint="eastAsia"/>
            <w:u w:val="single"/>
            <w:lang w:eastAsia="zh-CN"/>
          </w:rPr>
          <w:t>1306</w:t>
        </w:r>
        <w:r w:rsidRPr="000109DB">
          <w:rPr>
            <w:rStyle w:val="Hyperlink"/>
            <w:rFonts w:eastAsia="SimSun" w:hint="eastAsia"/>
            <w:u w:val="single"/>
            <w:lang w:eastAsia="zh-CN"/>
          </w:rPr>
          <w:t>号决议</w:t>
        </w:r>
      </w:hyperlink>
      <w:hyperlink r:id="rId17" w:history="1">
        <w:r w:rsidRPr="00EB6FD8">
          <w:rPr>
            <w:rStyle w:val="Hyperlink"/>
            <w:rFonts w:eastAsia="SimSun" w:hint="eastAsia"/>
            <w:u w:val="single"/>
            <w:lang w:eastAsia="zh-CN"/>
          </w:rPr>
          <w:t>（</w:t>
        </w:r>
        <w:r w:rsidR="00C95FF3" w:rsidRPr="00EB6FD8">
          <w:rPr>
            <w:rStyle w:val="Hyperlink"/>
            <w:rFonts w:eastAsia="SimSun"/>
            <w:u w:val="single"/>
            <w:lang w:eastAsia="zh-CN"/>
          </w:rPr>
          <w:t>C09</w:t>
        </w:r>
        <w:r w:rsidR="00C95FF3" w:rsidRPr="00EB6FD8">
          <w:rPr>
            <w:rStyle w:val="Hyperlink"/>
            <w:rFonts w:eastAsia="SimSun" w:hint="eastAsia"/>
            <w:u w:val="single"/>
            <w:lang w:eastAsia="zh-CN"/>
          </w:rPr>
          <w:t>，</w:t>
        </w:r>
        <w:r w:rsidR="00C95FF3" w:rsidRPr="00EB6FD8">
          <w:rPr>
            <w:rStyle w:val="Hyperlink"/>
            <w:rFonts w:eastAsia="SimSun"/>
            <w:u w:val="single"/>
            <w:lang w:eastAsia="zh-CN"/>
          </w:rPr>
          <w:t>最</w:t>
        </w:r>
        <w:r w:rsidR="00C95FF3" w:rsidRPr="00EB6FD8">
          <w:rPr>
            <w:rStyle w:val="Hyperlink"/>
            <w:rFonts w:eastAsia="SimSun" w:hint="eastAsia"/>
            <w:u w:val="single"/>
            <w:lang w:eastAsia="zh-CN"/>
          </w:rPr>
          <w:t>后</w:t>
        </w:r>
        <w:r w:rsidR="00C95FF3" w:rsidRPr="00EB6FD8">
          <w:rPr>
            <w:rStyle w:val="Hyperlink"/>
            <w:rFonts w:eastAsia="SimSun"/>
            <w:u w:val="single"/>
            <w:lang w:eastAsia="zh-CN"/>
          </w:rPr>
          <w:t>修正</w:t>
        </w:r>
        <w:r w:rsidR="00C95FF3" w:rsidRPr="00EB6FD8">
          <w:rPr>
            <w:rStyle w:val="Hyperlink"/>
            <w:rFonts w:eastAsia="SimSun"/>
            <w:u w:val="single"/>
            <w:lang w:eastAsia="zh-CN"/>
          </w:rPr>
          <w:t>C24</w:t>
        </w:r>
        <w:r w:rsidRPr="00EB6FD8">
          <w:rPr>
            <w:rStyle w:val="Hyperlink"/>
            <w:rFonts w:eastAsia="SimSun" w:hint="eastAsia"/>
            <w:u w:val="single"/>
            <w:lang w:eastAsia="zh-CN"/>
          </w:rPr>
          <w:t>）</w:t>
        </w:r>
      </w:hyperlink>
      <w:r>
        <w:rPr>
          <w:rFonts w:hint="eastAsia"/>
          <w:lang w:val="en-US" w:eastAsia="zh-CN"/>
        </w:rPr>
        <w:t>设立的。</w:t>
      </w:r>
      <w:r>
        <w:rPr>
          <w:lang w:val="en-US" w:eastAsia="zh-CN"/>
        </w:rPr>
        <w:t>CWG-COP</w:t>
      </w:r>
      <w:r>
        <w:rPr>
          <w:rFonts w:hint="eastAsia"/>
          <w:lang w:val="en-US" w:eastAsia="zh-CN"/>
        </w:rPr>
        <w:t>对所有相关利益攸关方开放。</w:t>
      </w:r>
    </w:p>
    <w:p w14:paraId="16D81CD0" w14:textId="7296880A" w:rsidR="00B602DA" w:rsidRDefault="00750172" w:rsidP="00B602DA">
      <w:pPr>
        <w:snapToGrid w:val="0"/>
        <w:rPr>
          <w:lang w:eastAsia="zh-CN"/>
        </w:rPr>
      </w:pPr>
      <w:r>
        <w:rPr>
          <w:rFonts w:hint="eastAsia"/>
          <w:lang w:eastAsia="zh-CN"/>
        </w:rPr>
        <w:t>2</w:t>
      </w:r>
      <w:r w:rsidR="00B602DA">
        <w:rPr>
          <w:lang w:eastAsia="zh-CN"/>
        </w:rPr>
        <w:tab/>
      </w:r>
      <w:r w:rsidR="00C95FF3" w:rsidRPr="00C95FF3">
        <w:rPr>
          <w:rFonts w:hint="eastAsia"/>
          <w:lang w:eastAsia="zh-CN"/>
        </w:rPr>
        <w:t>理事会国际互联网相关公共政策问题工作组</w:t>
      </w:r>
      <w:r w:rsidR="00B602DA" w:rsidRPr="00A57D58">
        <w:rPr>
          <w:rFonts w:hint="eastAsia"/>
          <w:lang w:eastAsia="zh-CN"/>
        </w:rPr>
        <w:t>的职责范围见</w:t>
      </w:r>
      <w:hyperlink r:id="rId18" w:history="1">
        <w:r w:rsidR="00B602DA" w:rsidRPr="000109DB">
          <w:rPr>
            <w:rStyle w:val="Hyperlink"/>
            <w:rFonts w:eastAsia="SimSun" w:hint="eastAsia"/>
            <w:u w:val="single"/>
            <w:lang w:eastAsia="zh-CN"/>
          </w:rPr>
          <w:t>第一次会议成果文件的附件</w:t>
        </w:r>
        <w:r w:rsidR="00B602DA" w:rsidRPr="000109DB">
          <w:rPr>
            <w:rStyle w:val="Hyperlink"/>
            <w:rFonts w:eastAsia="SimSun"/>
            <w:u w:val="single"/>
            <w:lang w:eastAsia="zh-CN"/>
          </w:rPr>
          <w:t>1</w:t>
        </w:r>
      </w:hyperlink>
      <w:r w:rsidR="00B602DA">
        <w:rPr>
          <w:rFonts w:hint="eastAsia"/>
          <w:lang w:eastAsia="zh-CN"/>
        </w:rPr>
        <w:t>。</w:t>
      </w:r>
    </w:p>
    <w:p w14:paraId="1C3FF328" w14:textId="67061393" w:rsidR="00750172" w:rsidRDefault="00750172" w:rsidP="00B602DA">
      <w:pPr>
        <w:snapToGrid w:val="0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750172">
        <w:rPr>
          <w:rFonts w:hint="eastAsia"/>
          <w:lang w:eastAsia="zh-CN"/>
        </w:rPr>
        <w:t>全权代表大会</w:t>
      </w:r>
      <w:r w:rsidR="00BD792B">
        <w:fldChar w:fldCharType="begin"/>
      </w:r>
      <w:r w:rsidR="00BD792B">
        <w:rPr>
          <w:lang w:eastAsia="zh-CN"/>
        </w:rPr>
        <w:instrText>HYPERLINK "https://www.itu.int/en/council/Documents/basic-texts-2023/RES-179-C.pdf"</w:instrText>
      </w:r>
      <w:r w:rsidR="00BD792B">
        <w:fldChar w:fldCharType="separate"/>
      </w:r>
      <w:r w:rsidR="00BD792B" w:rsidRPr="000109DB">
        <w:rPr>
          <w:rStyle w:val="Hyperlink"/>
          <w:rFonts w:eastAsia="SimSun" w:hint="eastAsia"/>
          <w:u w:val="single"/>
          <w:lang w:eastAsia="zh-CN"/>
        </w:rPr>
        <w:t>第</w:t>
      </w:r>
      <w:r w:rsidR="00BD792B" w:rsidRPr="000109DB">
        <w:rPr>
          <w:rStyle w:val="Hyperlink"/>
          <w:rFonts w:eastAsia="SimSun" w:hint="eastAsia"/>
          <w:u w:val="single"/>
          <w:lang w:eastAsia="zh-CN"/>
        </w:rPr>
        <w:t>179</w:t>
      </w:r>
      <w:r w:rsidR="00BD792B" w:rsidRPr="000109DB">
        <w:rPr>
          <w:rStyle w:val="Hyperlink"/>
          <w:rFonts w:eastAsia="SimSun" w:hint="eastAsia"/>
          <w:u w:val="single"/>
          <w:lang w:eastAsia="zh-CN"/>
        </w:rPr>
        <w:t>号决议</w:t>
      </w:r>
      <w:r w:rsidR="00BD792B">
        <w:fldChar w:fldCharType="end"/>
      </w:r>
      <w:hyperlink r:id="rId19" w:history="1">
        <w:r w:rsidR="00BD792B" w:rsidRPr="0053346D">
          <w:rPr>
            <w:rStyle w:val="Hyperlink"/>
            <w:rFonts w:eastAsia="SimSun" w:hint="eastAsia"/>
            <w:u w:val="single"/>
            <w:lang w:eastAsia="zh-CN"/>
          </w:rPr>
          <w:t>（</w:t>
        </w:r>
        <w:r w:rsidR="00BD792B" w:rsidRPr="0053346D">
          <w:rPr>
            <w:rStyle w:val="Hyperlink"/>
            <w:rFonts w:eastAsia="SimSun" w:hint="eastAsia"/>
            <w:u w:val="single"/>
            <w:lang w:eastAsia="zh-CN"/>
          </w:rPr>
          <w:t>2022</w:t>
        </w:r>
        <w:r w:rsidR="00BD792B" w:rsidRPr="0053346D">
          <w:rPr>
            <w:rStyle w:val="Hyperlink"/>
            <w:rFonts w:eastAsia="SimSun" w:hint="eastAsia"/>
            <w:u w:val="single"/>
            <w:lang w:eastAsia="zh-CN"/>
          </w:rPr>
          <w:t>年，布加勒斯特，修订版）</w:t>
        </w:r>
      </w:hyperlink>
      <w:r w:rsidR="009737E3">
        <w:rPr>
          <w:rFonts w:hint="eastAsia"/>
          <w:lang w:eastAsia="zh-CN"/>
        </w:rPr>
        <w:t>责成</w:t>
      </w:r>
      <w:r w:rsidRPr="00750172">
        <w:rPr>
          <w:rFonts w:hint="eastAsia"/>
          <w:lang w:eastAsia="zh-CN"/>
        </w:rPr>
        <w:t>理事会：</w:t>
      </w:r>
    </w:p>
    <w:p w14:paraId="6582DCE9" w14:textId="56ECD64F" w:rsidR="00B602DA" w:rsidRPr="00224CDC" w:rsidRDefault="00B602DA" w:rsidP="00B602DA">
      <w:pPr>
        <w:pStyle w:val="enumlev1"/>
        <w:rPr>
          <w:lang w:val="zh-CN" w:eastAsia="zh-CN"/>
        </w:rPr>
      </w:pPr>
      <w:r>
        <w:rPr>
          <w:lang w:val="en-US" w:eastAsia="zh-CN"/>
        </w:rPr>
        <w:t>a)</w:t>
      </w:r>
      <w:r w:rsidRPr="00224CDC">
        <w:rPr>
          <w:lang w:val="zh-CN" w:eastAsia="zh-CN"/>
        </w:rPr>
        <w:tab/>
      </w:r>
      <w:r w:rsidRPr="00224CDC">
        <w:rPr>
          <w:rFonts w:hint="eastAsia"/>
          <w:lang w:val="zh-CN" w:eastAsia="zh-CN"/>
        </w:rPr>
        <w:t>继续开展</w:t>
      </w:r>
      <w:r w:rsidRPr="00224CDC">
        <w:rPr>
          <w:lang w:val="zh-CN" w:eastAsia="zh-CN"/>
        </w:rPr>
        <w:t>CWG</w:t>
      </w:r>
      <w:r w:rsidRPr="00224CDC">
        <w:rPr>
          <w:lang w:val="zh-CN" w:eastAsia="zh-CN"/>
        </w:rPr>
        <w:noBreakHyphen/>
        <w:t>COP</w:t>
      </w:r>
      <w:r w:rsidRPr="00224CDC">
        <w:rPr>
          <w:rFonts w:hint="eastAsia"/>
          <w:lang w:val="zh-CN" w:eastAsia="zh-CN"/>
        </w:rPr>
        <w:t>的工作，以</w:t>
      </w:r>
      <w:r w:rsidRPr="00224CDC">
        <w:rPr>
          <w:lang w:val="zh-CN" w:eastAsia="zh-CN"/>
        </w:rPr>
        <w:t>便成员就国际电联在保护上网儿童方面的作用提出输入意见和指导</w:t>
      </w:r>
      <w:r w:rsidRPr="00224CDC">
        <w:rPr>
          <w:rFonts w:hint="eastAsia"/>
          <w:lang w:val="zh-CN" w:eastAsia="zh-CN"/>
        </w:rPr>
        <w:t>，</w:t>
      </w:r>
      <w:proofErr w:type="gramStart"/>
      <w:r w:rsidRPr="00224CDC">
        <w:rPr>
          <w:rFonts w:hint="eastAsia"/>
          <w:lang w:val="zh-CN" w:eastAsia="zh-CN"/>
        </w:rPr>
        <w:t>并作为讨论和交流最佳做法的平台</w:t>
      </w:r>
      <w:r w:rsidRPr="00224CDC">
        <w:rPr>
          <w:lang w:val="zh-CN" w:eastAsia="zh-CN"/>
        </w:rPr>
        <w:t>；</w:t>
      </w:r>
      <w:proofErr w:type="gramEnd"/>
    </w:p>
    <w:p w14:paraId="6861CAEE" w14:textId="2AC084B7" w:rsidR="00B602DA" w:rsidRPr="00224CDC" w:rsidRDefault="00B602DA" w:rsidP="00B602DA">
      <w:pPr>
        <w:pStyle w:val="enumlev1"/>
        <w:rPr>
          <w:lang w:val="zh-CN" w:eastAsia="zh-CN"/>
        </w:rPr>
      </w:pPr>
      <w:r>
        <w:rPr>
          <w:lang w:val="en-US" w:eastAsia="zh-CN"/>
        </w:rPr>
        <w:t>b)</w:t>
      </w:r>
      <w:r w:rsidRPr="00224CDC">
        <w:rPr>
          <w:lang w:val="zh-CN" w:eastAsia="zh-CN"/>
        </w:rPr>
        <w:tab/>
      </w:r>
      <w:r w:rsidRPr="00224CDC">
        <w:rPr>
          <w:lang w:val="zh-CN" w:eastAsia="zh-CN"/>
        </w:rPr>
        <w:t>促进所有</w:t>
      </w:r>
      <w:r>
        <w:rPr>
          <w:rFonts w:hint="eastAsia"/>
          <w:lang w:val="zh-CN" w:eastAsia="zh-CN"/>
        </w:rPr>
        <w:t>相关</w:t>
      </w:r>
      <w:r w:rsidRPr="00224CDC">
        <w:rPr>
          <w:lang w:val="zh-CN" w:eastAsia="zh-CN"/>
        </w:rPr>
        <w:t>利益攸关方均能参与</w:t>
      </w:r>
      <w:r w:rsidRPr="00224CDC">
        <w:rPr>
          <w:lang w:val="zh-CN" w:eastAsia="zh-CN"/>
        </w:rPr>
        <w:t>CWG-COP</w:t>
      </w:r>
      <w:r w:rsidRPr="00224CDC">
        <w:rPr>
          <w:lang w:val="zh-CN" w:eastAsia="zh-CN"/>
        </w:rPr>
        <w:t>的工作并为之做出贡献，</w:t>
      </w:r>
      <w:proofErr w:type="gramStart"/>
      <w:r w:rsidRPr="00224CDC">
        <w:rPr>
          <w:lang w:val="zh-CN" w:eastAsia="zh-CN"/>
        </w:rPr>
        <w:t>以便在落实</w:t>
      </w:r>
      <w:r w:rsidRPr="00224CDC">
        <w:rPr>
          <w:rFonts w:hint="eastAsia"/>
          <w:lang w:val="zh-CN" w:eastAsia="zh-CN"/>
        </w:rPr>
        <w:t>该项</w:t>
      </w:r>
      <w:r w:rsidRPr="00224CDC">
        <w:rPr>
          <w:lang w:val="zh-CN" w:eastAsia="zh-CN"/>
        </w:rPr>
        <w:t>决议过程中</w:t>
      </w:r>
      <w:r w:rsidRPr="00224CDC">
        <w:rPr>
          <w:rFonts w:hint="eastAsia"/>
          <w:lang w:val="zh-CN" w:eastAsia="zh-CN"/>
        </w:rPr>
        <w:t>确保</w:t>
      </w:r>
      <w:r w:rsidRPr="00224CDC">
        <w:rPr>
          <w:lang w:val="zh-CN" w:eastAsia="zh-CN"/>
        </w:rPr>
        <w:t>最大程度的协作；</w:t>
      </w:r>
      <w:proofErr w:type="gramEnd"/>
    </w:p>
    <w:p w14:paraId="0AB30912" w14:textId="2CA524A2" w:rsidR="00B602DA" w:rsidRPr="00224CDC" w:rsidRDefault="00B602DA" w:rsidP="00B602DA">
      <w:pPr>
        <w:pStyle w:val="enumlev1"/>
        <w:rPr>
          <w:lang w:val="zh-CN" w:eastAsia="zh-CN"/>
        </w:rPr>
      </w:pPr>
      <w:r>
        <w:rPr>
          <w:lang w:val="en-US" w:eastAsia="zh-CN"/>
        </w:rPr>
        <w:t>c)</w:t>
      </w:r>
      <w:r w:rsidRPr="00224CDC">
        <w:rPr>
          <w:lang w:val="zh-CN" w:eastAsia="zh-CN"/>
        </w:rPr>
        <w:tab/>
      </w:r>
      <w:r w:rsidRPr="00224CDC">
        <w:rPr>
          <w:rFonts w:hint="eastAsia"/>
          <w:lang w:val="zh-CN" w:eastAsia="zh-CN"/>
        </w:rPr>
        <w:t>鼓励</w:t>
      </w:r>
      <w:r w:rsidRPr="00224CDC">
        <w:rPr>
          <w:rFonts w:hint="eastAsia"/>
          <w:lang w:val="zh-CN" w:eastAsia="zh-CN"/>
        </w:rPr>
        <w:t>CWG-COP</w:t>
      </w:r>
      <w:r w:rsidRPr="00224CDC">
        <w:rPr>
          <w:rFonts w:hint="eastAsia"/>
          <w:lang w:val="zh-CN" w:eastAsia="zh-CN"/>
        </w:rPr>
        <w:t>与</w:t>
      </w:r>
      <w:r w:rsidR="009737E3">
        <w:rPr>
          <w:rFonts w:hint="eastAsia"/>
          <w:lang w:val="zh-CN" w:eastAsia="zh-CN"/>
        </w:rPr>
        <w:t>理</w:t>
      </w:r>
      <w:r w:rsidR="00D735D3" w:rsidRPr="00C95FF3">
        <w:rPr>
          <w:rFonts w:hint="eastAsia"/>
          <w:lang w:eastAsia="zh-CN"/>
        </w:rPr>
        <w:t>事会国际互联网相关公共政策问题工作组</w:t>
      </w:r>
      <w:r w:rsidR="00D735D3">
        <w:rPr>
          <w:rFonts w:hint="eastAsia"/>
          <w:lang w:eastAsia="zh-CN"/>
        </w:rPr>
        <w:t>（</w:t>
      </w:r>
      <w:r w:rsidRPr="00224CDC">
        <w:rPr>
          <w:rFonts w:hint="eastAsia"/>
          <w:lang w:val="zh-CN" w:eastAsia="zh-CN"/>
        </w:rPr>
        <w:t>CWG-Internet</w:t>
      </w:r>
      <w:r w:rsidR="00D735D3">
        <w:rPr>
          <w:rFonts w:hint="eastAsia"/>
          <w:lang w:val="zh-CN" w:eastAsia="zh-CN"/>
        </w:rPr>
        <w:t>）</w:t>
      </w:r>
      <w:r w:rsidRPr="00224CDC">
        <w:rPr>
          <w:rFonts w:hint="eastAsia"/>
          <w:lang w:val="zh-CN" w:eastAsia="zh-CN"/>
        </w:rPr>
        <w:t>酌情联络，</w:t>
      </w:r>
      <w:proofErr w:type="gramStart"/>
      <w:r w:rsidRPr="00224CDC">
        <w:rPr>
          <w:rFonts w:hint="eastAsia"/>
          <w:lang w:val="zh-CN" w:eastAsia="zh-CN"/>
        </w:rPr>
        <w:t>以便以互利互惠的方式推动完成这些理事会工作组相关</w:t>
      </w:r>
      <w:r w:rsidR="009737E3">
        <w:rPr>
          <w:rFonts w:hint="eastAsia"/>
          <w:lang w:val="zh-CN" w:eastAsia="zh-CN"/>
        </w:rPr>
        <w:t>职权</w:t>
      </w:r>
      <w:r w:rsidRPr="00224CDC">
        <w:rPr>
          <w:rFonts w:hint="eastAsia"/>
          <w:lang w:val="zh-CN" w:eastAsia="zh-CN"/>
        </w:rPr>
        <w:t>内所涉相关问题的工作；</w:t>
      </w:r>
      <w:proofErr w:type="gramEnd"/>
    </w:p>
    <w:p w14:paraId="116FADA4" w14:textId="592E18EB" w:rsidR="00B602DA" w:rsidRPr="00224CDC" w:rsidRDefault="00B602DA" w:rsidP="00B602DA">
      <w:pPr>
        <w:pStyle w:val="enumlev1"/>
        <w:rPr>
          <w:lang w:val="zh-CN" w:eastAsia="zh-CN"/>
        </w:rPr>
      </w:pPr>
      <w:r>
        <w:rPr>
          <w:lang w:val="en-US" w:eastAsia="zh-CN"/>
        </w:rPr>
        <w:t>d)</w:t>
      </w:r>
      <w:r w:rsidRPr="00224CDC">
        <w:rPr>
          <w:lang w:val="zh-CN" w:eastAsia="zh-CN"/>
        </w:rPr>
        <w:tab/>
      </w:r>
      <w:r w:rsidRPr="00224CDC">
        <w:rPr>
          <w:rFonts w:hint="eastAsia"/>
          <w:lang w:val="zh-CN" w:eastAsia="zh-CN"/>
        </w:rPr>
        <w:t>鼓励</w:t>
      </w:r>
      <w:r w:rsidRPr="00224CDC">
        <w:rPr>
          <w:lang w:val="zh-CN" w:eastAsia="zh-CN"/>
        </w:rPr>
        <w:t>CWG-COP</w:t>
      </w:r>
      <w:r w:rsidRPr="00224CDC">
        <w:rPr>
          <w:rFonts w:hint="eastAsia"/>
          <w:lang w:val="zh-CN" w:eastAsia="zh-CN"/>
        </w:rPr>
        <w:t>与电信发展部门（</w:t>
      </w:r>
      <w:r w:rsidRPr="00224CDC">
        <w:rPr>
          <w:rFonts w:hint="eastAsia"/>
          <w:lang w:val="zh-CN" w:eastAsia="zh-CN"/>
        </w:rPr>
        <w:t>I</w:t>
      </w:r>
      <w:r w:rsidRPr="00224CDC">
        <w:rPr>
          <w:lang w:val="zh-CN" w:eastAsia="zh-CN"/>
        </w:rPr>
        <w:t>TU-D</w:t>
      </w:r>
      <w:r w:rsidRPr="00224CDC">
        <w:rPr>
          <w:rFonts w:hint="eastAsia"/>
          <w:lang w:val="zh-CN" w:eastAsia="zh-CN"/>
        </w:rPr>
        <w:t>）第</w:t>
      </w:r>
      <w:r w:rsidRPr="00224CDC">
        <w:rPr>
          <w:rFonts w:hint="eastAsia"/>
          <w:lang w:val="zh-CN" w:eastAsia="zh-CN"/>
        </w:rPr>
        <w:t>2</w:t>
      </w:r>
      <w:r w:rsidRPr="00224CDC">
        <w:rPr>
          <w:rFonts w:hint="eastAsia"/>
          <w:lang w:val="zh-CN" w:eastAsia="zh-CN"/>
        </w:rPr>
        <w:t>研究组联络，分享</w:t>
      </w:r>
      <w:r w:rsidRPr="00224CDC">
        <w:rPr>
          <w:lang w:val="zh-CN" w:eastAsia="zh-CN"/>
        </w:rPr>
        <w:t>CWG</w:t>
      </w:r>
      <w:r w:rsidRPr="00224CDC">
        <w:rPr>
          <w:lang w:val="zh-CN" w:eastAsia="zh-CN"/>
        </w:rPr>
        <w:noBreakHyphen/>
        <w:t>COP</w:t>
      </w:r>
      <w:r w:rsidRPr="00224CDC">
        <w:rPr>
          <w:rFonts w:hint="eastAsia"/>
          <w:lang w:val="zh-CN" w:eastAsia="zh-CN"/>
        </w:rPr>
        <w:t>会议的输出成果，</w:t>
      </w:r>
      <w:proofErr w:type="gramStart"/>
      <w:r w:rsidRPr="00224CDC">
        <w:rPr>
          <w:rFonts w:hint="eastAsia"/>
          <w:lang w:val="zh-CN" w:eastAsia="zh-CN"/>
        </w:rPr>
        <w:t>以利于相关研究课题的讨论；</w:t>
      </w:r>
      <w:proofErr w:type="gramEnd"/>
    </w:p>
    <w:p w14:paraId="0465259A" w14:textId="2DD3B90B" w:rsidR="00B602DA" w:rsidRPr="00224CDC" w:rsidRDefault="00B602DA" w:rsidP="00B602DA">
      <w:pPr>
        <w:pStyle w:val="enumlev1"/>
        <w:rPr>
          <w:lang w:val="zh-CN" w:eastAsia="zh-CN"/>
        </w:rPr>
      </w:pPr>
      <w:r>
        <w:rPr>
          <w:lang w:val="en-US" w:eastAsia="zh-CN"/>
        </w:rPr>
        <w:t>e)</w:t>
      </w:r>
      <w:r w:rsidRPr="00224CDC">
        <w:rPr>
          <w:lang w:val="zh-CN" w:eastAsia="zh-CN"/>
        </w:rPr>
        <w:tab/>
      </w:r>
      <w:r w:rsidRPr="00224CDC">
        <w:rPr>
          <w:lang w:val="zh-CN" w:eastAsia="zh-CN"/>
        </w:rPr>
        <w:t>鼓励</w:t>
      </w:r>
      <w:r w:rsidRPr="00224CDC">
        <w:rPr>
          <w:lang w:val="zh-CN" w:eastAsia="zh-CN"/>
        </w:rPr>
        <w:t>CWG-COP</w:t>
      </w:r>
      <w:r w:rsidRPr="00224CDC">
        <w:rPr>
          <w:lang w:val="zh-CN" w:eastAsia="zh-CN"/>
        </w:rPr>
        <w:t>在其会议召开之前及会议期间与青年人开展在线磋商，</w:t>
      </w:r>
      <w:proofErr w:type="gramStart"/>
      <w:r w:rsidRPr="00224CDC">
        <w:rPr>
          <w:lang w:val="zh-CN" w:eastAsia="zh-CN"/>
        </w:rPr>
        <w:t>以听取他们有关保护上网儿童各项事宜的意见和看法；</w:t>
      </w:r>
      <w:proofErr w:type="gramEnd"/>
    </w:p>
    <w:p w14:paraId="49D2BA93" w14:textId="3F91EAFD" w:rsidR="00AE195F" w:rsidRDefault="00B602DA" w:rsidP="00B602DA">
      <w:pPr>
        <w:pStyle w:val="enumlev1"/>
        <w:rPr>
          <w:i/>
          <w:iCs/>
          <w:lang w:eastAsia="zh-CN"/>
        </w:rPr>
      </w:pPr>
      <w:r>
        <w:rPr>
          <w:lang w:val="en-US" w:eastAsia="zh-CN"/>
        </w:rPr>
        <w:t>f)</w:t>
      </w:r>
      <w:r w:rsidRPr="00224CDC">
        <w:rPr>
          <w:lang w:val="zh-CN" w:eastAsia="zh-CN"/>
        </w:rPr>
        <w:tab/>
      </w:r>
      <w:r w:rsidRPr="00224CDC">
        <w:rPr>
          <w:rFonts w:hint="eastAsia"/>
          <w:lang w:val="zh-CN" w:eastAsia="zh-CN"/>
        </w:rPr>
        <w:t>继续不设密码地公开提供有关保护上网儿童问题的输出文件。</w:t>
      </w:r>
    </w:p>
    <w:p w14:paraId="344C702C" w14:textId="038B1106" w:rsidR="00E323D0" w:rsidRDefault="00750172" w:rsidP="00E24D59">
      <w:pPr>
        <w:rPr>
          <w:rFonts w:eastAsiaTheme="minorEastAsia" w:cs="Calibri"/>
          <w:lang w:eastAsia="zh-CN"/>
        </w:rPr>
      </w:pPr>
      <w:r>
        <w:rPr>
          <w:rFonts w:eastAsiaTheme="minorEastAsia" w:cs="Calibri" w:hint="eastAsia"/>
          <w:lang w:eastAsia="zh-CN"/>
        </w:rPr>
        <w:t>4</w:t>
      </w:r>
      <w:r>
        <w:rPr>
          <w:rFonts w:eastAsiaTheme="minorEastAsia" w:cs="Calibri"/>
          <w:lang w:eastAsia="zh-CN"/>
        </w:rPr>
        <w:tab/>
      </w:r>
      <w:r w:rsidR="00B602DA" w:rsidRPr="00B602DA">
        <w:rPr>
          <w:rFonts w:eastAsiaTheme="minorEastAsia" w:cs="Calibri"/>
          <w:lang w:eastAsia="zh-CN"/>
        </w:rPr>
        <w:t>理事会保护上网儿童工作组第</w:t>
      </w:r>
      <w:r w:rsidR="00B602DA" w:rsidRPr="00B602DA">
        <w:rPr>
          <w:rFonts w:eastAsiaTheme="minorEastAsia" w:cs="Calibri"/>
          <w:lang w:eastAsia="zh-CN"/>
        </w:rPr>
        <w:t>19</w:t>
      </w:r>
      <w:r w:rsidR="00B602DA" w:rsidRPr="00B602DA">
        <w:rPr>
          <w:rFonts w:eastAsiaTheme="minorEastAsia" w:cs="Calibri"/>
          <w:lang w:eastAsia="zh-CN"/>
        </w:rPr>
        <w:t>、</w:t>
      </w:r>
      <w:r w:rsidR="00B602DA" w:rsidRPr="00B602DA">
        <w:rPr>
          <w:rFonts w:eastAsiaTheme="minorEastAsia" w:cs="Calibri"/>
          <w:lang w:eastAsia="zh-CN"/>
        </w:rPr>
        <w:t>20</w:t>
      </w:r>
      <w:r w:rsidR="00B602DA" w:rsidRPr="00B602DA">
        <w:rPr>
          <w:rFonts w:eastAsiaTheme="minorEastAsia" w:cs="Calibri"/>
          <w:lang w:eastAsia="zh-CN"/>
        </w:rPr>
        <w:t>和</w:t>
      </w:r>
      <w:r w:rsidR="00B602DA" w:rsidRPr="00B602DA">
        <w:rPr>
          <w:rFonts w:eastAsiaTheme="minorEastAsia" w:cs="Calibri"/>
          <w:lang w:eastAsia="zh-CN"/>
        </w:rPr>
        <w:t>21</w:t>
      </w:r>
      <w:r w:rsidR="00B602DA" w:rsidRPr="00B602DA">
        <w:rPr>
          <w:rFonts w:eastAsiaTheme="minorEastAsia" w:cs="Calibri"/>
          <w:lang w:eastAsia="zh-CN"/>
        </w:rPr>
        <w:t>次会议</w:t>
      </w:r>
      <w:r w:rsidR="00B602DA">
        <w:rPr>
          <w:rFonts w:eastAsiaTheme="minorEastAsia" w:cs="Calibri" w:hint="eastAsia"/>
          <w:lang w:val="en-US" w:eastAsia="zh-CN"/>
        </w:rPr>
        <w:t>在</w:t>
      </w:r>
      <w:r w:rsidR="00B602DA" w:rsidRPr="00B602DA">
        <w:rPr>
          <w:rFonts w:eastAsiaTheme="minorEastAsia" w:cs="Calibri"/>
          <w:lang w:eastAsia="zh-CN"/>
        </w:rPr>
        <w:t>Abdelaziz Al Zarooni</w:t>
      </w:r>
      <w:r w:rsidR="00B602DA" w:rsidRPr="00B602DA">
        <w:rPr>
          <w:rFonts w:eastAsiaTheme="minorEastAsia" w:cs="Calibri"/>
          <w:lang w:eastAsia="zh-CN"/>
        </w:rPr>
        <w:t>先生</w:t>
      </w:r>
      <w:r w:rsidR="00B602DA">
        <w:rPr>
          <w:rFonts w:eastAsiaTheme="minorEastAsia" w:cs="Calibri" w:hint="eastAsia"/>
          <w:lang w:eastAsia="zh-CN"/>
        </w:rPr>
        <w:t>（</w:t>
      </w:r>
      <w:r w:rsidR="00B602DA" w:rsidRPr="00B602DA">
        <w:rPr>
          <w:rFonts w:eastAsiaTheme="minorEastAsia" w:cs="Calibri"/>
          <w:lang w:eastAsia="zh-CN"/>
        </w:rPr>
        <w:t>阿拉伯联合酋长国</w:t>
      </w:r>
      <w:r w:rsidR="00B602DA">
        <w:rPr>
          <w:rFonts w:eastAsiaTheme="minorEastAsia" w:cs="Calibri" w:hint="eastAsia"/>
          <w:lang w:eastAsia="zh-CN"/>
        </w:rPr>
        <w:t>）的</w:t>
      </w:r>
      <w:r w:rsidR="00B602DA" w:rsidRPr="00B602DA">
        <w:rPr>
          <w:rFonts w:eastAsiaTheme="minorEastAsia" w:cs="Calibri"/>
          <w:lang w:eastAsia="zh-CN"/>
        </w:rPr>
        <w:t>主持</w:t>
      </w:r>
      <w:r w:rsidR="00B602DA">
        <w:rPr>
          <w:rFonts w:eastAsiaTheme="minorEastAsia" w:cs="Calibri" w:hint="eastAsia"/>
          <w:lang w:eastAsia="zh-CN"/>
        </w:rPr>
        <w:t>下举行，</w:t>
      </w:r>
      <w:r w:rsidR="00B602DA" w:rsidRPr="00B602DA">
        <w:rPr>
          <w:rFonts w:eastAsiaTheme="minorEastAsia" w:cs="Calibri"/>
          <w:lang w:eastAsia="zh-CN"/>
        </w:rPr>
        <w:t>并由以下六位副主席协助</w:t>
      </w:r>
      <w:r w:rsidR="006B0B4A">
        <w:rPr>
          <w:rFonts w:eastAsiaTheme="minorEastAsia" w:cs="Calibri" w:hint="eastAsia"/>
          <w:lang w:eastAsia="zh-CN"/>
        </w:rPr>
        <w:t>：</w:t>
      </w:r>
    </w:p>
    <w:p w14:paraId="41C63E3B" w14:textId="4D2B9FAA" w:rsidR="006B0B4A" w:rsidRPr="00434F12" w:rsidRDefault="006B0B4A" w:rsidP="0094398D">
      <w:pPr>
        <w:pStyle w:val="enumlev1"/>
        <w:tabs>
          <w:tab w:val="clear" w:pos="1191"/>
          <w:tab w:val="clear" w:pos="1588"/>
          <w:tab w:val="clear" w:pos="1985"/>
          <w:tab w:val="clear" w:pos="2608"/>
          <w:tab w:val="left" w:pos="2127"/>
        </w:tabs>
      </w:pPr>
      <w:r w:rsidRPr="00434F12">
        <w:t>–</w:t>
      </w:r>
      <w:r w:rsidRPr="00434F12">
        <w:tab/>
      </w:r>
      <w:proofErr w:type="spellStart"/>
      <w:r w:rsidRPr="00434F12">
        <w:rPr>
          <w:rFonts w:hint="eastAsia"/>
        </w:rPr>
        <w:t>非洲</w:t>
      </w:r>
      <w:proofErr w:type="spellEnd"/>
      <w:r w:rsidR="00434F12">
        <w:tab/>
      </w:r>
      <w:r w:rsidR="00BF2A2C" w:rsidRPr="001C0EC8">
        <w:t xml:space="preserve">– </w:t>
      </w:r>
      <w:r w:rsidRPr="00434F12">
        <w:t xml:space="preserve">Stella </w:t>
      </w:r>
      <w:proofErr w:type="spellStart"/>
      <w:r w:rsidRPr="00434F12">
        <w:t>Chubiyo</w:t>
      </w:r>
      <w:proofErr w:type="spellEnd"/>
      <w:r w:rsidRPr="00434F12">
        <w:t xml:space="preserve"> Erebor</w:t>
      </w:r>
      <w:proofErr w:type="spellStart"/>
      <w:r w:rsidRPr="00434F12">
        <w:rPr>
          <w:rFonts w:hint="eastAsia"/>
        </w:rPr>
        <w:t>女士（尼日利亚</w:t>
      </w:r>
      <w:proofErr w:type="spellEnd"/>
      <w:r w:rsidRPr="00434F12">
        <w:rPr>
          <w:rFonts w:hint="eastAsia"/>
        </w:rPr>
        <w:t>）</w:t>
      </w:r>
    </w:p>
    <w:p w14:paraId="4C107B8C" w14:textId="05F37F3A" w:rsidR="006B0B4A" w:rsidRPr="00434F12" w:rsidRDefault="006B0B4A" w:rsidP="0094398D">
      <w:pPr>
        <w:pStyle w:val="enumlev1"/>
        <w:tabs>
          <w:tab w:val="clear" w:pos="1191"/>
          <w:tab w:val="clear" w:pos="1588"/>
          <w:tab w:val="clear" w:pos="1985"/>
          <w:tab w:val="clear" w:pos="2608"/>
          <w:tab w:val="left" w:pos="2127"/>
        </w:tabs>
      </w:pPr>
      <w:r w:rsidRPr="00434F12">
        <w:t>–</w:t>
      </w:r>
      <w:r w:rsidRPr="00434F12">
        <w:tab/>
      </w:r>
      <w:proofErr w:type="spellStart"/>
      <w:r w:rsidRPr="00434F12">
        <w:rPr>
          <w:rFonts w:hint="eastAsia"/>
        </w:rPr>
        <w:t>美洲</w:t>
      </w:r>
      <w:proofErr w:type="spellEnd"/>
      <w:r w:rsidRPr="00434F12">
        <w:tab/>
      </w:r>
      <w:r w:rsidR="00BF2A2C" w:rsidRPr="001C0EC8">
        <w:t xml:space="preserve">– </w:t>
      </w:r>
      <w:r w:rsidRPr="00434F12">
        <w:t>Kemie Alexander Jones</w:t>
      </w:r>
      <w:proofErr w:type="spellStart"/>
      <w:r w:rsidRPr="00434F12">
        <w:rPr>
          <w:rFonts w:hint="eastAsia"/>
        </w:rPr>
        <w:t>先生（巴哈马</w:t>
      </w:r>
      <w:proofErr w:type="spellEnd"/>
      <w:r w:rsidRPr="00434F12">
        <w:rPr>
          <w:rFonts w:hint="eastAsia"/>
        </w:rPr>
        <w:t>）</w:t>
      </w:r>
    </w:p>
    <w:p w14:paraId="73E3A3C6" w14:textId="4E7336DC" w:rsidR="006B0B4A" w:rsidRPr="00434F12" w:rsidRDefault="006B0B4A" w:rsidP="0094398D">
      <w:pPr>
        <w:pStyle w:val="enumlev1"/>
        <w:tabs>
          <w:tab w:val="clear" w:pos="2608"/>
          <w:tab w:val="left" w:pos="2127"/>
        </w:tabs>
      </w:pPr>
      <w:r w:rsidRPr="00434F12">
        <w:t>–</w:t>
      </w:r>
      <w:r w:rsidRPr="00434F12">
        <w:tab/>
      </w:r>
      <w:proofErr w:type="spellStart"/>
      <w:r w:rsidRPr="00434F12">
        <w:rPr>
          <w:rFonts w:hint="eastAsia"/>
        </w:rPr>
        <w:t>阿拉伯国家</w:t>
      </w:r>
      <w:proofErr w:type="spellEnd"/>
      <w:r w:rsidR="00434F12">
        <w:tab/>
      </w:r>
      <w:r w:rsidR="00BF2A2C" w:rsidRPr="001C0EC8">
        <w:t xml:space="preserve">– </w:t>
      </w:r>
      <w:r w:rsidRPr="00434F12">
        <w:t xml:space="preserve">May Ali </w:t>
      </w:r>
      <w:proofErr w:type="spellStart"/>
      <w:r w:rsidRPr="00434F12">
        <w:t>Alghatam</w:t>
      </w:r>
      <w:r w:rsidRPr="00434F12">
        <w:rPr>
          <w:rFonts w:hint="eastAsia"/>
        </w:rPr>
        <w:t>女士（巴林</w:t>
      </w:r>
      <w:proofErr w:type="spellEnd"/>
      <w:r w:rsidRPr="00434F12">
        <w:rPr>
          <w:rFonts w:hint="eastAsia"/>
        </w:rPr>
        <w:t>）</w:t>
      </w:r>
    </w:p>
    <w:p w14:paraId="3DC6B5B5" w14:textId="6B460457" w:rsidR="006B0B4A" w:rsidRPr="00434F12" w:rsidRDefault="006B0B4A" w:rsidP="0094398D">
      <w:pPr>
        <w:pStyle w:val="enumlev1"/>
        <w:tabs>
          <w:tab w:val="clear" w:pos="1191"/>
          <w:tab w:val="clear" w:pos="1588"/>
          <w:tab w:val="clear" w:pos="1985"/>
          <w:tab w:val="clear" w:pos="2608"/>
          <w:tab w:val="left" w:pos="2127"/>
        </w:tabs>
      </w:pPr>
      <w:r w:rsidRPr="00434F12">
        <w:t>–</w:t>
      </w:r>
      <w:r w:rsidRPr="00434F12">
        <w:tab/>
      </w:r>
      <w:proofErr w:type="spellStart"/>
      <w:r w:rsidRPr="00434F12">
        <w:rPr>
          <w:rFonts w:hint="eastAsia"/>
        </w:rPr>
        <w:t>亚太</w:t>
      </w:r>
      <w:proofErr w:type="spellEnd"/>
      <w:r w:rsidRPr="00434F12">
        <w:tab/>
      </w:r>
      <w:r w:rsidR="00BF2A2C" w:rsidRPr="001C0EC8">
        <w:t xml:space="preserve">– </w:t>
      </w:r>
      <w:r w:rsidRPr="00434F12">
        <w:t>Celine Melanie A. Dee</w:t>
      </w:r>
      <w:proofErr w:type="spellStart"/>
      <w:r w:rsidRPr="00434F12">
        <w:rPr>
          <w:rFonts w:hint="eastAsia"/>
        </w:rPr>
        <w:t>女士（菲律宾</w:t>
      </w:r>
      <w:proofErr w:type="spellEnd"/>
      <w:r w:rsidRPr="00434F12">
        <w:rPr>
          <w:rFonts w:hint="eastAsia"/>
        </w:rPr>
        <w:t>）</w:t>
      </w:r>
    </w:p>
    <w:p w14:paraId="7378087F" w14:textId="34551906" w:rsidR="00E323D0" w:rsidRPr="00434F12" w:rsidRDefault="006B0B4A" w:rsidP="0094398D">
      <w:pPr>
        <w:pStyle w:val="enumlev1"/>
        <w:tabs>
          <w:tab w:val="clear" w:pos="2608"/>
          <w:tab w:val="left" w:pos="2127"/>
        </w:tabs>
      </w:pPr>
      <w:r w:rsidRPr="00434F12">
        <w:t>–</w:t>
      </w:r>
      <w:r w:rsidRPr="00434F12">
        <w:tab/>
      </w:r>
      <w:proofErr w:type="spellStart"/>
      <w:r w:rsidRPr="00434F12">
        <w:rPr>
          <w:rFonts w:hint="eastAsia"/>
        </w:rPr>
        <w:t>独联体国家</w:t>
      </w:r>
      <w:proofErr w:type="spellEnd"/>
      <w:r w:rsidR="00434F12">
        <w:tab/>
      </w:r>
      <w:r w:rsidR="00BF2A2C" w:rsidRPr="001C0EC8">
        <w:t xml:space="preserve">– </w:t>
      </w:r>
      <w:r w:rsidRPr="00434F12">
        <w:t>Seljan Aghasarkari</w:t>
      </w:r>
      <w:proofErr w:type="spellStart"/>
      <w:r w:rsidRPr="00434F12">
        <w:rPr>
          <w:rFonts w:hint="eastAsia"/>
        </w:rPr>
        <w:t>女士（阿塞拜疆</w:t>
      </w:r>
      <w:proofErr w:type="spellEnd"/>
      <w:r w:rsidRPr="00434F12">
        <w:rPr>
          <w:rFonts w:hint="eastAsia"/>
        </w:rPr>
        <w:t>）</w:t>
      </w:r>
    </w:p>
    <w:p w14:paraId="2CAA58CD" w14:textId="676920EF" w:rsidR="006B0B4A" w:rsidRDefault="006B0B4A" w:rsidP="0094398D">
      <w:pPr>
        <w:pStyle w:val="enumlev1"/>
        <w:tabs>
          <w:tab w:val="clear" w:pos="1191"/>
          <w:tab w:val="clear" w:pos="1588"/>
          <w:tab w:val="clear" w:pos="1985"/>
          <w:tab w:val="clear" w:pos="2608"/>
          <w:tab w:val="left" w:pos="2127"/>
        </w:tabs>
        <w:rPr>
          <w:lang w:eastAsia="zh-CN"/>
        </w:rPr>
      </w:pPr>
      <w:r w:rsidRPr="00434F12">
        <w:t>–</w:t>
      </w:r>
      <w:r w:rsidRPr="00434F12">
        <w:tab/>
      </w:r>
      <w:proofErr w:type="spellStart"/>
      <w:r w:rsidRPr="00434F12">
        <w:rPr>
          <w:rFonts w:hint="eastAsia"/>
        </w:rPr>
        <w:t>欧洲</w:t>
      </w:r>
      <w:proofErr w:type="spellEnd"/>
      <w:r w:rsidRPr="00434F12">
        <w:tab/>
      </w:r>
      <w:r w:rsidR="00BF2A2C" w:rsidRPr="001C0EC8">
        <w:t xml:space="preserve">– </w:t>
      </w:r>
      <w:r w:rsidRPr="00434F12">
        <w:t>Domenico Alfieri</w:t>
      </w:r>
      <w:proofErr w:type="spellStart"/>
      <w:r w:rsidRPr="00434F12">
        <w:rPr>
          <w:rFonts w:hint="eastAsia"/>
        </w:rPr>
        <w:t>先生（意大利</w:t>
      </w:r>
      <w:proofErr w:type="spellEnd"/>
      <w:r w:rsidRPr="00434F12">
        <w:rPr>
          <w:rFonts w:hint="eastAsia"/>
        </w:rPr>
        <w:t>）</w:t>
      </w:r>
    </w:p>
    <w:p w14:paraId="61EE2956" w14:textId="72715423" w:rsidR="006B0B4A" w:rsidRDefault="006B0B4A" w:rsidP="00434F12">
      <w:pPr>
        <w:pStyle w:val="Reasons"/>
        <w:ind w:firstLineChars="200" w:firstLine="480"/>
        <w:rPr>
          <w:lang w:eastAsia="zh-CN"/>
        </w:rPr>
      </w:pPr>
      <w:r w:rsidRPr="006B0B4A">
        <w:rPr>
          <w:rFonts w:hint="eastAsia"/>
          <w:lang w:eastAsia="zh-CN"/>
        </w:rPr>
        <w:t>自</w:t>
      </w:r>
      <w:r w:rsidRPr="006B0B4A">
        <w:rPr>
          <w:rFonts w:hint="eastAsia"/>
          <w:lang w:eastAsia="zh-CN"/>
        </w:rPr>
        <w:t>CWG-COP</w:t>
      </w:r>
      <w:r w:rsidRPr="006B0B4A">
        <w:rPr>
          <w:rFonts w:hint="eastAsia"/>
          <w:lang w:eastAsia="zh-CN"/>
        </w:rPr>
        <w:t>第</w:t>
      </w:r>
      <w:r w:rsidRPr="006B0B4A">
        <w:rPr>
          <w:rFonts w:hint="eastAsia"/>
          <w:lang w:eastAsia="zh-CN"/>
        </w:rPr>
        <w:t>22</w:t>
      </w:r>
      <w:r w:rsidRPr="006B0B4A">
        <w:rPr>
          <w:rFonts w:hint="eastAsia"/>
          <w:lang w:eastAsia="zh-CN"/>
        </w:rPr>
        <w:t>次会议以来</w:t>
      </w:r>
      <w:r>
        <w:rPr>
          <w:rFonts w:hint="eastAsia"/>
          <w:lang w:eastAsia="zh-CN"/>
        </w:rPr>
        <w:t>，</w:t>
      </w:r>
      <w:r w:rsidRPr="006B0B4A">
        <w:rPr>
          <w:rFonts w:hint="eastAsia"/>
          <w:lang w:eastAsia="zh-CN"/>
        </w:rPr>
        <w:t>该</w:t>
      </w:r>
      <w:r>
        <w:rPr>
          <w:rFonts w:hint="eastAsia"/>
          <w:lang w:eastAsia="zh-CN"/>
        </w:rPr>
        <w:t>工作</w:t>
      </w:r>
      <w:r w:rsidRPr="006B0B4A">
        <w:rPr>
          <w:rFonts w:hint="eastAsia"/>
          <w:lang w:eastAsia="zh-CN"/>
        </w:rPr>
        <w:t>组由</w:t>
      </w:r>
      <w:r w:rsidRPr="006B0B4A">
        <w:rPr>
          <w:rFonts w:hint="eastAsia"/>
          <w:lang w:eastAsia="zh-CN"/>
        </w:rPr>
        <w:t xml:space="preserve">Stella </w:t>
      </w:r>
      <w:proofErr w:type="spellStart"/>
      <w:r w:rsidRPr="006B0B4A">
        <w:rPr>
          <w:rFonts w:hint="eastAsia"/>
          <w:lang w:eastAsia="zh-CN"/>
        </w:rPr>
        <w:t>Chubiyo</w:t>
      </w:r>
      <w:proofErr w:type="spellEnd"/>
      <w:r w:rsidRPr="006B0B4A">
        <w:rPr>
          <w:rFonts w:hint="eastAsia"/>
          <w:lang w:eastAsia="zh-CN"/>
        </w:rPr>
        <w:t xml:space="preserve"> Erebor</w:t>
      </w:r>
      <w:r w:rsidRPr="006B0B4A">
        <w:rPr>
          <w:rFonts w:hint="eastAsia"/>
          <w:lang w:eastAsia="zh-CN"/>
        </w:rPr>
        <w:t>女士</w:t>
      </w:r>
      <w:r>
        <w:rPr>
          <w:rFonts w:hint="eastAsia"/>
          <w:lang w:eastAsia="zh-CN"/>
        </w:rPr>
        <w:t>（</w:t>
      </w:r>
      <w:r w:rsidRPr="006B0B4A">
        <w:rPr>
          <w:rFonts w:hint="eastAsia"/>
          <w:lang w:eastAsia="zh-CN"/>
        </w:rPr>
        <w:t>尼日利亚</w:t>
      </w:r>
      <w:r>
        <w:rPr>
          <w:rFonts w:hint="eastAsia"/>
          <w:lang w:eastAsia="zh-CN"/>
        </w:rPr>
        <w:t>）</w:t>
      </w:r>
      <w:r w:rsidRPr="006B0B4A">
        <w:rPr>
          <w:rFonts w:hint="eastAsia"/>
          <w:lang w:eastAsia="zh-CN"/>
        </w:rPr>
        <w:t>担任主席。</w:t>
      </w:r>
    </w:p>
    <w:p w14:paraId="325DAF8A" w14:textId="0C5FE3C3" w:rsidR="006B0B4A" w:rsidRPr="007A211A" w:rsidRDefault="00750172" w:rsidP="00D735D3">
      <w:pPr>
        <w:pStyle w:val="Heading1"/>
        <w:rPr>
          <w:sz w:val="24"/>
          <w:szCs w:val="24"/>
          <w:lang w:val="en-US" w:eastAsia="zh-CN"/>
        </w:rPr>
      </w:pPr>
      <w:r w:rsidRPr="00D735D3">
        <w:rPr>
          <w:rFonts w:hint="eastAsia"/>
          <w:sz w:val="24"/>
          <w:szCs w:val="24"/>
          <w:lang w:eastAsia="zh-CN"/>
        </w:rPr>
        <w:t>二</w:t>
      </w:r>
      <w:r w:rsidR="006B0B4A" w:rsidRPr="00D735D3">
        <w:rPr>
          <w:rFonts w:hint="eastAsia"/>
          <w:sz w:val="24"/>
          <w:szCs w:val="24"/>
          <w:lang w:eastAsia="zh-CN"/>
        </w:rPr>
        <w:tab/>
        <w:t>CWG-COP</w:t>
      </w:r>
      <w:r w:rsidR="006B0B4A" w:rsidRPr="00D735D3">
        <w:rPr>
          <w:rFonts w:hint="eastAsia"/>
          <w:sz w:val="24"/>
          <w:szCs w:val="24"/>
          <w:lang w:eastAsia="zh-CN"/>
        </w:rPr>
        <w:t>的活动</w:t>
      </w:r>
    </w:p>
    <w:p w14:paraId="6915E1A5" w14:textId="1CA2987D" w:rsidR="006B0B4A" w:rsidRPr="000109DB" w:rsidRDefault="00750172" w:rsidP="0032202E">
      <w:pPr>
        <w:pStyle w:val="Reasons"/>
        <w:rPr>
          <w:u w:val="single"/>
        </w:rPr>
      </w:pPr>
      <w:r>
        <w:rPr>
          <w:rFonts w:hint="eastAsia"/>
          <w:lang w:eastAsia="zh-CN"/>
        </w:rPr>
        <w:t>5</w:t>
      </w:r>
      <w:r w:rsidR="006B0B4A">
        <w:rPr>
          <w:lang w:eastAsia="zh-CN"/>
        </w:rPr>
        <w:tab/>
      </w:r>
      <w:r w:rsidR="006B0B4A" w:rsidRPr="006B0B4A">
        <w:rPr>
          <w:rFonts w:hint="eastAsia"/>
          <w:lang w:eastAsia="zh-CN"/>
        </w:rPr>
        <w:t>20</w:t>
      </w:r>
      <w:r w:rsidR="006B0B4A">
        <w:rPr>
          <w:rFonts w:hint="eastAsia"/>
          <w:lang w:eastAsia="zh-CN"/>
        </w:rPr>
        <w:t>23</w:t>
      </w:r>
      <w:r w:rsidR="006B0B4A" w:rsidRPr="006B0B4A">
        <w:rPr>
          <w:rFonts w:hint="eastAsia"/>
          <w:lang w:eastAsia="zh-CN"/>
        </w:rPr>
        <w:t>年</w:t>
      </w:r>
      <w:r w:rsidR="006B0B4A">
        <w:rPr>
          <w:rFonts w:hint="eastAsia"/>
          <w:lang w:eastAsia="zh-CN"/>
        </w:rPr>
        <w:t>10</w:t>
      </w:r>
      <w:r w:rsidR="006B0B4A" w:rsidRPr="006B0B4A">
        <w:rPr>
          <w:rFonts w:hint="eastAsia"/>
          <w:lang w:eastAsia="zh-CN"/>
        </w:rPr>
        <w:t>月</w:t>
      </w:r>
      <w:r w:rsidR="006B0B4A">
        <w:rPr>
          <w:rFonts w:hint="eastAsia"/>
          <w:lang w:eastAsia="zh-CN"/>
        </w:rPr>
        <w:t>10</w:t>
      </w:r>
      <w:r w:rsidR="006B0B4A" w:rsidRPr="006B0B4A">
        <w:rPr>
          <w:rFonts w:hint="eastAsia"/>
          <w:lang w:eastAsia="zh-CN"/>
        </w:rPr>
        <w:t>日举行的</w:t>
      </w:r>
      <w:r w:rsidR="006B0B4A" w:rsidRPr="006B0B4A">
        <w:rPr>
          <w:rFonts w:hint="eastAsia"/>
          <w:lang w:eastAsia="zh-CN"/>
        </w:rPr>
        <w:t>CWG-COP</w:t>
      </w:r>
      <w:hyperlink r:id="rId20" w:history="1">
        <w:r w:rsidR="006B0B4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第</w:t>
        </w:r>
        <w:r w:rsidR="006B0B4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19</w:t>
        </w:r>
        <w:r w:rsidR="006B0B4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6B0B4A" w:rsidRPr="006B0B4A">
        <w:rPr>
          <w:rFonts w:hint="eastAsia"/>
          <w:lang w:eastAsia="zh-CN"/>
        </w:rPr>
        <w:t>的主要成果是：</w:t>
      </w:r>
      <w:hyperlink r:id="rId21" w:history="1">
        <w:r w:rsidR="00914BA8" w:rsidRPr="00914BA8">
          <w:rPr>
            <w:rFonts w:asciiTheme="minorHAnsi" w:eastAsia="Times New Roman" w:hAnsiTheme="minorHAnsi" w:cstheme="minorBidi"/>
            <w:color w:val="4F81BD" w:themeColor="accent1"/>
            <w:u w:val="single"/>
          </w:rPr>
          <w:t>www.itu.int/md/S23-CLCWGCOP19-C-0005/en</w:t>
        </w:r>
      </w:hyperlink>
    </w:p>
    <w:p w14:paraId="25C01706" w14:textId="0822FEA3" w:rsidR="005A40BA" w:rsidRDefault="00750172" w:rsidP="0032202E">
      <w:pPr>
        <w:pStyle w:val="Reasons"/>
      </w:pPr>
      <w:r>
        <w:rPr>
          <w:rFonts w:hint="eastAsia"/>
          <w:lang w:eastAsia="zh-CN"/>
        </w:rPr>
        <w:t>6</w:t>
      </w:r>
      <w:r w:rsidR="005A40BA">
        <w:rPr>
          <w:lang w:eastAsia="zh-CN"/>
        </w:rPr>
        <w:tab/>
      </w:r>
      <w:r w:rsidR="005A40BA" w:rsidRPr="006B0B4A">
        <w:rPr>
          <w:rFonts w:hint="eastAsia"/>
          <w:lang w:eastAsia="zh-CN"/>
        </w:rPr>
        <w:t>20</w:t>
      </w:r>
      <w:r w:rsidR="005A40BA">
        <w:rPr>
          <w:rFonts w:hint="eastAsia"/>
          <w:lang w:eastAsia="zh-CN"/>
        </w:rPr>
        <w:t>24</w:t>
      </w:r>
      <w:r w:rsidR="005A40BA" w:rsidRPr="006B0B4A">
        <w:rPr>
          <w:rFonts w:hint="eastAsia"/>
          <w:lang w:eastAsia="zh-CN"/>
        </w:rPr>
        <w:t>年</w:t>
      </w:r>
      <w:r w:rsidR="005A40BA">
        <w:rPr>
          <w:rFonts w:hint="eastAsia"/>
          <w:lang w:eastAsia="zh-CN"/>
        </w:rPr>
        <w:t>1</w:t>
      </w:r>
      <w:r w:rsidR="005A40BA">
        <w:rPr>
          <w:rFonts w:hint="eastAsia"/>
          <w:lang w:eastAsia="zh-CN"/>
        </w:rPr>
        <w:t>月</w:t>
      </w:r>
      <w:r w:rsidR="005A40BA">
        <w:rPr>
          <w:rFonts w:hint="eastAsia"/>
          <w:lang w:eastAsia="zh-CN"/>
        </w:rPr>
        <w:t>22-23</w:t>
      </w:r>
      <w:r w:rsidR="005A40BA" w:rsidRPr="006B0B4A">
        <w:rPr>
          <w:rFonts w:hint="eastAsia"/>
          <w:lang w:eastAsia="zh-CN"/>
        </w:rPr>
        <w:t>日举行的</w:t>
      </w:r>
      <w:r w:rsidR="005A40BA" w:rsidRPr="006B0B4A">
        <w:rPr>
          <w:rFonts w:hint="eastAsia"/>
          <w:lang w:eastAsia="zh-CN"/>
        </w:rPr>
        <w:t>CWG-COP</w:t>
      </w:r>
      <w:hyperlink r:id="rId22" w:history="1"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第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20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5A40BA" w:rsidRPr="006B0B4A">
        <w:rPr>
          <w:rFonts w:hint="eastAsia"/>
          <w:lang w:eastAsia="zh-CN"/>
        </w:rPr>
        <w:t>的主要成果是：</w:t>
      </w:r>
      <w:hyperlink r:id="rId23" w:history="1">
        <w:r w:rsidR="00E224D2" w:rsidRPr="00E224D2">
          <w:rPr>
            <w:rFonts w:asciiTheme="minorHAnsi" w:eastAsia="Times New Roman" w:hAnsiTheme="minorHAnsi" w:cstheme="minorBidi"/>
            <w:color w:val="4F81BD" w:themeColor="accent1"/>
            <w:u w:val="single"/>
          </w:rPr>
          <w:t>www.itu.int/md/S24-CLCWGCOP20-C-0006/en</w:t>
        </w:r>
      </w:hyperlink>
    </w:p>
    <w:p w14:paraId="76A343A1" w14:textId="4805F671" w:rsidR="005A40BA" w:rsidRDefault="00750172" w:rsidP="0032202E">
      <w:pPr>
        <w:pStyle w:val="Reasons"/>
      </w:pPr>
      <w:r>
        <w:rPr>
          <w:rFonts w:hint="eastAsia"/>
          <w:lang w:eastAsia="zh-CN"/>
        </w:rPr>
        <w:t>7</w:t>
      </w:r>
      <w:r w:rsidR="005A40BA">
        <w:rPr>
          <w:lang w:eastAsia="zh-CN"/>
        </w:rPr>
        <w:tab/>
      </w:r>
      <w:r w:rsidR="005A40BA" w:rsidRPr="006B0B4A">
        <w:rPr>
          <w:rFonts w:hint="eastAsia"/>
          <w:lang w:eastAsia="zh-CN"/>
        </w:rPr>
        <w:t>20</w:t>
      </w:r>
      <w:r w:rsidR="005A40BA">
        <w:rPr>
          <w:rFonts w:hint="eastAsia"/>
          <w:lang w:eastAsia="zh-CN"/>
        </w:rPr>
        <w:t>24</w:t>
      </w:r>
      <w:r w:rsidR="005A40BA" w:rsidRPr="006B0B4A">
        <w:rPr>
          <w:rFonts w:hint="eastAsia"/>
          <w:lang w:eastAsia="zh-CN"/>
        </w:rPr>
        <w:t>年</w:t>
      </w:r>
      <w:r w:rsidR="005A40BA">
        <w:rPr>
          <w:rFonts w:hint="eastAsia"/>
          <w:lang w:eastAsia="zh-CN"/>
        </w:rPr>
        <w:t>9</w:t>
      </w:r>
      <w:r w:rsidR="005A40BA">
        <w:rPr>
          <w:rFonts w:hint="eastAsia"/>
          <w:lang w:eastAsia="zh-CN"/>
        </w:rPr>
        <w:t>月</w:t>
      </w:r>
      <w:r w:rsidR="005A40BA">
        <w:rPr>
          <w:rFonts w:hint="eastAsia"/>
          <w:lang w:eastAsia="zh-CN"/>
        </w:rPr>
        <w:t>30</w:t>
      </w:r>
      <w:r w:rsidR="005A40BA">
        <w:rPr>
          <w:rFonts w:hint="eastAsia"/>
          <w:lang w:eastAsia="zh-CN"/>
        </w:rPr>
        <w:t>日至</w:t>
      </w:r>
      <w:r w:rsidR="005A40BA">
        <w:rPr>
          <w:rFonts w:hint="eastAsia"/>
          <w:lang w:eastAsia="zh-CN"/>
        </w:rPr>
        <w:t>10</w:t>
      </w:r>
      <w:r w:rsidR="005A40BA">
        <w:rPr>
          <w:rFonts w:hint="eastAsia"/>
          <w:lang w:eastAsia="zh-CN"/>
        </w:rPr>
        <w:t>月</w:t>
      </w:r>
      <w:r w:rsidR="005A40BA">
        <w:rPr>
          <w:rFonts w:hint="eastAsia"/>
          <w:lang w:eastAsia="zh-CN"/>
        </w:rPr>
        <w:t>1</w:t>
      </w:r>
      <w:r w:rsidR="005A40BA" w:rsidRPr="006B0B4A">
        <w:rPr>
          <w:rFonts w:hint="eastAsia"/>
          <w:lang w:eastAsia="zh-CN"/>
        </w:rPr>
        <w:t>日举行的</w:t>
      </w:r>
      <w:r w:rsidR="005A40BA" w:rsidRPr="006B0B4A">
        <w:rPr>
          <w:rFonts w:hint="eastAsia"/>
          <w:lang w:eastAsia="zh-CN"/>
        </w:rPr>
        <w:t>CWG-COP</w:t>
      </w:r>
      <w:hyperlink r:id="rId24" w:history="1"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第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21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5A40BA" w:rsidRPr="006B0B4A">
        <w:rPr>
          <w:rFonts w:hint="eastAsia"/>
          <w:lang w:eastAsia="zh-CN"/>
        </w:rPr>
        <w:t>的主要成果是：</w:t>
      </w:r>
      <w:hyperlink r:id="rId25" w:history="1">
        <w:r w:rsidR="009810EF" w:rsidRPr="009810EF">
          <w:rPr>
            <w:rFonts w:asciiTheme="minorHAnsi" w:eastAsia="Times New Roman" w:hAnsiTheme="minorHAnsi" w:cstheme="minorBidi"/>
            <w:color w:val="4F81BD" w:themeColor="accent1"/>
            <w:u w:val="single"/>
          </w:rPr>
          <w:t>www.itu.int/md/S24-CLCWGCOP21-C-0004/en</w:t>
        </w:r>
      </w:hyperlink>
    </w:p>
    <w:p w14:paraId="15105AE5" w14:textId="1DDCB1C8" w:rsidR="005A40BA" w:rsidRDefault="00750172" w:rsidP="0032202E">
      <w:pPr>
        <w:pStyle w:val="Reasons"/>
      </w:pPr>
      <w:r>
        <w:rPr>
          <w:rFonts w:hint="eastAsia"/>
          <w:lang w:eastAsia="zh-CN"/>
        </w:rPr>
        <w:lastRenderedPageBreak/>
        <w:t>8</w:t>
      </w:r>
      <w:r w:rsidR="005A40BA">
        <w:rPr>
          <w:lang w:eastAsia="zh-CN"/>
        </w:rPr>
        <w:tab/>
      </w:r>
      <w:r w:rsidR="005A40BA" w:rsidRPr="006B0B4A">
        <w:rPr>
          <w:rFonts w:hint="eastAsia"/>
          <w:lang w:eastAsia="zh-CN"/>
        </w:rPr>
        <w:t>20</w:t>
      </w:r>
      <w:r w:rsidR="005A40BA">
        <w:rPr>
          <w:rFonts w:hint="eastAsia"/>
          <w:lang w:eastAsia="zh-CN"/>
        </w:rPr>
        <w:t>25</w:t>
      </w:r>
      <w:r w:rsidR="005A40BA" w:rsidRPr="006B0B4A">
        <w:rPr>
          <w:rFonts w:hint="eastAsia"/>
          <w:lang w:eastAsia="zh-CN"/>
        </w:rPr>
        <w:t>年</w:t>
      </w:r>
      <w:r w:rsidR="005A40BA">
        <w:rPr>
          <w:rFonts w:hint="eastAsia"/>
          <w:lang w:eastAsia="zh-CN"/>
        </w:rPr>
        <w:t>2</w:t>
      </w:r>
      <w:r w:rsidR="005A40BA">
        <w:rPr>
          <w:rFonts w:hint="eastAsia"/>
          <w:lang w:eastAsia="zh-CN"/>
        </w:rPr>
        <w:t>月</w:t>
      </w:r>
      <w:r w:rsidR="005A40BA">
        <w:rPr>
          <w:rFonts w:hint="eastAsia"/>
          <w:lang w:eastAsia="zh-CN"/>
        </w:rPr>
        <w:t>12-13</w:t>
      </w:r>
      <w:r w:rsidR="005A40BA" w:rsidRPr="006B0B4A">
        <w:rPr>
          <w:rFonts w:hint="eastAsia"/>
          <w:lang w:eastAsia="zh-CN"/>
        </w:rPr>
        <w:t>日举行的</w:t>
      </w:r>
      <w:r w:rsidR="005A40BA" w:rsidRPr="006B0B4A">
        <w:rPr>
          <w:rFonts w:hint="eastAsia"/>
          <w:lang w:eastAsia="zh-CN"/>
        </w:rPr>
        <w:t>CWG-COP</w:t>
      </w:r>
      <w:hyperlink r:id="rId26" w:history="1"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第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22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5A40BA" w:rsidRPr="006B0B4A">
        <w:rPr>
          <w:rFonts w:hint="eastAsia"/>
          <w:lang w:eastAsia="zh-CN"/>
        </w:rPr>
        <w:t>的主要成果是：</w:t>
      </w:r>
      <w:hyperlink r:id="rId27" w:history="1">
        <w:r w:rsidR="00805D05" w:rsidRPr="00805D05">
          <w:rPr>
            <w:rFonts w:asciiTheme="minorHAnsi" w:eastAsia="Times New Roman" w:hAnsiTheme="minorHAnsi" w:cstheme="minorBidi"/>
            <w:color w:val="4F81BD" w:themeColor="accent1"/>
            <w:u w:val="single"/>
          </w:rPr>
          <w:t>www.itu.int/md/S25-CLCWGCOP22-C-0003/en</w:t>
        </w:r>
      </w:hyperlink>
    </w:p>
    <w:p w14:paraId="168283AF" w14:textId="3D792799" w:rsidR="005A40BA" w:rsidRPr="000109DB" w:rsidRDefault="00750172" w:rsidP="0032202E">
      <w:pPr>
        <w:pStyle w:val="Reasons"/>
        <w:rPr>
          <w:u w:val="single"/>
        </w:rPr>
      </w:pPr>
      <w:r>
        <w:rPr>
          <w:rFonts w:hint="eastAsia"/>
          <w:lang w:eastAsia="zh-CN"/>
        </w:rPr>
        <w:t>9</w:t>
      </w:r>
      <w:r w:rsidR="005A40BA">
        <w:rPr>
          <w:lang w:eastAsia="zh-CN"/>
        </w:rPr>
        <w:tab/>
      </w:r>
      <w:r w:rsidR="005A40BA" w:rsidRPr="006B0B4A">
        <w:rPr>
          <w:rFonts w:hint="eastAsia"/>
          <w:lang w:eastAsia="zh-CN"/>
        </w:rPr>
        <w:t>20</w:t>
      </w:r>
      <w:r w:rsidR="005A40BA">
        <w:rPr>
          <w:rFonts w:hint="eastAsia"/>
          <w:lang w:eastAsia="zh-CN"/>
        </w:rPr>
        <w:t>25</w:t>
      </w:r>
      <w:r w:rsidR="005A40BA" w:rsidRPr="006B0B4A">
        <w:rPr>
          <w:rFonts w:hint="eastAsia"/>
          <w:lang w:eastAsia="zh-CN"/>
        </w:rPr>
        <w:t>年</w:t>
      </w:r>
      <w:r w:rsidR="005A40BA">
        <w:rPr>
          <w:rFonts w:hint="eastAsia"/>
          <w:lang w:eastAsia="zh-CN"/>
        </w:rPr>
        <w:t>9</w:t>
      </w:r>
      <w:r w:rsidR="005A40BA">
        <w:rPr>
          <w:rFonts w:hint="eastAsia"/>
          <w:lang w:eastAsia="zh-CN"/>
        </w:rPr>
        <w:t>月</w:t>
      </w:r>
      <w:r w:rsidR="005A40BA">
        <w:rPr>
          <w:rFonts w:hint="eastAsia"/>
          <w:lang w:eastAsia="zh-CN"/>
        </w:rPr>
        <w:t>16</w:t>
      </w:r>
      <w:r w:rsidR="005A40BA" w:rsidRPr="006B0B4A">
        <w:rPr>
          <w:rFonts w:hint="eastAsia"/>
          <w:lang w:eastAsia="zh-CN"/>
        </w:rPr>
        <w:t>日举行的</w:t>
      </w:r>
      <w:r w:rsidR="005A40BA" w:rsidRPr="006B0B4A">
        <w:rPr>
          <w:rFonts w:hint="eastAsia"/>
          <w:lang w:eastAsia="zh-CN"/>
        </w:rPr>
        <w:t>CWG-COP</w:t>
      </w:r>
      <w:hyperlink r:id="rId28" w:history="1"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第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23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5A40BA" w:rsidRPr="006B0B4A">
        <w:rPr>
          <w:rFonts w:hint="eastAsia"/>
          <w:lang w:eastAsia="zh-CN"/>
        </w:rPr>
        <w:t>的主要成果是：</w:t>
      </w:r>
      <w:hyperlink r:id="rId29" w:history="1">
        <w:r w:rsidR="00B566F0" w:rsidRPr="00B566F0">
          <w:rPr>
            <w:rFonts w:asciiTheme="minorHAnsi" w:eastAsia="Times New Roman" w:hAnsiTheme="minorHAnsi" w:cstheme="minorBidi"/>
            <w:color w:val="4F81BD" w:themeColor="accent1"/>
            <w:u w:val="single"/>
          </w:rPr>
          <w:t>www.itu.int/md/S25-CLCWGCOP23-C-0005/en</w:t>
        </w:r>
      </w:hyperlink>
    </w:p>
    <w:p w14:paraId="128A7754" w14:textId="6BF0DAF7" w:rsidR="005A40BA" w:rsidRDefault="00750172" w:rsidP="005A40BA">
      <w:pPr>
        <w:pStyle w:val="Reasons"/>
      </w:pPr>
      <w:r>
        <w:rPr>
          <w:rFonts w:hint="eastAsia"/>
          <w:lang w:eastAsia="zh-CN"/>
        </w:rPr>
        <w:t>10</w:t>
      </w:r>
      <w:r w:rsidR="005A40BA">
        <w:rPr>
          <w:lang w:eastAsia="zh-CN"/>
        </w:rPr>
        <w:tab/>
      </w:r>
      <w:r w:rsidR="005A40BA" w:rsidRPr="006B0B4A">
        <w:rPr>
          <w:rFonts w:hint="eastAsia"/>
          <w:lang w:eastAsia="zh-CN"/>
        </w:rPr>
        <w:t>20</w:t>
      </w:r>
      <w:r w:rsidR="005A40BA">
        <w:rPr>
          <w:rFonts w:hint="eastAsia"/>
          <w:lang w:eastAsia="zh-CN"/>
        </w:rPr>
        <w:t>26</w:t>
      </w:r>
      <w:r w:rsidR="005A40BA" w:rsidRPr="006B0B4A">
        <w:rPr>
          <w:rFonts w:hint="eastAsia"/>
          <w:lang w:eastAsia="zh-CN"/>
        </w:rPr>
        <w:t>年</w:t>
      </w:r>
      <w:r w:rsidR="005A40BA">
        <w:rPr>
          <w:rFonts w:hint="eastAsia"/>
          <w:lang w:eastAsia="zh-CN"/>
        </w:rPr>
        <w:t>1</w:t>
      </w:r>
      <w:r w:rsidR="005A40BA">
        <w:rPr>
          <w:rFonts w:hint="eastAsia"/>
          <w:lang w:eastAsia="zh-CN"/>
        </w:rPr>
        <w:t>月</w:t>
      </w:r>
      <w:r w:rsidR="005A40BA">
        <w:rPr>
          <w:rFonts w:hint="eastAsia"/>
          <w:lang w:eastAsia="zh-CN"/>
        </w:rPr>
        <w:t>19</w:t>
      </w:r>
      <w:r w:rsidR="005A40BA" w:rsidRPr="006B0B4A">
        <w:rPr>
          <w:rFonts w:hint="eastAsia"/>
          <w:lang w:eastAsia="zh-CN"/>
        </w:rPr>
        <w:t>日举行的</w:t>
      </w:r>
      <w:r w:rsidR="005A40BA" w:rsidRPr="006B0B4A">
        <w:rPr>
          <w:rFonts w:hint="eastAsia"/>
          <w:lang w:eastAsia="zh-CN"/>
        </w:rPr>
        <w:t>CWG-COP</w:t>
      </w:r>
      <w:hyperlink r:id="rId30" w:history="1"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第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24</w:t>
        </w:r>
        <w:r w:rsidR="005A40BA" w:rsidRPr="000109DB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5A40BA" w:rsidRPr="006B0B4A">
        <w:rPr>
          <w:rFonts w:hint="eastAsia"/>
          <w:lang w:eastAsia="zh-CN"/>
        </w:rPr>
        <w:t>的主要成果是：</w:t>
      </w:r>
      <w:hyperlink r:id="rId31" w:history="1">
        <w:r w:rsidR="00B566F0" w:rsidRPr="00B566F0">
          <w:rPr>
            <w:rFonts w:eastAsia="Times New Roman"/>
            <w:color w:val="4F81BD" w:themeColor="accent1"/>
            <w:u w:val="single"/>
            <w:lang w:val="en-US"/>
          </w:rPr>
          <w:t>www.itu.int/md/S26-CLCWGCOP24-C-0004/en</w:t>
        </w:r>
      </w:hyperlink>
    </w:p>
    <w:p w14:paraId="6A72A8AB" w14:textId="39EF7571" w:rsidR="005A40BA" w:rsidRPr="00D735D3" w:rsidRDefault="005A40BA" w:rsidP="00D735D3">
      <w:pPr>
        <w:pStyle w:val="Heading1"/>
        <w:rPr>
          <w:sz w:val="24"/>
          <w:szCs w:val="24"/>
          <w:lang w:eastAsia="zh-CN"/>
        </w:rPr>
      </w:pPr>
      <w:r w:rsidRPr="00D735D3">
        <w:rPr>
          <w:rFonts w:hint="eastAsia"/>
          <w:sz w:val="24"/>
          <w:szCs w:val="24"/>
          <w:lang w:eastAsia="zh-CN"/>
        </w:rPr>
        <w:t>三</w:t>
      </w:r>
      <w:r w:rsidRPr="00D735D3">
        <w:rPr>
          <w:sz w:val="24"/>
          <w:szCs w:val="24"/>
          <w:lang w:eastAsia="zh-CN"/>
        </w:rPr>
        <w:tab/>
      </w:r>
      <w:r w:rsidRPr="00D735D3">
        <w:rPr>
          <w:rFonts w:hint="eastAsia"/>
          <w:sz w:val="24"/>
          <w:szCs w:val="24"/>
          <w:lang w:eastAsia="zh-CN"/>
        </w:rPr>
        <w:t>对</w:t>
      </w:r>
      <w:r w:rsidRPr="00D735D3">
        <w:rPr>
          <w:rFonts w:hint="eastAsia"/>
          <w:sz w:val="24"/>
          <w:szCs w:val="24"/>
          <w:lang w:eastAsia="zh-CN"/>
        </w:rPr>
        <w:t>202</w:t>
      </w:r>
      <w:r w:rsidR="00750172" w:rsidRPr="00D735D3">
        <w:rPr>
          <w:rFonts w:hint="eastAsia"/>
          <w:sz w:val="24"/>
          <w:szCs w:val="24"/>
          <w:lang w:eastAsia="zh-CN"/>
        </w:rPr>
        <w:t>6</w:t>
      </w:r>
      <w:r w:rsidRPr="00D735D3">
        <w:rPr>
          <w:rFonts w:hint="eastAsia"/>
          <w:sz w:val="24"/>
          <w:szCs w:val="24"/>
          <w:lang w:eastAsia="zh-CN"/>
        </w:rPr>
        <w:t>年全权代表大会</w:t>
      </w:r>
      <w:r w:rsidR="004642EA">
        <w:rPr>
          <w:rFonts w:hint="eastAsia"/>
          <w:sz w:val="24"/>
          <w:szCs w:val="24"/>
          <w:lang w:eastAsia="zh-CN"/>
        </w:rPr>
        <w:t>（</w:t>
      </w:r>
      <w:r w:rsidRPr="00D735D3">
        <w:rPr>
          <w:rFonts w:hint="eastAsia"/>
          <w:sz w:val="24"/>
          <w:szCs w:val="24"/>
          <w:lang w:eastAsia="zh-CN"/>
        </w:rPr>
        <w:t>PP-2</w:t>
      </w:r>
      <w:r w:rsidR="00750172" w:rsidRPr="00D735D3">
        <w:rPr>
          <w:rFonts w:hint="eastAsia"/>
          <w:sz w:val="24"/>
          <w:szCs w:val="24"/>
          <w:lang w:eastAsia="zh-CN"/>
        </w:rPr>
        <w:t>6</w:t>
      </w:r>
      <w:r w:rsidR="004642EA">
        <w:rPr>
          <w:rFonts w:hint="eastAsia"/>
          <w:sz w:val="24"/>
          <w:szCs w:val="24"/>
          <w:lang w:eastAsia="zh-CN"/>
        </w:rPr>
        <w:t>）</w:t>
      </w:r>
      <w:r w:rsidRPr="00D735D3">
        <w:rPr>
          <w:rFonts w:hint="eastAsia"/>
          <w:sz w:val="24"/>
          <w:szCs w:val="24"/>
          <w:lang w:eastAsia="zh-CN"/>
        </w:rPr>
        <w:t>的建议</w:t>
      </w:r>
    </w:p>
    <w:p w14:paraId="53687A29" w14:textId="44C434FE" w:rsidR="005A40BA" w:rsidRDefault="00750172" w:rsidP="0032202E">
      <w:pPr>
        <w:pStyle w:val="Reasons"/>
        <w:rPr>
          <w:lang w:eastAsia="zh-CN"/>
        </w:rPr>
      </w:pPr>
      <w:r>
        <w:rPr>
          <w:rFonts w:hint="eastAsia"/>
          <w:lang w:eastAsia="zh-CN"/>
        </w:rPr>
        <w:t>11</w:t>
      </w:r>
      <w:r>
        <w:rPr>
          <w:lang w:eastAsia="zh-CN"/>
        </w:rPr>
        <w:tab/>
      </w:r>
      <w:r w:rsidR="005A40BA" w:rsidRPr="005A40BA">
        <w:rPr>
          <w:rFonts w:hint="eastAsia"/>
          <w:lang w:eastAsia="zh-CN"/>
        </w:rPr>
        <w:t>请各位理事审议</w:t>
      </w:r>
      <w:r w:rsidRPr="006B0B4A">
        <w:rPr>
          <w:rFonts w:hint="eastAsia"/>
          <w:lang w:eastAsia="zh-CN"/>
        </w:rPr>
        <w:t>CWG-COP</w:t>
      </w:r>
      <w:r w:rsidR="005A40BA" w:rsidRPr="005A40BA">
        <w:rPr>
          <w:rFonts w:hint="eastAsia"/>
          <w:lang w:eastAsia="zh-CN"/>
        </w:rPr>
        <w:t>主席的四年期报告，并向全权代表大会（</w:t>
      </w:r>
      <w:r w:rsidR="005A40BA" w:rsidRPr="005A40BA">
        <w:rPr>
          <w:rFonts w:hint="eastAsia"/>
          <w:lang w:eastAsia="zh-CN"/>
        </w:rPr>
        <w:t>PP-2</w:t>
      </w:r>
      <w:r>
        <w:rPr>
          <w:rFonts w:hint="eastAsia"/>
          <w:lang w:eastAsia="zh-CN"/>
        </w:rPr>
        <w:t>6</w:t>
      </w:r>
      <w:r w:rsidR="005A40BA" w:rsidRPr="005A40BA">
        <w:rPr>
          <w:rFonts w:hint="eastAsia"/>
          <w:lang w:eastAsia="zh-CN"/>
        </w:rPr>
        <w:t>）建议在未来四年继续开展</w:t>
      </w:r>
      <w:r w:rsidRPr="006B0B4A">
        <w:rPr>
          <w:rFonts w:hint="eastAsia"/>
          <w:lang w:eastAsia="zh-CN"/>
        </w:rPr>
        <w:t>CWG-COP</w:t>
      </w:r>
      <w:r w:rsidR="005A40BA" w:rsidRPr="005A40BA">
        <w:rPr>
          <w:rFonts w:hint="eastAsia"/>
          <w:lang w:eastAsia="zh-CN"/>
        </w:rPr>
        <w:t>的活动。</w:t>
      </w:r>
    </w:p>
    <w:p w14:paraId="60271AEC" w14:textId="77777777" w:rsidR="00914BA8" w:rsidRDefault="00914BA8" w:rsidP="00914BA8">
      <w:pPr>
        <w:rPr>
          <w:lang w:eastAsia="zh-CN"/>
        </w:rPr>
      </w:pPr>
    </w:p>
    <w:p w14:paraId="5EEAD909" w14:textId="0C52D0F6" w:rsidR="00E323D0" w:rsidRPr="00E323D0" w:rsidRDefault="00E323D0" w:rsidP="00E323D0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E323D0" w:rsidRPr="00E323D0" w:rsidSect="00E24D59">
      <w:footerReference w:type="default" r:id="rId32"/>
      <w:headerReference w:type="first" r:id="rId33"/>
      <w:footerReference w:type="first" r:id="rId3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E56C" w14:textId="77777777" w:rsidR="00845580" w:rsidRDefault="00845580">
      <w:r>
        <w:separator/>
      </w:r>
    </w:p>
  </w:endnote>
  <w:endnote w:type="continuationSeparator" w:id="0">
    <w:p w14:paraId="5D647716" w14:textId="77777777" w:rsidR="00845580" w:rsidRDefault="0084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E0D8DF2" w14:textId="77777777" w:rsidTr="00E31DCE">
      <w:trPr>
        <w:jc w:val="center"/>
      </w:trPr>
      <w:tc>
        <w:tcPr>
          <w:tcW w:w="1803" w:type="dxa"/>
          <w:vAlign w:val="center"/>
        </w:tcPr>
        <w:p w14:paraId="116C769F" w14:textId="60F14644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914BA8">
            <w:rPr>
              <w:noProof/>
              <w:color w:val="808080" w:themeColor="background1" w:themeShade="80"/>
            </w:rPr>
            <w:t xml:space="preserve"> 2600454</w:t>
          </w:r>
        </w:p>
      </w:tc>
      <w:tc>
        <w:tcPr>
          <w:tcW w:w="8261" w:type="dxa"/>
        </w:tcPr>
        <w:p w14:paraId="090F611F" w14:textId="0391769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4616E4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18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90B52C8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76488E7" w14:textId="77777777" w:rsidTr="00E31DCE">
      <w:trPr>
        <w:jc w:val="center"/>
      </w:trPr>
      <w:tc>
        <w:tcPr>
          <w:tcW w:w="1803" w:type="dxa"/>
          <w:vAlign w:val="center"/>
        </w:tcPr>
        <w:p w14:paraId="53D132B5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1B9327A4" w14:textId="3674F38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4616E4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18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6E50D50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13C" w14:textId="77777777" w:rsidR="00845580" w:rsidRDefault="00845580">
      <w:r>
        <w:t>____________________</w:t>
      </w:r>
    </w:p>
  </w:footnote>
  <w:footnote w:type="continuationSeparator" w:id="0">
    <w:p w14:paraId="30684914" w14:textId="77777777" w:rsidR="00845580" w:rsidRDefault="0084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3B34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E"/>
    <w:rsid w:val="00001B77"/>
    <w:rsid w:val="0000517A"/>
    <w:rsid w:val="0000538F"/>
    <w:rsid w:val="000109DB"/>
    <w:rsid w:val="00031E72"/>
    <w:rsid w:val="00032E46"/>
    <w:rsid w:val="000404D2"/>
    <w:rsid w:val="00042B6B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35C5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C0EC8"/>
    <w:rsid w:val="001D5A18"/>
    <w:rsid w:val="00215132"/>
    <w:rsid w:val="00220C45"/>
    <w:rsid w:val="00224449"/>
    <w:rsid w:val="00251644"/>
    <w:rsid w:val="00277DEA"/>
    <w:rsid w:val="00280EB8"/>
    <w:rsid w:val="002916B4"/>
    <w:rsid w:val="002A1D39"/>
    <w:rsid w:val="002A6670"/>
    <w:rsid w:val="002C3F32"/>
    <w:rsid w:val="00303502"/>
    <w:rsid w:val="00325C25"/>
    <w:rsid w:val="00330EC1"/>
    <w:rsid w:val="00372C8F"/>
    <w:rsid w:val="00380ECE"/>
    <w:rsid w:val="00393DDF"/>
    <w:rsid w:val="00397F55"/>
    <w:rsid w:val="003B4454"/>
    <w:rsid w:val="003C2A8F"/>
    <w:rsid w:val="003C2E37"/>
    <w:rsid w:val="003F086E"/>
    <w:rsid w:val="003F1415"/>
    <w:rsid w:val="0040144C"/>
    <w:rsid w:val="00403EB7"/>
    <w:rsid w:val="004178E6"/>
    <w:rsid w:val="00430BF0"/>
    <w:rsid w:val="00434F12"/>
    <w:rsid w:val="00437348"/>
    <w:rsid w:val="004616E4"/>
    <w:rsid w:val="00463722"/>
    <w:rsid w:val="004642EA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3346D"/>
    <w:rsid w:val="005370A6"/>
    <w:rsid w:val="005403F7"/>
    <w:rsid w:val="00540632"/>
    <w:rsid w:val="00541CF4"/>
    <w:rsid w:val="005451E8"/>
    <w:rsid w:val="005507F2"/>
    <w:rsid w:val="005510CB"/>
    <w:rsid w:val="00553F55"/>
    <w:rsid w:val="00555C29"/>
    <w:rsid w:val="005759CC"/>
    <w:rsid w:val="00576C08"/>
    <w:rsid w:val="005A0156"/>
    <w:rsid w:val="005A40BA"/>
    <w:rsid w:val="005A72E1"/>
    <w:rsid w:val="005C6632"/>
    <w:rsid w:val="005D1C9E"/>
    <w:rsid w:val="00602842"/>
    <w:rsid w:val="00630DD5"/>
    <w:rsid w:val="00637584"/>
    <w:rsid w:val="00654257"/>
    <w:rsid w:val="0065435A"/>
    <w:rsid w:val="00670D8A"/>
    <w:rsid w:val="006A2DD3"/>
    <w:rsid w:val="006A5113"/>
    <w:rsid w:val="006A5AF8"/>
    <w:rsid w:val="006B0B4A"/>
    <w:rsid w:val="006C36CD"/>
    <w:rsid w:val="006F0CFB"/>
    <w:rsid w:val="00700D1F"/>
    <w:rsid w:val="00705809"/>
    <w:rsid w:val="007205CB"/>
    <w:rsid w:val="0072138B"/>
    <w:rsid w:val="00726073"/>
    <w:rsid w:val="00734FE8"/>
    <w:rsid w:val="007360CE"/>
    <w:rsid w:val="00750172"/>
    <w:rsid w:val="0077110E"/>
    <w:rsid w:val="00772315"/>
    <w:rsid w:val="00775157"/>
    <w:rsid w:val="007813AE"/>
    <w:rsid w:val="007A211A"/>
    <w:rsid w:val="007A37DB"/>
    <w:rsid w:val="007E189D"/>
    <w:rsid w:val="007F0210"/>
    <w:rsid w:val="007F316D"/>
    <w:rsid w:val="00805D05"/>
    <w:rsid w:val="00806E3F"/>
    <w:rsid w:val="00811259"/>
    <w:rsid w:val="00813AA2"/>
    <w:rsid w:val="008173A3"/>
    <w:rsid w:val="008418F5"/>
    <w:rsid w:val="0084546D"/>
    <w:rsid w:val="00845580"/>
    <w:rsid w:val="00853567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4BA8"/>
    <w:rsid w:val="009164A9"/>
    <w:rsid w:val="009258CB"/>
    <w:rsid w:val="0093362E"/>
    <w:rsid w:val="0094398D"/>
    <w:rsid w:val="00944563"/>
    <w:rsid w:val="00953160"/>
    <w:rsid w:val="009625D8"/>
    <w:rsid w:val="009737E3"/>
    <w:rsid w:val="009810EF"/>
    <w:rsid w:val="00983878"/>
    <w:rsid w:val="0098459B"/>
    <w:rsid w:val="00997185"/>
    <w:rsid w:val="009A3456"/>
    <w:rsid w:val="009A76A8"/>
    <w:rsid w:val="009C2458"/>
    <w:rsid w:val="009C4A7B"/>
    <w:rsid w:val="009C6123"/>
    <w:rsid w:val="009D5111"/>
    <w:rsid w:val="009F1E3E"/>
    <w:rsid w:val="00A01F4F"/>
    <w:rsid w:val="00A109AF"/>
    <w:rsid w:val="00A1213C"/>
    <w:rsid w:val="00A13406"/>
    <w:rsid w:val="00A272FF"/>
    <w:rsid w:val="00A5354B"/>
    <w:rsid w:val="00A71B57"/>
    <w:rsid w:val="00A8756D"/>
    <w:rsid w:val="00AA2E08"/>
    <w:rsid w:val="00AB0220"/>
    <w:rsid w:val="00AB42C1"/>
    <w:rsid w:val="00AB76C6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566F0"/>
    <w:rsid w:val="00B60184"/>
    <w:rsid w:val="00B602DA"/>
    <w:rsid w:val="00B62D20"/>
    <w:rsid w:val="00B81E75"/>
    <w:rsid w:val="00B91673"/>
    <w:rsid w:val="00B93453"/>
    <w:rsid w:val="00B9445B"/>
    <w:rsid w:val="00B96F38"/>
    <w:rsid w:val="00BD0954"/>
    <w:rsid w:val="00BD1A5A"/>
    <w:rsid w:val="00BD792B"/>
    <w:rsid w:val="00BD7A9B"/>
    <w:rsid w:val="00BD7BE1"/>
    <w:rsid w:val="00BF2A2C"/>
    <w:rsid w:val="00BF416B"/>
    <w:rsid w:val="00C24DAC"/>
    <w:rsid w:val="00C45EB2"/>
    <w:rsid w:val="00C63BAC"/>
    <w:rsid w:val="00C64E4E"/>
    <w:rsid w:val="00C66E64"/>
    <w:rsid w:val="00C761A0"/>
    <w:rsid w:val="00C829C1"/>
    <w:rsid w:val="00C85F7E"/>
    <w:rsid w:val="00C90D53"/>
    <w:rsid w:val="00C95FF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56C7E"/>
    <w:rsid w:val="00D666BC"/>
    <w:rsid w:val="00D735D3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24D2"/>
    <w:rsid w:val="00E24D59"/>
    <w:rsid w:val="00E265BF"/>
    <w:rsid w:val="00E323D0"/>
    <w:rsid w:val="00E34C96"/>
    <w:rsid w:val="00E378D8"/>
    <w:rsid w:val="00E4040C"/>
    <w:rsid w:val="00E43A12"/>
    <w:rsid w:val="00E67C67"/>
    <w:rsid w:val="00E77476"/>
    <w:rsid w:val="00E8228B"/>
    <w:rsid w:val="00EB6FD8"/>
    <w:rsid w:val="00EC4CE6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79A61"/>
  <w15:docId w15:val="{4388D6E8-B655-4B6E-A47D-4C3284D6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348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council/cwg-cop/Pages/default.aspx" TargetMode="External"/><Relationship Id="rId18" Type="http://schemas.openxmlformats.org/officeDocument/2006/relationships/hyperlink" Target="https://www.itu.int/en/council/cwg-cop/Documents/2025/Summary-1-WG-CP-revised%20draft-22-March-2010-final.doc" TargetMode="External"/><Relationship Id="rId26" Type="http://schemas.openxmlformats.org/officeDocument/2006/relationships/hyperlink" Target="https://www.itu.int/en/council/cwg-cop/Pages/Twenty-second-meeting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md/S23-CLCWGCOP19-C-0005/en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4-CL-C-0140/en" TargetMode="External"/><Relationship Id="rId17" Type="http://schemas.openxmlformats.org/officeDocument/2006/relationships/hyperlink" Target="https://www.itu.int/md/S24-CL-C-0140/en" TargetMode="External"/><Relationship Id="rId25" Type="http://schemas.openxmlformats.org/officeDocument/2006/relationships/hyperlink" Target="http://www.itu.int/md/S24-CLCWGCOP21-C-0004/en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4-CL-C-0140/en" TargetMode="External"/><Relationship Id="rId20" Type="http://schemas.openxmlformats.org/officeDocument/2006/relationships/hyperlink" Target="https://www.itu.int/en/council/cwg-cop/Pages/First-meeting-after-PP-22.aspx" TargetMode="External"/><Relationship Id="rId29" Type="http://schemas.openxmlformats.org/officeDocument/2006/relationships/hyperlink" Target="http://www.itu.int/md/S25-CLCWGCOP23-C-0005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-2023/RES-179-C.pdf" TargetMode="External"/><Relationship Id="rId24" Type="http://schemas.openxmlformats.org/officeDocument/2006/relationships/hyperlink" Target="https://www.itu.int/en/council/cwg-cop/Pages/Tweenty-first-meeting.aspx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Documents/basic-texts-2023/RES-179-C.pdf" TargetMode="External"/><Relationship Id="rId23" Type="http://schemas.openxmlformats.org/officeDocument/2006/relationships/hyperlink" Target="http://www.itu.int/md/S24-CLCWGCOP20-C-0006/en" TargetMode="External"/><Relationship Id="rId28" Type="http://schemas.openxmlformats.org/officeDocument/2006/relationships/hyperlink" Target="https://www.itu.int/en/council/cwg-cop/Pages/default.asp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tu.int/en/council/Documents/basic-texts-2023/RES-179-C.pdf" TargetMode="External"/><Relationship Id="rId19" Type="http://schemas.openxmlformats.org/officeDocument/2006/relationships/hyperlink" Target="https://www.itu.int/en/council/Documents/basic-texts-2023/RES-179-C.pdf" TargetMode="External"/><Relationship Id="rId31" Type="http://schemas.openxmlformats.org/officeDocument/2006/relationships/hyperlink" Target="http://www.itu.int/md/S26-CLCWGCOP24-C-000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179-C.pdf" TargetMode="External"/><Relationship Id="rId14" Type="http://schemas.openxmlformats.org/officeDocument/2006/relationships/hyperlink" Target="https://www.itu.int/en/council/Documents/basic-texts-2023/RES-179-C.pdf" TargetMode="External"/><Relationship Id="rId22" Type="http://schemas.openxmlformats.org/officeDocument/2006/relationships/hyperlink" Target="https://www.itu.int/en/council/cwg-cop/Pages/Twentieth-meeting.aspx" TargetMode="External"/><Relationship Id="rId27" Type="http://schemas.openxmlformats.org/officeDocument/2006/relationships/hyperlink" Target="http://www.itu.int/md/S25-CLCWGCOP22-C-0003/en" TargetMode="External"/><Relationship Id="rId30" Type="http://schemas.openxmlformats.org/officeDocument/2006/relationships/hyperlink" Target="https://www.itu.int/en/council/cwg-cop/Pages/default.aspx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itu.int/md/S24-CL-C-0140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youqi\Desktop\260045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2600454.dotx</Template>
  <TotalTime>10</TotalTime>
  <Pages>3</Pages>
  <Words>612</Words>
  <Characters>3535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4102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child online protection (2022-2026)</dc:title>
  <dc:subject>ITU Council 2026</dc:subject>
  <cp:keywords>C26; C2026; Council 2026; PP26</cp:keywords>
  <dc:description/>
  <cp:lastPrinted>2015-02-24T13:23:00Z</cp:lastPrinted>
  <dcterms:created xsi:type="dcterms:W3CDTF">2026-03-20T15:23:00Z</dcterms:created>
  <dcterms:modified xsi:type="dcterms:W3CDTF">2026-03-20T15:32:00Z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