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74BCB069" w14:textId="77777777" w:rsidTr="00C4421B">
        <w:trPr>
          <w:cantSplit/>
          <w:trHeight w:val="23"/>
        </w:trPr>
        <w:tc>
          <w:tcPr>
            <w:tcW w:w="3969" w:type="dxa"/>
            <w:vMerge w:val="restart"/>
            <w:tcMar>
              <w:left w:w="0" w:type="dxa"/>
            </w:tcMar>
          </w:tcPr>
          <w:p w14:paraId="66471176" w14:textId="32900739" w:rsidR="00FE57F6" w:rsidRPr="00794B31" w:rsidRDefault="00794B31" w:rsidP="00C4421B">
            <w:pPr>
              <w:tabs>
                <w:tab w:val="left" w:pos="851"/>
              </w:tabs>
              <w:spacing w:before="0" w:line="240" w:lineRule="atLeast"/>
              <w:rPr>
                <w:b/>
                <w:lang w:val="es-ES"/>
              </w:rPr>
            </w:pPr>
            <w:bookmarkStart w:id="0" w:name="_Hlk133421839"/>
            <w:r w:rsidRPr="00794B31">
              <w:rPr>
                <w:b/>
                <w:lang w:val="es-ES"/>
              </w:rPr>
              <w:t>Punto del o</w:t>
            </w:r>
            <w:r w:rsidR="00BB6FD8" w:rsidRPr="00794B31">
              <w:rPr>
                <w:b/>
                <w:lang w:val="es-ES"/>
              </w:rPr>
              <w:t>rden del día</w:t>
            </w:r>
            <w:r w:rsidR="00FE57F6" w:rsidRPr="00794B31">
              <w:rPr>
                <w:b/>
                <w:lang w:val="es-ES"/>
              </w:rPr>
              <w:t xml:space="preserve">: </w:t>
            </w:r>
            <w:r w:rsidRPr="00794B31">
              <w:rPr>
                <w:b/>
                <w:lang w:val="es-ES"/>
              </w:rPr>
              <w:t>ADM 1</w:t>
            </w:r>
          </w:p>
        </w:tc>
        <w:tc>
          <w:tcPr>
            <w:tcW w:w="5245" w:type="dxa"/>
          </w:tcPr>
          <w:p w14:paraId="4F75C969" w14:textId="3E766C1E" w:rsidR="00FE57F6" w:rsidRPr="00BB6FD8" w:rsidRDefault="00FE57F6" w:rsidP="00C4421B">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F85E5C">
              <w:rPr>
                <w:b/>
              </w:rPr>
              <w:t>6</w:t>
            </w:r>
            <w:r w:rsidRPr="00BB6FD8">
              <w:rPr>
                <w:b/>
              </w:rPr>
              <w:t>/</w:t>
            </w:r>
            <w:r w:rsidR="00794B31">
              <w:rPr>
                <w:b/>
              </w:rPr>
              <w:t>16</w:t>
            </w:r>
            <w:r w:rsidRPr="00BB6FD8">
              <w:rPr>
                <w:b/>
              </w:rPr>
              <w:t>-</w:t>
            </w:r>
            <w:r w:rsidR="00F24B71" w:rsidRPr="00BB6FD8">
              <w:rPr>
                <w:b/>
              </w:rPr>
              <w:t>S</w:t>
            </w:r>
          </w:p>
        </w:tc>
      </w:tr>
      <w:tr w:rsidR="00FE57F6" w:rsidRPr="00666D09" w14:paraId="33E6BC84" w14:textId="77777777" w:rsidTr="00C4421B">
        <w:trPr>
          <w:cantSplit/>
        </w:trPr>
        <w:tc>
          <w:tcPr>
            <w:tcW w:w="3969" w:type="dxa"/>
            <w:vMerge/>
          </w:tcPr>
          <w:p w14:paraId="05C8A23C" w14:textId="77777777" w:rsidR="00FE57F6" w:rsidRPr="00BB6FD8" w:rsidRDefault="00FE57F6" w:rsidP="00C4421B">
            <w:pPr>
              <w:tabs>
                <w:tab w:val="left" w:pos="851"/>
              </w:tabs>
              <w:spacing w:line="240" w:lineRule="atLeast"/>
              <w:rPr>
                <w:b/>
              </w:rPr>
            </w:pPr>
          </w:p>
        </w:tc>
        <w:tc>
          <w:tcPr>
            <w:tcW w:w="5245" w:type="dxa"/>
          </w:tcPr>
          <w:p w14:paraId="7D049576" w14:textId="4CA7AB42" w:rsidR="00FE57F6" w:rsidRPr="00666D09" w:rsidRDefault="00794B31" w:rsidP="00C4421B">
            <w:pPr>
              <w:tabs>
                <w:tab w:val="left" w:pos="851"/>
              </w:tabs>
              <w:spacing w:before="0"/>
              <w:jc w:val="right"/>
              <w:rPr>
                <w:b/>
                <w:lang w:val="en-GB"/>
              </w:rPr>
            </w:pPr>
            <w:r>
              <w:rPr>
                <w:b/>
                <w:lang w:val="es-ES"/>
              </w:rPr>
              <w:t>3 de marzo de 2026</w:t>
            </w:r>
          </w:p>
        </w:tc>
      </w:tr>
      <w:tr w:rsidR="00FE57F6" w:rsidRPr="00BB6FD8" w14:paraId="02D26AD1" w14:textId="77777777" w:rsidTr="00C4421B">
        <w:trPr>
          <w:cantSplit/>
          <w:trHeight w:val="23"/>
        </w:trPr>
        <w:tc>
          <w:tcPr>
            <w:tcW w:w="3969" w:type="dxa"/>
            <w:vMerge/>
          </w:tcPr>
          <w:p w14:paraId="35DAD61E" w14:textId="77777777" w:rsidR="00FE57F6" w:rsidRPr="00666D09" w:rsidRDefault="00FE57F6" w:rsidP="00C4421B">
            <w:pPr>
              <w:tabs>
                <w:tab w:val="left" w:pos="851"/>
              </w:tabs>
              <w:spacing w:line="240" w:lineRule="atLeast"/>
              <w:rPr>
                <w:b/>
                <w:lang w:val="en-GB"/>
              </w:rPr>
            </w:pPr>
          </w:p>
        </w:tc>
        <w:tc>
          <w:tcPr>
            <w:tcW w:w="5245" w:type="dxa"/>
          </w:tcPr>
          <w:p w14:paraId="2754FF49"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4C6AAE81" w14:textId="77777777" w:rsidTr="00C4421B">
        <w:trPr>
          <w:cantSplit/>
          <w:trHeight w:val="23"/>
        </w:trPr>
        <w:tc>
          <w:tcPr>
            <w:tcW w:w="3969" w:type="dxa"/>
          </w:tcPr>
          <w:p w14:paraId="5D58787D" w14:textId="77777777" w:rsidR="00FE57F6" w:rsidRPr="00BB6FD8" w:rsidRDefault="00FE57F6" w:rsidP="00C4421B">
            <w:pPr>
              <w:tabs>
                <w:tab w:val="left" w:pos="851"/>
              </w:tabs>
              <w:spacing w:line="240" w:lineRule="atLeast"/>
              <w:rPr>
                <w:b/>
              </w:rPr>
            </w:pPr>
          </w:p>
        </w:tc>
        <w:tc>
          <w:tcPr>
            <w:tcW w:w="5245" w:type="dxa"/>
          </w:tcPr>
          <w:p w14:paraId="261345D4" w14:textId="77777777" w:rsidR="00FE57F6" w:rsidRPr="00BB6FD8" w:rsidRDefault="00FE57F6" w:rsidP="00C4421B">
            <w:pPr>
              <w:tabs>
                <w:tab w:val="left" w:pos="851"/>
              </w:tabs>
              <w:spacing w:before="0" w:line="240" w:lineRule="atLeast"/>
              <w:jc w:val="right"/>
              <w:rPr>
                <w:b/>
              </w:rPr>
            </w:pPr>
          </w:p>
        </w:tc>
      </w:tr>
      <w:tr w:rsidR="00FE57F6" w:rsidRPr="0038599B" w14:paraId="53DEDCCA" w14:textId="77777777" w:rsidTr="00C4421B">
        <w:trPr>
          <w:cantSplit/>
        </w:trPr>
        <w:tc>
          <w:tcPr>
            <w:tcW w:w="9214" w:type="dxa"/>
            <w:gridSpan w:val="2"/>
            <w:tcMar>
              <w:left w:w="0" w:type="dxa"/>
            </w:tcMar>
          </w:tcPr>
          <w:p w14:paraId="33B5788F" w14:textId="77777777" w:rsidR="00FE57F6" w:rsidRPr="00794B31" w:rsidRDefault="00157AC4" w:rsidP="00C4421B">
            <w:pPr>
              <w:pStyle w:val="Source"/>
              <w:jc w:val="left"/>
              <w:rPr>
                <w:sz w:val="34"/>
                <w:szCs w:val="34"/>
                <w:lang w:val="es-ES"/>
              </w:rPr>
            </w:pPr>
            <w:r w:rsidRPr="00794B31">
              <w:rPr>
                <w:rFonts w:cstheme="minorHAnsi"/>
                <w:sz w:val="34"/>
                <w:szCs w:val="34"/>
                <w:lang w:val="es-ES"/>
              </w:rPr>
              <w:t>Informe de la Secretaria General</w:t>
            </w:r>
          </w:p>
        </w:tc>
      </w:tr>
      <w:tr w:rsidR="00FE57F6" w:rsidRPr="0038599B" w14:paraId="69BFD8D9" w14:textId="77777777" w:rsidTr="00C4421B">
        <w:trPr>
          <w:cantSplit/>
        </w:trPr>
        <w:tc>
          <w:tcPr>
            <w:tcW w:w="9214" w:type="dxa"/>
            <w:gridSpan w:val="2"/>
            <w:tcMar>
              <w:left w:w="0" w:type="dxa"/>
            </w:tcMar>
          </w:tcPr>
          <w:p w14:paraId="27C91F3B" w14:textId="481816AB" w:rsidR="00FE57F6" w:rsidRPr="00794B31" w:rsidRDefault="0051468B" w:rsidP="00C4421B">
            <w:pPr>
              <w:pStyle w:val="Subtitle"/>
              <w:framePr w:hSpace="0" w:wrap="auto" w:hAnchor="text" w:xAlign="left" w:yAlign="inline"/>
              <w:rPr>
                <w:lang w:val="es-ES"/>
              </w:rPr>
            </w:pPr>
            <w:r w:rsidRPr="00794B31">
              <w:rPr>
                <w:lang w:val="es-ES"/>
              </w:rPr>
              <w:t>APLICACIÓN DE LA RECUPERACIÓN DE COSTES A LA TRAMITACIÓN DE NOTIFICACIONES DE REDES DE SATÉLITES</w:t>
            </w:r>
          </w:p>
        </w:tc>
      </w:tr>
      <w:tr w:rsidR="00FE57F6" w:rsidRPr="0038599B" w14:paraId="7054CC8E" w14:textId="77777777" w:rsidTr="00C4421B">
        <w:trPr>
          <w:cantSplit/>
        </w:trPr>
        <w:tc>
          <w:tcPr>
            <w:tcW w:w="9214" w:type="dxa"/>
            <w:gridSpan w:val="2"/>
            <w:tcBorders>
              <w:top w:val="single" w:sz="4" w:space="0" w:color="auto"/>
              <w:bottom w:val="single" w:sz="4" w:space="0" w:color="auto"/>
            </w:tcBorders>
            <w:tcMar>
              <w:left w:w="0" w:type="dxa"/>
            </w:tcMar>
          </w:tcPr>
          <w:p w14:paraId="7FEEE26E" w14:textId="77777777" w:rsidR="00FE57F6" w:rsidRPr="00794B31" w:rsidRDefault="00F24B71" w:rsidP="00C4421B">
            <w:pPr>
              <w:spacing w:before="160"/>
              <w:rPr>
                <w:b/>
                <w:bCs/>
                <w:sz w:val="26"/>
                <w:szCs w:val="26"/>
                <w:lang w:val="es-ES"/>
              </w:rPr>
            </w:pPr>
            <w:r w:rsidRPr="00794B31">
              <w:rPr>
                <w:b/>
                <w:bCs/>
                <w:sz w:val="26"/>
                <w:szCs w:val="26"/>
                <w:lang w:val="es-ES"/>
              </w:rPr>
              <w:t>Finalidad</w:t>
            </w:r>
          </w:p>
          <w:p w14:paraId="0A71A1DB" w14:textId="1AFD408D" w:rsidR="00FE57F6" w:rsidRPr="00794B31" w:rsidRDefault="00794B31" w:rsidP="0038599B">
            <w:pPr>
              <w:jc w:val="both"/>
              <w:rPr>
                <w:lang w:val="es-ES"/>
              </w:rPr>
            </w:pPr>
            <w:r w:rsidRPr="00794B31">
              <w:rPr>
                <w:lang w:val="es-ES"/>
              </w:rPr>
              <w:t>El presente documento contiene el informe anual relativo a la aplicación de la recuperación de costes a la tramitación de notificaciones de redes de satélites, con arreglo al Acuerdo 482 (C01, modificado por última vez C25) del Consejo de la UIT.</w:t>
            </w:r>
          </w:p>
          <w:p w14:paraId="445B06D4" w14:textId="77777777" w:rsidR="00FE57F6" w:rsidRPr="00794B31" w:rsidRDefault="00F24B71" w:rsidP="00C4421B">
            <w:pPr>
              <w:spacing w:before="160"/>
              <w:rPr>
                <w:b/>
                <w:bCs/>
                <w:sz w:val="26"/>
                <w:szCs w:val="26"/>
                <w:lang w:val="es-ES"/>
              </w:rPr>
            </w:pPr>
            <w:r w:rsidRPr="00794B31">
              <w:rPr>
                <w:b/>
                <w:bCs/>
                <w:sz w:val="26"/>
                <w:szCs w:val="26"/>
                <w:lang w:val="es-ES"/>
              </w:rPr>
              <w:t xml:space="preserve">Acción solicitada </w:t>
            </w:r>
            <w:r w:rsidR="00677A97" w:rsidRPr="00794B31">
              <w:rPr>
                <w:b/>
                <w:bCs/>
                <w:sz w:val="26"/>
                <w:szCs w:val="26"/>
                <w:lang w:val="es-ES"/>
              </w:rPr>
              <w:t>al</w:t>
            </w:r>
            <w:r w:rsidRPr="00794B31">
              <w:rPr>
                <w:b/>
                <w:bCs/>
                <w:sz w:val="26"/>
                <w:szCs w:val="26"/>
                <w:lang w:val="es-ES"/>
              </w:rPr>
              <w:t xml:space="preserve"> Consejo</w:t>
            </w:r>
          </w:p>
          <w:p w14:paraId="7321DCA9" w14:textId="4C77D401" w:rsidR="00F92BED" w:rsidRPr="00794B31" w:rsidRDefault="00794B31" w:rsidP="0038599B">
            <w:pPr>
              <w:spacing w:before="160"/>
              <w:jc w:val="both"/>
              <w:rPr>
                <w:szCs w:val="24"/>
                <w:lang w:val="es-ES"/>
              </w:rPr>
            </w:pPr>
            <w:r w:rsidRPr="00794B31">
              <w:rPr>
                <w:lang w:val="es-ES"/>
              </w:rPr>
              <w:t xml:space="preserve">Se invita al Consejo a que </w:t>
            </w:r>
            <w:r w:rsidRPr="00794B31">
              <w:rPr>
                <w:b/>
                <w:bCs/>
                <w:lang w:val="es-ES"/>
              </w:rPr>
              <w:t>tome nota</w:t>
            </w:r>
            <w:r w:rsidRPr="00794B31">
              <w:rPr>
                <w:lang w:val="es-ES"/>
              </w:rPr>
              <w:t xml:space="preserve"> del informe de situación sobre la aplicación de la recuperación de costes a la tramitación de notificaciones de redes de satélites y a que </w:t>
            </w:r>
            <w:r w:rsidRPr="00794B31">
              <w:rPr>
                <w:b/>
                <w:bCs/>
                <w:lang w:val="es-ES"/>
              </w:rPr>
              <w:t>encargue al Grupo de Trabajo del Consejo sobre Recursos Financieros y Humanos</w:t>
            </w:r>
            <w:r w:rsidRPr="00794B31">
              <w:rPr>
                <w:lang w:val="es-ES"/>
              </w:rPr>
              <w:t xml:space="preserve"> que estudie la manera de garantizar una evaluación adecuada de los costes de los trabajos en virtud de las Resoluciones 35 (</w:t>
            </w:r>
            <w:proofErr w:type="spellStart"/>
            <w:r w:rsidRPr="00794B31">
              <w:rPr>
                <w:lang w:val="es-ES"/>
              </w:rPr>
              <w:t>Rev.CMR</w:t>
            </w:r>
            <w:proofErr w:type="spellEnd"/>
            <w:r w:rsidRPr="00794B31">
              <w:rPr>
                <w:lang w:val="es-ES"/>
              </w:rPr>
              <w:t>-23) y 8 (</w:t>
            </w:r>
            <w:proofErr w:type="spellStart"/>
            <w:r w:rsidRPr="00794B31">
              <w:rPr>
                <w:lang w:val="es-ES"/>
              </w:rPr>
              <w:t>CMR</w:t>
            </w:r>
            <w:proofErr w:type="spellEnd"/>
            <w:r w:rsidRPr="00794B31">
              <w:rPr>
                <w:lang w:val="es-ES"/>
              </w:rPr>
              <w:t>-23).</w:t>
            </w:r>
          </w:p>
          <w:p w14:paraId="751B43F1" w14:textId="77777777"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320A5AD4" w14:textId="7598CEE8" w:rsidR="00F92BED" w:rsidRPr="00794B31" w:rsidRDefault="00794B31" w:rsidP="0038599B">
            <w:pPr>
              <w:jc w:val="both"/>
              <w:rPr>
                <w:lang w:val="es-ES"/>
              </w:rPr>
            </w:pPr>
            <w:r w:rsidRPr="00794B31">
              <w:rPr>
                <w:lang w:val="es-ES"/>
              </w:rPr>
              <w:t>Utilización del espectro para servicios espaciales y terrenales; ofertas de productos y servicios; atribución y gestión de recursos.</w:t>
            </w:r>
          </w:p>
          <w:p w14:paraId="524B4E9B" w14:textId="77777777" w:rsidR="00F92BED" w:rsidRPr="00794B31" w:rsidRDefault="00F92BED" w:rsidP="00C4421B">
            <w:pPr>
              <w:spacing w:before="160"/>
              <w:rPr>
                <w:b/>
                <w:bCs/>
                <w:sz w:val="26"/>
                <w:szCs w:val="26"/>
                <w:lang w:val="es-ES"/>
              </w:rPr>
            </w:pPr>
            <w:r w:rsidRPr="00794B31">
              <w:rPr>
                <w:b/>
                <w:bCs/>
                <w:sz w:val="26"/>
                <w:szCs w:val="26"/>
                <w:lang w:val="es-ES"/>
              </w:rPr>
              <w:t>Repercusiones financieras</w:t>
            </w:r>
          </w:p>
          <w:p w14:paraId="2942A59B" w14:textId="77777777" w:rsidR="00794B31" w:rsidRPr="00794B31" w:rsidRDefault="00794B31" w:rsidP="0038599B">
            <w:pPr>
              <w:spacing w:before="100"/>
              <w:jc w:val="both"/>
              <w:rPr>
                <w:lang w:val="es-ES"/>
              </w:rPr>
            </w:pPr>
            <w:r w:rsidRPr="00794B31">
              <w:rPr>
                <w:lang w:val="es-ES"/>
              </w:rPr>
              <w:t>En 2025, se emitieron facturas por valor de 8 031 590 CHF.</w:t>
            </w:r>
          </w:p>
          <w:p w14:paraId="7CD7F915" w14:textId="38EBF0F1" w:rsidR="00794B31" w:rsidRPr="00794B31" w:rsidRDefault="00794B31" w:rsidP="0038599B">
            <w:pPr>
              <w:spacing w:before="100"/>
              <w:jc w:val="both"/>
              <w:rPr>
                <w:lang w:val="es-ES"/>
              </w:rPr>
            </w:pPr>
            <w:r w:rsidRPr="00794B31">
              <w:rPr>
                <w:lang w:val="es-ES"/>
              </w:rPr>
              <w:t>Se registraron 4</w:t>
            </w:r>
            <w:r w:rsidR="004A3AAD">
              <w:rPr>
                <w:lang w:val="es-ES"/>
              </w:rPr>
              <w:t> </w:t>
            </w:r>
            <w:r w:rsidRPr="00794B31">
              <w:rPr>
                <w:lang w:val="es-ES"/>
              </w:rPr>
              <w:t>237</w:t>
            </w:r>
            <w:r w:rsidR="004A3AAD">
              <w:rPr>
                <w:lang w:val="es-ES"/>
              </w:rPr>
              <w:t> </w:t>
            </w:r>
            <w:r w:rsidRPr="00794B31">
              <w:rPr>
                <w:lang w:val="es-ES"/>
              </w:rPr>
              <w:t>520</w:t>
            </w:r>
            <w:r w:rsidR="004A3AAD">
              <w:rPr>
                <w:lang w:val="es-ES"/>
              </w:rPr>
              <w:t> </w:t>
            </w:r>
            <w:r w:rsidRPr="00794B31">
              <w:rPr>
                <w:lang w:val="es-ES"/>
              </w:rPr>
              <w:t>CHF en concepto de ingresos aplazados y alrededor de 3</w:t>
            </w:r>
            <w:r w:rsidR="004A3AAD">
              <w:rPr>
                <w:lang w:val="es-ES"/>
              </w:rPr>
              <w:t> </w:t>
            </w:r>
            <w:r w:rsidRPr="00794B31">
              <w:rPr>
                <w:lang w:val="es-ES"/>
              </w:rPr>
              <w:t>800</w:t>
            </w:r>
            <w:r w:rsidR="004A3AAD">
              <w:rPr>
                <w:lang w:val="es-ES"/>
              </w:rPr>
              <w:t> </w:t>
            </w:r>
            <w:r w:rsidRPr="00794B31">
              <w:rPr>
                <w:lang w:val="es-ES"/>
              </w:rPr>
              <w:t>000</w:t>
            </w:r>
            <w:r w:rsidR="004A3AAD">
              <w:rPr>
                <w:lang w:val="es-ES"/>
              </w:rPr>
              <w:t> </w:t>
            </w:r>
            <w:r w:rsidRPr="00794B31">
              <w:rPr>
                <w:lang w:val="es-ES"/>
              </w:rPr>
              <w:t>CHF siguen pendientes de facturación, por falta de recursos de tramitación</w:t>
            </w:r>
          </w:p>
          <w:p w14:paraId="2E13771D" w14:textId="32B6F0B9" w:rsidR="00F92BED" w:rsidRPr="00794B31" w:rsidRDefault="00794B31" w:rsidP="0038599B">
            <w:pPr>
              <w:jc w:val="both"/>
              <w:rPr>
                <w:lang w:val="es-ES"/>
              </w:rPr>
            </w:pPr>
            <w:r w:rsidRPr="00794B31">
              <w:rPr>
                <w:lang w:val="es-ES"/>
              </w:rPr>
              <w:t>En 2025, los costes de tramitación de todas las notificaciones de redes de satélites ascendieron a 23 233 090</w:t>
            </w:r>
            <w:r w:rsidR="004A3AAD">
              <w:rPr>
                <w:lang w:val="es-ES"/>
              </w:rPr>
              <w:t> </w:t>
            </w:r>
            <w:r w:rsidRPr="00794B31">
              <w:rPr>
                <w:lang w:val="es-ES"/>
              </w:rPr>
              <w:t xml:space="preserve">CHF, a los que hay que sumar los gastos adicionales correspondientes al desarrollo de </w:t>
            </w:r>
            <w:r w:rsidRPr="00794B31">
              <w:rPr>
                <w:i/>
                <w:iCs/>
                <w:lang w:val="es-ES"/>
              </w:rPr>
              <w:t>software</w:t>
            </w:r>
            <w:r w:rsidRPr="00794B31">
              <w:rPr>
                <w:lang w:val="es-ES"/>
              </w:rPr>
              <w:t xml:space="preserve"> específico para los servicios espaciales que sufragará la UIT.</w:t>
            </w:r>
          </w:p>
          <w:p w14:paraId="3BCD4F1B" w14:textId="77777777" w:rsidR="00FE57F6" w:rsidRPr="00794B31" w:rsidRDefault="00FE57F6" w:rsidP="00C4421B">
            <w:pPr>
              <w:spacing w:before="160"/>
              <w:rPr>
                <w:caps/>
                <w:sz w:val="22"/>
                <w:lang w:val="es-ES"/>
              </w:rPr>
            </w:pPr>
            <w:r w:rsidRPr="00794B31">
              <w:rPr>
                <w:sz w:val="22"/>
                <w:lang w:val="es-ES"/>
              </w:rPr>
              <w:t>__________________</w:t>
            </w:r>
          </w:p>
          <w:p w14:paraId="4E6081CB" w14:textId="77777777" w:rsidR="00FE57F6" w:rsidRPr="00794B31" w:rsidRDefault="00F24B71" w:rsidP="00C4421B">
            <w:pPr>
              <w:spacing w:before="160"/>
              <w:rPr>
                <w:b/>
                <w:bCs/>
                <w:sz w:val="26"/>
                <w:szCs w:val="26"/>
                <w:lang w:val="es-ES"/>
              </w:rPr>
            </w:pPr>
            <w:r w:rsidRPr="00794B31">
              <w:rPr>
                <w:b/>
                <w:bCs/>
                <w:sz w:val="26"/>
                <w:szCs w:val="26"/>
                <w:lang w:val="es-ES"/>
              </w:rPr>
              <w:t>Referencia</w:t>
            </w:r>
            <w:r w:rsidR="00F92BED" w:rsidRPr="00794B31">
              <w:rPr>
                <w:b/>
                <w:bCs/>
                <w:sz w:val="26"/>
                <w:szCs w:val="26"/>
                <w:lang w:val="es-ES"/>
              </w:rPr>
              <w:t>s</w:t>
            </w:r>
            <w:r w:rsidR="00D375E0" w:rsidRPr="00794B31">
              <w:rPr>
                <w:sz w:val="26"/>
                <w:szCs w:val="26"/>
                <w:lang w:val="es-ES"/>
              </w:rPr>
              <w:t xml:space="preserve"> </w:t>
            </w:r>
          </w:p>
          <w:p w14:paraId="6760316B" w14:textId="3804D4C4" w:rsidR="00FE57F6" w:rsidRPr="00794B31" w:rsidRDefault="0038599B" w:rsidP="00C4421B">
            <w:pPr>
              <w:spacing w:after="160"/>
              <w:rPr>
                <w:i/>
                <w:iCs/>
                <w:sz w:val="22"/>
                <w:szCs w:val="22"/>
                <w:lang w:val="es-ES"/>
              </w:rPr>
            </w:pPr>
            <w:r w:rsidRPr="0038599B">
              <w:rPr>
                <w:i/>
                <w:iCs/>
                <w:sz w:val="22"/>
                <w:szCs w:val="22"/>
                <w:lang w:val="es-ES"/>
              </w:rPr>
              <w:t>Resolución </w:t>
            </w:r>
            <w:hyperlink r:id="rId6" w:history="1">
              <w:r w:rsidR="00794B31" w:rsidRPr="00794B31">
                <w:rPr>
                  <w:rStyle w:val="Hyperlink"/>
                  <w:i/>
                  <w:iCs/>
                  <w:sz w:val="22"/>
                  <w:lang w:val="es-ES"/>
                </w:rPr>
                <w:t>91 (Rev. Guadalajara, 2010)</w:t>
              </w:r>
            </w:hyperlink>
            <w:r w:rsidR="00794B31" w:rsidRPr="00794B31">
              <w:rPr>
                <w:i/>
                <w:iCs/>
                <w:sz w:val="22"/>
                <w:szCs w:val="22"/>
                <w:lang w:val="es-ES"/>
              </w:rPr>
              <w:t xml:space="preserve"> de la Conferencia de Plenipotenciarios;</w:t>
            </w:r>
            <w:r w:rsidR="00794B31" w:rsidRPr="00794B31">
              <w:rPr>
                <w:sz w:val="22"/>
                <w:szCs w:val="22"/>
                <w:lang w:val="es-ES"/>
              </w:rPr>
              <w:t xml:space="preserve"> </w:t>
            </w:r>
            <w:r w:rsidR="00794B31" w:rsidRPr="00794B31">
              <w:rPr>
                <w:i/>
                <w:iCs/>
                <w:sz w:val="22"/>
                <w:szCs w:val="22"/>
                <w:lang w:val="es-ES"/>
              </w:rPr>
              <w:t xml:space="preserve">Acuerdo </w:t>
            </w:r>
            <w:hyperlink r:id="rId7" w:history="1">
              <w:r w:rsidR="00794B31" w:rsidRPr="00794B31">
                <w:rPr>
                  <w:rStyle w:val="Hyperlink"/>
                  <w:i/>
                  <w:iCs/>
                  <w:sz w:val="22"/>
                  <w:lang w:val="es-ES"/>
                </w:rPr>
                <w:t>482 (</w:t>
              </w:r>
              <w:proofErr w:type="spellStart"/>
              <w:r w:rsidR="00794B31" w:rsidRPr="00794B31">
                <w:rPr>
                  <w:rStyle w:val="Hyperlink"/>
                  <w:i/>
                  <w:iCs/>
                  <w:sz w:val="22"/>
                  <w:lang w:val="es-ES"/>
                </w:rPr>
                <w:t>C01</w:t>
              </w:r>
              <w:proofErr w:type="spellEnd"/>
              <w:r w:rsidR="00794B31" w:rsidRPr="00794B31">
                <w:rPr>
                  <w:rStyle w:val="Hyperlink"/>
                  <w:i/>
                  <w:iCs/>
                  <w:sz w:val="22"/>
                  <w:lang w:val="es-ES"/>
                </w:rPr>
                <w:t>, modificado por últ</w:t>
              </w:r>
              <w:r w:rsidR="00794B31" w:rsidRPr="00794B31">
                <w:rPr>
                  <w:rStyle w:val="Hyperlink"/>
                  <w:i/>
                  <w:iCs/>
                  <w:sz w:val="22"/>
                  <w:lang w:val="es-ES"/>
                </w:rPr>
                <w:t>i</w:t>
              </w:r>
              <w:r w:rsidR="00794B31" w:rsidRPr="00794B31">
                <w:rPr>
                  <w:rStyle w:val="Hyperlink"/>
                  <w:i/>
                  <w:iCs/>
                  <w:sz w:val="22"/>
                  <w:lang w:val="es-ES"/>
                </w:rPr>
                <w:t>ma vez C25)</w:t>
              </w:r>
            </w:hyperlink>
            <w:r w:rsidR="00794B31" w:rsidRPr="00794B31">
              <w:rPr>
                <w:sz w:val="22"/>
                <w:szCs w:val="22"/>
                <w:lang w:val="es-ES"/>
              </w:rPr>
              <w:t xml:space="preserve"> </w:t>
            </w:r>
            <w:r w:rsidR="00794B31" w:rsidRPr="00794B31">
              <w:rPr>
                <w:i/>
                <w:iCs/>
                <w:sz w:val="22"/>
                <w:szCs w:val="22"/>
                <w:lang w:val="es-ES"/>
              </w:rPr>
              <w:t xml:space="preserve">del Consejo; Documentos </w:t>
            </w:r>
            <w:hyperlink r:id="rId8" w:history="1">
              <w:proofErr w:type="spellStart"/>
              <w:r w:rsidR="00794B31" w:rsidRPr="00794B31">
                <w:rPr>
                  <w:rStyle w:val="Hyperlink"/>
                  <w:i/>
                  <w:iCs/>
                  <w:sz w:val="22"/>
                  <w:lang w:val="es-ES"/>
                </w:rPr>
                <w:t>C25</w:t>
              </w:r>
              <w:proofErr w:type="spellEnd"/>
              <w:r w:rsidR="00794B31" w:rsidRPr="00794B31">
                <w:rPr>
                  <w:rStyle w:val="Hyperlink"/>
                  <w:i/>
                  <w:iCs/>
                  <w:sz w:val="22"/>
                  <w:lang w:val="es-ES"/>
                </w:rPr>
                <w:t>/11</w:t>
              </w:r>
            </w:hyperlink>
            <w:r w:rsidR="00794B31" w:rsidRPr="00794B31">
              <w:rPr>
                <w:i/>
                <w:iCs/>
                <w:sz w:val="22"/>
                <w:szCs w:val="22"/>
                <w:lang w:val="es-ES"/>
              </w:rPr>
              <w:t xml:space="preserve"> y </w:t>
            </w:r>
            <w:hyperlink r:id="rId9" w:history="1">
              <w:proofErr w:type="spellStart"/>
              <w:r w:rsidR="00794B31" w:rsidRPr="00794B31">
                <w:rPr>
                  <w:rStyle w:val="Hyperlink"/>
                  <w:i/>
                  <w:iCs/>
                  <w:sz w:val="22"/>
                  <w:lang w:val="es-ES"/>
                </w:rPr>
                <w:t>C25</w:t>
              </w:r>
              <w:proofErr w:type="spellEnd"/>
              <w:r w:rsidR="00794B31" w:rsidRPr="00794B31">
                <w:rPr>
                  <w:rStyle w:val="Hyperlink"/>
                  <w:i/>
                  <w:iCs/>
                  <w:sz w:val="22"/>
                  <w:lang w:val="es-ES"/>
                </w:rPr>
                <w:t>/16</w:t>
              </w:r>
            </w:hyperlink>
            <w:r w:rsidR="00794B31" w:rsidRPr="00794B31">
              <w:rPr>
                <w:sz w:val="22"/>
                <w:szCs w:val="22"/>
                <w:lang w:val="es-ES"/>
              </w:rPr>
              <w:t xml:space="preserve"> </w:t>
            </w:r>
            <w:r w:rsidR="00794B31" w:rsidRPr="00794B31">
              <w:rPr>
                <w:i/>
                <w:iCs/>
                <w:sz w:val="22"/>
                <w:szCs w:val="22"/>
                <w:lang w:val="es-ES"/>
              </w:rPr>
              <w:t>del Consejo.</w:t>
            </w:r>
          </w:p>
        </w:tc>
      </w:tr>
    </w:tbl>
    <w:bookmarkEnd w:id="0"/>
    <w:p w14:paraId="7C769247" w14:textId="23922ADC" w:rsidR="00794B31" w:rsidRPr="00794B31" w:rsidRDefault="004A3AAD" w:rsidP="00D712A1">
      <w:pPr>
        <w:jc w:val="both"/>
        <w:rPr>
          <w:lang w:val="es-ES"/>
        </w:rPr>
      </w:pPr>
      <w:r>
        <w:rPr>
          <w:lang w:val="es-ES"/>
        </w:rPr>
        <w:lastRenderedPageBreak/>
        <w:t>1</w:t>
      </w:r>
      <w:r>
        <w:rPr>
          <w:lang w:val="es-ES"/>
        </w:rPr>
        <w:tab/>
      </w:r>
      <w:r w:rsidR="00794B31" w:rsidRPr="00794B31">
        <w:rPr>
          <w:lang w:val="es-ES"/>
        </w:rPr>
        <w:t>En su sesión de 2025, el Consejo aprobó una modificación del Acuerdo</w:t>
      </w:r>
      <w:r>
        <w:rPr>
          <w:lang w:val="es-ES"/>
        </w:rPr>
        <w:t> </w:t>
      </w:r>
      <w:hyperlink r:id="rId10" w:history="1">
        <w:r w:rsidR="00794B31" w:rsidRPr="004A3AAD">
          <w:rPr>
            <w:rStyle w:val="Hyperlink"/>
            <w:rFonts w:eastAsia="Times New Roman" w:cs="Times New Roman"/>
            <w:szCs w:val="20"/>
            <w:lang w:val="es-ES"/>
          </w:rPr>
          <w:t>482</w:t>
        </w:r>
      </w:hyperlink>
      <w:r w:rsidR="00794B31" w:rsidRPr="00794B31">
        <w:rPr>
          <w:lang w:val="es-ES"/>
        </w:rPr>
        <w:t xml:space="preserve">, que entró en vigor el 1 de enero de 2026. La Oficina de Radiocomunicaciones ha actualizado su </w:t>
      </w:r>
      <w:r w:rsidR="00794B31" w:rsidRPr="00794B31">
        <w:rPr>
          <w:i/>
          <w:iCs/>
          <w:lang w:val="es-ES"/>
        </w:rPr>
        <w:t>software</w:t>
      </w:r>
      <w:r w:rsidR="00794B31" w:rsidRPr="00794B31">
        <w:rPr>
          <w:lang w:val="es-ES"/>
        </w:rPr>
        <w:t xml:space="preserve"> para facilitar a las administraciones el cálculo del coste de sus notificaciones antes de su presentación. En noviembre de 2025 se puso a disposición una versión de prueba del </w:t>
      </w:r>
      <w:r w:rsidR="00794B31" w:rsidRPr="00794B31">
        <w:rPr>
          <w:i/>
          <w:iCs/>
          <w:lang w:val="es-ES"/>
        </w:rPr>
        <w:t>software</w:t>
      </w:r>
      <w:r w:rsidR="00794B31" w:rsidRPr="00794B31">
        <w:rPr>
          <w:lang w:val="es-ES"/>
        </w:rPr>
        <w:t xml:space="preserve"> con objeto de que las administraciones pudieran tener una comprensión más cabal de la repercusión de la modificación del Acuerdo 482 sobre las notificaciones que tuvieran previsto presentar a partir de 2026. Dicho </w:t>
      </w:r>
      <w:r w:rsidR="00794B31" w:rsidRPr="00794B31">
        <w:rPr>
          <w:i/>
          <w:iCs/>
          <w:lang w:val="es-ES"/>
        </w:rPr>
        <w:t>software</w:t>
      </w:r>
      <w:r w:rsidR="00794B31" w:rsidRPr="00794B31">
        <w:rPr>
          <w:lang w:val="es-ES"/>
        </w:rPr>
        <w:t xml:space="preserve"> está en funcionamiento desde principios de 2026.</w:t>
      </w:r>
    </w:p>
    <w:p w14:paraId="6BD6AF1E" w14:textId="77777777" w:rsidR="00794B31" w:rsidRPr="00794B31" w:rsidRDefault="00794B31" w:rsidP="00794B31">
      <w:pPr>
        <w:pStyle w:val="Headingb"/>
        <w:tabs>
          <w:tab w:val="clear" w:pos="567"/>
          <w:tab w:val="left" w:pos="0"/>
        </w:tabs>
        <w:rPr>
          <w:lang w:val="es-ES"/>
        </w:rPr>
      </w:pPr>
      <w:r w:rsidRPr="00794B31">
        <w:rPr>
          <w:lang w:val="es-ES"/>
        </w:rPr>
        <w:t>Informe sobre la aplicación del Acuerdo 482 (C01, modificado por última vez C25) en 2024 y 2025</w:t>
      </w:r>
    </w:p>
    <w:p w14:paraId="2608FF85" w14:textId="77777777" w:rsidR="00794B31" w:rsidRPr="00794B31" w:rsidRDefault="00794B31" w:rsidP="00D712A1">
      <w:pPr>
        <w:jc w:val="both"/>
        <w:rPr>
          <w:lang w:val="es-ES"/>
        </w:rPr>
      </w:pPr>
      <w:r w:rsidRPr="00794B31">
        <w:rPr>
          <w:lang w:val="es-ES"/>
        </w:rPr>
        <w:t>2</w:t>
      </w:r>
      <w:r w:rsidRPr="00794B31">
        <w:rPr>
          <w:lang w:val="es-ES"/>
        </w:rPr>
        <w:tab/>
        <w:t xml:space="preserve">En el Cuadro 1 </w:t>
      </w:r>
      <w:r w:rsidRPr="00794B31">
        <w:rPr>
          <w:i/>
          <w:iCs/>
          <w:lang w:val="es-ES"/>
        </w:rPr>
        <w:t>infra</w:t>
      </w:r>
      <w:r w:rsidRPr="00794B31">
        <w:rPr>
          <w:lang w:val="es-ES"/>
        </w:rPr>
        <w:t xml:space="preserve"> se facilita información pertinente en relación con la aplicación del Acuerdo 482 (C01, modificado por última vez C24) en 2024 y 2025, incluido el porcentaje de facturas emitidas en 2024 y 2025 que se abonaron a tiempo.</w:t>
      </w:r>
    </w:p>
    <w:p w14:paraId="423F6144" w14:textId="3982F44B" w:rsidR="00794B31" w:rsidRPr="00794B31" w:rsidRDefault="00794B31" w:rsidP="00794B31">
      <w:pPr>
        <w:pStyle w:val="TableNo"/>
        <w:rPr>
          <w:lang w:val="es-ES"/>
        </w:rPr>
      </w:pPr>
      <w:r w:rsidRPr="00794B31">
        <w:rPr>
          <w:lang w:val="es-ES"/>
        </w:rPr>
        <w:t>Cuadro 1</w:t>
      </w:r>
    </w:p>
    <w:p w14:paraId="14834047" w14:textId="77777777" w:rsidR="00794B31" w:rsidRPr="00794B31" w:rsidRDefault="00794B31" w:rsidP="00794B31">
      <w:pPr>
        <w:pStyle w:val="Tabletitle"/>
        <w:rPr>
          <w:lang w:val="es-ES"/>
        </w:rPr>
      </w:pPr>
      <w:r w:rsidRPr="00794B31">
        <w:rPr>
          <w:lang w:val="es-ES"/>
        </w:rPr>
        <w:t>Situación de la aplicación del Acuerdo 482 en 2024 y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1030"/>
        <w:gridCol w:w="2471"/>
        <w:gridCol w:w="2265"/>
      </w:tblGrid>
      <w:tr w:rsidR="00794B31" w:rsidRPr="001D325D" w14:paraId="4029EAC4" w14:textId="77777777" w:rsidTr="003E4E2F">
        <w:trPr>
          <w:jc w:val="center"/>
        </w:trPr>
        <w:tc>
          <w:tcPr>
            <w:tcW w:w="3295" w:type="dxa"/>
          </w:tcPr>
          <w:p w14:paraId="0A459DB7" w14:textId="77777777" w:rsidR="00794B31" w:rsidRPr="00794B31" w:rsidRDefault="00794B31" w:rsidP="003E4E2F">
            <w:pPr>
              <w:pStyle w:val="Tablehead"/>
              <w:rPr>
                <w:lang w:val="es-ES"/>
              </w:rPr>
            </w:pPr>
          </w:p>
        </w:tc>
        <w:tc>
          <w:tcPr>
            <w:tcW w:w="1030" w:type="dxa"/>
          </w:tcPr>
          <w:p w14:paraId="2BC0389E" w14:textId="77777777" w:rsidR="00794B31" w:rsidRPr="00794B31" w:rsidRDefault="00794B31" w:rsidP="003E4E2F">
            <w:pPr>
              <w:pStyle w:val="Tablehead"/>
              <w:rPr>
                <w:lang w:val="es-ES"/>
              </w:rPr>
            </w:pPr>
          </w:p>
        </w:tc>
        <w:tc>
          <w:tcPr>
            <w:tcW w:w="2471" w:type="dxa"/>
          </w:tcPr>
          <w:p w14:paraId="0848D5A6" w14:textId="77777777" w:rsidR="00794B31" w:rsidRPr="001D325D" w:rsidRDefault="00794B31" w:rsidP="003E4E2F">
            <w:pPr>
              <w:pStyle w:val="Tablehead"/>
            </w:pPr>
            <w:r w:rsidRPr="001D325D">
              <w:rPr>
                <w:bCs/>
              </w:rPr>
              <w:t>202</w:t>
            </w:r>
            <w:r>
              <w:rPr>
                <w:bCs/>
              </w:rPr>
              <w:t>4</w:t>
            </w:r>
          </w:p>
        </w:tc>
        <w:tc>
          <w:tcPr>
            <w:tcW w:w="2265" w:type="dxa"/>
          </w:tcPr>
          <w:p w14:paraId="6D390962" w14:textId="77777777" w:rsidR="00794B31" w:rsidRPr="001D325D" w:rsidRDefault="00794B31" w:rsidP="003E4E2F">
            <w:pPr>
              <w:pStyle w:val="Tablehead"/>
            </w:pPr>
            <w:r w:rsidRPr="001D325D">
              <w:rPr>
                <w:bCs/>
              </w:rPr>
              <w:t>202</w:t>
            </w:r>
            <w:r>
              <w:rPr>
                <w:bCs/>
              </w:rPr>
              <w:t>5</w:t>
            </w:r>
          </w:p>
        </w:tc>
      </w:tr>
      <w:tr w:rsidR="00794B31" w:rsidRPr="001D325D" w14:paraId="6718B19F" w14:textId="77777777" w:rsidTr="003E4E2F">
        <w:trPr>
          <w:jc w:val="center"/>
        </w:trPr>
        <w:tc>
          <w:tcPr>
            <w:tcW w:w="3295" w:type="dxa"/>
            <w:vAlign w:val="center"/>
          </w:tcPr>
          <w:p w14:paraId="232025EA" w14:textId="77777777" w:rsidR="00794B31" w:rsidRPr="001D325D" w:rsidRDefault="00794B31" w:rsidP="003E4E2F">
            <w:pPr>
              <w:pStyle w:val="Tabletext"/>
            </w:pPr>
            <w:r w:rsidRPr="001D325D">
              <w:t>Importe presupuestado</w:t>
            </w:r>
          </w:p>
        </w:tc>
        <w:tc>
          <w:tcPr>
            <w:tcW w:w="1030" w:type="dxa"/>
            <w:vAlign w:val="center"/>
          </w:tcPr>
          <w:p w14:paraId="235B4B24" w14:textId="77777777" w:rsidR="00794B31" w:rsidRPr="001D325D" w:rsidRDefault="00794B31" w:rsidP="003E4E2F">
            <w:pPr>
              <w:pStyle w:val="Tabletext"/>
              <w:jc w:val="center"/>
            </w:pPr>
            <w:r w:rsidRPr="001D325D">
              <w:t>CHF</w:t>
            </w:r>
          </w:p>
        </w:tc>
        <w:tc>
          <w:tcPr>
            <w:tcW w:w="2471" w:type="dxa"/>
            <w:vAlign w:val="center"/>
          </w:tcPr>
          <w:p w14:paraId="005E6259" w14:textId="2E60DE20" w:rsidR="00794B31" w:rsidRPr="001D325D" w:rsidRDefault="00794B31" w:rsidP="003E4E2F">
            <w:pPr>
              <w:pStyle w:val="Tabletext"/>
              <w:jc w:val="center"/>
            </w:pPr>
            <w:r w:rsidRPr="001D325D">
              <w:t>1</w:t>
            </w:r>
            <w:r>
              <w:t>4</w:t>
            </w:r>
            <w:r w:rsidRPr="001D325D">
              <w:t> 000 000</w:t>
            </w:r>
            <w:r w:rsidRPr="001D325D">
              <w:br/>
            </w:r>
            <w:r w:rsidRPr="006E1C76">
              <w:rPr>
                <w:sz w:val="20"/>
              </w:rPr>
              <w:t>(</w:t>
            </w:r>
            <w:proofErr w:type="spellStart"/>
            <w:r w:rsidRPr="006E1C76">
              <w:rPr>
                <w:sz w:val="20"/>
              </w:rPr>
              <w:t>Res</w:t>
            </w:r>
            <w:proofErr w:type="spellEnd"/>
            <w:r w:rsidR="006E1C76" w:rsidRPr="006E1C76">
              <w:rPr>
                <w:sz w:val="20"/>
              </w:rPr>
              <w:t>.</w:t>
            </w:r>
            <w:r w:rsidRPr="006E1C76">
              <w:rPr>
                <w:sz w:val="20"/>
              </w:rPr>
              <w:t xml:space="preserve"> 1417 (C23) del Consejo))</w:t>
            </w:r>
          </w:p>
        </w:tc>
        <w:tc>
          <w:tcPr>
            <w:tcW w:w="2265" w:type="dxa"/>
            <w:vAlign w:val="center"/>
          </w:tcPr>
          <w:p w14:paraId="3FEFA1A3" w14:textId="218F70CA" w:rsidR="00794B31" w:rsidRPr="001D325D" w:rsidRDefault="00794B31" w:rsidP="003E4E2F">
            <w:pPr>
              <w:pStyle w:val="Tabletext"/>
              <w:jc w:val="center"/>
            </w:pPr>
            <w:r w:rsidRPr="001D325D">
              <w:t>14 000 000</w:t>
            </w:r>
            <w:r w:rsidRPr="001D325D">
              <w:br/>
            </w:r>
            <w:r w:rsidRPr="006E1C76">
              <w:rPr>
                <w:sz w:val="20"/>
              </w:rPr>
              <w:t>(</w:t>
            </w:r>
            <w:proofErr w:type="spellStart"/>
            <w:r w:rsidRPr="006E1C76">
              <w:rPr>
                <w:sz w:val="20"/>
              </w:rPr>
              <w:t>Res</w:t>
            </w:r>
            <w:proofErr w:type="spellEnd"/>
            <w:r w:rsidR="006E1C76" w:rsidRPr="006E1C76">
              <w:rPr>
                <w:sz w:val="20"/>
              </w:rPr>
              <w:t>.</w:t>
            </w:r>
            <w:r w:rsidRPr="006E1C76">
              <w:rPr>
                <w:sz w:val="20"/>
              </w:rPr>
              <w:t xml:space="preserve"> 1417 (C23) del Consejo)</w:t>
            </w:r>
          </w:p>
        </w:tc>
      </w:tr>
      <w:tr w:rsidR="00794B31" w:rsidRPr="001D325D" w14:paraId="3524F9E7" w14:textId="77777777" w:rsidTr="003E4E2F">
        <w:trPr>
          <w:jc w:val="center"/>
        </w:trPr>
        <w:tc>
          <w:tcPr>
            <w:tcW w:w="3295" w:type="dxa"/>
            <w:vAlign w:val="center"/>
          </w:tcPr>
          <w:p w14:paraId="39630CF5" w14:textId="77777777" w:rsidR="00794B31" w:rsidRPr="00794B31" w:rsidRDefault="00794B31" w:rsidP="003E4E2F">
            <w:pPr>
              <w:pStyle w:val="Tabletext"/>
              <w:rPr>
                <w:lang w:val="es-ES"/>
              </w:rPr>
            </w:pPr>
            <w:r w:rsidRPr="00794B31">
              <w:rPr>
                <w:lang w:val="es-ES"/>
              </w:rPr>
              <w:t>Total de facturas emitidas* (menos las publicaciones gratuitas)</w:t>
            </w:r>
          </w:p>
        </w:tc>
        <w:tc>
          <w:tcPr>
            <w:tcW w:w="1030" w:type="dxa"/>
            <w:vAlign w:val="center"/>
          </w:tcPr>
          <w:p w14:paraId="27F4F7EF" w14:textId="77777777" w:rsidR="00794B31" w:rsidRPr="001D325D" w:rsidRDefault="00794B31" w:rsidP="003E4E2F">
            <w:pPr>
              <w:pStyle w:val="Tabletext"/>
              <w:jc w:val="center"/>
            </w:pPr>
            <w:r w:rsidRPr="001D325D">
              <w:t>CHF</w:t>
            </w:r>
          </w:p>
        </w:tc>
        <w:tc>
          <w:tcPr>
            <w:tcW w:w="2471" w:type="dxa"/>
            <w:vAlign w:val="center"/>
          </w:tcPr>
          <w:p w14:paraId="7BD858FF" w14:textId="2E2A4B5C" w:rsidR="00794B31" w:rsidRPr="001D325D" w:rsidRDefault="00794B31" w:rsidP="003E4E2F">
            <w:pPr>
              <w:pStyle w:val="Tabletext"/>
              <w:jc w:val="center"/>
            </w:pPr>
            <w:r w:rsidRPr="00063C24">
              <w:t>9</w:t>
            </w:r>
            <w:r w:rsidR="004A3AAD">
              <w:t> </w:t>
            </w:r>
            <w:r w:rsidRPr="00063C24">
              <w:t>679</w:t>
            </w:r>
            <w:r w:rsidR="004A3AAD">
              <w:t> </w:t>
            </w:r>
            <w:r w:rsidRPr="00063C24">
              <w:t>754</w:t>
            </w:r>
          </w:p>
        </w:tc>
        <w:tc>
          <w:tcPr>
            <w:tcW w:w="2265" w:type="dxa"/>
            <w:vAlign w:val="center"/>
          </w:tcPr>
          <w:p w14:paraId="35DB3249" w14:textId="2AD283BF" w:rsidR="00794B31" w:rsidRPr="001D325D" w:rsidRDefault="00794B31" w:rsidP="003E4E2F">
            <w:pPr>
              <w:pStyle w:val="Tabletext"/>
              <w:jc w:val="center"/>
            </w:pPr>
            <w:r w:rsidRPr="00BC2095">
              <w:t>8</w:t>
            </w:r>
            <w:r w:rsidR="004A3AAD">
              <w:t> </w:t>
            </w:r>
            <w:r w:rsidRPr="00BC2095">
              <w:t>031</w:t>
            </w:r>
            <w:r w:rsidR="004A3AAD">
              <w:t> </w:t>
            </w:r>
            <w:r w:rsidRPr="00BC2095">
              <w:t>590</w:t>
            </w:r>
          </w:p>
        </w:tc>
      </w:tr>
      <w:tr w:rsidR="00794B31" w:rsidRPr="001D325D" w14:paraId="141D1542" w14:textId="77777777" w:rsidTr="003E4E2F">
        <w:trPr>
          <w:jc w:val="center"/>
        </w:trPr>
        <w:tc>
          <w:tcPr>
            <w:tcW w:w="3295" w:type="dxa"/>
            <w:vAlign w:val="center"/>
          </w:tcPr>
          <w:p w14:paraId="6693F586" w14:textId="77777777" w:rsidR="00794B31" w:rsidRPr="001D325D" w:rsidRDefault="00794B31" w:rsidP="003E4E2F">
            <w:pPr>
              <w:pStyle w:val="Tabletext"/>
            </w:pPr>
            <w:r w:rsidRPr="001D325D">
              <w:t>Publicación gratuita</w:t>
            </w:r>
          </w:p>
        </w:tc>
        <w:tc>
          <w:tcPr>
            <w:tcW w:w="1030" w:type="dxa"/>
            <w:vAlign w:val="center"/>
          </w:tcPr>
          <w:p w14:paraId="553EF104" w14:textId="77777777" w:rsidR="00794B31" w:rsidRPr="001D325D" w:rsidRDefault="00794B31" w:rsidP="003E4E2F">
            <w:pPr>
              <w:pStyle w:val="Tabletext"/>
              <w:jc w:val="center"/>
            </w:pPr>
            <w:r w:rsidRPr="001D325D">
              <w:t>CHF</w:t>
            </w:r>
          </w:p>
        </w:tc>
        <w:tc>
          <w:tcPr>
            <w:tcW w:w="2471" w:type="dxa"/>
            <w:vAlign w:val="center"/>
          </w:tcPr>
          <w:p w14:paraId="6AB11066" w14:textId="5F83C478" w:rsidR="00794B31" w:rsidRPr="001D325D" w:rsidRDefault="00794B31" w:rsidP="003E4E2F">
            <w:pPr>
              <w:pStyle w:val="Tabletext"/>
              <w:jc w:val="center"/>
            </w:pPr>
            <w:r w:rsidRPr="001D325D">
              <w:t>1 </w:t>
            </w:r>
            <w:r w:rsidRPr="00BC2095">
              <w:t>209</w:t>
            </w:r>
            <w:r w:rsidR="004A3AAD">
              <w:t> </w:t>
            </w:r>
            <w:r w:rsidRPr="00BC2095">
              <w:t>753</w:t>
            </w:r>
          </w:p>
        </w:tc>
        <w:tc>
          <w:tcPr>
            <w:tcW w:w="2265" w:type="dxa"/>
          </w:tcPr>
          <w:p w14:paraId="25CF131D" w14:textId="676FDA80" w:rsidR="00794B31" w:rsidRPr="001D325D" w:rsidRDefault="00794B31" w:rsidP="003E4E2F">
            <w:pPr>
              <w:pStyle w:val="Tabletext"/>
              <w:jc w:val="center"/>
            </w:pPr>
            <w:r w:rsidRPr="001D325D">
              <w:t>1</w:t>
            </w:r>
            <w:r>
              <w:t> </w:t>
            </w:r>
            <w:r w:rsidRPr="00BC2095">
              <w:t>869</w:t>
            </w:r>
            <w:r w:rsidR="004A3AAD">
              <w:t> </w:t>
            </w:r>
            <w:r w:rsidRPr="00BC2095">
              <w:t>666</w:t>
            </w:r>
          </w:p>
        </w:tc>
      </w:tr>
      <w:tr w:rsidR="00794B31" w:rsidRPr="001D325D" w14:paraId="6C369306" w14:textId="77777777" w:rsidTr="003E4E2F">
        <w:trPr>
          <w:jc w:val="center"/>
        </w:trPr>
        <w:tc>
          <w:tcPr>
            <w:tcW w:w="3295" w:type="dxa"/>
            <w:tcBorders>
              <w:bottom w:val="single" w:sz="12" w:space="0" w:color="auto"/>
            </w:tcBorders>
            <w:vAlign w:val="center"/>
          </w:tcPr>
          <w:p w14:paraId="3AC530A9" w14:textId="77777777" w:rsidR="00794B31" w:rsidRPr="001D325D" w:rsidRDefault="00794B31" w:rsidP="003E4E2F">
            <w:pPr>
              <w:pStyle w:val="Tabletext"/>
            </w:pPr>
            <w:r w:rsidRPr="001D325D">
              <w:t>Pagos recibidos**</w:t>
            </w:r>
          </w:p>
        </w:tc>
        <w:tc>
          <w:tcPr>
            <w:tcW w:w="1030" w:type="dxa"/>
            <w:tcBorders>
              <w:bottom w:val="single" w:sz="12" w:space="0" w:color="auto"/>
            </w:tcBorders>
            <w:vAlign w:val="center"/>
          </w:tcPr>
          <w:p w14:paraId="39E89943" w14:textId="77777777" w:rsidR="00794B31" w:rsidRPr="001D325D" w:rsidRDefault="00794B31" w:rsidP="003E4E2F">
            <w:pPr>
              <w:pStyle w:val="Tabletext"/>
              <w:jc w:val="center"/>
            </w:pPr>
            <w:r w:rsidRPr="001D325D">
              <w:t>CHF</w:t>
            </w:r>
          </w:p>
        </w:tc>
        <w:tc>
          <w:tcPr>
            <w:tcW w:w="2471" w:type="dxa"/>
            <w:tcBorders>
              <w:bottom w:val="single" w:sz="12" w:space="0" w:color="auto"/>
            </w:tcBorders>
            <w:vAlign w:val="center"/>
          </w:tcPr>
          <w:p w14:paraId="2B4C7F53" w14:textId="47FFE0C7" w:rsidR="00794B31" w:rsidRPr="001D325D" w:rsidRDefault="00794B31" w:rsidP="003E4E2F">
            <w:pPr>
              <w:pStyle w:val="Tabletext"/>
              <w:jc w:val="center"/>
            </w:pPr>
            <w:r w:rsidRPr="001D325D">
              <w:t>9 </w:t>
            </w:r>
            <w:r w:rsidRPr="00BC2095">
              <w:t>707</w:t>
            </w:r>
            <w:r w:rsidR="004A3AAD">
              <w:t> </w:t>
            </w:r>
            <w:r w:rsidRPr="00BC2095">
              <w:t>718</w:t>
            </w:r>
          </w:p>
        </w:tc>
        <w:tc>
          <w:tcPr>
            <w:tcW w:w="2265" w:type="dxa"/>
            <w:tcBorders>
              <w:bottom w:val="single" w:sz="12" w:space="0" w:color="auto"/>
            </w:tcBorders>
          </w:tcPr>
          <w:p w14:paraId="30BD60C8" w14:textId="673AE450" w:rsidR="00794B31" w:rsidRPr="001D325D" w:rsidRDefault="00794B31" w:rsidP="003E4E2F">
            <w:pPr>
              <w:pStyle w:val="Tabletext"/>
              <w:jc w:val="center"/>
            </w:pPr>
            <w:r>
              <w:t>8</w:t>
            </w:r>
            <w:r w:rsidR="004A3AAD">
              <w:t> </w:t>
            </w:r>
            <w:r w:rsidRPr="00BC2095">
              <w:t>189</w:t>
            </w:r>
            <w:r w:rsidR="004A3AAD">
              <w:t> </w:t>
            </w:r>
            <w:r w:rsidRPr="00BC2095">
              <w:t>965</w:t>
            </w:r>
          </w:p>
        </w:tc>
      </w:tr>
      <w:tr w:rsidR="00794B31" w:rsidRPr="001D325D" w14:paraId="58311AA9" w14:textId="77777777" w:rsidTr="00AD1E8E">
        <w:trPr>
          <w:jc w:val="center"/>
        </w:trPr>
        <w:tc>
          <w:tcPr>
            <w:tcW w:w="6796" w:type="dxa"/>
            <w:gridSpan w:val="3"/>
            <w:tcBorders>
              <w:top w:val="single" w:sz="12" w:space="0" w:color="auto"/>
              <w:left w:val="single" w:sz="2" w:space="0" w:color="auto"/>
              <w:bottom w:val="single" w:sz="4" w:space="0" w:color="auto"/>
              <w:right w:val="single" w:sz="2" w:space="0" w:color="auto"/>
            </w:tcBorders>
            <w:vAlign w:val="center"/>
          </w:tcPr>
          <w:p w14:paraId="04B33A21" w14:textId="77777777" w:rsidR="00794B31" w:rsidRPr="00794B31" w:rsidRDefault="00794B31" w:rsidP="003E4E2F">
            <w:pPr>
              <w:pStyle w:val="Tabletext"/>
              <w:rPr>
                <w:lang w:val="es-ES"/>
              </w:rPr>
            </w:pPr>
            <w:r w:rsidRPr="00794B31">
              <w:rPr>
                <w:lang w:val="es-ES"/>
              </w:rPr>
              <w:t>Porcentaje de facturas emitidas en 2024 y 2025 que vencían el 31/12/2025 y han sido pagadas</w:t>
            </w:r>
          </w:p>
        </w:tc>
        <w:tc>
          <w:tcPr>
            <w:tcW w:w="2265" w:type="dxa"/>
            <w:tcBorders>
              <w:top w:val="single" w:sz="12" w:space="0" w:color="auto"/>
              <w:left w:val="single" w:sz="2" w:space="0" w:color="auto"/>
              <w:bottom w:val="single" w:sz="4" w:space="0" w:color="auto"/>
              <w:right w:val="single" w:sz="2" w:space="0" w:color="auto"/>
            </w:tcBorders>
            <w:vAlign w:val="center"/>
          </w:tcPr>
          <w:p w14:paraId="6AC9BBA8" w14:textId="77777777" w:rsidR="00794B31" w:rsidRPr="001D325D" w:rsidRDefault="00794B31" w:rsidP="003E4E2F">
            <w:pPr>
              <w:pStyle w:val="Tabletext"/>
              <w:jc w:val="center"/>
            </w:pPr>
            <w:r w:rsidRPr="001D325D">
              <w:t>&gt;99</w:t>
            </w:r>
            <w:r>
              <w:t> </w:t>
            </w:r>
            <w:r w:rsidRPr="001D325D">
              <w:t>%</w:t>
            </w:r>
          </w:p>
        </w:tc>
      </w:tr>
      <w:tr w:rsidR="004A3AAD" w:rsidRPr="0038599B" w14:paraId="02BBB6DC" w14:textId="77777777" w:rsidTr="00AD1E8E">
        <w:trPr>
          <w:jc w:val="center"/>
        </w:trPr>
        <w:tc>
          <w:tcPr>
            <w:tcW w:w="9061" w:type="dxa"/>
            <w:gridSpan w:val="4"/>
            <w:tcBorders>
              <w:top w:val="single" w:sz="4" w:space="0" w:color="auto"/>
              <w:left w:val="nil"/>
              <w:bottom w:val="nil"/>
              <w:right w:val="nil"/>
            </w:tcBorders>
            <w:vAlign w:val="center"/>
          </w:tcPr>
          <w:p w14:paraId="70F0706B" w14:textId="77777777" w:rsidR="004A3AAD" w:rsidRDefault="004A3AAD" w:rsidP="004A3AAD">
            <w:pPr>
              <w:pStyle w:val="Tablelegend"/>
              <w:rPr>
                <w:lang w:val="es-ES"/>
              </w:rPr>
            </w:pPr>
            <w:r w:rsidRPr="00794B31">
              <w:rPr>
                <w:lang w:val="es-ES"/>
              </w:rPr>
              <w:t>*</w:t>
            </w:r>
            <w:r w:rsidRPr="00794B31">
              <w:rPr>
                <w:lang w:val="es-ES"/>
              </w:rPr>
              <w:tab/>
              <w:t>El pago de las facturas es exigible en un plazo de seis meses desde la fecha de emisión.</w:t>
            </w:r>
          </w:p>
          <w:p w14:paraId="70FF06FB" w14:textId="100D7FE7" w:rsidR="004A3AAD" w:rsidRPr="0038599B" w:rsidRDefault="004A3AAD" w:rsidP="004A3AAD">
            <w:pPr>
              <w:pStyle w:val="Tablelegend"/>
              <w:rPr>
                <w:lang w:val="es-ES"/>
              </w:rPr>
            </w:pPr>
            <w:r w:rsidRPr="00794B31">
              <w:rPr>
                <w:lang w:val="es-ES"/>
              </w:rPr>
              <w:t>**</w:t>
            </w:r>
            <w:r w:rsidRPr="00794B31">
              <w:rPr>
                <w:lang w:val="es-ES"/>
              </w:rPr>
              <w:tab/>
              <w:t>Los pagos recibidos incluyen las facturas emitidas en ejercicios anteriores.</w:t>
            </w:r>
            <w:r w:rsidRPr="00794B31">
              <w:rPr>
                <w:rFonts w:ascii="Times New Roman" w:hAnsi="Times New Roman"/>
                <w:szCs w:val="24"/>
                <w:lang w:val="es-ES" w:eastAsia="en-GB"/>
              </w:rPr>
              <w:t xml:space="preserve"> </w:t>
            </w:r>
            <w:r w:rsidRPr="00794B31">
              <w:rPr>
                <w:lang w:val="es-ES"/>
              </w:rPr>
              <w:t>Este importe representa la suma de todos los pagos recibidos por la UIT durante el año civil 2025. Difiere de los ingresos contabilizados en 2025, ya que esos pagos se tienen en cuenta en los ingresos relativos al año de publicación de las notificaciones correspondientes.</w:t>
            </w:r>
          </w:p>
        </w:tc>
      </w:tr>
    </w:tbl>
    <w:p w14:paraId="0664690B" w14:textId="77777777" w:rsidR="00AD1E8E" w:rsidRDefault="00AD1E8E" w:rsidP="00AD1E8E">
      <w:pPr>
        <w:pStyle w:val="Tablefin"/>
      </w:pPr>
    </w:p>
    <w:p w14:paraId="073F1406" w14:textId="41839054" w:rsidR="00794B31" w:rsidRPr="00794B31" w:rsidRDefault="00794B31" w:rsidP="006E1C76">
      <w:pPr>
        <w:jc w:val="both"/>
        <w:rPr>
          <w:lang w:val="es-ES"/>
        </w:rPr>
      </w:pPr>
      <w:r w:rsidRPr="00794B31">
        <w:rPr>
          <w:lang w:val="es-ES"/>
        </w:rPr>
        <w:t>3</w:t>
      </w:r>
      <w:r w:rsidRPr="00794B31">
        <w:rPr>
          <w:lang w:val="es-ES"/>
        </w:rPr>
        <w:tab/>
        <w:t>En el Documento </w:t>
      </w:r>
      <w:proofErr w:type="spellStart"/>
      <w:r>
        <w:fldChar w:fldCharType="begin"/>
      </w:r>
      <w:r w:rsidR="00AD1E8E" w:rsidRPr="006E1C76">
        <w:rPr>
          <w:lang w:val="es-ES"/>
        </w:rPr>
        <w:instrText>HYPERLINK "https://www.itu.int/md/S26-CL-C-0011/es"</w:instrText>
      </w:r>
      <w:r>
        <w:fldChar w:fldCharType="separate"/>
      </w:r>
      <w:r w:rsidRPr="00794B31">
        <w:rPr>
          <w:rStyle w:val="Hyperlink"/>
          <w:lang w:val="es-ES"/>
        </w:rPr>
        <w:t>C26</w:t>
      </w:r>
      <w:proofErr w:type="spellEnd"/>
      <w:r w:rsidRPr="00794B31">
        <w:rPr>
          <w:rStyle w:val="Hyperlink"/>
          <w:lang w:val="es-ES"/>
        </w:rPr>
        <w:t>/11</w:t>
      </w:r>
      <w:r>
        <w:fldChar w:fldCharType="end"/>
      </w:r>
      <w:r w:rsidRPr="00794B31">
        <w:rPr>
          <w:lang w:val="es-ES"/>
        </w:rPr>
        <w:t xml:space="preserve"> del Consejo se proporciona información sobre la situación de los atrasos y las cuentas especiales de atrasos a fecha de 31 de diciembre de 2025, incluidos conceptos relacionados con las notificaciones de redes de satélites.</w:t>
      </w:r>
    </w:p>
    <w:p w14:paraId="19EFE873" w14:textId="0E44DC25" w:rsidR="00794B31" w:rsidRPr="00794B31" w:rsidRDefault="00794B31" w:rsidP="006E1C76">
      <w:pPr>
        <w:jc w:val="both"/>
        <w:rPr>
          <w:lang w:val="es-ES"/>
        </w:rPr>
      </w:pPr>
      <w:r w:rsidRPr="00794B31">
        <w:rPr>
          <w:lang w:val="es-ES"/>
        </w:rPr>
        <w:t>4</w:t>
      </w:r>
      <w:r w:rsidRPr="00794B31">
        <w:rPr>
          <w:lang w:val="es-ES"/>
        </w:rPr>
        <w:tab/>
        <w:t xml:space="preserve">La diferencia entre los importes presupuestados para la recuperación de costes y los importes realmente facturados se debe a un reequilibrio entre las notificaciones de redes de satélites geoestacionarios y de sistemas de satélites no geoestacionarios. Las notificaciones de redes de satélites geoestacionarios están generalmente sujetas a cánones más elevados que las de los sistemas de satélites no geoestacionarios. A fin de subsanar esta diferencia, en la reunión de 2025 del Consejo se aprobó la modificación del Acuerdo </w:t>
      </w:r>
      <w:hyperlink r:id="rId11" w:history="1">
        <w:r w:rsidRPr="00B679AD">
          <w:rPr>
            <w:rStyle w:val="Hyperlink"/>
            <w:rFonts w:eastAsia="Times New Roman" w:cs="Times New Roman"/>
            <w:szCs w:val="20"/>
            <w:lang w:val="es-ES"/>
          </w:rPr>
          <w:t>482</w:t>
        </w:r>
      </w:hyperlink>
      <w:r w:rsidRPr="00794B31">
        <w:rPr>
          <w:lang w:val="es-ES"/>
        </w:rPr>
        <w:t xml:space="preserve">, si bien la repercusión de dicha modificación solo se pondrá de manifiesto a partir de 2026, ya que la revisión entró en vigor el 1 de enero de 2026 (cabe señalar que en diciembre de 2025 se </w:t>
      </w:r>
      <w:r w:rsidRPr="00794B31">
        <w:rPr>
          <w:lang w:val="es-ES"/>
        </w:rPr>
        <w:lastRenderedPageBreak/>
        <w:t>registró un valor máximo de notificaciones relativas a bandas no planificadas, que superó en más del doble el número promedio registrado en los demás meses de 2025).</w:t>
      </w:r>
    </w:p>
    <w:p w14:paraId="23B53515" w14:textId="34AA164D" w:rsidR="00794B31" w:rsidRPr="00794B31" w:rsidRDefault="00794B31" w:rsidP="006E1C76">
      <w:pPr>
        <w:jc w:val="both"/>
        <w:rPr>
          <w:lang w:val="es-ES"/>
        </w:rPr>
      </w:pPr>
      <w:r w:rsidRPr="00794B31">
        <w:rPr>
          <w:lang w:val="es-ES"/>
        </w:rPr>
        <w:t>5</w:t>
      </w:r>
      <w:r w:rsidRPr="00794B31">
        <w:rPr>
          <w:lang w:val="es-ES"/>
        </w:rPr>
        <w:tab/>
        <w:t xml:space="preserve">De conformidad con el </w:t>
      </w:r>
      <w:r w:rsidRPr="00794B31">
        <w:rPr>
          <w:i/>
          <w:iCs/>
          <w:lang w:val="es-ES"/>
        </w:rPr>
        <w:t>encarga al Director de la Oficina de Radiocomunicaciones</w:t>
      </w:r>
      <w:r w:rsidR="00B679AD">
        <w:rPr>
          <w:lang w:val="es-ES"/>
        </w:rPr>
        <w:t> </w:t>
      </w:r>
      <w:r w:rsidRPr="00794B31">
        <w:rPr>
          <w:lang w:val="es-ES"/>
        </w:rPr>
        <w:t>2</w:t>
      </w:r>
      <w:r w:rsidR="00B679AD">
        <w:rPr>
          <w:lang w:val="es-ES"/>
        </w:rPr>
        <w:t> </w:t>
      </w:r>
      <w:r w:rsidRPr="006E1C76">
        <w:rPr>
          <w:lang w:val="es-ES"/>
        </w:rPr>
        <w:t>a)</w:t>
      </w:r>
      <w:r w:rsidRPr="00794B31">
        <w:rPr>
          <w:lang w:val="es-ES"/>
        </w:rPr>
        <w:t xml:space="preserve"> del Acuerdo 482, el Cuadro 2 </w:t>
      </w:r>
      <w:r w:rsidRPr="00794B31">
        <w:rPr>
          <w:i/>
          <w:iCs/>
          <w:lang w:val="es-ES"/>
        </w:rPr>
        <w:t>infra</w:t>
      </w:r>
      <w:r w:rsidRPr="00794B31">
        <w:rPr>
          <w:lang w:val="es-ES"/>
        </w:rPr>
        <w:t xml:space="preserve"> refleja los costes asociados a la tramitación de notificaciones relacionadas con satélites en 2024 y 2025.</w:t>
      </w:r>
    </w:p>
    <w:p w14:paraId="79C22E08" w14:textId="77777777" w:rsidR="00794B31" w:rsidRPr="00794B31" w:rsidRDefault="00794B31" w:rsidP="00794B31">
      <w:pPr>
        <w:pStyle w:val="TableNo"/>
        <w:rPr>
          <w:lang w:val="es-ES"/>
        </w:rPr>
      </w:pPr>
      <w:r w:rsidRPr="00794B31">
        <w:rPr>
          <w:lang w:val="es-ES"/>
        </w:rPr>
        <w:t>Cuadro 2</w:t>
      </w:r>
    </w:p>
    <w:p w14:paraId="296CED15" w14:textId="77777777" w:rsidR="00794B31" w:rsidRPr="00794B31" w:rsidRDefault="00794B31" w:rsidP="00794B31">
      <w:pPr>
        <w:pStyle w:val="Tabletitle"/>
        <w:rPr>
          <w:lang w:val="es-ES"/>
        </w:rPr>
      </w:pPr>
      <w:r w:rsidRPr="00794B31">
        <w:rPr>
          <w:lang w:val="es-ES"/>
        </w:rPr>
        <w:t xml:space="preserve">Costes asociados a la tramitación de notificaciones </w:t>
      </w:r>
      <w:r w:rsidRPr="00794B31">
        <w:rPr>
          <w:lang w:val="es-ES"/>
        </w:rPr>
        <w:br/>
        <w:t>relacionadas con satélites en 2024 y 2025</w:t>
      </w:r>
    </w:p>
    <w:tbl>
      <w:tblPr>
        <w:tblW w:w="5000" w:type="pct"/>
        <w:jc w:val="center"/>
        <w:tblLayout w:type="fixed"/>
        <w:tblLook w:val="04A0" w:firstRow="1" w:lastRow="0" w:firstColumn="1" w:lastColumn="0" w:noHBand="0" w:noVBand="1"/>
      </w:tblPr>
      <w:tblGrid>
        <w:gridCol w:w="5455"/>
        <w:gridCol w:w="783"/>
        <w:gridCol w:w="1400"/>
        <w:gridCol w:w="1423"/>
      </w:tblGrid>
      <w:tr w:rsidR="00794B31" w:rsidRPr="001D325D" w14:paraId="3C942DF8" w14:textId="77777777" w:rsidTr="003E4E2F">
        <w:trPr>
          <w:trHeight w:val="300"/>
          <w:jc w:val="center"/>
        </w:trPr>
        <w:tc>
          <w:tcPr>
            <w:tcW w:w="5455" w:type="dxa"/>
            <w:tcBorders>
              <w:top w:val="single" w:sz="4" w:space="0" w:color="auto"/>
              <w:left w:val="single" w:sz="4" w:space="0" w:color="auto"/>
              <w:bottom w:val="single" w:sz="4" w:space="0" w:color="auto"/>
              <w:right w:val="single" w:sz="4" w:space="0" w:color="auto"/>
            </w:tcBorders>
            <w:noWrap/>
            <w:vAlign w:val="bottom"/>
          </w:tcPr>
          <w:p w14:paraId="52D001FD" w14:textId="77777777" w:rsidR="00794B31" w:rsidRPr="00794B31" w:rsidRDefault="00794B31" w:rsidP="003E4E2F">
            <w:pPr>
              <w:pStyle w:val="Tablehead"/>
              <w:rPr>
                <w:lang w:val="es-ES"/>
              </w:rPr>
            </w:pPr>
          </w:p>
        </w:tc>
        <w:tc>
          <w:tcPr>
            <w:tcW w:w="783" w:type="dxa"/>
            <w:tcBorders>
              <w:top w:val="single" w:sz="4" w:space="0" w:color="auto"/>
              <w:left w:val="nil"/>
              <w:bottom w:val="single" w:sz="4" w:space="0" w:color="auto"/>
              <w:right w:val="single" w:sz="4" w:space="0" w:color="auto"/>
            </w:tcBorders>
            <w:vAlign w:val="center"/>
          </w:tcPr>
          <w:p w14:paraId="10E92C11" w14:textId="77777777" w:rsidR="00794B31" w:rsidRPr="00794B31" w:rsidRDefault="00794B31" w:rsidP="003E4E2F">
            <w:pPr>
              <w:pStyle w:val="Tablehead"/>
              <w:rPr>
                <w:lang w:val="es-ES"/>
              </w:rPr>
            </w:pP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5C4C43E4" w14:textId="77777777" w:rsidR="00794B31" w:rsidRPr="001D325D" w:rsidRDefault="00794B31" w:rsidP="003E4E2F">
            <w:pPr>
              <w:pStyle w:val="Tablehead"/>
            </w:pPr>
            <w:r w:rsidRPr="001D325D">
              <w:t>2023</w:t>
            </w:r>
          </w:p>
        </w:tc>
        <w:tc>
          <w:tcPr>
            <w:tcW w:w="1423" w:type="dxa"/>
            <w:tcBorders>
              <w:top w:val="single" w:sz="4" w:space="0" w:color="auto"/>
              <w:left w:val="nil"/>
              <w:bottom w:val="single" w:sz="4" w:space="0" w:color="auto"/>
              <w:right w:val="single" w:sz="4" w:space="0" w:color="auto"/>
            </w:tcBorders>
            <w:vAlign w:val="center"/>
          </w:tcPr>
          <w:p w14:paraId="74D5791C" w14:textId="77777777" w:rsidR="00794B31" w:rsidRPr="001D325D" w:rsidRDefault="00794B31" w:rsidP="003E4E2F">
            <w:pPr>
              <w:pStyle w:val="Tablehead"/>
            </w:pPr>
            <w:r w:rsidRPr="001D325D">
              <w:t>2024</w:t>
            </w:r>
          </w:p>
        </w:tc>
      </w:tr>
      <w:tr w:rsidR="00794B31" w:rsidRPr="001D325D" w14:paraId="4C799FE3" w14:textId="77777777" w:rsidTr="003E4E2F">
        <w:trPr>
          <w:trHeight w:val="300"/>
          <w:jc w:val="center"/>
        </w:trPr>
        <w:tc>
          <w:tcPr>
            <w:tcW w:w="5455" w:type="dxa"/>
            <w:tcBorders>
              <w:top w:val="nil"/>
              <w:left w:val="single" w:sz="4" w:space="0" w:color="auto"/>
              <w:bottom w:val="single" w:sz="4" w:space="0" w:color="auto"/>
              <w:right w:val="single" w:sz="4" w:space="0" w:color="auto"/>
            </w:tcBorders>
            <w:noWrap/>
            <w:vAlign w:val="center"/>
            <w:hideMark/>
          </w:tcPr>
          <w:p w14:paraId="1BB4543E" w14:textId="77777777" w:rsidR="00794B31" w:rsidRPr="00794B31" w:rsidRDefault="00794B31" w:rsidP="003E4E2F">
            <w:pPr>
              <w:pStyle w:val="Tabletext"/>
              <w:rPr>
                <w:bCs/>
                <w:lang w:val="es-ES"/>
              </w:rPr>
            </w:pPr>
            <w:r w:rsidRPr="00794B31">
              <w:rPr>
                <w:lang w:val="es-ES"/>
              </w:rPr>
              <w:t>Costes de la BR sobre la base de un estudio de tiempos</w:t>
            </w:r>
          </w:p>
        </w:tc>
        <w:tc>
          <w:tcPr>
            <w:tcW w:w="783" w:type="dxa"/>
            <w:tcBorders>
              <w:top w:val="single" w:sz="4" w:space="0" w:color="auto"/>
              <w:left w:val="nil"/>
              <w:bottom w:val="single" w:sz="4" w:space="0" w:color="auto"/>
              <w:right w:val="single" w:sz="4" w:space="0" w:color="auto"/>
            </w:tcBorders>
            <w:vAlign w:val="center"/>
          </w:tcPr>
          <w:p w14:paraId="70109D7F" w14:textId="77777777" w:rsidR="00794B31" w:rsidRPr="001D325D" w:rsidRDefault="00794B31" w:rsidP="003E4E2F">
            <w:pPr>
              <w:pStyle w:val="Tabletext"/>
              <w:jc w:val="center"/>
              <w:rPr>
                <w:bCs/>
              </w:rPr>
            </w:pPr>
            <w:r w:rsidRPr="001D325D">
              <w:t>CHF</w:t>
            </w:r>
          </w:p>
        </w:tc>
        <w:tc>
          <w:tcPr>
            <w:tcW w:w="1400" w:type="dxa"/>
            <w:tcBorders>
              <w:top w:val="nil"/>
              <w:left w:val="single" w:sz="4" w:space="0" w:color="auto"/>
              <w:bottom w:val="single" w:sz="4" w:space="0" w:color="auto"/>
              <w:right w:val="single" w:sz="4" w:space="0" w:color="auto"/>
            </w:tcBorders>
            <w:noWrap/>
            <w:hideMark/>
          </w:tcPr>
          <w:p w14:paraId="4876FC36" w14:textId="069DF105" w:rsidR="00794B31" w:rsidRPr="001D325D" w:rsidRDefault="00794B31" w:rsidP="003E4E2F">
            <w:pPr>
              <w:pStyle w:val="Tabletext"/>
              <w:jc w:val="center"/>
              <w:rPr>
                <w:bCs/>
              </w:rPr>
            </w:pPr>
            <w:r w:rsidRPr="00C62D1B">
              <w:t>12</w:t>
            </w:r>
            <w:r w:rsidR="00B679AD">
              <w:t> </w:t>
            </w:r>
            <w:r w:rsidRPr="00C62D1B">
              <w:t>144</w:t>
            </w:r>
            <w:r w:rsidR="00B679AD">
              <w:t> </w:t>
            </w:r>
            <w:r w:rsidRPr="00C62D1B">
              <w:t>478</w:t>
            </w:r>
          </w:p>
        </w:tc>
        <w:tc>
          <w:tcPr>
            <w:tcW w:w="1423" w:type="dxa"/>
            <w:tcBorders>
              <w:top w:val="nil"/>
              <w:left w:val="nil"/>
              <w:bottom w:val="single" w:sz="4" w:space="0" w:color="auto"/>
              <w:right w:val="single" w:sz="4" w:space="0" w:color="auto"/>
            </w:tcBorders>
          </w:tcPr>
          <w:p w14:paraId="17B66CD3" w14:textId="21257ED9" w:rsidR="00794B31" w:rsidRPr="001D325D" w:rsidRDefault="00794B31" w:rsidP="003E4E2F">
            <w:pPr>
              <w:pStyle w:val="Tabletext"/>
              <w:jc w:val="center"/>
              <w:rPr>
                <w:bCs/>
              </w:rPr>
            </w:pPr>
            <w:r w:rsidRPr="00C62D1B">
              <w:t>12</w:t>
            </w:r>
            <w:r w:rsidR="00B679AD">
              <w:t> </w:t>
            </w:r>
            <w:r w:rsidRPr="00C62D1B">
              <w:t>567</w:t>
            </w:r>
            <w:r w:rsidR="00B679AD">
              <w:t> </w:t>
            </w:r>
            <w:r w:rsidRPr="00C62D1B">
              <w:t>090</w:t>
            </w:r>
          </w:p>
        </w:tc>
      </w:tr>
      <w:tr w:rsidR="00794B31" w:rsidRPr="001D325D" w14:paraId="4CEB8A2A" w14:textId="77777777" w:rsidTr="00B679AD">
        <w:trPr>
          <w:trHeight w:val="300"/>
          <w:jc w:val="center"/>
        </w:trPr>
        <w:tc>
          <w:tcPr>
            <w:tcW w:w="5455" w:type="dxa"/>
            <w:tcBorders>
              <w:top w:val="nil"/>
              <w:left w:val="single" w:sz="4" w:space="0" w:color="auto"/>
              <w:bottom w:val="single" w:sz="4" w:space="0" w:color="auto"/>
              <w:right w:val="single" w:sz="4" w:space="0" w:color="auto"/>
            </w:tcBorders>
            <w:noWrap/>
            <w:vAlign w:val="center"/>
            <w:hideMark/>
          </w:tcPr>
          <w:p w14:paraId="70F79B02" w14:textId="77777777" w:rsidR="00794B31" w:rsidRPr="00794B31" w:rsidRDefault="00794B31" w:rsidP="003E4E2F">
            <w:pPr>
              <w:pStyle w:val="Tabletext"/>
              <w:rPr>
                <w:bCs/>
                <w:lang w:val="es-ES"/>
              </w:rPr>
            </w:pPr>
            <w:r w:rsidRPr="00794B31">
              <w:rPr>
                <w:lang w:val="es-ES"/>
              </w:rPr>
              <w:t>Costes de los servicios administrativos y de apoyo de la SG</w:t>
            </w:r>
          </w:p>
        </w:tc>
        <w:tc>
          <w:tcPr>
            <w:tcW w:w="783" w:type="dxa"/>
            <w:tcBorders>
              <w:top w:val="single" w:sz="4" w:space="0" w:color="auto"/>
              <w:left w:val="nil"/>
              <w:bottom w:val="single" w:sz="4" w:space="0" w:color="auto"/>
              <w:right w:val="single" w:sz="4" w:space="0" w:color="auto"/>
            </w:tcBorders>
            <w:vAlign w:val="center"/>
          </w:tcPr>
          <w:p w14:paraId="660289DF" w14:textId="77777777" w:rsidR="00794B31" w:rsidRPr="001D325D" w:rsidRDefault="00794B31" w:rsidP="003E4E2F">
            <w:pPr>
              <w:pStyle w:val="Tabletext"/>
              <w:jc w:val="center"/>
              <w:rPr>
                <w:bCs/>
              </w:rPr>
            </w:pPr>
            <w:r w:rsidRPr="001D325D">
              <w:t>CHF</w:t>
            </w:r>
          </w:p>
        </w:tc>
        <w:tc>
          <w:tcPr>
            <w:tcW w:w="1400" w:type="dxa"/>
            <w:tcBorders>
              <w:top w:val="nil"/>
              <w:left w:val="single" w:sz="4" w:space="0" w:color="auto"/>
              <w:bottom w:val="single" w:sz="4" w:space="0" w:color="auto"/>
              <w:right w:val="single" w:sz="4" w:space="0" w:color="auto"/>
            </w:tcBorders>
            <w:noWrap/>
            <w:hideMark/>
          </w:tcPr>
          <w:p w14:paraId="0A700A74" w14:textId="7F455A28" w:rsidR="00794B31" w:rsidRPr="001D325D" w:rsidRDefault="00794B31" w:rsidP="003E4E2F">
            <w:pPr>
              <w:pStyle w:val="Tabletext"/>
              <w:jc w:val="center"/>
              <w:rPr>
                <w:bCs/>
              </w:rPr>
            </w:pPr>
            <w:r w:rsidRPr="00C62D1B">
              <w:t>10</w:t>
            </w:r>
            <w:r w:rsidR="00B679AD">
              <w:t> </w:t>
            </w:r>
            <w:r w:rsidRPr="00C62D1B">
              <w:t>666</w:t>
            </w:r>
            <w:r w:rsidR="00B679AD">
              <w:t> </w:t>
            </w:r>
            <w:r w:rsidRPr="00C62D1B">
              <w:t>000</w:t>
            </w:r>
          </w:p>
        </w:tc>
        <w:tc>
          <w:tcPr>
            <w:tcW w:w="1423" w:type="dxa"/>
            <w:tcBorders>
              <w:top w:val="nil"/>
              <w:left w:val="nil"/>
              <w:bottom w:val="single" w:sz="4" w:space="0" w:color="auto"/>
              <w:right w:val="single" w:sz="4" w:space="0" w:color="auto"/>
            </w:tcBorders>
          </w:tcPr>
          <w:p w14:paraId="074DC0D6" w14:textId="2A016A78" w:rsidR="00794B31" w:rsidRPr="001D325D" w:rsidRDefault="00794B31" w:rsidP="003E4E2F">
            <w:pPr>
              <w:pStyle w:val="Tabletext"/>
              <w:jc w:val="center"/>
              <w:rPr>
                <w:bCs/>
              </w:rPr>
            </w:pPr>
            <w:r w:rsidRPr="00C62D1B">
              <w:t>10</w:t>
            </w:r>
            <w:r w:rsidR="00B679AD">
              <w:t> </w:t>
            </w:r>
            <w:r w:rsidRPr="00C62D1B">
              <w:t>666</w:t>
            </w:r>
            <w:r w:rsidR="00B679AD">
              <w:t> </w:t>
            </w:r>
            <w:r w:rsidRPr="00C62D1B">
              <w:t>000</w:t>
            </w:r>
          </w:p>
        </w:tc>
      </w:tr>
      <w:tr w:rsidR="00794B31" w:rsidRPr="001D325D" w14:paraId="7B1AC5FE" w14:textId="77777777" w:rsidTr="00B679AD">
        <w:trPr>
          <w:trHeight w:val="300"/>
          <w:jc w:val="center"/>
        </w:trPr>
        <w:tc>
          <w:tcPr>
            <w:tcW w:w="5455" w:type="dxa"/>
            <w:tcBorders>
              <w:top w:val="single" w:sz="4" w:space="0" w:color="auto"/>
              <w:left w:val="single" w:sz="4" w:space="0" w:color="auto"/>
              <w:bottom w:val="single" w:sz="4" w:space="0" w:color="auto"/>
              <w:right w:val="single" w:sz="4" w:space="0" w:color="auto"/>
            </w:tcBorders>
            <w:noWrap/>
            <w:vAlign w:val="center"/>
            <w:hideMark/>
          </w:tcPr>
          <w:p w14:paraId="03203E7C" w14:textId="77777777" w:rsidR="00794B31" w:rsidRPr="001D325D" w:rsidRDefault="00794B31" w:rsidP="003E4E2F">
            <w:pPr>
              <w:pStyle w:val="Tabletext"/>
              <w:rPr>
                <w:bCs/>
              </w:rPr>
            </w:pPr>
            <w:r w:rsidRPr="001D325D">
              <w:t>Costes totales</w:t>
            </w:r>
          </w:p>
        </w:tc>
        <w:tc>
          <w:tcPr>
            <w:tcW w:w="783" w:type="dxa"/>
            <w:tcBorders>
              <w:top w:val="single" w:sz="4" w:space="0" w:color="auto"/>
              <w:left w:val="nil"/>
              <w:bottom w:val="single" w:sz="4" w:space="0" w:color="auto"/>
              <w:right w:val="single" w:sz="4" w:space="0" w:color="auto"/>
            </w:tcBorders>
            <w:vAlign w:val="center"/>
          </w:tcPr>
          <w:p w14:paraId="0709CAA1" w14:textId="77777777" w:rsidR="00794B31" w:rsidRPr="001D325D" w:rsidRDefault="00794B31" w:rsidP="003E4E2F">
            <w:pPr>
              <w:pStyle w:val="Tabletext"/>
              <w:jc w:val="center"/>
              <w:rPr>
                <w:bCs/>
              </w:rPr>
            </w:pPr>
            <w:r w:rsidRPr="001D325D">
              <w:t>CHF</w:t>
            </w:r>
          </w:p>
        </w:tc>
        <w:tc>
          <w:tcPr>
            <w:tcW w:w="1400" w:type="dxa"/>
            <w:tcBorders>
              <w:top w:val="nil"/>
              <w:left w:val="single" w:sz="4" w:space="0" w:color="auto"/>
              <w:bottom w:val="single" w:sz="4" w:space="0" w:color="auto"/>
              <w:right w:val="single" w:sz="4" w:space="0" w:color="auto"/>
            </w:tcBorders>
            <w:noWrap/>
            <w:hideMark/>
          </w:tcPr>
          <w:p w14:paraId="1DAF4315" w14:textId="7BB448FE" w:rsidR="00794B31" w:rsidRPr="001D325D" w:rsidRDefault="00794B31" w:rsidP="003E4E2F">
            <w:pPr>
              <w:pStyle w:val="Tabletext"/>
              <w:jc w:val="center"/>
              <w:rPr>
                <w:bCs/>
              </w:rPr>
            </w:pPr>
            <w:r w:rsidRPr="00C62D1B">
              <w:t>22</w:t>
            </w:r>
            <w:r w:rsidR="00B679AD">
              <w:t> </w:t>
            </w:r>
            <w:r w:rsidRPr="00C62D1B">
              <w:t>810</w:t>
            </w:r>
            <w:r w:rsidR="00B679AD">
              <w:t> </w:t>
            </w:r>
            <w:r w:rsidRPr="00C62D1B">
              <w:t>478</w:t>
            </w:r>
          </w:p>
        </w:tc>
        <w:tc>
          <w:tcPr>
            <w:tcW w:w="1423" w:type="dxa"/>
            <w:tcBorders>
              <w:top w:val="nil"/>
              <w:left w:val="nil"/>
              <w:bottom w:val="single" w:sz="4" w:space="0" w:color="auto"/>
              <w:right w:val="single" w:sz="4" w:space="0" w:color="auto"/>
            </w:tcBorders>
          </w:tcPr>
          <w:p w14:paraId="67AD36C3" w14:textId="36801A7B" w:rsidR="00794B31" w:rsidRPr="001D325D" w:rsidRDefault="00794B31" w:rsidP="003E4E2F">
            <w:pPr>
              <w:pStyle w:val="Tabletext"/>
              <w:jc w:val="center"/>
              <w:rPr>
                <w:bCs/>
              </w:rPr>
            </w:pPr>
            <w:r w:rsidRPr="00C62D1B">
              <w:t>23</w:t>
            </w:r>
            <w:r w:rsidR="00B679AD">
              <w:t> </w:t>
            </w:r>
            <w:r w:rsidRPr="00C62D1B">
              <w:t>233</w:t>
            </w:r>
            <w:r w:rsidR="00B679AD">
              <w:t> </w:t>
            </w:r>
            <w:r w:rsidRPr="00C62D1B">
              <w:t>090</w:t>
            </w:r>
          </w:p>
        </w:tc>
      </w:tr>
      <w:tr w:rsidR="00B679AD" w:rsidRPr="0038599B" w14:paraId="3AC663F5" w14:textId="77777777" w:rsidTr="00B679AD">
        <w:trPr>
          <w:trHeight w:val="300"/>
          <w:jc w:val="center"/>
        </w:trPr>
        <w:tc>
          <w:tcPr>
            <w:tcW w:w="9061" w:type="dxa"/>
            <w:gridSpan w:val="4"/>
            <w:tcBorders>
              <w:top w:val="single" w:sz="4" w:space="0" w:color="auto"/>
            </w:tcBorders>
            <w:noWrap/>
            <w:vAlign w:val="center"/>
          </w:tcPr>
          <w:p w14:paraId="12329D3A" w14:textId="6F3B17FF" w:rsidR="00B679AD" w:rsidRPr="00B679AD" w:rsidRDefault="00B679AD" w:rsidP="00484843">
            <w:pPr>
              <w:pStyle w:val="Tablelegend"/>
              <w:tabs>
                <w:tab w:val="clear" w:pos="284"/>
              </w:tabs>
              <w:ind w:left="0" w:firstLine="0"/>
              <w:jc w:val="both"/>
              <w:rPr>
                <w:lang w:val="es-ES"/>
              </w:rPr>
            </w:pPr>
            <w:r w:rsidRPr="00794B31">
              <w:rPr>
                <w:lang w:val="es-ES"/>
              </w:rPr>
              <w:t xml:space="preserve">NOTA – La UIT asume los gastos adicionales correspondientes al desarrollo de </w:t>
            </w:r>
            <w:r w:rsidRPr="00794B31">
              <w:rPr>
                <w:i/>
                <w:iCs/>
                <w:lang w:val="es-ES"/>
              </w:rPr>
              <w:t>software</w:t>
            </w:r>
            <w:r w:rsidRPr="00794B31">
              <w:rPr>
                <w:lang w:val="es-ES"/>
              </w:rPr>
              <w:t xml:space="preserve"> específico para los servicios espaciales.</w:t>
            </w:r>
          </w:p>
        </w:tc>
      </w:tr>
    </w:tbl>
    <w:p w14:paraId="037A5040" w14:textId="77777777" w:rsidR="0051468B" w:rsidRDefault="0051468B" w:rsidP="0051468B">
      <w:pPr>
        <w:pStyle w:val="Tablefin"/>
      </w:pPr>
    </w:p>
    <w:p w14:paraId="774AF972" w14:textId="0694547F" w:rsidR="00794B31" w:rsidRPr="00794B31" w:rsidRDefault="00794B31" w:rsidP="0051468B">
      <w:pPr>
        <w:jc w:val="both"/>
        <w:rPr>
          <w:lang w:val="es-ES"/>
        </w:rPr>
      </w:pPr>
      <w:r w:rsidRPr="00794B31">
        <w:rPr>
          <w:lang w:val="es-ES"/>
        </w:rPr>
        <w:t>6</w:t>
      </w:r>
      <w:r w:rsidRPr="00794B31">
        <w:rPr>
          <w:lang w:val="es-ES"/>
        </w:rPr>
        <w:tab/>
        <w:t>La aplicación del Acuerdo 482 por parte de la Oficina de Radiocomunicaciones no ha planteado ninguna dificultad administrativa u operacional notable, ni a nivel interno ni con las Administraciones notificantes de las redes de satélites.</w:t>
      </w:r>
    </w:p>
    <w:p w14:paraId="12508BBE" w14:textId="77777777" w:rsidR="00794B31" w:rsidRPr="00794B31" w:rsidRDefault="00794B31" w:rsidP="00794B31">
      <w:pPr>
        <w:pStyle w:val="Headingb"/>
        <w:rPr>
          <w:lang w:val="es-ES"/>
        </w:rPr>
      </w:pPr>
      <w:r w:rsidRPr="00794B31">
        <w:rPr>
          <w:lang w:val="es-ES"/>
        </w:rPr>
        <w:t>Ingresos aplazados por falta de recursos de procesamiento</w:t>
      </w:r>
    </w:p>
    <w:p w14:paraId="370DBF48" w14:textId="77777777" w:rsidR="00794B31" w:rsidRPr="00794B31" w:rsidRDefault="00794B31" w:rsidP="0051468B">
      <w:pPr>
        <w:jc w:val="both"/>
        <w:rPr>
          <w:lang w:val="es-ES"/>
        </w:rPr>
      </w:pPr>
      <w:r w:rsidRPr="00794B31">
        <w:rPr>
          <w:lang w:val="es-ES"/>
        </w:rPr>
        <w:t>7</w:t>
      </w:r>
      <w:r w:rsidRPr="00794B31">
        <w:rPr>
          <w:lang w:val="es-ES"/>
        </w:rPr>
        <w:tab/>
        <w:t>En consonancia con las normas de auditoría vigentes, el pago de las facturas relativas a la recuperación de costes de satélite solo se tiene en cuenta respecto de los ingresos contabilizados tras la publicación de las secciones especiales correspondientes.</w:t>
      </w:r>
    </w:p>
    <w:p w14:paraId="256FFD08" w14:textId="5E7012CA" w:rsidR="00794B31" w:rsidRPr="00794B31" w:rsidRDefault="00794B31" w:rsidP="0051468B">
      <w:pPr>
        <w:jc w:val="both"/>
        <w:rPr>
          <w:lang w:val="es-ES"/>
        </w:rPr>
      </w:pPr>
      <w:r w:rsidRPr="00794B31">
        <w:rPr>
          <w:lang w:val="es-ES"/>
        </w:rPr>
        <w:t>8</w:t>
      </w:r>
      <w:r w:rsidR="00B679AD">
        <w:rPr>
          <w:lang w:val="es-ES"/>
        </w:rPr>
        <w:tab/>
      </w:r>
      <w:r w:rsidRPr="00794B31">
        <w:rPr>
          <w:lang w:val="es-ES"/>
        </w:rPr>
        <w:t>A finales de 2025, los ingresos aplazados (casos en los que ya se han emitido facturas al organismo que ha efectuado la notificación, pero aún no se ha publicado la sección especial correspondiente) se elevan a 4 237 520 CHF.</w:t>
      </w:r>
    </w:p>
    <w:p w14:paraId="544AE782" w14:textId="7AE515A5" w:rsidR="00794B31" w:rsidRPr="00794B31" w:rsidRDefault="00794B31" w:rsidP="0051468B">
      <w:pPr>
        <w:jc w:val="both"/>
        <w:rPr>
          <w:lang w:val="es-ES"/>
        </w:rPr>
      </w:pPr>
      <w:r w:rsidRPr="00794B31">
        <w:rPr>
          <w:lang w:val="es-ES"/>
        </w:rPr>
        <w:t>9</w:t>
      </w:r>
      <w:r w:rsidR="00B679AD">
        <w:rPr>
          <w:lang w:val="es-ES"/>
        </w:rPr>
        <w:tab/>
      </w:r>
      <w:r w:rsidRPr="00794B31">
        <w:rPr>
          <w:lang w:val="es-ES"/>
        </w:rPr>
        <w:t>Los plazos de tramitación de todas las secciones especiales, excepto las solicitudes de coordinación, se ajustan a los plazos especificados en el Reglamento de Radiocomunicaciones o en el Plan operacional del UIT-R para los casos en los que no existe ningún plazo reglamentario. En cuanto a las solicitudes de coordinación, el número de redes objeto de tramitación ha disminuido desde junio de 2025, lo que refleja los esfuerzos de la Oficina de Radiocomunicaciones por reducir el retraso acumulado (tras alcanzar un valor máximo de 17 meses en junio de 2025, el per</w:t>
      </w:r>
      <w:r w:rsidR="00B71282">
        <w:rPr>
          <w:lang w:val="es-ES"/>
        </w:rPr>
        <w:t>i</w:t>
      </w:r>
      <w:r w:rsidRPr="00794B31">
        <w:rPr>
          <w:lang w:val="es-ES"/>
        </w:rPr>
        <w:t>odo de tramitación actual es de 14 meses, con respecto al requisito reglamentario de 4 meses).</w:t>
      </w:r>
    </w:p>
    <w:p w14:paraId="58A04AA1" w14:textId="79FA3BDE" w:rsidR="00794B31" w:rsidRPr="00794B31" w:rsidRDefault="00794B31" w:rsidP="0051468B">
      <w:pPr>
        <w:jc w:val="both"/>
        <w:rPr>
          <w:lang w:val="es-ES"/>
        </w:rPr>
      </w:pPr>
      <w:r w:rsidRPr="00794B31">
        <w:rPr>
          <w:lang w:val="es-ES"/>
        </w:rPr>
        <w:t>10</w:t>
      </w:r>
      <w:r w:rsidR="00B679AD">
        <w:rPr>
          <w:lang w:val="es-ES"/>
        </w:rPr>
        <w:tab/>
      </w:r>
      <w:r w:rsidRPr="00794B31">
        <w:rPr>
          <w:lang w:val="es-ES"/>
        </w:rPr>
        <w:t xml:space="preserve">No obstante, las actuales restricciones presupuestarias en la UIT han dado lugar a una interrupción de las contrataciones, lo que ha impedido cubrir varios puestos vacantes de la Oficina. Habida cuenta de la actual insuficiencia de personal para la tramitación de solicitudes de coordinación, la Oficina de Radiocomunicaciones no dispone de los recursos necesarios para suprimir el retraso acumulado y, en consecuencia, reducir la cantidad de ingresos aplazados. El </w:t>
      </w:r>
      <w:r w:rsidR="0051468B" w:rsidRPr="00794B31">
        <w:rPr>
          <w:lang w:val="es-ES"/>
        </w:rPr>
        <w:t xml:space="preserve">Documento </w:t>
      </w:r>
      <w:hyperlink r:id="rId12" w:history="1">
        <w:proofErr w:type="spellStart"/>
        <w:r w:rsidRPr="00794B31">
          <w:rPr>
            <w:rStyle w:val="Hyperlink"/>
            <w:lang w:val="es-ES"/>
          </w:rPr>
          <w:t>C26</w:t>
        </w:r>
        <w:proofErr w:type="spellEnd"/>
        <w:r w:rsidRPr="00794B31">
          <w:rPr>
            <w:rStyle w:val="Hyperlink"/>
            <w:lang w:val="es-ES"/>
          </w:rPr>
          <w:t>/42</w:t>
        </w:r>
      </w:hyperlink>
      <w:r w:rsidRPr="00794B31">
        <w:rPr>
          <w:lang w:val="es-ES"/>
        </w:rPr>
        <w:t xml:space="preserve"> del Consejo se propone asignar parte del ahorro de 2025 para subsanar ese problema.</w:t>
      </w:r>
    </w:p>
    <w:p w14:paraId="185BEB9E" w14:textId="7C14D0FB" w:rsidR="00794B31" w:rsidRPr="00794B31" w:rsidRDefault="00794B31" w:rsidP="0051468B">
      <w:pPr>
        <w:jc w:val="both"/>
        <w:rPr>
          <w:lang w:val="es-ES"/>
        </w:rPr>
      </w:pPr>
      <w:r w:rsidRPr="00794B31">
        <w:rPr>
          <w:lang w:val="es-ES"/>
        </w:rPr>
        <w:lastRenderedPageBreak/>
        <w:t>11</w:t>
      </w:r>
      <w:r w:rsidR="00B71282">
        <w:rPr>
          <w:lang w:val="es-ES"/>
        </w:rPr>
        <w:tab/>
      </w:r>
      <w:r w:rsidRPr="00794B31">
        <w:rPr>
          <w:lang w:val="es-ES"/>
        </w:rPr>
        <w:t>Por otro lado, habida cuenta de que la facturación se lleva a cabo al final de la primera de las tres fases de la tramitación de las notificaciones de satélites, un retraso de tramitación conlleva un retraso en las tres fases y, por lo tanto, un aplazamiento de la facturación. En consecuencia, más de 190 solicitudes de coordinación recibidas en 2025 siguen pendientes de facturación, por un importe total estimado en 3</w:t>
      </w:r>
      <w:r w:rsidR="000E63C0">
        <w:rPr>
          <w:lang w:val="es-ES"/>
        </w:rPr>
        <w:t> </w:t>
      </w:r>
      <w:r w:rsidRPr="00794B31">
        <w:rPr>
          <w:lang w:val="es-ES"/>
        </w:rPr>
        <w:t>800</w:t>
      </w:r>
      <w:r w:rsidR="000E63C0">
        <w:rPr>
          <w:lang w:val="es-ES"/>
        </w:rPr>
        <w:t> </w:t>
      </w:r>
      <w:r w:rsidRPr="00794B31">
        <w:rPr>
          <w:lang w:val="es-ES"/>
        </w:rPr>
        <w:t>000</w:t>
      </w:r>
      <w:r w:rsidR="000E63C0">
        <w:rPr>
          <w:lang w:val="es-ES"/>
        </w:rPr>
        <w:t> </w:t>
      </w:r>
      <w:r w:rsidRPr="00794B31">
        <w:rPr>
          <w:lang w:val="es-ES"/>
        </w:rPr>
        <w:t>CHF (sobre la base de un valor de 20</w:t>
      </w:r>
      <w:r w:rsidR="000E63C0">
        <w:rPr>
          <w:lang w:val="es-ES"/>
        </w:rPr>
        <w:t> </w:t>
      </w:r>
      <w:r w:rsidRPr="00794B31">
        <w:rPr>
          <w:lang w:val="es-ES"/>
        </w:rPr>
        <w:t>000</w:t>
      </w:r>
      <w:r w:rsidR="000E63C0">
        <w:rPr>
          <w:lang w:val="es-ES"/>
        </w:rPr>
        <w:t> </w:t>
      </w:r>
      <w:r w:rsidRPr="00794B31">
        <w:rPr>
          <w:lang w:val="es-ES"/>
        </w:rPr>
        <w:t>CHF por solicitud de coordinación).</w:t>
      </w:r>
    </w:p>
    <w:p w14:paraId="196AB9CF" w14:textId="5E34DC38" w:rsidR="00794B31" w:rsidRPr="00794B31" w:rsidRDefault="00794B31" w:rsidP="0051468B">
      <w:pPr>
        <w:jc w:val="both"/>
        <w:rPr>
          <w:lang w:val="es-ES"/>
        </w:rPr>
      </w:pPr>
      <w:r w:rsidRPr="00794B31">
        <w:rPr>
          <w:lang w:val="es-ES"/>
        </w:rPr>
        <w:t>12</w:t>
      </w:r>
      <w:r w:rsidR="00B71282">
        <w:rPr>
          <w:lang w:val="es-ES"/>
        </w:rPr>
        <w:tab/>
      </w:r>
      <w:r w:rsidRPr="00794B31">
        <w:rPr>
          <w:lang w:val="es-ES"/>
        </w:rPr>
        <w:t>Los retrasos de tramitación de las solicitudes de coordinación también aumentarían la incertidumbre normativa y mermarían la capacidad de las administraciones y de los operadores de satélite para avanzar en sus planes de despliegue de redes de satélite, cuya puesta en servicio está prevista en un plazo de siete años a partir de su notificación.</w:t>
      </w:r>
    </w:p>
    <w:p w14:paraId="2E66F086" w14:textId="77777777" w:rsidR="00794B31" w:rsidRPr="00794B31" w:rsidRDefault="00794B31" w:rsidP="00B71282">
      <w:pPr>
        <w:pStyle w:val="Headingb"/>
        <w:rPr>
          <w:lang w:val="es-ES"/>
        </w:rPr>
      </w:pPr>
      <w:r w:rsidRPr="00794B31">
        <w:rPr>
          <w:lang w:val="es-ES"/>
        </w:rPr>
        <w:t>Repercusiones de las Resoluciones 35 (Rev.CMR-23) y 8 (CMR-23)</w:t>
      </w:r>
    </w:p>
    <w:p w14:paraId="3E26129B" w14:textId="0FD7AEAF" w:rsidR="00794B31" w:rsidRPr="00794B31" w:rsidRDefault="00794B31" w:rsidP="0051468B">
      <w:pPr>
        <w:jc w:val="both"/>
        <w:rPr>
          <w:lang w:val="es-ES"/>
        </w:rPr>
      </w:pPr>
      <w:r w:rsidRPr="00794B31">
        <w:rPr>
          <w:lang w:val="es-ES"/>
        </w:rPr>
        <w:t>13</w:t>
      </w:r>
      <w:r w:rsidRPr="00794B31">
        <w:rPr>
          <w:lang w:val="es-ES"/>
        </w:rPr>
        <w:tab/>
        <w:t>La aplicación de las Resoluciones 35 (</w:t>
      </w:r>
      <w:proofErr w:type="spellStart"/>
      <w:r w:rsidRPr="00794B31">
        <w:rPr>
          <w:lang w:val="es-ES"/>
        </w:rPr>
        <w:t>Rev.CMR</w:t>
      </w:r>
      <w:proofErr w:type="spellEnd"/>
      <w:r w:rsidRPr="00794B31">
        <w:rPr>
          <w:lang w:val="es-ES"/>
        </w:rPr>
        <w:t>-23) y 8 (</w:t>
      </w:r>
      <w:proofErr w:type="spellStart"/>
      <w:r w:rsidRPr="00794B31">
        <w:rPr>
          <w:lang w:val="es-ES"/>
        </w:rPr>
        <w:t>CMR</w:t>
      </w:r>
      <w:proofErr w:type="spellEnd"/>
      <w:r w:rsidRPr="00794B31">
        <w:rPr>
          <w:lang w:val="es-ES"/>
        </w:rPr>
        <w:t>-23) requiere el examen de las características de despliegue de cada satélite del sistema de satélites no geoestacionarios objeto de tramitación.</w:t>
      </w:r>
    </w:p>
    <w:p w14:paraId="55A49A8D" w14:textId="45A22EF6" w:rsidR="00794B31" w:rsidRPr="00794B31" w:rsidRDefault="00794B31" w:rsidP="0051468B">
      <w:pPr>
        <w:jc w:val="both"/>
        <w:rPr>
          <w:lang w:val="es-ES"/>
        </w:rPr>
      </w:pPr>
      <w:r w:rsidRPr="00794B31">
        <w:rPr>
          <w:lang w:val="es-ES"/>
        </w:rPr>
        <w:t>14</w:t>
      </w:r>
      <w:r w:rsidR="00B71282">
        <w:rPr>
          <w:lang w:val="es-ES"/>
        </w:rPr>
        <w:tab/>
      </w:r>
      <w:r w:rsidRPr="00794B31">
        <w:rPr>
          <w:lang w:val="es-ES"/>
        </w:rPr>
        <w:t>Dicho examen puede considerarse parte de las actividades relacionadas con la notificación de asignaciones de frecuencias al sistema de satélites no geoestacionarios, y comprendidas en los costes de dicha notificación, siempre que dicho sistema incluya únicamente un cierto número de satélites. Sin embargo, esa hipótesis no es válida en el caso de los amplios sistemas de satélites no geoestacionarios, ya que la carga de trabajo que conlleva examinar la conformidad de cada satélite con respecto a las condiciones establecidas en ambas Resoluciones viene dada directamente por el número de satélites que se prevé desplegar y por las características que deben verificarse.</w:t>
      </w:r>
    </w:p>
    <w:p w14:paraId="26C9EFB0" w14:textId="39D9AF21" w:rsidR="00794B31" w:rsidRPr="00794B31" w:rsidRDefault="00794B31" w:rsidP="0051468B">
      <w:pPr>
        <w:jc w:val="both"/>
        <w:rPr>
          <w:lang w:val="es-ES"/>
        </w:rPr>
      </w:pPr>
      <w:r w:rsidRPr="00794B31">
        <w:rPr>
          <w:lang w:val="es-ES"/>
        </w:rPr>
        <w:t>15</w:t>
      </w:r>
      <w:r w:rsidR="00B71282">
        <w:rPr>
          <w:lang w:val="es-ES"/>
        </w:rPr>
        <w:tab/>
      </w:r>
      <w:r w:rsidRPr="00794B31">
        <w:rPr>
          <w:lang w:val="es-ES"/>
        </w:rPr>
        <w:t xml:space="preserve">En consecuencia, deben llevarse a cabo estudios para evaluar adecuadamente los costes del examen en virtud de ambas Resoluciones. </w:t>
      </w:r>
    </w:p>
    <w:p w14:paraId="2BFCEBF6" w14:textId="77777777" w:rsidR="00794B31" w:rsidRPr="0038599B" w:rsidRDefault="00794B31" w:rsidP="00794B31">
      <w:pPr>
        <w:pStyle w:val="Headingb"/>
        <w:rPr>
          <w:lang w:val="es-ES"/>
        </w:rPr>
      </w:pPr>
      <w:r w:rsidRPr="0038599B">
        <w:rPr>
          <w:lang w:val="es-ES"/>
        </w:rPr>
        <w:t>Conclusión</w:t>
      </w:r>
    </w:p>
    <w:p w14:paraId="0CBB20C2" w14:textId="60552CF0" w:rsidR="001559F5" w:rsidRDefault="00794B31" w:rsidP="0051468B">
      <w:pPr>
        <w:jc w:val="both"/>
        <w:rPr>
          <w:lang w:val="es-ES"/>
        </w:rPr>
      </w:pPr>
      <w:r w:rsidRPr="00794B31">
        <w:rPr>
          <w:lang w:val="es-ES"/>
        </w:rPr>
        <w:t>16</w:t>
      </w:r>
      <w:r w:rsidRPr="00794B31">
        <w:rPr>
          <w:lang w:val="es-ES"/>
        </w:rPr>
        <w:tab/>
        <w:t xml:space="preserve">Se invita al Consejo a que </w:t>
      </w:r>
      <w:r w:rsidRPr="00794B31">
        <w:rPr>
          <w:b/>
          <w:bCs/>
          <w:lang w:val="es-ES"/>
        </w:rPr>
        <w:t>tome nota</w:t>
      </w:r>
      <w:r w:rsidRPr="00794B31">
        <w:rPr>
          <w:lang w:val="es-ES"/>
        </w:rPr>
        <w:t xml:space="preserve"> del presente informe de situación sobre la aplicación de la recuperación de costes a la tramitación de notificaciones de redes de satélites y a que </w:t>
      </w:r>
      <w:r w:rsidRPr="00794B31">
        <w:rPr>
          <w:b/>
          <w:bCs/>
          <w:lang w:val="es-ES"/>
        </w:rPr>
        <w:t>encargue al Grupo de Trabajo del Consejo sobre Recursos Financieros y Humanos</w:t>
      </w:r>
      <w:r w:rsidRPr="00794B31">
        <w:rPr>
          <w:lang w:val="es-ES"/>
        </w:rPr>
        <w:t xml:space="preserve"> que estudie la manera de garantizar una evaluación adecuada de los costes de los trabajos en virtud de las Resoluciones 35 (</w:t>
      </w:r>
      <w:proofErr w:type="spellStart"/>
      <w:r w:rsidRPr="00794B31">
        <w:rPr>
          <w:lang w:val="es-ES"/>
        </w:rPr>
        <w:t>Rev.CMR</w:t>
      </w:r>
      <w:proofErr w:type="spellEnd"/>
      <w:r w:rsidRPr="00794B31">
        <w:rPr>
          <w:lang w:val="es-ES"/>
        </w:rPr>
        <w:t>-23) y 8 (</w:t>
      </w:r>
      <w:proofErr w:type="spellStart"/>
      <w:r w:rsidRPr="00794B31">
        <w:rPr>
          <w:lang w:val="es-ES"/>
        </w:rPr>
        <w:t>CMR</w:t>
      </w:r>
      <w:proofErr w:type="spellEnd"/>
      <w:r w:rsidRPr="00794B31">
        <w:rPr>
          <w:lang w:val="es-ES"/>
        </w:rPr>
        <w:t>-23).</w:t>
      </w:r>
    </w:p>
    <w:p w14:paraId="178F44A7" w14:textId="77777777" w:rsidR="0051468B" w:rsidRPr="00794B31" w:rsidRDefault="0051468B" w:rsidP="0051468B">
      <w:pPr>
        <w:jc w:val="both"/>
        <w:rPr>
          <w:lang w:val="es-ES"/>
        </w:rPr>
      </w:pPr>
    </w:p>
    <w:p w14:paraId="0C4698A4" w14:textId="77777777" w:rsidR="00F92BED" w:rsidRPr="00F92BED" w:rsidRDefault="00F92BED" w:rsidP="00F92BED">
      <w:pPr>
        <w:jc w:val="center"/>
      </w:pPr>
      <w:r>
        <w:t>______________</w:t>
      </w:r>
    </w:p>
    <w:sectPr w:rsidR="00F92BED" w:rsidRPr="00F92BED" w:rsidSect="00C538FC">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728B" w14:textId="77777777" w:rsidR="00794B31" w:rsidRDefault="00794B31">
      <w:r>
        <w:separator/>
      </w:r>
    </w:p>
  </w:endnote>
  <w:endnote w:type="continuationSeparator" w:id="0">
    <w:p w14:paraId="7E689C81" w14:textId="77777777" w:rsidR="00794B31" w:rsidRDefault="0079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663E0F2" w14:textId="77777777" w:rsidTr="00E31DCE">
      <w:trPr>
        <w:jc w:val="center"/>
      </w:trPr>
      <w:tc>
        <w:tcPr>
          <w:tcW w:w="1803" w:type="dxa"/>
          <w:vAlign w:val="center"/>
        </w:tcPr>
        <w:p w14:paraId="1EF79ABD" w14:textId="57092493" w:rsidR="003273A4" w:rsidRDefault="002946E2" w:rsidP="003273A4">
          <w:pPr>
            <w:pStyle w:val="Header"/>
            <w:jc w:val="left"/>
            <w:rPr>
              <w:noProof/>
            </w:rPr>
          </w:pPr>
          <w:r>
            <w:rPr>
              <w:noProof/>
            </w:rPr>
            <w:t xml:space="preserve">gDoc </w:t>
          </w:r>
          <w:r w:rsidR="00794B31">
            <w:rPr>
              <w:noProof/>
            </w:rPr>
            <w:t>2600511</w:t>
          </w:r>
        </w:p>
      </w:tc>
      <w:tc>
        <w:tcPr>
          <w:tcW w:w="8261" w:type="dxa"/>
        </w:tcPr>
        <w:p w14:paraId="1BF80EFE" w14:textId="1B4F1E8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94B31">
            <w:rPr>
              <w:bCs/>
            </w:rPr>
            <w:t>16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0B9600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47A8CAA" w14:textId="77777777" w:rsidTr="00E31DCE">
      <w:trPr>
        <w:jc w:val="center"/>
      </w:trPr>
      <w:tc>
        <w:tcPr>
          <w:tcW w:w="1803" w:type="dxa"/>
          <w:vAlign w:val="center"/>
        </w:tcPr>
        <w:p w14:paraId="528EA2D9"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450A3AB2" w14:textId="099F649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94B31">
            <w:rPr>
              <w:bCs/>
            </w:rPr>
            <w:t>16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C7332F8"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84D4" w14:textId="77777777" w:rsidR="00794B31" w:rsidRDefault="00794B31">
      <w:r>
        <w:t>____________________</w:t>
      </w:r>
    </w:p>
  </w:footnote>
  <w:footnote w:type="continuationSeparator" w:id="0">
    <w:p w14:paraId="4C4F7E72" w14:textId="77777777" w:rsidR="00794B31" w:rsidRDefault="0079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FD0" w14:textId="77777777" w:rsidR="001559F5" w:rsidRPr="00B1560D" w:rsidRDefault="00B1560D" w:rsidP="00B1560D">
    <w:pPr>
      <w:pStyle w:val="Header"/>
    </w:pPr>
    <w:r>
      <w:rPr>
        <w:noProof/>
      </w:rPr>
      <w:drawing>
        <wp:inline distT="0" distB="0" distL="0" distR="0" wp14:anchorId="1D21CAB7" wp14:editId="346A9537">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31"/>
    <w:rsid w:val="000007D1"/>
    <w:rsid w:val="0006007D"/>
    <w:rsid w:val="00093EEB"/>
    <w:rsid w:val="000B0D00"/>
    <w:rsid w:val="000B7C15"/>
    <w:rsid w:val="000D1D0F"/>
    <w:rsid w:val="000E3F07"/>
    <w:rsid w:val="000E63C0"/>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38599B"/>
    <w:rsid w:val="003A16E8"/>
    <w:rsid w:val="004571B0"/>
    <w:rsid w:val="00465C35"/>
    <w:rsid w:val="00473962"/>
    <w:rsid w:val="00484843"/>
    <w:rsid w:val="004A3AAD"/>
    <w:rsid w:val="004B5D49"/>
    <w:rsid w:val="004D3A3C"/>
    <w:rsid w:val="00513630"/>
    <w:rsid w:val="0051468B"/>
    <w:rsid w:val="00560125"/>
    <w:rsid w:val="00585553"/>
    <w:rsid w:val="005B34D9"/>
    <w:rsid w:val="005D0CCF"/>
    <w:rsid w:val="005E390E"/>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6E1C76"/>
    <w:rsid w:val="00726872"/>
    <w:rsid w:val="00760F1C"/>
    <w:rsid w:val="007657F0"/>
    <w:rsid w:val="0077110E"/>
    <w:rsid w:val="0077252D"/>
    <w:rsid w:val="00794B31"/>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1E8E"/>
    <w:rsid w:val="00AD5A4D"/>
    <w:rsid w:val="00AF0EAC"/>
    <w:rsid w:val="00B0200A"/>
    <w:rsid w:val="00B060DF"/>
    <w:rsid w:val="00B1560D"/>
    <w:rsid w:val="00B574DB"/>
    <w:rsid w:val="00B679AD"/>
    <w:rsid w:val="00B71282"/>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50A36"/>
    <w:rsid w:val="00D62446"/>
    <w:rsid w:val="00D712A1"/>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1C524"/>
  <w15:docId w15:val="{1314C00F-AA23-4EB8-A60A-D0200265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38599B"/>
    <w:rPr>
      <w:rFonts w:ascii="Calibri" w:hAnsi="Calibri"/>
      <w:sz w:val="24"/>
      <w:lang w:val="fr-FR" w:eastAsia="en-US"/>
    </w:rPr>
  </w:style>
  <w:style w:type="paragraph" w:customStyle="1" w:styleId="Tablefin">
    <w:name w:val="Table_fin"/>
    <w:basedOn w:val="Tabletext"/>
    <w:rsid w:val="00AD1E8E"/>
    <w:pPr>
      <w:spacing w:before="0" w:after="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11/e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md/S25-CL-C-0125/es" TargetMode="External"/><Relationship Id="rId12" Type="http://schemas.openxmlformats.org/officeDocument/2006/relationships/hyperlink" Target="https://www.itu.int/md/S26-CL-C-0042/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en/council/Documents/basic-texts-2023/RES-091-S.pdf" TargetMode="External"/><Relationship Id="rId11" Type="http://schemas.openxmlformats.org/officeDocument/2006/relationships/hyperlink" Target="https://www.itu.int/md/S24-CL-C-0135/e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itu.int/md/S24-CL-C-0135/es" TargetMode="External"/><Relationship Id="rId4" Type="http://schemas.openxmlformats.org/officeDocument/2006/relationships/footnotes" Target="footnotes.xml"/><Relationship Id="rId9" Type="http://schemas.openxmlformats.org/officeDocument/2006/relationships/hyperlink" Target="https://www.itu.int/md/S25-CL-C-0016/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2</TotalTime>
  <Pages>4</Pages>
  <Words>1614</Words>
  <Characters>8797</Characters>
  <Application>Microsoft Office Word</Application>
  <DocSecurity>0</DocSecurity>
  <Lines>303</Lines>
  <Paragraphs>160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10251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Aplicación de la recuperación de costes a la tramitación de notificaciones de redes de satélites</dc:title>
  <dc:subject>Consejo 2026 de la UIT</dc:subject>
  <cp:keywords>C26; C2026; Council 2026; PP26</cp:keywords>
  <dc:description/>
  <cp:lastPrinted>2006-03-24T09:51:00Z</cp:lastPrinted>
  <dcterms:created xsi:type="dcterms:W3CDTF">2026-04-01T12:49:00Z</dcterms:created>
  <dcterms:modified xsi:type="dcterms:W3CDTF">2026-04-01T12:50:00Z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