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horzAnchor="page" w:tblpX="1589" w:tblpY="2314"/>
        <w:tblOverlap w:val="never"/>
        <w:tblW w:w="9214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796BD3" w:rsidRPr="00017786" w14:paraId="33AF0EBA" w14:textId="77777777" w:rsidTr="00D17718">
        <w:trPr>
          <w:cantSplit/>
          <w:trHeight w:val="23"/>
        </w:trPr>
        <w:tc>
          <w:tcPr>
            <w:tcW w:w="3969" w:type="dxa"/>
            <w:vMerge w:val="restart"/>
            <w:tcMar>
              <w:left w:w="0" w:type="dxa"/>
            </w:tcMar>
          </w:tcPr>
          <w:p w14:paraId="339E65F7" w14:textId="46F1C38A" w:rsidR="00796BD3" w:rsidRPr="00017786" w:rsidRDefault="0033025A" w:rsidP="00D17718">
            <w:pPr>
              <w:tabs>
                <w:tab w:val="clear" w:pos="1588"/>
                <w:tab w:val="clear" w:pos="1985"/>
                <w:tab w:val="left" w:pos="851"/>
                <w:tab w:val="center" w:pos="1930"/>
              </w:tabs>
              <w:spacing w:before="0" w:line="240" w:lineRule="atLeast"/>
              <w:rPr>
                <w:b/>
                <w:lang w:val="ru-RU"/>
              </w:rPr>
            </w:pPr>
            <w:bookmarkStart w:id="0" w:name="dmeeting" w:colFirst="0" w:colLast="0"/>
            <w:bookmarkStart w:id="1" w:name="dnum" w:colFirst="1" w:colLast="1"/>
            <w:bookmarkStart w:id="2" w:name="_Hlk133421839"/>
            <w:r w:rsidRPr="00017786">
              <w:rPr>
                <w:b/>
                <w:lang w:val="ru-RU"/>
              </w:rPr>
              <w:t>Пункт повестки дня:</w:t>
            </w:r>
            <w:r w:rsidR="007B27E9" w:rsidRPr="00017786">
              <w:rPr>
                <w:b/>
                <w:lang w:val="ru-RU"/>
              </w:rPr>
              <w:t xml:space="preserve"> </w:t>
            </w:r>
            <w:r w:rsidR="007B27E9" w:rsidRPr="00017786">
              <w:rPr>
                <w:b/>
                <w:bCs/>
                <w:color w:val="000000"/>
                <w:szCs w:val="22"/>
                <w:lang w:val="ru-RU"/>
              </w:rPr>
              <w:t>ADM 1</w:t>
            </w:r>
          </w:p>
        </w:tc>
        <w:tc>
          <w:tcPr>
            <w:tcW w:w="5245" w:type="dxa"/>
          </w:tcPr>
          <w:p w14:paraId="5EBA7F35" w14:textId="6E3186FF" w:rsidR="00796BD3" w:rsidRPr="00017786" w:rsidRDefault="0033025A" w:rsidP="00D17718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ru-RU"/>
              </w:rPr>
            </w:pPr>
            <w:r w:rsidRPr="00017786">
              <w:rPr>
                <w:b/>
                <w:lang w:val="ru-RU"/>
              </w:rPr>
              <w:t xml:space="preserve">Документ </w:t>
            </w:r>
            <w:r w:rsidR="00796BD3" w:rsidRPr="00017786">
              <w:rPr>
                <w:b/>
                <w:lang w:val="ru-RU"/>
              </w:rPr>
              <w:t>C2</w:t>
            </w:r>
            <w:r w:rsidR="00BE00DD" w:rsidRPr="00017786">
              <w:rPr>
                <w:b/>
                <w:lang w:val="ru-RU"/>
              </w:rPr>
              <w:t>6</w:t>
            </w:r>
            <w:r w:rsidR="00796BD3" w:rsidRPr="00017786">
              <w:rPr>
                <w:b/>
                <w:lang w:val="ru-RU"/>
              </w:rPr>
              <w:t>/</w:t>
            </w:r>
            <w:r w:rsidR="007B27E9" w:rsidRPr="00017786">
              <w:rPr>
                <w:b/>
                <w:lang w:val="ru-RU"/>
              </w:rPr>
              <w:t>16</w:t>
            </w:r>
            <w:r w:rsidR="00796BD3" w:rsidRPr="00017786">
              <w:rPr>
                <w:b/>
                <w:lang w:val="ru-RU"/>
              </w:rPr>
              <w:t>-R</w:t>
            </w:r>
          </w:p>
        </w:tc>
      </w:tr>
      <w:tr w:rsidR="00796BD3" w:rsidRPr="00017786" w14:paraId="73D84751" w14:textId="77777777" w:rsidTr="00D17718">
        <w:trPr>
          <w:cantSplit/>
        </w:trPr>
        <w:tc>
          <w:tcPr>
            <w:tcW w:w="3969" w:type="dxa"/>
            <w:vMerge/>
          </w:tcPr>
          <w:p w14:paraId="5DD4B81B" w14:textId="77777777" w:rsidR="00796BD3" w:rsidRPr="00017786" w:rsidRDefault="00796BD3" w:rsidP="00D17718">
            <w:pPr>
              <w:tabs>
                <w:tab w:val="left" w:pos="851"/>
              </w:tabs>
              <w:spacing w:line="240" w:lineRule="atLeast"/>
              <w:rPr>
                <w:b/>
                <w:lang w:val="ru-RU"/>
              </w:rPr>
            </w:pPr>
            <w:bookmarkStart w:id="3" w:name="ddate" w:colFirst="1" w:colLast="1"/>
            <w:bookmarkEnd w:id="0"/>
            <w:bookmarkEnd w:id="1"/>
          </w:p>
        </w:tc>
        <w:tc>
          <w:tcPr>
            <w:tcW w:w="5245" w:type="dxa"/>
          </w:tcPr>
          <w:p w14:paraId="44A7C909" w14:textId="41F82DF2" w:rsidR="00796BD3" w:rsidRPr="00017786" w:rsidRDefault="007B27E9" w:rsidP="00D17718">
            <w:pPr>
              <w:tabs>
                <w:tab w:val="left" w:pos="851"/>
              </w:tabs>
              <w:spacing w:before="0"/>
              <w:jc w:val="right"/>
              <w:rPr>
                <w:b/>
                <w:lang w:val="ru-RU"/>
              </w:rPr>
            </w:pPr>
            <w:r w:rsidRPr="00017786">
              <w:rPr>
                <w:b/>
                <w:lang w:val="ru-RU"/>
              </w:rPr>
              <w:t>3 марта 2026 года</w:t>
            </w:r>
          </w:p>
        </w:tc>
      </w:tr>
      <w:tr w:rsidR="00796BD3" w:rsidRPr="00017786" w14:paraId="31D6AD2E" w14:textId="77777777" w:rsidTr="00D17718">
        <w:trPr>
          <w:cantSplit/>
          <w:trHeight w:val="23"/>
        </w:trPr>
        <w:tc>
          <w:tcPr>
            <w:tcW w:w="3969" w:type="dxa"/>
            <w:vMerge/>
          </w:tcPr>
          <w:p w14:paraId="4B34E197" w14:textId="77777777" w:rsidR="00796BD3" w:rsidRPr="00017786" w:rsidRDefault="00796BD3" w:rsidP="00D17718">
            <w:pPr>
              <w:tabs>
                <w:tab w:val="left" w:pos="851"/>
              </w:tabs>
              <w:spacing w:line="240" w:lineRule="atLeast"/>
              <w:rPr>
                <w:b/>
                <w:lang w:val="ru-RU"/>
              </w:rPr>
            </w:pPr>
            <w:bookmarkStart w:id="4" w:name="dorlang" w:colFirst="1" w:colLast="1"/>
            <w:bookmarkEnd w:id="3"/>
          </w:p>
        </w:tc>
        <w:tc>
          <w:tcPr>
            <w:tcW w:w="5245" w:type="dxa"/>
          </w:tcPr>
          <w:p w14:paraId="46BF3EBD" w14:textId="77777777" w:rsidR="00796BD3" w:rsidRPr="00017786" w:rsidRDefault="0033025A" w:rsidP="00D17718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ru-RU"/>
              </w:rPr>
            </w:pPr>
            <w:r w:rsidRPr="00017786">
              <w:rPr>
                <w:b/>
                <w:lang w:val="ru-RU"/>
              </w:rPr>
              <w:t>Оригинал: английский</w:t>
            </w:r>
          </w:p>
        </w:tc>
      </w:tr>
      <w:tr w:rsidR="00796BD3" w:rsidRPr="00017786" w14:paraId="402879B4" w14:textId="77777777" w:rsidTr="00D17718">
        <w:trPr>
          <w:cantSplit/>
          <w:trHeight w:val="23"/>
        </w:trPr>
        <w:tc>
          <w:tcPr>
            <w:tcW w:w="3969" w:type="dxa"/>
          </w:tcPr>
          <w:p w14:paraId="13BE935B" w14:textId="77777777" w:rsidR="00796BD3" w:rsidRPr="00017786" w:rsidRDefault="00796BD3" w:rsidP="00D17718">
            <w:pPr>
              <w:tabs>
                <w:tab w:val="left" w:pos="851"/>
              </w:tabs>
              <w:spacing w:line="240" w:lineRule="atLeast"/>
              <w:rPr>
                <w:b/>
                <w:lang w:val="ru-RU"/>
              </w:rPr>
            </w:pPr>
          </w:p>
        </w:tc>
        <w:tc>
          <w:tcPr>
            <w:tcW w:w="5245" w:type="dxa"/>
          </w:tcPr>
          <w:p w14:paraId="1127D524" w14:textId="77777777" w:rsidR="00796BD3" w:rsidRPr="00017786" w:rsidRDefault="00796BD3" w:rsidP="00D17718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ru-RU"/>
              </w:rPr>
            </w:pPr>
          </w:p>
        </w:tc>
      </w:tr>
      <w:tr w:rsidR="00796BD3" w:rsidRPr="00017786" w14:paraId="6AD8A725" w14:textId="77777777" w:rsidTr="00D17718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6BD1CDFF" w14:textId="77777777" w:rsidR="00796BD3" w:rsidRPr="00017786" w:rsidRDefault="0033025A" w:rsidP="00A405F9">
            <w:pPr>
              <w:pStyle w:val="Source"/>
              <w:framePr w:hSpace="0" w:wrap="auto" w:vAnchor="margin" w:hAnchor="text" w:xAlign="left" w:yAlign="inline"/>
              <w:suppressOverlap w:val="0"/>
            </w:pPr>
            <w:bookmarkStart w:id="5" w:name="dsource" w:colFirst="0" w:colLast="0"/>
            <w:bookmarkEnd w:id="4"/>
            <w:r w:rsidRPr="00017786">
              <w:t>Отчет Генерального секретаря</w:t>
            </w:r>
          </w:p>
        </w:tc>
      </w:tr>
      <w:tr w:rsidR="00796BD3" w:rsidRPr="00F5249C" w14:paraId="204C3C50" w14:textId="77777777" w:rsidTr="00D17718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14912BDB" w14:textId="75944A0D" w:rsidR="00796BD3" w:rsidRPr="00017786" w:rsidRDefault="007B27E9" w:rsidP="00A405F9">
            <w:pPr>
              <w:pStyle w:val="Subtitle"/>
              <w:framePr w:hSpace="0" w:wrap="auto" w:xAlign="left" w:yAlign="inline"/>
              <w:suppressOverlap w:val="0"/>
              <w:rPr>
                <w:sz w:val="32"/>
              </w:rPr>
            </w:pPr>
            <w:bookmarkStart w:id="6" w:name="_Hlk162950648"/>
            <w:bookmarkStart w:id="7" w:name="dtitle1" w:colFirst="0" w:colLast="0"/>
            <w:bookmarkEnd w:id="5"/>
            <w:r w:rsidRPr="00017786">
              <w:rPr>
                <w:color w:val="000000"/>
                <w:sz w:val="32"/>
              </w:rPr>
              <w:t>ВОЗМЕЩЕНИЕ ЗАТРАТ НА ОБРАБОТКУ ЗАЯВОК НА РЕГИСТРАЦИЮ СПУТНИКОВЫХ СЕТЕЙ</w:t>
            </w:r>
            <w:bookmarkEnd w:id="6"/>
          </w:p>
        </w:tc>
      </w:tr>
      <w:tr w:rsidR="00796BD3" w:rsidRPr="00F5249C" w14:paraId="7847CA22" w14:textId="77777777" w:rsidTr="00D17718">
        <w:trPr>
          <w:cantSplit/>
        </w:trPr>
        <w:tc>
          <w:tcPr>
            <w:tcW w:w="921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</w:tcMar>
          </w:tcPr>
          <w:p w14:paraId="27B2950B" w14:textId="77777777" w:rsidR="00796BD3" w:rsidRPr="00017786" w:rsidRDefault="0033025A" w:rsidP="007B27E9">
            <w:pPr>
              <w:spacing w:before="160"/>
              <w:jc w:val="both"/>
              <w:rPr>
                <w:b/>
                <w:bCs/>
                <w:sz w:val="24"/>
                <w:szCs w:val="24"/>
                <w:lang w:val="ru-RU"/>
              </w:rPr>
            </w:pPr>
            <w:r w:rsidRPr="00017786">
              <w:rPr>
                <w:b/>
                <w:bCs/>
                <w:sz w:val="24"/>
                <w:szCs w:val="24"/>
                <w:lang w:val="ru-RU"/>
              </w:rPr>
              <w:t>Назначение</w:t>
            </w:r>
          </w:p>
          <w:p w14:paraId="090C8185" w14:textId="4D9426E6" w:rsidR="00796BD3" w:rsidRPr="00017786" w:rsidRDefault="007B27E9" w:rsidP="003807CC">
            <w:pPr>
              <w:rPr>
                <w:lang w:val="ru-RU"/>
              </w:rPr>
            </w:pPr>
            <w:r w:rsidRPr="00017786">
              <w:rPr>
                <w:color w:val="000000"/>
                <w:lang w:val="ru-RU"/>
              </w:rPr>
              <w:t>В настоящем документе представлен ежегодный отчет об осуществлении возмещения затрат на обработку ‎заявок на регистрацию спутниковых сетей в соответствии с Решением 482 Совета МСЭ (C01, последнее изменение C25).</w:t>
            </w:r>
          </w:p>
          <w:p w14:paraId="3FD17979" w14:textId="77777777" w:rsidR="00796BD3" w:rsidRPr="00017786" w:rsidRDefault="0033025A" w:rsidP="003807CC">
            <w:pPr>
              <w:spacing w:before="160"/>
              <w:rPr>
                <w:b/>
                <w:bCs/>
                <w:sz w:val="24"/>
                <w:szCs w:val="24"/>
                <w:lang w:val="ru-RU"/>
              </w:rPr>
            </w:pPr>
            <w:r w:rsidRPr="00017786">
              <w:rPr>
                <w:b/>
                <w:bCs/>
                <w:sz w:val="24"/>
                <w:szCs w:val="24"/>
                <w:lang w:val="ru-RU"/>
              </w:rPr>
              <w:t>Необходимые действия Совета</w:t>
            </w:r>
          </w:p>
          <w:p w14:paraId="622DEC99" w14:textId="43256536" w:rsidR="00796BD3" w:rsidRPr="00017786" w:rsidRDefault="007B27E9" w:rsidP="003807CC">
            <w:pPr>
              <w:rPr>
                <w:lang w:val="ru-RU"/>
              </w:rPr>
            </w:pPr>
            <w:r w:rsidRPr="00017786">
              <w:rPr>
                <w:color w:val="000000"/>
                <w:lang w:val="ru-RU"/>
              </w:rPr>
              <w:t xml:space="preserve">Совету предлагается </w:t>
            </w:r>
            <w:r w:rsidRPr="00017786">
              <w:rPr>
                <w:b/>
                <w:bCs/>
                <w:color w:val="000000"/>
                <w:lang w:val="ru-RU"/>
              </w:rPr>
              <w:t>принять к сведению</w:t>
            </w:r>
            <w:r w:rsidRPr="00017786">
              <w:rPr>
                <w:color w:val="000000"/>
                <w:lang w:val="ru-RU"/>
              </w:rPr>
              <w:t xml:space="preserve"> настоящий отчет о состоянии дел с осуществлением возмещения затрат на обработку ‎заявок на регистрацию спутниковых сетей и </w:t>
            </w:r>
            <w:r w:rsidRPr="00017786">
              <w:rPr>
                <w:b/>
                <w:bCs/>
                <w:color w:val="000000"/>
                <w:lang w:val="ru-RU"/>
              </w:rPr>
              <w:t>поручить Рабочей группе Совета по финансовым и людским ресурсам изучить</w:t>
            </w:r>
            <w:r w:rsidRPr="00017786">
              <w:rPr>
                <w:color w:val="000000"/>
                <w:lang w:val="ru-RU"/>
              </w:rPr>
              <w:t xml:space="preserve"> вопрос о способах обеспечения надлежащей оценки затрат на работу, предусмотренную Резолюциями</w:t>
            </w:r>
            <w:r w:rsidR="00017786" w:rsidRPr="00017786">
              <w:rPr>
                <w:color w:val="000000"/>
                <w:lang w:val="ru-RU"/>
              </w:rPr>
              <w:t> </w:t>
            </w:r>
            <w:r w:rsidRPr="00017786">
              <w:rPr>
                <w:color w:val="000000"/>
                <w:lang w:val="ru-RU"/>
              </w:rPr>
              <w:t>35 (Пересм. ВКР-23) и 8 (ВКР-23).</w:t>
            </w:r>
          </w:p>
          <w:p w14:paraId="16DA9B07" w14:textId="77777777" w:rsidR="00796BD3" w:rsidRPr="00017786" w:rsidRDefault="0033025A" w:rsidP="003807CC">
            <w:pPr>
              <w:spacing w:before="160"/>
              <w:rPr>
                <w:b/>
                <w:bCs/>
                <w:sz w:val="24"/>
                <w:szCs w:val="24"/>
                <w:lang w:val="ru-RU"/>
              </w:rPr>
            </w:pPr>
            <w:r w:rsidRPr="00017786">
              <w:rPr>
                <w:b/>
                <w:bCs/>
                <w:sz w:val="24"/>
                <w:szCs w:val="24"/>
                <w:lang w:val="ru-RU"/>
              </w:rPr>
              <w:t>Соответствующая увязка со Стратегическим планом</w:t>
            </w:r>
          </w:p>
          <w:p w14:paraId="5B7A0F2B" w14:textId="0B07E3C8" w:rsidR="00796BD3" w:rsidRPr="00017786" w:rsidRDefault="007B27E9" w:rsidP="003807CC">
            <w:pPr>
              <w:rPr>
                <w:lang w:val="ru-RU"/>
              </w:rPr>
            </w:pPr>
            <w:r w:rsidRPr="00017786">
              <w:rPr>
                <w:color w:val="000000"/>
                <w:lang w:val="ru-RU"/>
              </w:rPr>
              <w:t>Использование спектра для космических и наземных служб; предлагаемые продукты и услуги; распределение ресурсов и управление ими.</w:t>
            </w:r>
          </w:p>
          <w:p w14:paraId="74A4C43A" w14:textId="77777777" w:rsidR="00796BD3" w:rsidRPr="00017786" w:rsidRDefault="0033025A" w:rsidP="003807CC">
            <w:pPr>
              <w:spacing w:before="160"/>
              <w:rPr>
                <w:b/>
                <w:bCs/>
                <w:sz w:val="24"/>
                <w:szCs w:val="24"/>
                <w:lang w:val="ru-RU"/>
              </w:rPr>
            </w:pPr>
            <w:r w:rsidRPr="00017786">
              <w:rPr>
                <w:b/>
                <w:bCs/>
                <w:sz w:val="24"/>
                <w:szCs w:val="24"/>
                <w:lang w:val="ru-RU"/>
              </w:rPr>
              <w:t>Финансовые последствия</w:t>
            </w:r>
          </w:p>
          <w:p w14:paraId="40344642" w14:textId="7D810C9E" w:rsidR="007B27E9" w:rsidRPr="00017786" w:rsidRDefault="007B27E9" w:rsidP="003807CC">
            <w:pPr>
              <w:spacing w:before="160"/>
              <w:rPr>
                <w:lang w:val="ru-RU"/>
              </w:rPr>
            </w:pPr>
            <w:r w:rsidRPr="00017786">
              <w:rPr>
                <w:color w:val="000000"/>
                <w:lang w:val="ru-RU"/>
              </w:rPr>
              <w:t>Общая сумма выставленных счетов за 2025 год составляет 8 031 590</w:t>
            </w:r>
            <w:r w:rsidR="00017786" w:rsidRPr="00017786">
              <w:rPr>
                <w:color w:val="000000"/>
                <w:lang w:val="ru-RU"/>
              </w:rPr>
              <w:t> </w:t>
            </w:r>
            <w:r w:rsidRPr="00017786">
              <w:rPr>
                <w:color w:val="000000"/>
                <w:lang w:val="ru-RU"/>
              </w:rPr>
              <w:t xml:space="preserve">швейцарских франков. </w:t>
            </w:r>
          </w:p>
          <w:p w14:paraId="30782CF1" w14:textId="3B5C2076" w:rsidR="007B27E9" w:rsidRPr="00017786" w:rsidRDefault="007B27E9" w:rsidP="007B27E9">
            <w:pPr>
              <w:spacing w:before="160"/>
              <w:jc w:val="both"/>
              <w:rPr>
                <w:lang w:val="ru-RU"/>
              </w:rPr>
            </w:pPr>
            <w:r w:rsidRPr="00017786">
              <w:rPr>
                <w:color w:val="000000"/>
                <w:lang w:val="ru-RU"/>
              </w:rPr>
              <w:t>Доходы будущих периодов составляют 4 237 520</w:t>
            </w:r>
            <w:r w:rsidR="00017786" w:rsidRPr="00017786">
              <w:rPr>
                <w:color w:val="000000"/>
                <w:lang w:val="ru-RU"/>
              </w:rPr>
              <w:t> </w:t>
            </w:r>
            <w:r w:rsidRPr="00017786">
              <w:rPr>
                <w:color w:val="000000"/>
                <w:lang w:val="ru-RU"/>
              </w:rPr>
              <w:t>швейцарских франков, а кроме того, в связи с нехваткой ресурсов для обработки информации пока не выставлены счета на сумму около 3 800 000 швейцарских франков.</w:t>
            </w:r>
          </w:p>
          <w:p w14:paraId="7008DC94" w14:textId="3CB6B05C" w:rsidR="00345D2A" w:rsidRPr="00017786" w:rsidRDefault="007B27E9" w:rsidP="007B27E9">
            <w:pPr>
              <w:spacing w:before="160"/>
              <w:jc w:val="both"/>
              <w:rPr>
                <w:szCs w:val="22"/>
                <w:lang w:val="ru-RU"/>
              </w:rPr>
            </w:pPr>
            <w:r w:rsidRPr="00017786">
              <w:rPr>
                <w:color w:val="000000"/>
                <w:lang w:val="ru-RU"/>
              </w:rPr>
              <w:t>Общие затраты на обработку всех заявок на регистрацию спутниковых сетей в 2025</w:t>
            </w:r>
            <w:r w:rsidR="00017786" w:rsidRPr="00017786">
              <w:rPr>
                <w:color w:val="000000"/>
                <w:lang w:val="ru-RU"/>
              </w:rPr>
              <w:t> </w:t>
            </w:r>
            <w:r w:rsidRPr="00017786">
              <w:rPr>
                <w:color w:val="000000"/>
                <w:lang w:val="ru-RU"/>
              </w:rPr>
              <w:t>году составили 23 233 090 швейцарских франков, при этом МСЭ несет дополнительные расходы на разработку специального программного обеспечения для космических служб.</w:t>
            </w:r>
          </w:p>
          <w:p w14:paraId="1F030F2E" w14:textId="77777777" w:rsidR="00796BD3" w:rsidRPr="00017786" w:rsidRDefault="00796BD3" w:rsidP="007B27E9">
            <w:pPr>
              <w:spacing w:before="160"/>
              <w:jc w:val="both"/>
              <w:rPr>
                <w:caps/>
                <w:sz w:val="20"/>
                <w:szCs w:val="18"/>
                <w:lang w:val="ru-RU"/>
              </w:rPr>
            </w:pPr>
            <w:r w:rsidRPr="00017786">
              <w:rPr>
                <w:sz w:val="20"/>
                <w:szCs w:val="18"/>
                <w:lang w:val="ru-RU"/>
              </w:rPr>
              <w:t>__________________</w:t>
            </w:r>
          </w:p>
          <w:p w14:paraId="536A2376" w14:textId="77777777" w:rsidR="00796BD3" w:rsidRPr="00017786" w:rsidRDefault="0033025A" w:rsidP="007B27E9">
            <w:pPr>
              <w:spacing w:before="160"/>
              <w:jc w:val="both"/>
              <w:rPr>
                <w:b/>
                <w:bCs/>
                <w:sz w:val="26"/>
                <w:szCs w:val="26"/>
                <w:lang w:val="ru-RU"/>
              </w:rPr>
            </w:pPr>
            <w:r w:rsidRPr="00017786">
              <w:rPr>
                <w:b/>
                <w:bCs/>
                <w:sz w:val="24"/>
                <w:szCs w:val="24"/>
                <w:lang w:val="ru-RU"/>
              </w:rPr>
              <w:t>Справочные материалы</w:t>
            </w:r>
          </w:p>
          <w:p w14:paraId="29DF5836" w14:textId="7C56DA65" w:rsidR="00796BD3" w:rsidRPr="00017786" w:rsidRDefault="007B27E9" w:rsidP="007B27E9">
            <w:pPr>
              <w:spacing w:after="160"/>
              <w:jc w:val="both"/>
              <w:rPr>
                <w:i/>
                <w:iCs/>
                <w:lang w:val="ru-RU"/>
              </w:rPr>
            </w:pPr>
            <w:hyperlink r:id="rId7" w:history="1">
              <w:r w:rsidRPr="00017786">
                <w:rPr>
                  <w:rStyle w:val="Hyperlink"/>
                  <w:i/>
                  <w:iCs/>
                  <w:lang w:val="ru-RU"/>
                </w:rPr>
                <w:t>Резолюция 91 (Пересм. Гвадалахара, 2010 г.)</w:t>
              </w:r>
            </w:hyperlink>
            <w:r w:rsidRPr="00017786">
              <w:rPr>
                <w:i/>
                <w:iCs/>
                <w:color w:val="000000"/>
                <w:lang w:val="ru-RU"/>
              </w:rPr>
              <w:t xml:space="preserve"> Полномочной конференции;</w:t>
            </w:r>
            <w:r w:rsidRPr="00017786">
              <w:rPr>
                <w:color w:val="000000"/>
                <w:lang w:val="ru-RU"/>
              </w:rPr>
              <w:t xml:space="preserve"> </w:t>
            </w:r>
            <w:r w:rsidRPr="00017786">
              <w:rPr>
                <w:i/>
                <w:iCs/>
                <w:color w:val="000000"/>
                <w:lang w:val="ru-RU"/>
              </w:rPr>
              <w:t xml:space="preserve">Решение </w:t>
            </w:r>
            <w:hyperlink r:id="rId8" w:history="1">
              <w:r w:rsidRPr="00017786">
                <w:rPr>
                  <w:rStyle w:val="Hyperlink"/>
                  <w:i/>
                  <w:iCs/>
                  <w:lang w:val="ru-RU"/>
                </w:rPr>
                <w:t>482 (С01, последнее изменение C25)</w:t>
              </w:r>
            </w:hyperlink>
            <w:r w:rsidRPr="00017786">
              <w:rPr>
                <w:i/>
                <w:iCs/>
                <w:color w:val="000000"/>
                <w:lang w:val="ru-RU"/>
              </w:rPr>
              <w:t xml:space="preserve"> Совета;</w:t>
            </w:r>
            <w:r w:rsidRPr="00017786">
              <w:rPr>
                <w:color w:val="000000"/>
                <w:lang w:val="ru-RU"/>
              </w:rPr>
              <w:t xml:space="preserve"> </w:t>
            </w:r>
            <w:r w:rsidRPr="00017786">
              <w:rPr>
                <w:i/>
                <w:iCs/>
                <w:color w:val="000000"/>
                <w:szCs w:val="24"/>
                <w:lang w:val="ru-RU"/>
              </w:rPr>
              <w:t xml:space="preserve">Документы </w:t>
            </w:r>
            <w:hyperlink r:id="rId9" w:history="1">
              <w:r w:rsidRPr="00017786">
                <w:rPr>
                  <w:rStyle w:val="Hyperlink"/>
                  <w:i/>
                  <w:iCs/>
                  <w:szCs w:val="24"/>
                  <w:lang w:val="ru-RU"/>
                </w:rPr>
                <w:t>C25</w:t>
              </w:r>
              <w:r w:rsidRPr="00017786">
                <w:rPr>
                  <w:rStyle w:val="Hyperlink"/>
                  <w:szCs w:val="24"/>
                  <w:lang w:val="ru-RU"/>
                </w:rPr>
                <w:t>/</w:t>
              </w:r>
              <w:r w:rsidRPr="00017786">
                <w:rPr>
                  <w:rStyle w:val="Hyperlink"/>
                  <w:i/>
                  <w:iCs/>
                  <w:szCs w:val="24"/>
                  <w:lang w:val="ru-RU"/>
                </w:rPr>
                <w:t>11</w:t>
              </w:r>
            </w:hyperlink>
            <w:r w:rsidRPr="00017786">
              <w:rPr>
                <w:i/>
                <w:iCs/>
                <w:szCs w:val="24"/>
                <w:lang w:val="ru-RU"/>
              </w:rPr>
              <w:t xml:space="preserve"> и </w:t>
            </w:r>
            <w:hyperlink r:id="rId10" w:history="1">
              <w:r w:rsidRPr="00017786">
                <w:rPr>
                  <w:rStyle w:val="Hyperlink"/>
                  <w:i/>
                  <w:iCs/>
                  <w:szCs w:val="24"/>
                  <w:lang w:val="ru-RU"/>
                </w:rPr>
                <w:t>C25</w:t>
              </w:r>
              <w:r w:rsidRPr="00017786">
                <w:rPr>
                  <w:rStyle w:val="Hyperlink"/>
                  <w:szCs w:val="24"/>
                  <w:lang w:val="ru-RU"/>
                </w:rPr>
                <w:t>/</w:t>
              </w:r>
              <w:r w:rsidRPr="00017786">
                <w:rPr>
                  <w:rStyle w:val="Hyperlink"/>
                  <w:i/>
                  <w:iCs/>
                  <w:szCs w:val="24"/>
                  <w:lang w:val="ru-RU"/>
                </w:rPr>
                <w:t>16</w:t>
              </w:r>
            </w:hyperlink>
            <w:r w:rsidRPr="00017786">
              <w:rPr>
                <w:szCs w:val="24"/>
                <w:lang w:val="ru-RU"/>
              </w:rPr>
              <w:t xml:space="preserve"> </w:t>
            </w:r>
            <w:r w:rsidRPr="00017786">
              <w:rPr>
                <w:i/>
                <w:iCs/>
                <w:color w:val="000000"/>
                <w:szCs w:val="24"/>
                <w:lang w:val="ru-RU"/>
              </w:rPr>
              <w:t>Совета</w:t>
            </w:r>
          </w:p>
        </w:tc>
      </w:tr>
      <w:bookmarkEnd w:id="2"/>
      <w:bookmarkEnd w:id="7"/>
    </w:tbl>
    <w:p w14:paraId="7522753B" w14:textId="77777777" w:rsidR="00796BD3" w:rsidRPr="00017786" w:rsidRDefault="00796BD3" w:rsidP="00796BD3">
      <w:pPr>
        <w:rPr>
          <w:lang w:val="ru-RU"/>
        </w:rPr>
      </w:pPr>
    </w:p>
    <w:p w14:paraId="62CC3E34" w14:textId="77777777" w:rsidR="00165D06" w:rsidRPr="00017786" w:rsidRDefault="00165D06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lang w:val="ru-RU"/>
        </w:rPr>
      </w:pPr>
      <w:r w:rsidRPr="00017786">
        <w:rPr>
          <w:lang w:val="ru-RU"/>
        </w:rPr>
        <w:br w:type="page"/>
      </w:r>
    </w:p>
    <w:p w14:paraId="165F0BFE" w14:textId="17E20300" w:rsidR="007B27E9" w:rsidRPr="00017786" w:rsidRDefault="007B27E9" w:rsidP="00520417">
      <w:pPr>
        <w:jc w:val="both"/>
        <w:rPr>
          <w:lang w:val="ru-RU"/>
        </w:rPr>
      </w:pPr>
      <w:r w:rsidRPr="00017786">
        <w:rPr>
          <w:lang w:val="ru-RU"/>
        </w:rPr>
        <w:lastRenderedPageBreak/>
        <w:t>1</w:t>
      </w:r>
      <w:r w:rsidRPr="00017786">
        <w:rPr>
          <w:lang w:val="ru-RU"/>
        </w:rPr>
        <w:tab/>
        <w:t xml:space="preserve">Совет на своей сессии 2025 года утвердил поправки к </w:t>
      </w:r>
      <w:hyperlink r:id="rId11" w:history="1">
        <w:r w:rsidRPr="00017786">
          <w:rPr>
            <w:rStyle w:val="Hyperlink"/>
            <w:lang w:val="ru-RU"/>
          </w:rPr>
          <w:t>Решению 482</w:t>
        </w:r>
      </w:hyperlink>
      <w:r w:rsidRPr="00017786">
        <w:rPr>
          <w:lang w:val="ru-RU"/>
        </w:rPr>
        <w:t>, которые вступили в силу 1 января 2026 года. Бюро радиосвязи обновило свое программное обеспечение, чтобы администрации имели возможность рассчитывать расходы на обработку заявок до их представления. Тестовая версия программного обеспечения стала доступна в ноябре 2025</w:t>
      </w:r>
      <w:r w:rsidR="00017786" w:rsidRPr="00017786">
        <w:rPr>
          <w:lang w:val="ru-RU"/>
        </w:rPr>
        <w:t> </w:t>
      </w:r>
      <w:r w:rsidRPr="00017786">
        <w:rPr>
          <w:lang w:val="ru-RU"/>
        </w:rPr>
        <w:t>года, для того чтобы администрации могли лучше понимать последствия изменений в Решении 482 для заявок, которые планировались к представлению в 2026 году и далее. С</w:t>
      </w:r>
      <w:r w:rsidR="003807CC">
        <w:rPr>
          <w:lang w:val="ru-RU"/>
        </w:rPr>
        <w:t> </w:t>
      </w:r>
      <w:r w:rsidRPr="00017786">
        <w:rPr>
          <w:lang w:val="ru-RU"/>
        </w:rPr>
        <w:t>начала 2026</w:t>
      </w:r>
      <w:r w:rsidR="00017786" w:rsidRPr="00017786">
        <w:rPr>
          <w:lang w:val="ru-RU"/>
        </w:rPr>
        <w:t> </w:t>
      </w:r>
      <w:r w:rsidRPr="00017786">
        <w:rPr>
          <w:lang w:val="ru-RU"/>
        </w:rPr>
        <w:t>года программное обеспечение находится в рабочем режиме.</w:t>
      </w:r>
      <w:hyperlink r:id="rId12" w:history="1"/>
    </w:p>
    <w:p w14:paraId="575BDDA6" w14:textId="77777777" w:rsidR="007B27E9" w:rsidRPr="00017786" w:rsidRDefault="007B27E9" w:rsidP="00520417">
      <w:pPr>
        <w:pStyle w:val="Headingb"/>
        <w:jc w:val="both"/>
        <w:rPr>
          <w:lang w:val="ru-RU"/>
        </w:rPr>
      </w:pPr>
      <w:r w:rsidRPr="00017786">
        <w:rPr>
          <w:bCs/>
          <w:lang w:val="ru-RU"/>
        </w:rPr>
        <w:t>Отчет о выполнении Решения 482 (C01, последнее изменение C25) в 2024 и 2025 годах</w:t>
      </w:r>
    </w:p>
    <w:p w14:paraId="7A5302FE" w14:textId="452B75A3" w:rsidR="007B27E9" w:rsidRPr="00017786" w:rsidRDefault="007B27E9" w:rsidP="00520417">
      <w:pPr>
        <w:jc w:val="both"/>
        <w:rPr>
          <w:lang w:val="ru-RU"/>
        </w:rPr>
      </w:pPr>
      <w:r w:rsidRPr="00017786">
        <w:rPr>
          <w:lang w:val="ru-RU"/>
        </w:rPr>
        <w:t>2</w:t>
      </w:r>
      <w:r w:rsidRPr="00017786">
        <w:rPr>
          <w:lang w:val="ru-RU"/>
        </w:rPr>
        <w:tab/>
        <w:t>В приведенной ниже Таблице</w:t>
      </w:r>
      <w:r w:rsidR="00017786">
        <w:rPr>
          <w:lang w:val="en-US"/>
        </w:rPr>
        <w:t> </w:t>
      </w:r>
      <w:r w:rsidRPr="00017786">
        <w:rPr>
          <w:lang w:val="ru-RU"/>
        </w:rPr>
        <w:t>1 представлена соответствующая информация о</w:t>
      </w:r>
      <w:r w:rsidR="00017786" w:rsidRPr="00017786">
        <w:rPr>
          <w:lang w:val="ru-RU"/>
        </w:rPr>
        <w:t> </w:t>
      </w:r>
      <w:r w:rsidRPr="00017786">
        <w:rPr>
          <w:lang w:val="ru-RU"/>
        </w:rPr>
        <w:t>применении Решения 482 (C01, последнее изменение C25) в 2024 и 2025 годах, в частности указана процентная доля своевременно оплаченных счетов, выставленных в 2024 и 2025 годах.</w:t>
      </w:r>
    </w:p>
    <w:p w14:paraId="5DA6B45F" w14:textId="77777777" w:rsidR="007B27E9" w:rsidRPr="00017786" w:rsidRDefault="007B27E9" w:rsidP="007B27E9">
      <w:pPr>
        <w:pStyle w:val="TableNo"/>
        <w:rPr>
          <w:lang w:val="ru-RU"/>
        </w:rPr>
      </w:pPr>
      <w:bookmarkStart w:id="8" w:name="_Hlk162508169"/>
      <w:r w:rsidRPr="00017786">
        <w:rPr>
          <w:lang w:val="ru-RU"/>
        </w:rPr>
        <w:t>Таблица 1</w:t>
      </w:r>
    </w:p>
    <w:p w14:paraId="5F628224" w14:textId="77777777" w:rsidR="007B27E9" w:rsidRPr="00017786" w:rsidRDefault="007B27E9" w:rsidP="007B27E9">
      <w:pPr>
        <w:pStyle w:val="Tabletitle"/>
        <w:rPr>
          <w:lang w:val="ru-RU"/>
        </w:rPr>
      </w:pPr>
      <w:r w:rsidRPr="00017786">
        <w:rPr>
          <w:bCs/>
          <w:lang w:val="ru-RU"/>
        </w:rPr>
        <w:t>Состояние дел с выполнением Решения 482 в 2024 и 2025 годах</w:t>
      </w:r>
    </w:p>
    <w:tbl>
      <w:tblPr>
        <w:tblW w:w="9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4"/>
        <w:gridCol w:w="1276"/>
        <w:gridCol w:w="1908"/>
        <w:gridCol w:w="1918"/>
      </w:tblGrid>
      <w:tr w:rsidR="007B27E9" w:rsidRPr="00017786" w14:paraId="6A188098" w14:textId="77777777" w:rsidTr="00017786">
        <w:tc>
          <w:tcPr>
            <w:tcW w:w="3964" w:type="dxa"/>
          </w:tcPr>
          <w:p w14:paraId="612792EA" w14:textId="77777777" w:rsidR="007B27E9" w:rsidRPr="00017786" w:rsidRDefault="007B27E9" w:rsidP="00D17003">
            <w:pPr>
              <w:pStyle w:val="Tablehead"/>
              <w:rPr>
                <w:lang w:val="ru-RU"/>
              </w:rPr>
            </w:pPr>
          </w:p>
        </w:tc>
        <w:tc>
          <w:tcPr>
            <w:tcW w:w="1276" w:type="dxa"/>
          </w:tcPr>
          <w:p w14:paraId="463C142B" w14:textId="77777777" w:rsidR="007B27E9" w:rsidRPr="00017786" w:rsidRDefault="007B27E9" w:rsidP="00D17003">
            <w:pPr>
              <w:pStyle w:val="Tablehead"/>
              <w:rPr>
                <w:lang w:val="ru-RU"/>
              </w:rPr>
            </w:pPr>
          </w:p>
        </w:tc>
        <w:tc>
          <w:tcPr>
            <w:tcW w:w="1908" w:type="dxa"/>
          </w:tcPr>
          <w:p w14:paraId="09DE8473" w14:textId="77777777" w:rsidR="007B27E9" w:rsidRPr="00017786" w:rsidRDefault="007B27E9" w:rsidP="00D17003">
            <w:pPr>
              <w:pStyle w:val="Tablehead"/>
              <w:rPr>
                <w:lang w:val="ru-RU"/>
              </w:rPr>
            </w:pPr>
            <w:r w:rsidRPr="00017786">
              <w:rPr>
                <w:bCs/>
                <w:color w:val="000000"/>
                <w:lang w:val="ru-RU"/>
              </w:rPr>
              <w:t>2024 г.</w:t>
            </w:r>
          </w:p>
        </w:tc>
        <w:tc>
          <w:tcPr>
            <w:tcW w:w="1918" w:type="dxa"/>
          </w:tcPr>
          <w:p w14:paraId="388BE68D" w14:textId="77777777" w:rsidR="007B27E9" w:rsidRPr="00017786" w:rsidRDefault="007B27E9" w:rsidP="00D17003">
            <w:pPr>
              <w:pStyle w:val="Tablehead"/>
              <w:rPr>
                <w:lang w:val="ru-RU"/>
              </w:rPr>
            </w:pPr>
            <w:r w:rsidRPr="00017786">
              <w:rPr>
                <w:bCs/>
                <w:color w:val="000000"/>
                <w:lang w:val="ru-RU"/>
              </w:rPr>
              <w:t>2025 г.</w:t>
            </w:r>
          </w:p>
        </w:tc>
      </w:tr>
      <w:tr w:rsidR="007B27E9" w:rsidRPr="00017786" w14:paraId="5E771063" w14:textId="77777777" w:rsidTr="008427E1">
        <w:tc>
          <w:tcPr>
            <w:tcW w:w="3964" w:type="dxa"/>
            <w:vAlign w:val="center"/>
          </w:tcPr>
          <w:p w14:paraId="490A2B19" w14:textId="77777777" w:rsidR="007B27E9" w:rsidRPr="00017786" w:rsidRDefault="007B27E9" w:rsidP="008427E1">
            <w:pPr>
              <w:pStyle w:val="Tabletext"/>
              <w:rPr>
                <w:lang w:val="ru-RU"/>
              </w:rPr>
            </w:pPr>
            <w:r w:rsidRPr="00017786">
              <w:rPr>
                <w:color w:val="000000"/>
                <w:lang w:val="ru-RU"/>
              </w:rPr>
              <w:t>Заложенная в бюджете сумма</w:t>
            </w:r>
          </w:p>
        </w:tc>
        <w:tc>
          <w:tcPr>
            <w:tcW w:w="1276" w:type="dxa"/>
            <w:vAlign w:val="center"/>
          </w:tcPr>
          <w:p w14:paraId="26243CCB" w14:textId="77777777" w:rsidR="007B27E9" w:rsidRPr="00017786" w:rsidRDefault="007B27E9" w:rsidP="008427E1">
            <w:pPr>
              <w:pStyle w:val="Tabletext"/>
              <w:jc w:val="center"/>
              <w:rPr>
                <w:lang w:val="ru-RU"/>
              </w:rPr>
            </w:pPr>
            <w:r w:rsidRPr="00017786">
              <w:rPr>
                <w:color w:val="000000"/>
                <w:lang w:val="ru-RU"/>
              </w:rPr>
              <w:t>шв. фр.</w:t>
            </w:r>
          </w:p>
        </w:tc>
        <w:tc>
          <w:tcPr>
            <w:tcW w:w="1908" w:type="dxa"/>
            <w:vAlign w:val="center"/>
          </w:tcPr>
          <w:p w14:paraId="573D0200" w14:textId="77777777" w:rsidR="007B27E9" w:rsidRPr="00017786" w:rsidRDefault="007B27E9" w:rsidP="008427E1">
            <w:pPr>
              <w:pStyle w:val="Tabletext"/>
              <w:jc w:val="center"/>
              <w:rPr>
                <w:lang w:val="ru-RU"/>
              </w:rPr>
            </w:pPr>
            <w:r w:rsidRPr="00017786">
              <w:rPr>
                <w:color w:val="000000"/>
                <w:lang w:val="ru-RU"/>
              </w:rPr>
              <w:t xml:space="preserve">14 000 000 </w:t>
            </w:r>
            <w:r w:rsidRPr="00017786">
              <w:rPr>
                <w:color w:val="000000"/>
                <w:lang w:val="ru-RU"/>
              </w:rPr>
              <w:br/>
              <w:t>(Рез. 1417 (С23))</w:t>
            </w:r>
          </w:p>
        </w:tc>
        <w:tc>
          <w:tcPr>
            <w:tcW w:w="1918" w:type="dxa"/>
            <w:vAlign w:val="center"/>
          </w:tcPr>
          <w:p w14:paraId="5A829410" w14:textId="77777777" w:rsidR="007B27E9" w:rsidRPr="00017786" w:rsidRDefault="007B27E9" w:rsidP="008427E1">
            <w:pPr>
              <w:pStyle w:val="Tabletext"/>
              <w:jc w:val="center"/>
              <w:rPr>
                <w:lang w:val="ru-RU"/>
              </w:rPr>
            </w:pPr>
            <w:r w:rsidRPr="00017786">
              <w:rPr>
                <w:color w:val="000000"/>
                <w:lang w:val="ru-RU"/>
              </w:rPr>
              <w:t xml:space="preserve">14 000 000 </w:t>
            </w:r>
            <w:r w:rsidRPr="00017786">
              <w:rPr>
                <w:color w:val="000000"/>
                <w:lang w:val="ru-RU"/>
              </w:rPr>
              <w:br/>
              <w:t>(Рез. 1417 (С23))</w:t>
            </w:r>
          </w:p>
        </w:tc>
      </w:tr>
      <w:tr w:rsidR="007B27E9" w:rsidRPr="00017786" w14:paraId="2EA368B5" w14:textId="77777777" w:rsidTr="008427E1">
        <w:tc>
          <w:tcPr>
            <w:tcW w:w="3964" w:type="dxa"/>
          </w:tcPr>
          <w:p w14:paraId="18BC995B" w14:textId="77777777" w:rsidR="007B27E9" w:rsidRPr="00017786" w:rsidRDefault="007B27E9" w:rsidP="00017786">
            <w:pPr>
              <w:pStyle w:val="Tabletext"/>
              <w:rPr>
                <w:lang w:val="ru-RU"/>
              </w:rPr>
            </w:pPr>
            <w:r w:rsidRPr="00017786">
              <w:rPr>
                <w:color w:val="000000"/>
                <w:lang w:val="ru-RU"/>
              </w:rPr>
              <w:t>Общее количество выставленных счетов* (за исключением случаев с правом на бесплатную публикацию)</w:t>
            </w:r>
          </w:p>
        </w:tc>
        <w:tc>
          <w:tcPr>
            <w:tcW w:w="1276" w:type="dxa"/>
            <w:vAlign w:val="center"/>
          </w:tcPr>
          <w:p w14:paraId="16540769" w14:textId="77777777" w:rsidR="007B27E9" w:rsidRPr="00017786" w:rsidRDefault="007B27E9" w:rsidP="008427E1">
            <w:pPr>
              <w:pStyle w:val="Tabletext"/>
              <w:jc w:val="center"/>
              <w:rPr>
                <w:lang w:val="ru-RU"/>
              </w:rPr>
            </w:pPr>
            <w:r w:rsidRPr="00017786">
              <w:rPr>
                <w:color w:val="000000"/>
                <w:lang w:val="ru-RU"/>
              </w:rPr>
              <w:t>шв. фр.</w:t>
            </w:r>
          </w:p>
        </w:tc>
        <w:tc>
          <w:tcPr>
            <w:tcW w:w="1908" w:type="dxa"/>
            <w:vAlign w:val="center"/>
          </w:tcPr>
          <w:p w14:paraId="30AD0855" w14:textId="77777777" w:rsidR="007B27E9" w:rsidRPr="00017786" w:rsidRDefault="007B27E9" w:rsidP="008427E1">
            <w:pPr>
              <w:pStyle w:val="Tabletext"/>
              <w:jc w:val="center"/>
              <w:rPr>
                <w:lang w:val="ru-RU"/>
              </w:rPr>
            </w:pPr>
            <w:r w:rsidRPr="00017786">
              <w:rPr>
                <w:lang w:val="ru-RU"/>
              </w:rPr>
              <w:t>9 679 754</w:t>
            </w:r>
          </w:p>
        </w:tc>
        <w:tc>
          <w:tcPr>
            <w:tcW w:w="1918" w:type="dxa"/>
            <w:vAlign w:val="center"/>
          </w:tcPr>
          <w:p w14:paraId="79257FC4" w14:textId="77777777" w:rsidR="007B27E9" w:rsidRPr="00017786" w:rsidRDefault="007B27E9" w:rsidP="008427E1">
            <w:pPr>
              <w:pStyle w:val="Tabletext"/>
              <w:jc w:val="center"/>
              <w:rPr>
                <w:lang w:val="ru-RU"/>
              </w:rPr>
            </w:pPr>
            <w:r w:rsidRPr="00017786">
              <w:rPr>
                <w:lang w:val="ru-RU"/>
              </w:rPr>
              <w:t>8 031 590</w:t>
            </w:r>
          </w:p>
        </w:tc>
      </w:tr>
      <w:tr w:rsidR="007B27E9" w:rsidRPr="00017786" w14:paraId="282C6A61" w14:textId="77777777" w:rsidTr="008427E1">
        <w:tc>
          <w:tcPr>
            <w:tcW w:w="3964" w:type="dxa"/>
          </w:tcPr>
          <w:p w14:paraId="4DF4ADD0" w14:textId="77777777" w:rsidR="007B27E9" w:rsidRPr="00017786" w:rsidRDefault="007B27E9" w:rsidP="00017786">
            <w:pPr>
              <w:pStyle w:val="Tabletext"/>
              <w:rPr>
                <w:lang w:val="ru-RU"/>
              </w:rPr>
            </w:pPr>
            <w:r w:rsidRPr="00017786">
              <w:rPr>
                <w:color w:val="000000"/>
                <w:lang w:val="ru-RU"/>
              </w:rPr>
              <w:t>Право на бесплатную публикацию</w:t>
            </w:r>
          </w:p>
        </w:tc>
        <w:tc>
          <w:tcPr>
            <w:tcW w:w="1276" w:type="dxa"/>
            <w:vAlign w:val="center"/>
          </w:tcPr>
          <w:p w14:paraId="3EBCD808" w14:textId="77777777" w:rsidR="007B27E9" w:rsidRPr="00017786" w:rsidRDefault="007B27E9" w:rsidP="008427E1">
            <w:pPr>
              <w:pStyle w:val="Tabletext"/>
              <w:jc w:val="center"/>
              <w:rPr>
                <w:lang w:val="ru-RU"/>
              </w:rPr>
            </w:pPr>
            <w:r w:rsidRPr="00017786">
              <w:rPr>
                <w:color w:val="000000"/>
                <w:lang w:val="ru-RU"/>
              </w:rPr>
              <w:t>шв. фр.</w:t>
            </w:r>
          </w:p>
        </w:tc>
        <w:tc>
          <w:tcPr>
            <w:tcW w:w="1908" w:type="dxa"/>
            <w:vAlign w:val="center"/>
          </w:tcPr>
          <w:p w14:paraId="6DB89214" w14:textId="77777777" w:rsidR="007B27E9" w:rsidRPr="00017786" w:rsidRDefault="007B27E9" w:rsidP="008427E1">
            <w:pPr>
              <w:pStyle w:val="Tabletext"/>
              <w:jc w:val="center"/>
              <w:rPr>
                <w:szCs w:val="22"/>
                <w:lang w:val="ru-RU"/>
              </w:rPr>
            </w:pPr>
            <w:r w:rsidRPr="00017786">
              <w:rPr>
                <w:lang w:val="ru-RU"/>
              </w:rPr>
              <w:t>1 209 753</w:t>
            </w:r>
          </w:p>
        </w:tc>
        <w:tc>
          <w:tcPr>
            <w:tcW w:w="1918" w:type="dxa"/>
            <w:vAlign w:val="center"/>
          </w:tcPr>
          <w:p w14:paraId="5CC90E0A" w14:textId="77777777" w:rsidR="007B27E9" w:rsidRPr="00017786" w:rsidRDefault="007B27E9" w:rsidP="008427E1">
            <w:pPr>
              <w:pStyle w:val="Tabletext"/>
              <w:jc w:val="center"/>
              <w:rPr>
                <w:szCs w:val="22"/>
                <w:lang w:val="ru-RU"/>
              </w:rPr>
            </w:pPr>
            <w:r w:rsidRPr="00017786">
              <w:rPr>
                <w:lang w:val="ru-RU"/>
              </w:rPr>
              <w:t>1 869 666</w:t>
            </w:r>
          </w:p>
        </w:tc>
      </w:tr>
      <w:tr w:rsidR="007B27E9" w:rsidRPr="00017786" w14:paraId="72703E63" w14:textId="77777777" w:rsidTr="008427E1">
        <w:tc>
          <w:tcPr>
            <w:tcW w:w="3964" w:type="dxa"/>
            <w:tcBorders>
              <w:bottom w:val="single" w:sz="12" w:space="0" w:color="auto"/>
            </w:tcBorders>
          </w:tcPr>
          <w:p w14:paraId="4AF9CF6C" w14:textId="77777777" w:rsidR="007B27E9" w:rsidRPr="00017786" w:rsidRDefault="007B27E9" w:rsidP="00017786">
            <w:pPr>
              <w:pStyle w:val="Tabletext"/>
              <w:rPr>
                <w:lang w:val="ru-RU"/>
              </w:rPr>
            </w:pPr>
            <w:r w:rsidRPr="00017786">
              <w:rPr>
                <w:color w:val="000000"/>
                <w:lang w:val="ru-RU"/>
              </w:rPr>
              <w:t>Полученные платежи**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14:paraId="6C97474F" w14:textId="77777777" w:rsidR="007B27E9" w:rsidRPr="00017786" w:rsidRDefault="007B27E9" w:rsidP="008427E1">
            <w:pPr>
              <w:pStyle w:val="Tabletext"/>
              <w:jc w:val="center"/>
              <w:rPr>
                <w:lang w:val="ru-RU"/>
              </w:rPr>
            </w:pPr>
            <w:r w:rsidRPr="00017786">
              <w:rPr>
                <w:color w:val="000000"/>
                <w:lang w:val="ru-RU"/>
              </w:rPr>
              <w:t>шв. фр.</w:t>
            </w:r>
          </w:p>
        </w:tc>
        <w:tc>
          <w:tcPr>
            <w:tcW w:w="1908" w:type="dxa"/>
            <w:tcBorders>
              <w:bottom w:val="single" w:sz="12" w:space="0" w:color="auto"/>
            </w:tcBorders>
            <w:vAlign w:val="center"/>
          </w:tcPr>
          <w:p w14:paraId="0297A32E" w14:textId="77777777" w:rsidR="007B27E9" w:rsidRPr="00017786" w:rsidRDefault="007B27E9" w:rsidP="008427E1">
            <w:pPr>
              <w:pStyle w:val="Tabletext"/>
              <w:jc w:val="center"/>
              <w:rPr>
                <w:szCs w:val="22"/>
                <w:lang w:val="ru-RU"/>
              </w:rPr>
            </w:pPr>
            <w:r w:rsidRPr="00017786">
              <w:rPr>
                <w:lang w:val="ru-RU"/>
              </w:rPr>
              <w:t>9 707 718</w:t>
            </w:r>
          </w:p>
        </w:tc>
        <w:tc>
          <w:tcPr>
            <w:tcW w:w="1918" w:type="dxa"/>
            <w:tcBorders>
              <w:bottom w:val="single" w:sz="12" w:space="0" w:color="auto"/>
            </w:tcBorders>
            <w:vAlign w:val="center"/>
          </w:tcPr>
          <w:p w14:paraId="0E5BCA65" w14:textId="77777777" w:rsidR="007B27E9" w:rsidRPr="00017786" w:rsidRDefault="007B27E9" w:rsidP="008427E1">
            <w:pPr>
              <w:pStyle w:val="Tabletext"/>
              <w:jc w:val="center"/>
              <w:rPr>
                <w:szCs w:val="22"/>
                <w:lang w:val="ru-RU"/>
              </w:rPr>
            </w:pPr>
            <w:r w:rsidRPr="00017786">
              <w:rPr>
                <w:lang w:val="ru-RU"/>
              </w:rPr>
              <w:t>8 189 965</w:t>
            </w:r>
          </w:p>
        </w:tc>
      </w:tr>
      <w:tr w:rsidR="007B27E9" w:rsidRPr="00017786" w14:paraId="5DDFE9B4" w14:textId="77777777" w:rsidTr="008427E1">
        <w:tc>
          <w:tcPr>
            <w:tcW w:w="7148" w:type="dxa"/>
            <w:gridSpan w:val="3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7164790" w14:textId="77777777" w:rsidR="007B27E9" w:rsidRPr="00017786" w:rsidRDefault="007B27E9" w:rsidP="00017786">
            <w:pPr>
              <w:pStyle w:val="Tabletext"/>
              <w:rPr>
                <w:lang w:val="ru-RU"/>
              </w:rPr>
            </w:pPr>
            <w:r w:rsidRPr="00017786">
              <w:rPr>
                <w:color w:val="000000"/>
                <w:lang w:val="ru-RU"/>
              </w:rPr>
              <w:t>Процентная доля оплаченных счетов, выставленных в 2024 и 2025 годах и подлежавших оплате к 31 декабря 2025 года</w:t>
            </w:r>
          </w:p>
        </w:tc>
        <w:tc>
          <w:tcPr>
            <w:tcW w:w="1918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CC432DC" w14:textId="77777777" w:rsidR="007B27E9" w:rsidRPr="00017786" w:rsidRDefault="007B27E9" w:rsidP="008427E1">
            <w:pPr>
              <w:pStyle w:val="Tabletext"/>
              <w:jc w:val="center"/>
              <w:rPr>
                <w:lang w:val="ru-RU"/>
              </w:rPr>
            </w:pPr>
            <w:r w:rsidRPr="00017786">
              <w:rPr>
                <w:color w:val="000000"/>
                <w:lang w:val="ru-RU"/>
              </w:rPr>
              <w:t>&gt;99%</w:t>
            </w:r>
          </w:p>
        </w:tc>
      </w:tr>
      <w:tr w:rsidR="007B27E9" w:rsidRPr="00F5249C" w14:paraId="331EFD8B" w14:textId="77777777" w:rsidTr="00017786">
        <w:tc>
          <w:tcPr>
            <w:tcW w:w="906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21578AD" w14:textId="77777777" w:rsidR="007B27E9" w:rsidRPr="00017786" w:rsidRDefault="007B27E9" w:rsidP="003807CC">
            <w:pPr>
              <w:pStyle w:val="Tablelegend"/>
              <w:spacing w:before="80"/>
              <w:ind w:left="284" w:hanging="284"/>
              <w:rPr>
                <w:lang w:val="ru-RU"/>
              </w:rPr>
            </w:pPr>
            <w:r w:rsidRPr="00017786">
              <w:rPr>
                <w:color w:val="000000"/>
                <w:lang w:val="ru-RU"/>
              </w:rPr>
              <w:t>*</w:t>
            </w:r>
            <w:r w:rsidRPr="00017786">
              <w:rPr>
                <w:color w:val="000000"/>
                <w:lang w:val="ru-RU"/>
              </w:rPr>
              <w:tab/>
              <w:t>Счета должны оплачиваться в течение шести месяцев с даты их выставления.</w:t>
            </w:r>
          </w:p>
          <w:p w14:paraId="3CC38054" w14:textId="5EF47ACA" w:rsidR="007B27E9" w:rsidRPr="00017786" w:rsidRDefault="007B27E9" w:rsidP="003807CC">
            <w:pPr>
              <w:pStyle w:val="Tablelegend"/>
              <w:spacing w:before="80"/>
              <w:ind w:left="284" w:hanging="284"/>
              <w:rPr>
                <w:lang w:val="ru-RU"/>
              </w:rPr>
            </w:pPr>
            <w:r w:rsidRPr="00017786">
              <w:rPr>
                <w:color w:val="000000"/>
                <w:lang w:val="ru-RU"/>
              </w:rPr>
              <w:t>**</w:t>
            </w:r>
            <w:r w:rsidRPr="00017786">
              <w:rPr>
                <w:color w:val="000000"/>
                <w:lang w:val="ru-RU"/>
              </w:rPr>
              <w:tab/>
              <w:t>Полученные платежи включают платежи по счетам, выставленным в предыдущие годы. Эта сумма представляет собой сумму всех платежей, полученных МСЭ в течение 2025 календарного года. Она отличается от учтенных доходов в 2025</w:t>
            </w:r>
            <w:r w:rsidR="008427E1">
              <w:rPr>
                <w:color w:val="000000"/>
                <w:lang w:val="ru-RU"/>
              </w:rPr>
              <w:t> </w:t>
            </w:r>
            <w:r w:rsidRPr="00017786">
              <w:rPr>
                <w:color w:val="000000"/>
                <w:lang w:val="ru-RU"/>
              </w:rPr>
              <w:t>году, поскольку эти платежи учитываются в доходах за год публикации соответствующих заявок.</w:t>
            </w:r>
          </w:p>
        </w:tc>
      </w:tr>
    </w:tbl>
    <w:bookmarkEnd w:id="8"/>
    <w:p w14:paraId="3BE04015" w14:textId="2BDDE522" w:rsidR="007B27E9" w:rsidRPr="00017786" w:rsidRDefault="007B27E9" w:rsidP="00520417">
      <w:pPr>
        <w:spacing w:before="240"/>
        <w:jc w:val="both"/>
        <w:rPr>
          <w:lang w:val="ru-RU"/>
        </w:rPr>
      </w:pPr>
      <w:r w:rsidRPr="00017786">
        <w:rPr>
          <w:lang w:val="ru-RU"/>
        </w:rPr>
        <w:t>3</w:t>
      </w:r>
      <w:r w:rsidRPr="00017786">
        <w:rPr>
          <w:lang w:val="ru-RU"/>
        </w:rPr>
        <w:tab/>
        <w:t xml:space="preserve">В Документе </w:t>
      </w:r>
      <w:hyperlink r:id="rId13" w:history="1">
        <w:r w:rsidRPr="00017786">
          <w:rPr>
            <w:rStyle w:val="Hyperlink"/>
            <w:lang w:val="ru-RU"/>
          </w:rPr>
          <w:t>C26/11</w:t>
        </w:r>
      </w:hyperlink>
      <w:r w:rsidRPr="00017786">
        <w:rPr>
          <w:lang w:val="ru-RU"/>
        </w:rPr>
        <w:t xml:space="preserve"> Совета представлена информация о состоянии задолженностей и специальных счетов задолженностей на 31</w:t>
      </w:r>
      <w:r w:rsidR="008427E1">
        <w:rPr>
          <w:lang w:val="en-US"/>
        </w:rPr>
        <w:t> </w:t>
      </w:r>
      <w:r w:rsidRPr="00017786">
        <w:rPr>
          <w:lang w:val="ru-RU"/>
        </w:rPr>
        <w:t>декабря 2025</w:t>
      </w:r>
      <w:r w:rsidR="008427E1">
        <w:rPr>
          <w:lang w:val="en-US"/>
        </w:rPr>
        <w:t> </w:t>
      </w:r>
      <w:r w:rsidRPr="00017786">
        <w:rPr>
          <w:lang w:val="ru-RU"/>
        </w:rPr>
        <w:t>года, которая включает элементы, касающиеся заявок на регистрацию спутниковых сетей.</w:t>
      </w:r>
      <w:hyperlink r:id="rId14" w:history="1"/>
    </w:p>
    <w:p w14:paraId="25072911" w14:textId="2F4F0A13" w:rsidR="007B27E9" w:rsidRPr="00017786" w:rsidRDefault="007B27E9" w:rsidP="00520417">
      <w:pPr>
        <w:jc w:val="both"/>
        <w:rPr>
          <w:spacing w:val="-2"/>
          <w:lang w:val="ru-RU"/>
        </w:rPr>
      </w:pPr>
      <w:r w:rsidRPr="00017786">
        <w:rPr>
          <w:lang w:val="ru-RU"/>
        </w:rPr>
        <w:t>4</w:t>
      </w:r>
      <w:r w:rsidRPr="00017786">
        <w:rPr>
          <w:lang w:val="ru-RU"/>
        </w:rPr>
        <w:tab/>
        <w:t xml:space="preserve">Разница между предусмотренными в бюджете суммами по линии возмещения затрат и фактически выставленными счетами обусловлена смещением баланса между представлениями геостационарных спутниковых сетей и негеостационарных спутниковых систем. Представления геостационарных спутниковых сетей обычно облагаются более высокими сборами, чем представления негеостационарных спутниковых систем. Для устранения этого расхождения на сессии Совета 2025 года в </w:t>
      </w:r>
      <w:hyperlink r:id="rId15" w:history="1">
        <w:r w:rsidRPr="00017786">
          <w:rPr>
            <w:rStyle w:val="Hyperlink"/>
            <w:lang w:val="ru-RU"/>
          </w:rPr>
          <w:t>Решение 482</w:t>
        </w:r>
      </w:hyperlink>
      <w:r w:rsidRPr="00017786">
        <w:rPr>
          <w:lang w:val="ru-RU"/>
        </w:rPr>
        <w:t xml:space="preserve"> были внесены поправки, однако их влияние станет заметным только с 2026 года, поскольку эти изменения вступили в силу 1</w:t>
      </w:r>
      <w:r w:rsidR="008427E1">
        <w:rPr>
          <w:lang w:val="en-US"/>
        </w:rPr>
        <w:t> </w:t>
      </w:r>
      <w:r w:rsidRPr="00017786">
        <w:rPr>
          <w:lang w:val="ru-RU"/>
        </w:rPr>
        <w:t>января 2026 года (следует отметить, что в декабре 2025 г</w:t>
      </w:r>
      <w:r w:rsidR="003807CC">
        <w:rPr>
          <w:lang w:val="ru-RU"/>
        </w:rPr>
        <w:t>.</w:t>
      </w:r>
      <w:r w:rsidRPr="00017786">
        <w:rPr>
          <w:lang w:val="ru-RU"/>
        </w:rPr>
        <w:t xml:space="preserve"> наблюдался пик представлений для непланируемых полос: число представлений более чем вдвое превысило среднее число представлений в другие месяцы 2025</w:t>
      </w:r>
      <w:r w:rsidR="008427E1">
        <w:rPr>
          <w:lang w:val="en-US"/>
        </w:rPr>
        <w:t> </w:t>
      </w:r>
      <w:r w:rsidRPr="00017786">
        <w:rPr>
          <w:lang w:val="ru-RU"/>
        </w:rPr>
        <w:t>г</w:t>
      </w:r>
      <w:r w:rsidR="008427E1">
        <w:rPr>
          <w:lang w:val="ru-RU"/>
        </w:rPr>
        <w:t>.</w:t>
      </w:r>
      <w:r w:rsidRPr="00017786">
        <w:rPr>
          <w:lang w:val="ru-RU"/>
        </w:rPr>
        <w:t>).</w:t>
      </w:r>
      <w:hyperlink r:id="rId16" w:history="1"/>
    </w:p>
    <w:p w14:paraId="1EBF36F0" w14:textId="06424276" w:rsidR="007B27E9" w:rsidRPr="00017786" w:rsidRDefault="007B27E9" w:rsidP="00520417">
      <w:pPr>
        <w:jc w:val="both"/>
        <w:rPr>
          <w:lang w:val="ru-RU"/>
        </w:rPr>
      </w:pPr>
      <w:r w:rsidRPr="00017786">
        <w:rPr>
          <w:lang w:val="ru-RU"/>
        </w:rPr>
        <w:t>5</w:t>
      </w:r>
      <w:r w:rsidRPr="00017786">
        <w:rPr>
          <w:lang w:val="ru-RU"/>
        </w:rPr>
        <w:tab/>
        <w:t xml:space="preserve">В соответствии с пунктом 2 а) раздела </w:t>
      </w:r>
      <w:r w:rsidRPr="00017786">
        <w:rPr>
          <w:i/>
          <w:iCs/>
          <w:lang w:val="ru-RU"/>
        </w:rPr>
        <w:t>поручает Директору Бюро радиосвязи</w:t>
      </w:r>
      <w:r w:rsidRPr="00017786">
        <w:rPr>
          <w:lang w:val="ru-RU"/>
        </w:rPr>
        <w:t xml:space="preserve"> Решения 482 в приведенной ниже Таблице 2 представлены затраты, связанные с обработкой заявок на регистрацию спутниковых сетей, в 2024 и 2025 годах.</w:t>
      </w:r>
    </w:p>
    <w:p w14:paraId="28AB4CC9" w14:textId="77777777" w:rsidR="007B27E9" w:rsidRPr="00017786" w:rsidRDefault="007B27E9" w:rsidP="007B27E9">
      <w:pPr>
        <w:pStyle w:val="TableNo"/>
        <w:rPr>
          <w:lang w:val="ru-RU"/>
        </w:rPr>
      </w:pPr>
      <w:r w:rsidRPr="00017786">
        <w:rPr>
          <w:lang w:val="ru-RU"/>
        </w:rPr>
        <w:lastRenderedPageBreak/>
        <w:t>Таблица 2</w:t>
      </w:r>
    </w:p>
    <w:p w14:paraId="4EAD8C51" w14:textId="5ACE1729" w:rsidR="007B27E9" w:rsidRPr="00017786" w:rsidRDefault="007B27E9" w:rsidP="007B27E9">
      <w:pPr>
        <w:pStyle w:val="Tabletitle"/>
        <w:rPr>
          <w:lang w:val="ru-RU"/>
        </w:rPr>
      </w:pPr>
      <w:r w:rsidRPr="00017786">
        <w:rPr>
          <w:bCs/>
          <w:lang w:val="ru-RU"/>
        </w:rPr>
        <w:t xml:space="preserve">Затраты, связанные с обработкой заявок на регистрацию спутниковых сетей, </w:t>
      </w:r>
      <w:r w:rsidR="00017786" w:rsidRPr="00017786">
        <w:rPr>
          <w:bCs/>
          <w:lang w:val="ru-RU"/>
        </w:rPr>
        <w:br/>
      </w:r>
      <w:r w:rsidRPr="00017786">
        <w:rPr>
          <w:bCs/>
          <w:lang w:val="ru-RU"/>
        </w:rPr>
        <w:t>в 2024 и 2025 годах</w:t>
      </w:r>
    </w:p>
    <w:tbl>
      <w:tblPr>
        <w:tblW w:w="9066" w:type="dxa"/>
        <w:tblLayout w:type="fixed"/>
        <w:tblLook w:val="04A0" w:firstRow="1" w:lastRow="0" w:firstColumn="1" w:lastColumn="0" w:noHBand="0" w:noVBand="1"/>
      </w:tblPr>
      <w:tblGrid>
        <w:gridCol w:w="5382"/>
        <w:gridCol w:w="992"/>
        <w:gridCol w:w="1346"/>
        <w:gridCol w:w="1346"/>
      </w:tblGrid>
      <w:tr w:rsidR="008427E1" w:rsidRPr="00017786" w14:paraId="67A4F33B" w14:textId="77777777" w:rsidTr="008427E1">
        <w:trPr>
          <w:trHeight w:val="30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ECDC56" w14:textId="77777777" w:rsidR="007B27E9" w:rsidRPr="00017786" w:rsidRDefault="007B27E9" w:rsidP="00D17003">
            <w:pPr>
              <w:pStyle w:val="Tablehead"/>
              <w:rPr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CDB214" w14:textId="77777777" w:rsidR="007B27E9" w:rsidRPr="00017786" w:rsidRDefault="007B27E9" w:rsidP="00D17003">
            <w:pPr>
              <w:pStyle w:val="Tablehead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54CDC" w14:textId="77777777" w:rsidR="007B27E9" w:rsidRPr="00017786" w:rsidRDefault="007B27E9" w:rsidP="00D17003">
            <w:pPr>
              <w:pStyle w:val="Tablehead"/>
              <w:rPr>
                <w:lang w:val="ru-RU"/>
              </w:rPr>
            </w:pPr>
            <w:r w:rsidRPr="00017786">
              <w:rPr>
                <w:bCs/>
                <w:color w:val="000000"/>
                <w:lang w:val="ru-RU"/>
              </w:rPr>
              <w:t>2024 г.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D2521C" w14:textId="77777777" w:rsidR="007B27E9" w:rsidRPr="00017786" w:rsidRDefault="007B27E9" w:rsidP="00D17003">
            <w:pPr>
              <w:pStyle w:val="Tablehead"/>
              <w:rPr>
                <w:lang w:val="ru-RU"/>
              </w:rPr>
            </w:pPr>
            <w:r w:rsidRPr="00017786">
              <w:rPr>
                <w:bCs/>
                <w:color w:val="000000"/>
                <w:lang w:val="ru-RU"/>
              </w:rPr>
              <w:t>2025 г.</w:t>
            </w:r>
          </w:p>
        </w:tc>
      </w:tr>
      <w:tr w:rsidR="008427E1" w:rsidRPr="00017786" w14:paraId="62F4374B" w14:textId="77777777" w:rsidTr="008427E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41053" w14:textId="77777777" w:rsidR="007B27E9" w:rsidRPr="00017786" w:rsidRDefault="007B27E9" w:rsidP="00D17003">
            <w:pPr>
              <w:pStyle w:val="Tabletext"/>
              <w:rPr>
                <w:lang w:val="ru-RU"/>
              </w:rPr>
            </w:pPr>
            <w:r w:rsidRPr="00017786">
              <w:rPr>
                <w:color w:val="000000"/>
                <w:lang w:val="ru-RU"/>
              </w:rPr>
              <w:t>Затраты БР на основе обзора распределения времени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C31D97" w14:textId="77777777" w:rsidR="007B27E9" w:rsidRPr="00017786" w:rsidRDefault="007B27E9" w:rsidP="008427E1">
            <w:pPr>
              <w:pStyle w:val="Tabletext"/>
              <w:jc w:val="center"/>
              <w:rPr>
                <w:lang w:val="ru-RU"/>
              </w:rPr>
            </w:pPr>
            <w:r w:rsidRPr="00017786">
              <w:rPr>
                <w:color w:val="000000"/>
                <w:lang w:val="ru-RU"/>
              </w:rPr>
              <w:t>шв. фр.</w:t>
            </w:r>
          </w:p>
        </w:tc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2F0BD" w14:textId="77777777" w:rsidR="007B27E9" w:rsidRPr="00017786" w:rsidRDefault="007B27E9" w:rsidP="008427E1">
            <w:pPr>
              <w:pStyle w:val="Tabletext"/>
              <w:jc w:val="center"/>
              <w:rPr>
                <w:lang w:val="ru-RU"/>
              </w:rPr>
            </w:pPr>
            <w:r w:rsidRPr="00017786">
              <w:rPr>
                <w:lang w:val="ru-RU"/>
              </w:rPr>
              <w:t>12 144 478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EA560E" w14:textId="77777777" w:rsidR="007B27E9" w:rsidRPr="00017786" w:rsidRDefault="007B27E9" w:rsidP="008427E1">
            <w:pPr>
              <w:pStyle w:val="Tabletext"/>
              <w:jc w:val="center"/>
              <w:rPr>
                <w:lang w:val="ru-RU"/>
              </w:rPr>
            </w:pPr>
            <w:r w:rsidRPr="00017786">
              <w:rPr>
                <w:lang w:val="ru-RU"/>
              </w:rPr>
              <w:t>12 567 090</w:t>
            </w:r>
          </w:p>
        </w:tc>
      </w:tr>
      <w:tr w:rsidR="008427E1" w:rsidRPr="00017786" w14:paraId="45658376" w14:textId="77777777" w:rsidTr="008427E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A1AC7" w14:textId="77777777" w:rsidR="007B27E9" w:rsidRPr="00017786" w:rsidRDefault="007B27E9" w:rsidP="00D17003">
            <w:pPr>
              <w:pStyle w:val="Tabletext"/>
              <w:rPr>
                <w:lang w:val="ru-RU"/>
              </w:rPr>
            </w:pPr>
            <w:r w:rsidRPr="00017786">
              <w:rPr>
                <w:color w:val="000000"/>
                <w:lang w:val="ru-RU"/>
              </w:rPr>
              <w:t>Затраты на административные и вспомогательные услуги ГС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E218AA" w14:textId="77777777" w:rsidR="007B27E9" w:rsidRPr="00017786" w:rsidRDefault="007B27E9" w:rsidP="008427E1">
            <w:pPr>
              <w:pStyle w:val="Tabletext"/>
              <w:jc w:val="center"/>
              <w:rPr>
                <w:lang w:val="ru-RU"/>
              </w:rPr>
            </w:pPr>
            <w:r w:rsidRPr="00017786">
              <w:rPr>
                <w:color w:val="000000"/>
                <w:lang w:val="ru-RU"/>
              </w:rPr>
              <w:t>шв. фр.</w:t>
            </w:r>
          </w:p>
        </w:tc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8F978" w14:textId="77777777" w:rsidR="007B27E9" w:rsidRPr="00017786" w:rsidRDefault="007B27E9" w:rsidP="008427E1">
            <w:pPr>
              <w:pStyle w:val="Tabletext"/>
              <w:jc w:val="center"/>
              <w:rPr>
                <w:lang w:val="ru-RU"/>
              </w:rPr>
            </w:pPr>
            <w:r w:rsidRPr="00017786">
              <w:rPr>
                <w:lang w:val="ru-RU"/>
              </w:rPr>
              <w:t>10 666 000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E71D8D" w14:textId="77777777" w:rsidR="007B27E9" w:rsidRPr="00017786" w:rsidRDefault="007B27E9" w:rsidP="008427E1">
            <w:pPr>
              <w:pStyle w:val="Tabletext"/>
              <w:jc w:val="center"/>
              <w:rPr>
                <w:lang w:val="ru-RU"/>
              </w:rPr>
            </w:pPr>
            <w:r w:rsidRPr="00017786">
              <w:rPr>
                <w:lang w:val="ru-RU"/>
              </w:rPr>
              <w:t>10 666 000</w:t>
            </w:r>
          </w:p>
        </w:tc>
      </w:tr>
      <w:tr w:rsidR="008427E1" w:rsidRPr="00017786" w14:paraId="3900E0A4" w14:textId="77777777" w:rsidTr="008427E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12C84" w14:textId="77777777" w:rsidR="007B27E9" w:rsidRPr="00017786" w:rsidRDefault="007B27E9" w:rsidP="00D17003">
            <w:pPr>
              <w:pStyle w:val="Tabletext"/>
              <w:rPr>
                <w:lang w:val="ru-RU"/>
              </w:rPr>
            </w:pPr>
            <w:r w:rsidRPr="00017786">
              <w:rPr>
                <w:color w:val="000000"/>
                <w:lang w:val="ru-RU"/>
              </w:rPr>
              <w:t>Общие затраты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C5BE50" w14:textId="77777777" w:rsidR="007B27E9" w:rsidRPr="00017786" w:rsidRDefault="007B27E9" w:rsidP="008427E1">
            <w:pPr>
              <w:pStyle w:val="Tabletext"/>
              <w:jc w:val="center"/>
              <w:rPr>
                <w:lang w:val="ru-RU"/>
              </w:rPr>
            </w:pPr>
            <w:r w:rsidRPr="00017786">
              <w:rPr>
                <w:color w:val="000000"/>
                <w:lang w:val="ru-RU"/>
              </w:rPr>
              <w:t>шв. фр.</w:t>
            </w:r>
          </w:p>
        </w:tc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2CE49" w14:textId="77777777" w:rsidR="007B27E9" w:rsidRPr="00017786" w:rsidRDefault="007B27E9" w:rsidP="008427E1">
            <w:pPr>
              <w:pStyle w:val="Tabletext"/>
              <w:jc w:val="center"/>
              <w:rPr>
                <w:lang w:val="ru-RU"/>
              </w:rPr>
            </w:pPr>
            <w:r w:rsidRPr="00017786">
              <w:rPr>
                <w:lang w:val="ru-RU"/>
              </w:rPr>
              <w:t>22 810 478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50D4CE" w14:textId="64176FA5" w:rsidR="007B27E9" w:rsidRPr="00017786" w:rsidRDefault="007B27E9" w:rsidP="008427E1">
            <w:pPr>
              <w:pStyle w:val="Tabletext"/>
              <w:jc w:val="center"/>
              <w:rPr>
                <w:lang w:val="ru-RU"/>
              </w:rPr>
            </w:pPr>
            <w:r w:rsidRPr="00017786">
              <w:rPr>
                <w:lang w:val="ru-RU"/>
              </w:rPr>
              <w:t>23 233 090</w:t>
            </w:r>
          </w:p>
        </w:tc>
      </w:tr>
      <w:tr w:rsidR="007B27E9" w:rsidRPr="00F5249C" w14:paraId="0CD0D519" w14:textId="77777777" w:rsidTr="00017786">
        <w:trPr>
          <w:trHeight w:val="300"/>
        </w:trPr>
        <w:tc>
          <w:tcPr>
            <w:tcW w:w="9066" w:type="dxa"/>
            <w:gridSpan w:val="4"/>
            <w:tcBorders>
              <w:top w:val="single" w:sz="4" w:space="0" w:color="auto"/>
            </w:tcBorders>
            <w:noWrap/>
            <w:vAlign w:val="center"/>
          </w:tcPr>
          <w:p w14:paraId="71B6CC84" w14:textId="77777777" w:rsidR="007B27E9" w:rsidRPr="00017786" w:rsidRDefault="007B27E9" w:rsidP="00017786">
            <w:pPr>
              <w:pStyle w:val="Tablelegend"/>
              <w:spacing w:before="80"/>
              <w:rPr>
                <w:lang w:val="ru-RU"/>
              </w:rPr>
            </w:pPr>
            <w:r w:rsidRPr="00017786">
              <w:rPr>
                <w:color w:val="000000"/>
                <w:lang w:val="ru-RU"/>
              </w:rPr>
              <w:t>ПРИМЕЧАНИЕ. − МСЭ несет дополнительные затраты на разработку специального программного обеспечения для космических служб.</w:t>
            </w:r>
          </w:p>
        </w:tc>
      </w:tr>
    </w:tbl>
    <w:p w14:paraId="0ADDD400" w14:textId="36FC6E40" w:rsidR="007B27E9" w:rsidRPr="00017786" w:rsidRDefault="007B27E9" w:rsidP="00520417">
      <w:pPr>
        <w:spacing w:before="240"/>
        <w:jc w:val="both"/>
        <w:rPr>
          <w:lang w:val="ru-RU"/>
        </w:rPr>
      </w:pPr>
      <w:r w:rsidRPr="00017786">
        <w:rPr>
          <w:lang w:val="ru-RU"/>
        </w:rPr>
        <w:t>6</w:t>
      </w:r>
      <w:r w:rsidRPr="00017786">
        <w:rPr>
          <w:lang w:val="ru-RU"/>
        </w:rPr>
        <w:tab/>
        <w:t>Выполнение Бюро радиосвязи Решения 482 не вызвало каких-либо предметных административных или оперативных трудностей ни в самом Бюро, ни в его отношениях с администрациями, представляющими заявки на регистрацию спутниковых сетей.</w:t>
      </w:r>
      <w:bookmarkStart w:id="9" w:name="_Hlk95138652"/>
    </w:p>
    <w:p w14:paraId="7B1ACB67" w14:textId="77777777" w:rsidR="007B27E9" w:rsidRPr="00017786" w:rsidRDefault="007B27E9" w:rsidP="00520417">
      <w:pPr>
        <w:pStyle w:val="Headingb"/>
        <w:jc w:val="both"/>
        <w:rPr>
          <w:lang w:val="ru-RU"/>
        </w:rPr>
      </w:pPr>
      <w:r w:rsidRPr="00017786">
        <w:rPr>
          <w:bCs/>
          <w:lang w:val="ru-RU"/>
        </w:rPr>
        <w:t>Доходы будущих периодов ввиду нехватки ресурсов для обработки информации</w:t>
      </w:r>
    </w:p>
    <w:p w14:paraId="4DFA3297" w14:textId="0D1E6EBC" w:rsidR="007B27E9" w:rsidRPr="00017786" w:rsidRDefault="007B27E9" w:rsidP="00520417">
      <w:pPr>
        <w:jc w:val="both"/>
        <w:rPr>
          <w:lang w:val="ru-RU"/>
        </w:rPr>
      </w:pPr>
      <w:r w:rsidRPr="00017786">
        <w:rPr>
          <w:lang w:val="ru-RU"/>
        </w:rPr>
        <w:t>7</w:t>
      </w:r>
      <w:r w:rsidRPr="00017786">
        <w:rPr>
          <w:lang w:val="ru-RU"/>
        </w:rPr>
        <w:tab/>
        <w:t>Согласно действующим правилам аудиторской проверки, оплата счетов, связанных с возмещением затрат на регистрацию спутниковых сетей, учитывается в учтенных доходах только после публикации соответствующих специальных секций.</w:t>
      </w:r>
    </w:p>
    <w:p w14:paraId="1273B495" w14:textId="638AE1D6" w:rsidR="007B27E9" w:rsidRPr="00017786" w:rsidRDefault="007B27E9" w:rsidP="00520417">
      <w:pPr>
        <w:jc w:val="both"/>
        <w:rPr>
          <w:lang w:val="ru-RU"/>
        </w:rPr>
      </w:pPr>
      <w:r w:rsidRPr="00017786">
        <w:rPr>
          <w:lang w:val="ru-RU"/>
        </w:rPr>
        <w:t>8</w:t>
      </w:r>
      <w:r w:rsidRPr="00017786">
        <w:rPr>
          <w:lang w:val="ru-RU"/>
        </w:rPr>
        <w:tab/>
        <w:t>В конце 2025 года доходы будущих периодов (т. е. случаи, когда счета уже выставлены объединению, направившему заявку, но соответствующая специальная секция еще не опубликована) составили 4 237 520 швейцарских франков.</w:t>
      </w:r>
    </w:p>
    <w:p w14:paraId="7BE376EA" w14:textId="6206A9C7" w:rsidR="007B27E9" w:rsidRPr="00F5249C" w:rsidRDefault="007B27E9" w:rsidP="00520417">
      <w:pPr>
        <w:spacing w:line="259" w:lineRule="auto"/>
        <w:jc w:val="both"/>
        <w:rPr>
          <w:lang w:val="ru-RU"/>
        </w:rPr>
      </w:pPr>
      <w:r w:rsidRPr="00017786">
        <w:rPr>
          <w:lang w:val="ru-RU"/>
        </w:rPr>
        <w:t>9</w:t>
      </w:r>
      <w:r w:rsidRPr="00017786">
        <w:rPr>
          <w:lang w:val="ru-RU"/>
        </w:rPr>
        <w:tab/>
        <w:t>Время обработки информации для всех специальных секций, кроме запросов о</w:t>
      </w:r>
      <w:r w:rsidR="008427E1">
        <w:rPr>
          <w:lang w:val="ru-RU"/>
        </w:rPr>
        <w:t> </w:t>
      </w:r>
      <w:r w:rsidRPr="00017786">
        <w:rPr>
          <w:lang w:val="ru-RU"/>
        </w:rPr>
        <w:t>координации, находится в пределах сроков, установленных либо в Регламенте радиосвязи, либо в Оперативном плане МСЭ-R в случае отсутствия регламентарного периода. Что касается запросов о координации, то с июня 2025</w:t>
      </w:r>
      <w:r w:rsidR="008427E1">
        <w:rPr>
          <w:lang w:val="ru-RU"/>
        </w:rPr>
        <w:t> </w:t>
      </w:r>
      <w:r w:rsidRPr="00017786">
        <w:rPr>
          <w:lang w:val="ru-RU"/>
        </w:rPr>
        <w:t>года количество сетей, находящихся в процессе обработки, сокращается, что свидетельствует об усилиях Бюро радиосвязи по устранению накопившегося объема невыполненной работы (после максимального значения в 17</w:t>
      </w:r>
      <w:r w:rsidR="008427E1">
        <w:rPr>
          <w:lang w:val="ru-RU"/>
        </w:rPr>
        <w:t> </w:t>
      </w:r>
      <w:r w:rsidRPr="00017786">
        <w:rPr>
          <w:lang w:val="ru-RU"/>
        </w:rPr>
        <w:t>месяцев в июне 2025</w:t>
      </w:r>
      <w:r w:rsidR="008427E1">
        <w:rPr>
          <w:lang w:val="ru-RU"/>
        </w:rPr>
        <w:t> </w:t>
      </w:r>
      <w:r w:rsidRPr="00017786">
        <w:rPr>
          <w:lang w:val="ru-RU"/>
        </w:rPr>
        <w:t>года в настоящее время обработка занимает 14</w:t>
      </w:r>
      <w:r w:rsidR="008427E1">
        <w:rPr>
          <w:lang w:val="ru-RU"/>
        </w:rPr>
        <w:t> </w:t>
      </w:r>
      <w:r w:rsidRPr="00017786">
        <w:rPr>
          <w:lang w:val="ru-RU"/>
        </w:rPr>
        <w:t>месяцев при нормативном требовании в 4 месяца).</w:t>
      </w:r>
    </w:p>
    <w:p w14:paraId="6055F773" w14:textId="77777777" w:rsidR="007B27E9" w:rsidRPr="00017786" w:rsidRDefault="007B27E9" w:rsidP="00520417">
      <w:pPr>
        <w:jc w:val="both"/>
        <w:rPr>
          <w:lang w:val="ru-RU"/>
        </w:rPr>
      </w:pPr>
      <w:r w:rsidRPr="00017786">
        <w:rPr>
          <w:lang w:val="ru-RU"/>
        </w:rPr>
        <w:t>10</w:t>
      </w:r>
      <w:r w:rsidRPr="00017786">
        <w:rPr>
          <w:lang w:val="ru-RU"/>
        </w:rPr>
        <w:tab/>
        <w:t xml:space="preserve">Однако имеющиеся в МСЭ бюджетные ограничения привели к фактическому замораживанию набора персонала, из-за чего несколько вакантных должностей в Бюро остались незаполненными. На фоне существующей нехватки персонала для обработки запросов о координации Бюро радиосвязи недостает необходимых ресурсов для ликвидации накопившегося объема невыполненной работы и, следовательно, сокращения объема доходов будущих периодов. В Документе </w:t>
      </w:r>
      <w:hyperlink r:id="rId17" w:history="1">
        <w:r w:rsidRPr="00017786">
          <w:rPr>
            <w:rStyle w:val="Hyperlink"/>
            <w:lang w:val="ru-RU"/>
          </w:rPr>
          <w:t>C26/42</w:t>
        </w:r>
      </w:hyperlink>
      <w:r w:rsidRPr="00017786">
        <w:rPr>
          <w:lang w:val="ru-RU"/>
        </w:rPr>
        <w:t xml:space="preserve"> Совета предлагается выделить часть сэкономленных в 2025 году средств на решение этого вопроса. </w:t>
      </w:r>
      <w:hyperlink r:id="rId18" w:history="1"/>
    </w:p>
    <w:p w14:paraId="5D02EE23" w14:textId="1BF08678" w:rsidR="007B27E9" w:rsidRPr="00017786" w:rsidRDefault="007B27E9" w:rsidP="00520417">
      <w:pPr>
        <w:spacing w:line="259" w:lineRule="auto"/>
        <w:jc w:val="both"/>
        <w:rPr>
          <w:lang w:val="ru-RU"/>
        </w:rPr>
      </w:pPr>
      <w:r w:rsidRPr="00017786">
        <w:rPr>
          <w:lang w:val="ru-RU"/>
        </w:rPr>
        <w:t>11</w:t>
      </w:r>
      <w:r w:rsidRPr="00017786">
        <w:rPr>
          <w:lang w:val="ru-RU"/>
        </w:rPr>
        <w:tab/>
        <w:t>Кроме того, поскольку выставление счетов осуществляется в конце первого из трех этапов обработки заявок на регистрацию спутниковых сетей, накопившийся объем невыполненной работы по обработке подразумевает задержку на всех трех этапах и, соответственно, вытекающую из этого задержку в выставлении счетов. В результате, более чем по 190</w:t>
      </w:r>
      <w:r w:rsidR="008427E1">
        <w:rPr>
          <w:lang w:val="ru-RU"/>
        </w:rPr>
        <w:t> </w:t>
      </w:r>
      <w:r w:rsidRPr="00017786">
        <w:rPr>
          <w:lang w:val="ru-RU"/>
        </w:rPr>
        <w:t>запросам о координации, полученным в 2025</w:t>
      </w:r>
      <w:r w:rsidR="008427E1">
        <w:rPr>
          <w:lang w:val="ru-RU"/>
        </w:rPr>
        <w:t> </w:t>
      </w:r>
      <w:r w:rsidRPr="00017786">
        <w:rPr>
          <w:lang w:val="ru-RU"/>
        </w:rPr>
        <w:t>году, все еще ожидается выставление счетов, общая сумма которых оценивается в 3</w:t>
      </w:r>
      <w:r w:rsidR="008427E1">
        <w:rPr>
          <w:lang w:val="ru-RU"/>
        </w:rPr>
        <w:t> </w:t>
      </w:r>
      <w:r w:rsidRPr="00017786">
        <w:rPr>
          <w:lang w:val="ru-RU"/>
        </w:rPr>
        <w:t>800</w:t>
      </w:r>
      <w:r w:rsidR="008427E1">
        <w:rPr>
          <w:lang w:val="ru-RU"/>
        </w:rPr>
        <w:t> </w:t>
      </w:r>
      <w:r w:rsidRPr="00017786">
        <w:rPr>
          <w:lang w:val="ru-RU"/>
        </w:rPr>
        <w:t>000 швейцарских франков (исходя из суммы в 20 000</w:t>
      </w:r>
      <w:r w:rsidR="008427E1">
        <w:rPr>
          <w:lang w:val="ru-RU"/>
        </w:rPr>
        <w:t> </w:t>
      </w:r>
      <w:r w:rsidRPr="00017786">
        <w:rPr>
          <w:lang w:val="ru-RU"/>
        </w:rPr>
        <w:t>швейцарских франков за один запрос о координации).</w:t>
      </w:r>
    </w:p>
    <w:p w14:paraId="54769C1D" w14:textId="77777777" w:rsidR="007B27E9" w:rsidRPr="00017786" w:rsidRDefault="007B27E9" w:rsidP="00520417">
      <w:pPr>
        <w:jc w:val="both"/>
        <w:rPr>
          <w:lang w:val="ru-RU"/>
        </w:rPr>
      </w:pPr>
      <w:r w:rsidRPr="00017786">
        <w:rPr>
          <w:lang w:val="ru-RU"/>
        </w:rPr>
        <w:t>12</w:t>
      </w:r>
      <w:r w:rsidRPr="00017786">
        <w:rPr>
          <w:lang w:val="ru-RU"/>
        </w:rPr>
        <w:tab/>
        <w:t xml:space="preserve">Кроме того, задержки при обработке запросов о координации лишь усугубят нормативную неопределенность и скажутся на способности администраций и спутниковых </w:t>
      </w:r>
      <w:r w:rsidRPr="00017786">
        <w:rPr>
          <w:lang w:val="ru-RU"/>
        </w:rPr>
        <w:lastRenderedPageBreak/>
        <w:t>операторов продолжать осуществление планов развертывания спутниковых сетей, которые необходимо ввести в действие в течение семи лет после представления.</w:t>
      </w:r>
    </w:p>
    <w:bookmarkEnd w:id="9"/>
    <w:p w14:paraId="654FF7D9" w14:textId="77777777" w:rsidR="007B27E9" w:rsidRPr="00017786" w:rsidRDefault="007B27E9" w:rsidP="00520417">
      <w:pPr>
        <w:pStyle w:val="Headingb"/>
        <w:jc w:val="both"/>
        <w:rPr>
          <w:lang w:val="ru-RU"/>
        </w:rPr>
      </w:pPr>
      <w:r w:rsidRPr="00017786">
        <w:rPr>
          <w:bCs/>
          <w:lang w:val="ru-RU"/>
        </w:rPr>
        <w:t>Влияние Резолюций 35 (Пересм. ВКР-23) и 8 (ВКР-23)</w:t>
      </w:r>
    </w:p>
    <w:p w14:paraId="47E42E93" w14:textId="77777777" w:rsidR="007B27E9" w:rsidRPr="00017786" w:rsidRDefault="007B27E9" w:rsidP="00520417">
      <w:pPr>
        <w:jc w:val="both"/>
        <w:rPr>
          <w:lang w:val="ru-RU"/>
        </w:rPr>
      </w:pPr>
      <w:r w:rsidRPr="00017786">
        <w:rPr>
          <w:lang w:val="ru-RU"/>
        </w:rPr>
        <w:t>13</w:t>
      </w:r>
      <w:r w:rsidRPr="00017786">
        <w:rPr>
          <w:lang w:val="ru-RU"/>
        </w:rPr>
        <w:tab/>
        <w:t xml:space="preserve">Для выполнения Резолюций 35 (Пересм. ВКР-23) и 8 (ВКР-23) необходимо изучить характеристики развертывания каждого спутника рассматриваемой негеостационарной спутниковой системы. </w:t>
      </w:r>
    </w:p>
    <w:p w14:paraId="17DBA914" w14:textId="475AAE3C" w:rsidR="007B27E9" w:rsidRPr="00F5249C" w:rsidRDefault="007B27E9" w:rsidP="00520417">
      <w:pPr>
        <w:jc w:val="both"/>
        <w:rPr>
          <w:lang w:val="ru-RU"/>
        </w:rPr>
      </w:pPr>
      <w:r w:rsidRPr="00017786">
        <w:rPr>
          <w:lang w:val="ru-RU"/>
        </w:rPr>
        <w:t>14</w:t>
      </w:r>
      <w:r w:rsidRPr="00017786">
        <w:rPr>
          <w:lang w:val="ru-RU"/>
        </w:rPr>
        <w:tab/>
        <w:t>Это рассмотрение можно было бы считать частью деятельности, связанной с заявлением частотных присвоений негеостационарной спутниковой системе и покрываемой за счет соответствующих средств, если число спутников в такой системе ограничено. Однако такой подход более неприменим в отношении крупных негеостационарных спутниковых систем, поскольку объем работы, связанной с рассмотрением соответствия каждого отдельного спутника условиям, изложенным в обеих Резолюциях, напрямую связан с числом фактически развернутых спутников, характеристики которых должны быть проверены.</w:t>
      </w:r>
    </w:p>
    <w:p w14:paraId="60F2186A" w14:textId="77777777" w:rsidR="007B27E9" w:rsidRPr="00017786" w:rsidRDefault="007B27E9" w:rsidP="00520417">
      <w:pPr>
        <w:jc w:val="both"/>
        <w:rPr>
          <w:lang w:val="ru-RU"/>
        </w:rPr>
      </w:pPr>
      <w:r w:rsidRPr="00017786">
        <w:rPr>
          <w:lang w:val="ru-RU"/>
        </w:rPr>
        <w:t>15</w:t>
      </w:r>
      <w:r w:rsidRPr="00017786">
        <w:rPr>
          <w:lang w:val="ru-RU"/>
        </w:rPr>
        <w:tab/>
        <w:t xml:space="preserve">В связи с этим следует изучить вопрос обеспечения надлежащей оценки затрат на рассмотрение исходя из этих двух Резолюций. </w:t>
      </w:r>
    </w:p>
    <w:p w14:paraId="429F8488" w14:textId="77777777" w:rsidR="007B27E9" w:rsidRPr="00017786" w:rsidRDefault="007B27E9" w:rsidP="00520417">
      <w:pPr>
        <w:pStyle w:val="Headingb"/>
        <w:jc w:val="both"/>
        <w:rPr>
          <w:lang w:val="ru-RU"/>
        </w:rPr>
      </w:pPr>
      <w:r w:rsidRPr="00017786">
        <w:rPr>
          <w:bCs/>
          <w:lang w:val="ru-RU"/>
        </w:rPr>
        <w:t>Заключение</w:t>
      </w:r>
    </w:p>
    <w:p w14:paraId="7CAC3011" w14:textId="65A0477E" w:rsidR="007B27E9" w:rsidRPr="00017786" w:rsidRDefault="007B27E9" w:rsidP="00520417">
      <w:pPr>
        <w:jc w:val="both"/>
        <w:rPr>
          <w:lang w:val="ru-RU"/>
        </w:rPr>
      </w:pPr>
      <w:r w:rsidRPr="00017786">
        <w:rPr>
          <w:lang w:val="ru-RU"/>
        </w:rPr>
        <w:t>16</w:t>
      </w:r>
      <w:r w:rsidRPr="00017786">
        <w:rPr>
          <w:lang w:val="ru-RU"/>
        </w:rPr>
        <w:tab/>
        <w:t xml:space="preserve">Совету предлагается </w:t>
      </w:r>
      <w:r w:rsidRPr="00017786">
        <w:rPr>
          <w:b/>
          <w:bCs/>
          <w:lang w:val="ru-RU"/>
        </w:rPr>
        <w:t>принять к сведению</w:t>
      </w:r>
      <w:r w:rsidRPr="00017786">
        <w:rPr>
          <w:lang w:val="ru-RU"/>
        </w:rPr>
        <w:t xml:space="preserve"> отчет о состоянии дел с осуществлением возмещения затрат на обработку заявок на регистрацию спутниковых сетей и </w:t>
      </w:r>
      <w:r w:rsidRPr="00017786">
        <w:rPr>
          <w:b/>
          <w:bCs/>
          <w:lang w:val="ru-RU"/>
        </w:rPr>
        <w:t xml:space="preserve">поручить Рабочей группе Совета по финансовым и людским ресурсам изучить </w:t>
      </w:r>
      <w:r w:rsidRPr="00017786">
        <w:rPr>
          <w:lang w:val="ru-RU"/>
        </w:rPr>
        <w:t>вопрос о том, как обеспечить надлежащую оценку затрат на работу, предусмотренную Резолюциями 35 (Пересм. ВКР-23) и</w:t>
      </w:r>
      <w:r w:rsidR="00017786" w:rsidRPr="00017786">
        <w:rPr>
          <w:lang w:val="ru-RU"/>
        </w:rPr>
        <w:t> </w:t>
      </w:r>
      <w:r w:rsidRPr="00017786">
        <w:rPr>
          <w:lang w:val="ru-RU"/>
        </w:rPr>
        <w:t>8</w:t>
      </w:r>
      <w:r w:rsidR="00017786" w:rsidRPr="00017786">
        <w:rPr>
          <w:lang w:val="ru-RU"/>
        </w:rPr>
        <w:t> </w:t>
      </w:r>
      <w:r w:rsidRPr="00017786">
        <w:rPr>
          <w:lang w:val="ru-RU"/>
        </w:rPr>
        <w:t>(ВКР-23).</w:t>
      </w:r>
    </w:p>
    <w:p w14:paraId="69BB744F" w14:textId="77777777" w:rsidR="00796BD3" w:rsidRPr="00017786" w:rsidRDefault="00C462C5" w:rsidP="00017786">
      <w:pPr>
        <w:spacing w:before="720"/>
        <w:jc w:val="center"/>
        <w:rPr>
          <w:lang w:val="ru-RU"/>
        </w:rPr>
      </w:pPr>
      <w:r w:rsidRPr="00017786">
        <w:rPr>
          <w:lang w:val="ru-RU"/>
        </w:rPr>
        <w:t>______________</w:t>
      </w:r>
    </w:p>
    <w:sectPr w:rsidR="00796BD3" w:rsidRPr="00017786" w:rsidSect="00796BD3">
      <w:footerReference w:type="default" r:id="rId19"/>
      <w:headerReference w:type="first" r:id="rId20"/>
      <w:footerReference w:type="first" r:id="rId21"/>
      <w:pgSz w:w="11907" w:h="16834"/>
      <w:pgMar w:top="1418" w:right="1418" w:bottom="1418" w:left="1418" w:header="720" w:footer="720" w:gutter="0"/>
      <w:paperSrc w:first="286" w:other="28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0AB2E7" w14:textId="77777777" w:rsidR="007B27E9" w:rsidRDefault="007B27E9">
      <w:r>
        <w:separator/>
      </w:r>
    </w:p>
  </w:endnote>
  <w:endnote w:type="continuationSeparator" w:id="0">
    <w:p w14:paraId="4F13C403" w14:textId="77777777" w:rsidR="007B27E9" w:rsidRDefault="007B2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672F8A" w:rsidRPr="00784011" w14:paraId="511EB750" w14:textId="77777777" w:rsidTr="00E31DCE">
      <w:trPr>
        <w:jc w:val="center"/>
      </w:trPr>
      <w:tc>
        <w:tcPr>
          <w:tcW w:w="1803" w:type="dxa"/>
          <w:vAlign w:val="center"/>
        </w:tcPr>
        <w:p w14:paraId="127E6E03" w14:textId="3C01543B" w:rsidR="00672F8A" w:rsidRPr="003807CC" w:rsidRDefault="003807CC" w:rsidP="00672F8A">
          <w:pPr>
            <w:pStyle w:val="Header"/>
            <w:jc w:val="left"/>
            <w:rPr>
              <w:noProof/>
              <w:lang w:val="ru-RU"/>
            </w:rPr>
          </w:pPr>
          <w:r>
            <w:rPr>
              <w:noProof/>
            </w:rPr>
            <w:t>gDoc #</w:t>
          </w:r>
          <w:r>
            <w:rPr>
              <w:noProof/>
              <w:lang w:val="ru-RU"/>
            </w:rPr>
            <w:t xml:space="preserve"> 2600511</w:t>
          </w:r>
        </w:p>
      </w:tc>
      <w:tc>
        <w:tcPr>
          <w:tcW w:w="8261" w:type="dxa"/>
        </w:tcPr>
        <w:p w14:paraId="174F1D2B" w14:textId="53A1AFDE" w:rsidR="00672F8A" w:rsidRPr="00E06FD5" w:rsidRDefault="00672F8A" w:rsidP="007B27E9">
          <w:pPr>
            <w:pStyle w:val="Header"/>
            <w:tabs>
              <w:tab w:val="left" w:pos="6742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proofErr w:type="spellStart"/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BE00DD">
            <w:rPr>
              <w:bCs/>
            </w:rPr>
            <w:t>6</w:t>
          </w:r>
          <w:proofErr w:type="spellEnd"/>
          <w:r w:rsidRPr="00623AE3">
            <w:rPr>
              <w:bCs/>
            </w:rPr>
            <w:t>/</w:t>
          </w:r>
          <w:r w:rsidR="007B27E9">
            <w:rPr>
              <w:bCs/>
            </w:rPr>
            <w:t>16</w:t>
          </w:r>
          <w:r w:rsidRPr="00623AE3">
            <w:rPr>
              <w:bCs/>
            </w:rPr>
            <w:t>-</w:t>
          </w:r>
          <w:r w:rsidR="00165D06">
            <w:rPr>
              <w:bCs/>
            </w:rPr>
            <w:t>R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226B56D9" w14:textId="77777777" w:rsidR="000E568E" w:rsidRPr="00672F8A" w:rsidRDefault="000E568E" w:rsidP="00672F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672F8A" w:rsidRPr="00784011" w14:paraId="17364200" w14:textId="77777777" w:rsidTr="00E31DCE">
      <w:trPr>
        <w:jc w:val="center"/>
      </w:trPr>
      <w:tc>
        <w:tcPr>
          <w:tcW w:w="1803" w:type="dxa"/>
          <w:vAlign w:val="center"/>
        </w:tcPr>
        <w:p w14:paraId="75BDA3A3" w14:textId="77777777" w:rsidR="00672F8A" w:rsidRDefault="00D631AA" w:rsidP="00672F8A">
          <w:pPr>
            <w:pStyle w:val="Header"/>
            <w:jc w:val="left"/>
            <w:rPr>
              <w:noProof/>
            </w:rPr>
          </w:pPr>
          <w:hyperlink r:id="rId1" w:anchor="/ru" w:history="1">
            <w:proofErr w:type="spellStart"/>
            <w:r w:rsidRPr="00BE00DD">
              <w:rPr>
                <w:rStyle w:val="Hyperlink"/>
                <w:szCs w:val="14"/>
              </w:rPr>
              <w:t>council.itu.int</w:t>
            </w:r>
            <w:proofErr w:type="spellEnd"/>
            <w:r w:rsidRPr="00BE00DD">
              <w:rPr>
                <w:rStyle w:val="Hyperlink"/>
                <w:szCs w:val="14"/>
              </w:rPr>
              <w:t>/202</w:t>
            </w:r>
            <w:r w:rsidR="00BE00DD" w:rsidRPr="00BE00DD">
              <w:rPr>
                <w:rStyle w:val="Hyperlink"/>
                <w:szCs w:val="14"/>
              </w:rPr>
              <w:t>6</w:t>
            </w:r>
          </w:hyperlink>
          <w:r w:rsidR="00BE00DD">
            <w:rPr>
              <w:color w:val="0563C1"/>
              <w:szCs w:val="14"/>
            </w:rPr>
            <w:t xml:space="preserve"> </w:t>
          </w:r>
        </w:p>
      </w:tc>
      <w:tc>
        <w:tcPr>
          <w:tcW w:w="8261" w:type="dxa"/>
        </w:tcPr>
        <w:p w14:paraId="073BABB0" w14:textId="7FB1883E" w:rsidR="00672F8A" w:rsidRPr="00E06FD5" w:rsidRDefault="00672F8A" w:rsidP="007B27E9">
          <w:pPr>
            <w:pStyle w:val="Header"/>
            <w:tabs>
              <w:tab w:val="left" w:pos="6742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proofErr w:type="spellStart"/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BE00DD">
            <w:rPr>
              <w:bCs/>
            </w:rPr>
            <w:t>6</w:t>
          </w:r>
          <w:proofErr w:type="spellEnd"/>
          <w:r w:rsidRPr="00623AE3">
            <w:rPr>
              <w:bCs/>
            </w:rPr>
            <w:t>/</w:t>
          </w:r>
          <w:r w:rsidR="007B27E9">
            <w:rPr>
              <w:bCs/>
            </w:rPr>
            <w:t>16</w:t>
          </w:r>
          <w:r w:rsidRPr="00623AE3">
            <w:rPr>
              <w:bCs/>
            </w:rPr>
            <w:t>-</w:t>
          </w:r>
          <w:r>
            <w:rPr>
              <w:bCs/>
            </w:rPr>
            <w:t>R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178EC348" w14:textId="77777777" w:rsidR="000E568E" w:rsidRPr="00672F8A" w:rsidRDefault="000E568E" w:rsidP="00672F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35A6C" w14:textId="77777777" w:rsidR="007B27E9" w:rsidRDefault="007B27E9">
      <w:r>
        <w:t>____________________</w:t>
      </w:r>
    </w:p>
  </w:footnote>
  <w:footnote w:type="continuationSeparator" w:id="0">
    <w:p w14:paraId="7E6C732D" w14:textId="77777777" w:rsidR="007B27E9" w:rsidRDefault="007B27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FB308" w14:textId="77777777" w:rsidR="0014229E" w:rsidRPr="007E5FC4" w:rsidRDefault="00244C39" w:rsidP="00A74304">
    <w:pPr>
      <w:pStyle w:val="Header"/>
      <w:spacing w:before="60"/>
      <w:ind w:left="113"/>
      <w:jc w:val="left"/>
    </w:pPr>
    <w:r>
      <w:rPr>
        <w:noProof/>
      </w:rPr>
      <w:drawing>
        <wp:inline distT="0" distB="0" distL="0" distR="0" wp14:anchorId="733FC1F1" wp14:editId="3404D13B">
          <wp:extent cx="3992140" cy="720000"/>
          <wp:effectExtent l="0" t="0" r="0" b="0"/>
          <wp:docPr id="50127270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1272706" name="Picture 50127270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92140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34693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7E9"/>
    <w:rsid w:val="00005BE0"/>
    <w:rsid w:val="00017786"/>
    <w:rsid w:val="0002183E"/>
    <w:rsid w:val="000569B4"/>
    <w:rsid w:val="0006007D"/>
    <w:rsid w:val="00080E82"/>
    <w:rsid w:val="000934DD"/>
    <w:rsid w:val="000A10CA"/>
    <w:rsid w:val="000B2DE7"/>
    <w:rsid w:val="000B4E93"/>
    <w:rsid w:val="000E568E"/>
    <w:rsid w:val="0014229E"/>
    <w:rsid w:val="0014734F"/>
    <w:rsid w:val="00156890"/>
    <w:rsid w:val="0015710D"/>
    <w:rsid w:val="00163A32"/>
    <w:rsid w:val="00165D06"/>
    <w:rsid w:val="00192B41"/>
    <w:rsid w:val="001B7B09"/>
    <w:rsid w:val="001E6719"/>
    <w:rsid w:val="001E7F50"/>
    <w:rsid w:val="00225368"/>
    <w:rsid w:val="00227FF0"/>
    <w:rsid w:val="00244C39"/>
    <w:rsid w:val="00276F05"/>
    <w:rsid w:val="00277DEA"/>
    <w:rsid w:val="00291EB6"/>
    <w:rsid w:val="002C3F32"/>
    <w:rsid w:val="002D2F57"/>
    <w:rsid w:val="002D48C5"/>
    <w:rsid w:val="0033025A"/>
    <w:rsid w:val="00345D2A"/>
    <w:rsid w:val="003807CC"/>
    <w:rsid w:val="00381936"/>
    <w:rsid w:val="003935CB"/>
    <w:rsid w:val="003F099E"/>
    <w:rsid w:val="003F235E"/>
    <w:rsid w:val="00401FD7"/>
    <w:rsid w:val="004023E0"/>
    <w:rsid w:val="00403DD8"/>
    <w:rsid w:val="004070A0"/>
    <w:rsid w:val="00425CA7"/>
    <w:rsid w:val="00442515"/>
    <w:rsid w:val="0045686C"/>
    <w:rsid w:val="00465C35"/>
    <w:rsid w:val="004918C4"/>
    <w:rsid w:val="00497703"/>
    <w:rsid w:val="004A0374"/>
    <w:rsid w:val="004A45B5"/>
    <w:rsid w:val="004D0129"/>
    <w:rsid w:val="00515795"/>
    <w:rsid w:val="00520417"/>
    <w:rsid w:val="00531D46"/>
    <w:rsid w:val="005A64D5"/>
    <w:rsid w:val="005B1232"/>
    <w:rsid w:val="005B3DEC"/>
    <w:rsid w:val="00601994"/>
    <w:rsid w:val="00660449"/>
    <w:rsid w:val="00672F8A"/>
    <w:rsid w:val="006E2D42"/>
    <w:rsid w:val="00703676"/>
    <w:rsid w:val="00707304"/>
    <w:rsid w:val="00732269"/>
    <w:rsid w:val="00762555"/>
    <w:rsid w:val="0077110E"/>
    <w:rsid w:val="00784980"/>
    <w:rsid w:val="00785ABD"/>
    <w:rsid w:val="00796BD3"/>
    <w:rsid w:val="007A2DD4"/>
    <w:rsid w:val="007B27E9"/>
    <w:rsid w:val="007D38B5"/>
    <w:rsid w:val="007E5FC4"/>
    <w:rsid w:val="007E7EA0"/>
    <w:rsid w:val="00807255"/>
    <w:rsid w:val="0081023E"/>
    <w:rsid w:val="008173AA"/>
    <w:rsid w:val="00836F6D"/>
    <w:rsid w:val="00840A14"/>
    <w:rsid w:val="008427E1"/>
    <w:rsid w:val="0084546D"/>
    <w:rsid w:val="008B62B4"/>
    <w:rsid w:val="008D2D7B"/>
    <w:rsid w:val="008E0737"/>
    <w:rsid w:val="008F7958"/>
    <w:rsid w:val="008F7C2C"/>
    <w:rsid w:val="00940E96"/>
    <w:rsid w:val="00950A82"/>
    <w:rsid w:val="009A76A8"/>
    <w:rsid w:val="009B0BAE"/>
    <w:rsid w:val="009C1C89"/>
    <w:rsid w:val="009C5528"/>
    <w:rsid w:val="009F3448"/>
    <w:rsid w:val="00A01CF9"/>
    <w:rsid w:val="00A01F4F"/>
    <w:rsid w:val="00A109AF"/>
    <w:rsid w:val="00A20B63"/>
    <w:rsid w:val="00A3481C"/>
    <w:rsid w:val="00A405F9"/>
    <w:rsid w:val="00A71773"/>
    <w:rsid w:val="00A74304"/>
    <w:rsid w:val="00AE2C85"/>
    <w:rsid w:val="00B0107F"/>
    <w:rsid w:val="00B12A37"/>
    <w:rsid w:val="00B41837"/>
    <w:rsid w:val="00B63EF2"/>
    <w:rsid w:val="00BA7D89"/>
    <w:rsid w:val="00BC0D39"/>
    <w:rsid w:val="00BC7BC0"/>
    <w:rsid w:val="00BD57B7"/>
    <w:rsid w:val="00BE00DD"/>
    <w:rsid w:val="00BE63E2"/>
    <w:rsid w:val="00C462C5"/>
    <w:rsid w:val="00CD2009"/>
    <w:rsid w:val="00CE719A"/>
    <w:rsid w:val="00CF629C"/>
    <w:rsid w:val="00D17718"/>
    <w:rsid w:val="00D631AA"/>
    <w:rsid w:val="00D92EEA"/>
    <w:rsid w:val="00DA5D4E"/>
    <w:rsid w:val="00DA770A"/>
    <w:rsid w:val="00E05752"/>
    <w:rsid w:val="00E176BA"/>
    <w:rsid w:val="00E423EC"/>
    <w:rsid w:val="00E47FD1"/>
    <w:rsid w:val="00E55121"/>
    <w:rsid w:val="00EB4FCB"/>
    <w:rsid w:val="00EC6BC5"/>
    <w:rsid w:val="00F348D0"/>
    <w:rsid w:val="00F35898"/>
    <w:rsid w:val="00F5225B"/>
    <w:rsid w:val="00F5249C"/>
    <w:rsid w:val="00FE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8B0D5AE"/>
  <w15:docId w15:val="{3C0A4513-0C88-428E-B504-53BA137C8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671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227FF0"/>
    <w:pPr>
      <w:keepNext/>
      <w:keepLines/>
      <w:spacing w:before="480"/>
      <w:ind w:left="794" w:hanging="79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qFormat/>
    <w:rsid w:val="00227FF0"/>
    <w:pPr>
      <w:spacing w:before="320"/>
      <w:outlineLvl w:val="1"/>
    </w:pPr>
    <w:rPr>
      <w:sz w:val="22"/>
    </w:rPr>
  </w:style>
  <w:style w:type="paragraph" w:styleId="Heading3">
    <w:name w:val="heading 3"/>
    <w:basedOn w:val="Heading1"/>
    <w:next w:val="Normal"/>
    <w:qFormat/>
    <w:rsid w:val="00762555"/>
    <w:pPr>
      <w:spacing w:before="200"/>
      <w:ind w:left="0" w:firstLine="0"/>
      <w:outlineLvl w:val="2"/>
    </w:pPr>
    <w:rPr>
      <w:rFonts w:asciiTheme="minorHAnsi" w:hAnsiTheme="minorHAnsi"/>
      <w:sz w:val="22"/>
    </w:rPr>
  </w:style>
  <w:style w:type="paragraph" w:styleId="Heading4">
    <w:name w:val="heading 4"/>
    <w:basedOn w:val="Heading3"/>
    <w:next w:val="Normal"/>
    <w:qFormat/>
    <w:rsid w:val="00227FF0"/>
    <w:pPr>
      <w:tabs>
        <w:tab w:val="clear" w:pos="794"/>
        <w:tab w:val="clear" w:pos="1191"/>
        <w:tab w:val="clear" w:pos="1588"/>
        <w:tab w:val="clear" w:pos="1985"/>
      </w:tabs>
      <w:outlineLvl w:val="3"/>
    </w:pPr>
    <w:rPr>
      <w:b w:val="0"/>
    </w:rPr>
  </w:style>
  <w:style w:type="paragraph" w:styleId="Heading5">
    <w:name w:val="heading 5"/>
    <w:basedOn w:val="Heading4"/>
    <w:next w:val="Normal"/>
    <w:qFormat/>
    <w:rsid w:val="00227FF0"/>
    <w:pPr>
      <w:outlineLvl w:val="4"/>
    </w:pPr>
  </w:style>
  <w:style w:type="paragraph" w:styleId="Heading6">
    <w:name w:val="heading 6"/>
    <w:basedOn w:val="Heading4"/>
    <w:next w:val="Normal"/>
    <w:qFormat/>
    <w:rsid w:val="00227FF0"/>
    <w:pPr>
      <w:outlineLvl w:val="5"/>
    </w:pPr>
  </w:style>
  <w:style w:type="paragraph" w:styleId="Heading7">
    <w:name w:val="heading 7"/>
    <w:basedOn w:val="Heading6"/>
    <w:next w:val="Normal"/>
    <w:qFormat/>
    <w:rsid w:val="00227FF0"/>
    <w:pPr>
      <w:outlineLvl w:val="6"/>
    </w:pPr>
  </w:style>
  <w:style w:type="paragraph" w:styleId="Heading8">
    <w:name w:val="heading 8"/>
    <w:basedOn w:val="Heading6"/>
    <w:next w:val="Normal"/>
    <w:qFormat/>
    <w:rsid w:val="00227FF0"/>
    <w:pPr>
      <w:outlineLvl w:val="7"/>
    </w:pPr>
  </w:style>
  <w:style w:type="paragraph" w:styleId="Heading9">
    <w:name w:val="heading 9"/>
    <w:basedOn w:val="Heading6"/>
    <w:next w:val="Normal"/>
    <w:qFormat/>
    <w:rsid w:val="00227FF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7"/>
    <w:next w:val="Normal"/>
    <w:rsid w:val="00A405F9"/>
  </w:style>
  <w:style w:type="paragraph" w:styleId="TOC4">
    <w:name w:val="toc 4"/>
    <w:basedOn w:val="TOC1"/>
    <w:next w:val="Normal"/>
    <w:rsid w:val="00A405F9"/>
  </w:style>
  <w:style w:type="paragraph" w:styleId="TOC3">
    <w:name w:val="toc 3"/>
    <w:basedOn w:val="TOC1"/>
    <w:next w:val="Normal"/>
    <w:rsid w:val="00A405F9"/>
  </w:style>
  <w:style w:type="paragraph" w:styleId="TOC2">
    <w:name w:val="toc 2"/>
    <w:basedOn w:val="TOC1"/>
    <w:next w:val="Normal"/>
    <w:rsid w:val="00A405F9"/>
    <w:pPr>
      <w:spacing w:before="160"/>
    </w:pPr>
  </w:style>
  <w:style w:type="paragraph" w:styleId="TOC1">
    <w:name w:val="toc 1"/>
    <w:basedOn w:val="Normal"/>
    <w:rsid w:val="00A405F9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7938"/>
        <w:tab w:val="right" w:pos="9072"/>
      </w:tabs>
      <w:spacing w:before="200"/>
      <w:ind w:left="964" w:hanging="964"/>
    </w:pPr>
    <w:rPr>
      <w:sz w:val="24"/>
      <w:lang w:val="fr-FR"/>
    </w:rPr>
  </w:style>
  <w:style w:type="paragraph" w:styleId="TOC7">
    <w:name w:val="toc 7"/>
    <w:basedOn w:val="TOC6"/>
    <w:next w:val="Normal"/>
    <w:rsid w:val="00A405F9"/>
  </w:style>
  <w:style w:type="paragraph" w:styleId="TOC6">
    <w:name w:val="toc 6"/>
    <w:basedOn w:val="TOC5"/>
    <w:next w:val="Normal"/>
    <w:rsid w:val="00A405F9"/>
  </w:style>
  <w:style w:type="paragraph" w:styleId="TOC5">
    <w:name w:val="toc 5"/>
    <w:basedOn w:val="TOC4"/>
    <w:next w:val="Normal"/>
    <w:rsid w:val="00A405F9"/>
    <w:rPr>
      <w:lang w:val="fr-CH"/>
    </w:rPr>
  </w:style>
  <w:style w:type="paragraph" w:styleId="Index7">
    <w:name w:val="index 7"/>
    <w:basedOn w:val="Normal"/>
    <w:next w:val="Normal"/>
    <w:rsid w:val="00227FF0"/>
    <w:pPr>
      <w:ind w:left="1698"/>
    </w:pPr>
  </w:style>
  <w:style w:type="paragraph" w:styleId="Index6">
    <w:name w:val="index 6"/>
    <w:basedOn w:val="Normal"/>
    <w:next w:val="Normal"/>
    <w:rsid w:val="00227FF0"/>
    <w:pPr>
      <w:ind w:left="1415"/>
    </w:pPr>
  </w:style>
  <w:style w:type="paragraph" w:styleId="Index5">
    <w:name w:val="index 5"/>
    <w:basedOn w:val="Normal"/>
    <w:next w:val="Normal"/>
    <w:rsid w:val="00227FF0"/>
    <w:pPr>
      <w:ind w:left="1132"/>
    </w:pPr>
  </w:style>
  <w:style w:type="paragraph" w:styleId="Index4">
    <w:name w:val="index 4"/>
    <w:basedOn w:val="Normal"/>
    <w:next w:val="Normal"/>
    <w:rsid w:val="00227FF0"/>
    <w:pPr>
      <w:ind w:left="849"/>
    </w:pPr>
  </w:style>
  <w:style w:type="paragraph" w:styleId="Index3">
    <w:name w:val="index 3"/>
    <w:basedOn w:val="Normal"/>
    <w:next w:val="Normal"/>
    <w:rsid w:val="00227FF0"/>
    <w:pPr>
      <w:ind w:left="566"/>
    </w:pPr>
  </w:style>
  <w:style w:type="paragraph" w:styleId="Index2">
    <w:name w:val="index 2"/>
    <w:basedOn w:val="Normal"/>
    <w:next w:val="Normal"/>
    <w:rsid w:val="00227FF0"/>
    <w:pPr>
      <w:ind w:left="283"/>
    </w:pPr>
  </w:style>
  <w:style w:type="paragraph" w:styleId="Index1">
    <w:name w:val="index 1"/>
    <w:basedOn w:val="Normal"/>
    <w:next w:val="Normal"/>
    <w:rsid w:val="00227FF0"/>
  </w:style>
  <w:style w:type="character" w:styleId="LineNumber">
    <w:name w:val="line number"/>
    <w:basedOn w:val="DefaultParagraphFont"/>
    <w:rsid w:val="00227FF0"/>
  </w:style>
  <w:style w:type="paragraph" w:styleId="IndexHeading">
    <w:name w:val="index heading"/>
    <w:basedOn w:val="Normal"/>
    <w:next w:val="Index1"/>
    <w:rsid w:val="00227FF0"/>
  </w:style>
  <w:style w:type="paragraph" w:styleId="Footer">
    <w:name w:val="footer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  <w:lang w:val="fr-FR"/>
    </w:rPr>
  </w:style>
  <w:style w:type="paragraph" w:styleId="Header">
    <w:name w:val="header"/>
    <w:basedOn w:val="Normal"/>
    <w:link w:val="HeaderChar"/>
    <w:uiPriority w:val="99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  <w:lang w:val="fr-FR"/>
    </w:rPr>
  </w:style>
  <w:style w:type="character" w:styleId="FootnoteReference">
    <w:name w:val="footnote reference"/>
    <w:basedOn w:val="DefaultParagraphFont"/>
    <w:rsid w:val="00227FF0"/>
    <w:rPr>
      <w:position w:val="6"/>
      <w:sz w:val="16"/>
    </w:rPr>
  </w:style>
  <w:style w:type="paragraph" w:styleId="FootnoteText">
    <w:name w:val="footnote text"/>
    <w:basedOn w:val="Normal"/>
    <w:rsid w:val="0015710D"/>
    <w:pPr>
      <w:keepLines/>
      <w:tabs>
        <w:tab w:val="left" w:pos="255"/>
      </w:tabs>
      <w:spacing w:before="60"/>
      <w:ind w:left="284" w:hanging="284"/>
    </w:pPr>
    <w:rPr>
      <w:sz w:val="20"/>
    </w:rPr>
  </w:style>
  <w:style w:type="paragraph" w:styleId="NormalIndent">
    <w:name w:val="Normal Indent"/>
    <w:basedOn w:val="Normal"/>
    <w:rsid w:val="00227FF0"/>
    <w:pPr>
      <w:ind w:left="794"/>
    </w:pPr>
  </w:style>
  <w:style w:type="paragraph" w:customStyle="1" w:styleId="enumlev1">
    <w:name w:val="enumlev1"/>
    <w:basedOn w:val="Normal"/>
    <w:rsid w:val="00227FF0"/>
    <w:pPr>
      <w:tabs>
        <w:tab w:val="left" w:pos="2608"/>
        <w:tab w:val="left" w:pos="3345"/>
      </w:tabs>
      <w:spacing w:before="80"/>
      <w:ind w:left="794" w:hanging="794"/>
    </w:pPr>
  </w:style>
  <w:style w:type="paragraph" w:customStyle="1" w:styleId="enumlev2">
    <w:name w:val="enumlev2"/>
    <w:basedOn w:val="enumlev1"/>
    <w:rsid w:val="00227FF0"/>
    <w:pPr>
      <w:ind w:left="1191" w:hanging="397"/>
    </w:pPr>
  </w:style>
  <w:style w:type="paragraph" w:customStyle="1" w:styleId="enumlev3">
    <w:name w:val="enumlev3"/>
    <w:basedOn w:val="enumlev2"/>
    <w:rsid w:val="00227FF0"/>
    <w:pPr>
      <w:ind w:left="1588"/>
    </w:pPr>
  </w:style>
  <w:style w:type="paragraph" w:customStyle="1" w:styleId="Normalaftertitle">
    <w:name w:val="Normal after title"/>
    <w:basedOn w:val="Normal"/>
    <w:next w:val="Normal"/>
    <w:rsid w:val="00227FF0"/>
    <w:pPr>
      <w:spacing w:before="320"/>
    </w:pPr>
  </w:style>
  <w:style w:type="paragraph" w:customStyle="1" w:styleId="Equation">
    <w:name w:val="Equation"/>
    <w:basedOn w:val="Normal"/>
    <w:rsid w:val="00227FF0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Head">
    <w:name w:val="Head"/>
    <w:basedOn w:val="Normal"/>
    <w:rsid w:val="00227FF0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A405F9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  <w:sz w:val="24"/>
      <w:lang w:val="fr-FR"/>
    </w:rPr>
  </w:style>
  <w:style w:type="paragraph" w:styleId="List">
    <w:name w:val="List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Part">
    <w:name w:val="Part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199"/>
      <w:ind w:left="1701" w:hanging="1701"/>
    </w:pPr>
    <w:rPr>
      <w:caps/>
    </w:rPr>
  </w:style>
  <w:style w:type="paragraph" w:customStyle="1" w:styleId="docnoted">
    <w:name w:val="docnoted"/>
    <w:basedOn w:val="Normal"/>
    <w:next w:val="Head"/>
    <w:rsid w:val="00227FF0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pct10" w:color="auto" w:fill="auto"/>
      <w:ind w:right="91"/>
    </w:pPr>
    <w:rPr>
      <w:sz w:val="20"/>
    </w:rPr>
  </w:style>
  <w:style w:type="paragraph" w:customStyle="1" w:styleId="Source">
    <w:name w:val="Source"/>
    <w:basedOn w:val="Normal"/>
    <w:next w:val="Normal"/>
    <w:rsid w:val="00A405F9"/>
    <w:pPr>
      <w:framePr w:hSpace="181" w:wrap="around" w:vAnchor="page" w:hAnchor="page" w:x="1589" w:y="2314"/>
      <w:spacing w:before="480"/>
      <w:suppressOverlap/>
    </w:pPr>
    <w:rPr>
      <w:rFonts w:cstheme="minorHAnsi"/>
      <w:b/>
      <w:sz w:val="32"/>
      <w:szCs w:val="32"/>
      <w:lang w:val="ru-RU"/>
    </w:rPr>
  </w:style>
  <w:style w:type="paragraph" w:customStyle="1" w:styleId="meeting">
    <w:name w:val="meeting"/>
    <w:basedOn w:val="Head"/>
    <w:next w:val="Head"/>
    <w:rsid w:val="00227FF0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227FF0"/>
    <w:pPr>
      <w:tabs>
        <w:tab w:val="clear" w:pos="794"/>
        <w:tab w:val="clear" w:pos="1191"/>
        <w:tab w:val="clear" w:pos="1588"/>
        <w:tab w:val="clear" w:pos="1985"/>
        <w:tab w:val="left" w:pos="1134"/>
      </w:tabs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227FF0"/>
  </w:style>
  <w:style w:type="paragraph" w:customStyle="1" w:styleId="Data">
    <w:name w:val="Data"/>
    <w:basedOn w:val="Subject"/>
    <w:next w:val="Subject"/>
    <w:rsid w:val="00227FF0"/>
  </w:style>
  <w:style w:type="paragraph" w:customStyle="1" w:styleId="Reasons">
    <w:name w:val="Reasons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</w:pPr>
  </w:style>
  <w:style w:type="character" w:styleId="Hyperlink">
    <w:name w:val="Hyperlink"/>
    <w:basedOn w:val="DefaultParagraphFont"/>
    <w:rsid w:val="00BE00DD"/>
    <w:rPr>
      <w:color w:val="4F81BD" w:themeColor="accent1"/>
      <w:u w:val="single"/>
    </w:rPr>
  </w:style>
  <w:style w:type="paragraph" w:customStyle="1" w:styleId="FirstFooter">
    <w:name w:val="FirstFooter"/>
    <w:basedOn w:val="Footer"/>
    <w:rsid w:val="00227FF0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Note">
    <w:name w:val="Note"/>
    <w:basedOn w:val="Normal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80"/>
    </w:pPr>
  </w:style>
  <w:style w:type="paragraph" w:styleId="TOC9">
    <w:name w:val="toc 9"/>
    <w:basedOn w:val="Normal"/>
    <w:next w:val="Normal"/>
    <w:rsid w:val="00A405F9"/>
    <w:pPr>
      <w:tabs>
        <w:tab w:val="clear" w:pos="794"/>
        <w:tab w:val="clear" w:pos="1191"/>
        <w:tab w:val="clear" w:pos="1588"/>
        <w:tab w:val="clear" w:pos="1985"/>
        <w:tab w:val="right" w:leader="dot" w:pos="9645"/>
      </w:tabs>
      <w:ind w:left="1920"/>
    </w:pPr>
    <w:rPr>
      <w:sz w:val="24"/>
      <w:lang w:val="fr-FR"/>
    </w:rPr>
  </w:style>
  <w:style w:type="paragraph" w:customStyle="1" w:styleId="Headingb">
    <w:name w:val="Heading_b"/>
    <w:basedOn w:val="Heading3"/>
    <w:next w:val="Normal"/>
    <w:rsid w:val="00762555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textAlignment w:val="auto"/>
      <w:outlineLvl w:val="9"/>
    </w:pPr>
    <w:rPr>
      <w:rFonts w:ascii="Calibri" w:hAnsi="Calibri"/>
    </w:rPr>
  </w:style>
  <w:style w:type="character" w:styleId="FollowedHyperlink">
    <w:name w:val="FollowedHyperlink"/>
    <w:basedOn w:val="DefaultParagraphFont"/>
    <w:rsid w:val="00227FF0"/>
    <w:rPr>
      <w:color w:val="800080"/>
      <w:u w:val="single"/>
    </w:rPr>
  </w:style>
  <w:style w:type="paragraph" w:customStyle="1" w:styleId="Title1">
    <w:name w:val="Title 1"/>
    <w:basedOn w:val="Source"/>
    <w:next w:val="Title2"/>
    <w:rsid w:val="00227FF0"/>
    <w:pPr>
      <w:framePr w:wrap="around"/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227FF0"/>
    <w:pPr>
      <w:framePr w:wrap="around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227FF0"/>
    <w:pPr>
      <w:framePr w:wrap="around"/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227FF0"/>
    <w:pPr>
      <w:framePr w:wrap="around"/>
    </w:pPr>
    <w:rPr>
      <w:b/>
    </w:rPr>
  </w:style>
  <w:style w:type="paragraph" w:customStyle="1" w:styleId="dnum">
    <w:name w:val="dnum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date">
    <w:name w:val="ddate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title"/>
    <w:rsid w:val="00227FF0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title">
    <w:name w:val="Annex_title"/>
    <w:basedOn w:val="Normal"/>
    <w:next w:val="Annexref"/>
    <w:rsid w:val="001E6719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Annexref">
    <w:name w:val="Annex_ref"/>
    <w:basedOn w:val="Normal"/>
    <w:next w:val="Normalaftertitle"/>
    <w:rsid w:val="00227FF0"/>
    <w:pPr>
      <w:keepNext/>
      <w:keepLines/>
      <w:spacing w:after="280"/>
      <w:jc w:val="center"/>
    </w:pPr>
  </w:style>
  <w:style w:type="paragraph" w:customStyle="1" w:styleId="AppendixNo">
    <w:name w:val="Appendix_No"/>
    <w:basedOn w:val="AnnexNo"/>
    <w:next w:val="Appendixtitle"/>
    <w:rsid w:val="00227FF0"/>
  </w:style>
  <w:style w:type="paragraph" w:customStyle="1" w:styleId="Appendixtitle">
    <w:name w:val="Appendix_title"/>
    <w:basedOn w:val="Annextitle"/>
    <w:next w:val="Appendixref"/>
    <w:rsid w:val="00227FF0"/>
  </w:style>
  <w:style w:type="paragraph" w:customStyle="1" w:styleId="Appendixref">
    <w:name w:val="Appendix_ref"/>
    <w:basedOn w:val="Annexref"/>
    <w:next w:val="Normalaftertitle"/>
    <w:rsid w:val="00227FF0"/>
  </w:style>
  <w:style w:type="paragraph" w:customStyle="1" w:styleId="Call">
    <w:name w:val="Call"/>
    <w:basedOn w:val="Normal"/>
    <w:next w:val="Normal"/>
    <w:rsid w:val="00227FF0"/>
    <w:pPr>
      <w:keepNext/>
      <w:keepLines/>
      <w:spacing w:before="160"/>
      <w:ind w:left="794"/>
    </w:pPr>
    <w:rPr>
      <w:i/>
    </w:rPr>
  </w:style>
  <w:style w:type="character" w:styleId="EndnoteReference">
    <w:name w:val="endnote reference"/>
    <w:basedOn w:val="DefaultParagraphFont"/>
    <w:rsid w:val="00227FF0"/>
    <w:rPr>
      <w:vertAlign w:val="superscript"/>
    </w:rPr>
  </w:style>
  <w:style w:type="paragraph" w:customStyle="1" w:styleId="Equationlegend">
    <w:name w:val="Equation_legend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overflowPunct/>
      <w:autoSpaceDE/>
      <w:autoSpaceDN/>
      <w:adjustRightInd/>
      <w:spacing w:before="80"/>
      <w:ind w:left="1701" w:hanging="1701"/>
      <w:textAlignment w:val="auto"/>
    </w:pPr>
  </w:style>
  <w:style w:type="paragraph" w:customStyle="1" w:styleId="Figure">
    <w:name w:val="Figure"/>
    <w:basedOn w:val="Normal"/>
    <w:next w:val="Figuretitle"/>
    <w:rsid w:val="00A405F9"/>
    <w:pPr>
      <w:spacing w:after="240"/>
      <w:jc w:val="center"/>
    </w:pPr>
  </w:style>
  <w:style w:type="paragraph" w:customStyle="1" w:styleId="Figuretitle">
    <w:name w:val="Figure_title"/>
    <w:basedOn w:val="Tabletitle"/>
    <w:next w:val="Figure"/>
    <w:rsid w:val="00A405F9"/>
    <w:pPr>
      <w:spacing w:before="120"/>
    </w:pPr>
  </w:style>
  <w:style w:type="paragraph" w:customStyle="1" w:styleId="Tabletitle">
    <w:name w:val="Table_title"/>
    <w:basedOn w:val="TableNo"/>
    <w:next w:val="Tabletext"/>
    <w:rsid w:val="00A405F9"/>
    <w:pPr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A405F9"/>
    <w:pPr>
      <w:keepNext/>
      <w:keepLines/>
      <w:spacing w:before="480" w:after="120"/>
      <w:jc w:val="center"/>
    </w:pPr>
    <w:rPr>
      <w:caps/>
    </w:rPr>
  </w:style>
  <w:style w:type="paragraph" w:customStyle="1" w:styleId="Tabletext">
    <w:name w:val="Table_text"/>
    <w:basedOn w:val="Normal"/>
    <w:rsid w:val="00A405F9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legend">
    <w:name w:val="Figure_legend"/>
    <w:basedOn w:val="Normal"/>
    <w:next w:val="Normal"/>
    <w:rsid w:val="00A405F9"/>
    <w:pPr>
      <w:tabs>
        <w:tab w:val="clear" w:pos="794"/>
        <w:tab w:val="clear" w:pos="1191"/>
        <w:tab w:val="clear" w:pos="1588"/>
        <w:tab w:val="clear" w:pos="1985"/>
      </w:tabs>
      <w:spacing w:before="20" w:after="240"/>
    </w:pPr>
    <w:rPr>
      <w:sz w:val="18"/>
    </w:rPr>
  </w:style>
  <w:style w:type="paragraph" w:customStyle="1" w:styleId="FigureNo">
    <w:name w:val="Figure_No"/>
    <w:basedOn w:val="TableNo"/>
    <w:next w:val="Figuretitle"/>
    <w:rsid w:val="00A405F9"/>
    <w:rPr>
      <w:caps w:val="0"/>
    </w:rPr>
  </w:style>
  <w:style w:type="paragraph" w:customStyle="1" w:styleId="Figurewithouttitle">
    <w:name w:val="Figure_without_title"/>
    <w:basedOn w:val="Figure"/>
    <w:next w:val="Normal"/>
    <w:rsid w:val="00A405F9"/>
  </w:style>
  <w:style w:type="paragraph" w:customStyle="1" w:styleId="Headingi">
    <w:name w:val="Heading_i"/>
    <w:basedOn w:val="Heading3"/>
    <w:next w:val="Normal"/>
    <w:rsid w:val="00762555"/>
    <w:pPr>
      <w:spacing w:before="160"/>
    </w:pPr>
    <w:rPr>
      <w:b w:val="0"/>
      <w:i/>
    </w:rPr>
  </w:style>
  <w:style w:type="character" w:styleId="PageNumber">
    <w:name w:val="page number"/>
    <w:basedOn w:val="DefaultParagraphFont"/>
    <w:rsid w:val="001E6719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227FF0"/>
  </w:style>
  <w:style w:type="paragraph" w:customStyle="1" w:styleId="Parttitle">
    <w:name w:val="Part_title"/>
    <w:basedOn w:val="Annextitle"/>
    <w:next w:val="Partref"/>
    <w:rsid w:val="00227FF0"/>
  </w:style>
  <w:style w:type="paragraph" w:customStyle="1" w:styleId="Partref">
    <w:name w:val="Part_ref"/>
    <w:basedOn w:val="Annexref"/>
    <w:next w:val="Normalaftertitle"/>
    <w:rsid w:val="00227FF0"/>
  </w:style>
  <w:style w:type="paragraph" w:customStyle="1" w:styleId="RecNo">
    <w:name w:val="Rec_No"/>
    <w:basedOn w:val="Normal"/>
    <w:next w:val="Rectitle"/>
    <w:rsid w:val="00227FF0"/>
    <w:pPr>
      <w:keepNext/>
      <w:keepLines/>
      <w:spacing w:before="480"/>
      <w:jc w:val="center"/>
    </w:pPr>
    <w:rPr>
      <w:caps/>
      <w:sz w:val="26"/>
    </w:rPr>
  </w:style>
  <w:style w:type="paragraph" w:customStyle="1" w:styleId="Rectitle">
    <w:name w:val="Rec_title"/>
    <w:basedOn w:val="RecNo"/>
    <w:next w:val="Recref"/>
    <w:rsid w:val="001E6719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227FF0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227FF0"/>
  </w:style>
  <w:style w:type="paragraph" w:customStyle="1" w:styleId="QuestionNo">
    <w:name w:val="Question_No"/>
    <w:basedOn w:val="RecNo"/>
    <w:next w:val="Questiontitle"/>
    <w:rsid w:val="00227FF0"/>
  </w:style>
  <w:style w:type="paragraph" w:customStyle="1" w:styleId="Questionref">
    <w:name w:val="Question_ref"/>
    <w:basedOn w:val="Recref"/>
    <w:next w:val="Questiondate"/>
    <w:rsid w:val="00227FF0"/>
  </w:style>
  <w:style w:type="paragraph" w:customStyle="1" w:styleId="Questiontitle">
    <w:name w:val="Question_title"/>
    <w:basedOn w:val="Rectitle"/>
    <w:next w:val="Questionref"/>
    <w:rsid w:val="001E6719"/>
  </w:style>
  <w:style w:type="paragraph" w:customStyle="1" w:styleId="Reftext">
    <w:name w:val="Ref_text"/>
    <w:basedOn w:val="Normal"/>
    <w:rsid w:val="00227FF0"/>
    <w:pPr>
      <w:ind w:left="794" w:hanging="794"/>
    </w:pPr>
  </w:style>
  <w:style w:type="paragraph" w:customStyle="1" w:styleId="Reftitle">
    <w:name w:val="Ref_title"/>
    <w:basedOn w:val="Normal"/>
    <w:next w:val="Reftext"/>
    <w:rsid w:val="00227FF0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227FF0"/>
  </w:style>
  <w:style w:type="paragraph" w:customStyle="1" w:styleId="RepNo">
    <w:name w:val="Rep_No"/>
    <w:basedOn w:val="RecNo"/>
    <w:next w:val="Reptitle"/>
    <w:rsid w:val="00227FF0"/>
  </w:style>
  <w:style w:type="paragraph" w:customStyle="1" w:styleId="Reptitle">
    <w:name w:val="Rep_title"/>
    <w:basedOn w:val="Rectitle"/>
    <w:next w:val="Repref"/>
    <w:rsid w:val="00227FF0"/>
  </w:style>
  <w:style w:type="paragraph" w:customStyle="1" w:styleId="Repref">
    <w:name w:val="Rep_ref"/>
    <w:basedOn w:val="Recref"/>
    <w:next w:val="Repdate"/>
    <w:rsid w:val="00227FF0"/>
  </w:style>
  <w:style w:type="paragraph" w:customStyle="1" w:styleId="Resdate">
    <w:name w:val="Res_date"/>
    <w:basedOn w:val="Recdate"/>
    <w:next w:val="Normalaftertitle"/>
    <w:rsid w:val="00227FF0"/>
  </w:style>
  <w:style w:type="paragraph" w:customStyle="1" w:styleId="ResNo">
    <w:name w:val="Res_No"/>
    <w:basedOn w:val="RecNo"/>
    <w:next w:val="Restitle"/>
    <w:rsid w:val="00227FF0"/>
  </w:style>
  <w:style w:type="paragraph" w:customStyle="1" w:styleId="Restitle">
    <w:name w:val="Res_title"/>
    <w:basedOn w:val="Rectitle"/>
    <w:next w:val="Resref"/>
    <w:rsid w:val="00227FF0"/>
  </w:style>
  <w:style w:type="paragraph" w:customStyle="1" w:styleId="Resref">
    <w:name w:val="Res_ref"/>
    <w:basedOn w:val="Recref"/>
    <w:next w:val="Resdate"/>
    <w:rsid w:val="00227FF0"/>
  </w:style>
  <w:style w:type="paragraph" w:customStyle="1" w:styleId="SectionNo">
    <w:name w:val="Section_No"/>
    <w:basedOn w:val="AnnexNo"/>
    <w:next w:val="Sectiontitle"/>
    <w:rsid w:val="00227FF0"/>
  </w:style>
  <w:style w:type="paragraph" w:customStyle="1" w:styleId="Sectiontitle">
    <w:name w:val="Section_title"/>
    <w:basedOn w:val="Normal"/>
    <w:next w:val="Normalaftertitle"/>
    <w:rsid w:val="00227FF0"/>
    <w:rPr>
      <w:sz w:val="26"/>
    </w:rPr>
  </w:style>
  <w:style w:type="paragraph" w:customStyle="1" w:styleId="SpecialFooter">
    <w:name w:val="Special Footer"/>
    <w:basedOn w:val="Footer"/>
    <w:rsid w:val="00227FF0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227FF0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A405F9"/>
    <w:rPr>
      <w:sz w:val="18"/>
    </w:rPr>
  </w:style>
  <w:style w:type="paragraph" w:customStyle="1" w:styleId="Tableref">
    <w:name w:val="Table_ref"/>
    <w:basedOn w:val="Normal"/>
    <w:next w:val="Tabletitle"/>
    <w:rsid w:val="00A405F9"/>
    <w:pPr>
      <w:keepNext/>
      <w:keepLines/>
      <w:jc w:val="center"/>
    </w:pPr>
  </w:style>
  <w:style w:type="paragraph" w:customStyle="1" w:styleId="Artheading">
    <w:name w:val="Art_heading"/>
    <w:basedOn w:val="Normal"/>
    <w:next w:val="Normalaftertitle"/>
    <w:rsid w:val="00227FF0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rsid w:val="00227FF0"/>
    <w:pPr>
      <w:keepNext/>
      <w:keepLines/>
      <w:spacing w:before="480"/>
      <w:jc w:val="center"/>
    </w:pPr>
    <w:rPr>
      <w:caps/>
      <w:sz w:val="26"/>
    </w:rPr>
  </w:style>
  <w:style w:type="paragraph" w:customStyle="1" w:styleId="Arttitle">
    <w:name w:val="Art_title"/>
    <w:basedOn w:val="Normal"/>
    <w:next w:val="Normalaftertitle"/>
    <w:rsid w:val="00227FF0"/>
    <w:pPr>
      <w:keepNext/>
      <w:keepLines/>
      <w:spacing w:before="240"/>
      <w:jc w:val="center"/>
    </w:pPr>
    <w:rPr>
      <w:b/>
      <w:sz w:val="26"/>
    </w:rPr>
  </w:style>
  <w:style w:type="paragraph" w:customStyle="1" w:styleId="ChapNo">
    <w:name w:val="Chap_No"/>
    <w:basedOn w:val="ArtNo"/>
    <w:next w:val="Chaptitle"/>
    <w:rsid w:val="001E6719"/>
    <w:rPr>
      <w:b/>
    </w:rPr>
  </w:style>
  <w:style w:type="paragraph" w:customStyle="1" w:styleId="Chaptitle">
    <w:name w:val="Chap_title"/>
    <w:basedOn w:val="Arttitle"/>
    <w:next w:val="Normalaftertitle"/>
    <w:rsid w:val="00227FF0"/>
  </w:style>
  <w:style w:type="character" w:customStyle="1" w:styleId="HeaderChar">
    <w:name w:val="Header Char"/>
    <w:basedOn w:val="DefaultParagraphFont"/>
    <w:link w:val="Header"/>
    <w:uiPriority w:val="99"/>
    <w:rsid w:val="00796BD3"/>
    <w:rPr>
      <w:rFonts w:ascii="Calibri" w:hAnsi="Calibri"/>
      <w:sz w:val="18"/>
      <w:lang w:val="fr-FR" w:eastAsia="en-US"/>
    </w:rPr>
  </w:style>
  <w:style w:type="table" w:styleId="TableGrid">
    <w:name w:val="Table Grid"/>
    <w:basedOn w:val="TableNormal"/>
    <w:uiPriority w:val="39"/>
    <w:rsid w:val="00796BD3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btitle">
    <w:name w:val="Sub_title"/>
    <w:basedOn w:val="Title1"/>
    <w:qFormat/>
    <w:rsid w:val="00796BD3"/>
    <w:pPr>
      <w:framePr w:hSpace="180" w:wrap="around" w:vAnchor="margin" w:hAnchor="text" w:x="1821" w:y="2317"/>
      <w:spacing w:before="120" w:after="160"/>
    </w:pPr>
    <w:rPr>
      <w:caps w:val="0"/>
      <w:sz w:val="34"/>
    </w:rPr>
  </w:style>
  <w:style w:type="character" w:styleId="PlaceholderText">
    <w:name w:val="Placeholder Text"/>
    <w:basedOn w:val="DefaultParagraphFont"/>
    <w:uiPriority w:val="99"/>
    <w:semiHidden/>
    <w:rsid w:val="00D631AA"/>
    <w:rPr>
      <w:color w:val="666666"/>
    </w:rPr>
  </w:style>
  <w:style w:type="character" w:styleId="UnresolvedMention">
    <w:name w:val="Unresolved Mention"/>
    <w:basedOn w:val="DefaultParagraphFont"/>
    <w:uiPriority w:val="99"/>
    <w:semiHidden/>
    <w:unhideWhenUsed/>
    <w:rsid w:val="00BE00DD"/>
    <w:rPr>
      <w:color w:val="605E5C"/>
      <w:shd w:val="clear" w:color="auto" w:fill="E1DFDD"/>
    </w:rPr>
  </w:style>
  <w:style w:type="paragraph" w:customStyle="1" w:styleId="Tablefin">
    <w:name w:val="Table_fin"/>
    <w:basedOn w:val="Tabletext"/>
    <w:rsid w:val="007B27E9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  <w:spacing w:before="0" w:after="0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1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md/S25-CL-C-0125/en" TargetMode="External"/><Relationship Id="rId13" Type="http://schemas.openxmlformats.org/officeDocument/2006/relationships/hyperlink" Target="https://www.itu.int/md/S26-CL-C-0011/en" TargetMode="External"/><Relationship Id="rId18" Type="http://schemas.openxmlformats.org/officeDocument/2006/relationships/hyperlink" Target="https://www.itu.int/md/S26-CL-C-0042/en" TargetMode="Externa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hyperlink" Target="https://www.itu.int/en/council/Documents/basic-texts-2023/RES-091-R.pdf" TargetMode="External"/><Relationship Id="rId12" Type="http://schemas.openxmlformats.org/officeDocument/2006/relationships/hyperlink" Target="https://www.itu.int/md/S25-CL-C-0125/en" TargetMode="External"/><Relationship Id="rId17" Type="http://schemas.openxmlformats.org/officeDocument/2006/relationships/hyperlink" Target="https://www.itu.int/md/S26-CL-C-0042/en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itu.int/md/S25-CL-C-0125/en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itu.int/md/S25-CL-C-0125/en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itu.int/md/S25-CL-C-0125/en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itu.int/md/S25-CL-C-0016/en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itu.int/md/S25-CL-C-0011/en" TargetMode="External"/><Relationship Id="rId14" Type="http://schemas.openxmlformats.org/officeDocument/2006/relationships/hyperlink" Target="https://www.itu.int/md/S26-CL-C-0011/en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ouncil.itu.int/2026/e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missar\AppData\Roaming\Microsoft\Templates\POOL%20R%20-%20ITU\GS\PR_Council2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PR_Council26.dotx</Template>
  <TotalTime>0</TotalTime>
  <Pages>4</Pages>
  <Words>1282</Words>
  <Characters>8752</Characters>
  <Application>Microsoft Office Word</Application>
  <DocSecurity>0</DocSecurity>
  <Lines>350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9906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Cost recovery for the processing of satellite network filings</dc:title>
  <dc:subject>ITU Council 2026</dc:subject>
  <cp:keywords>C26; C2026; Council 2026; PP26</cp:keywords>
  <dc:description/>
  <cp:lastPrinted>2006-03-28T16:12:00Z</cp:lastPrinted>
  <dcterms:created xsi:type="dcterms:W3CDTF">2026-04-20T09:21:00Z</dcterms:created>
  <dcterms:modified xsi:type="dcterms:W3CDTF">2026-04-20T09:21:00Z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Документ C05/xx-R</vt:lpwstr>
  </property>
  <property fmtid="{D5CDD505-2E9C-101B-9397-08002B2CF9AE}" pid="3" name="Docdate">
    <vt:lpwstr>Дата</vt:lpwstr>
  </property>
  <property fmtid="{D5CDD505-2E9C-101B-9397-08002B2CF9AE}" pid="4" name="Docorlang">
    <vt:lpwstr>Оригинал: английский</vt:lpwstr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>Отчет [Записка] Генерального секретаря</vt:lpwstr>
  </property>
  <property fmtid="{D5CDD505-2E9C-101B-9397-08002B2CF9AE}" pid="8" name="GrammarlyDocumentId">
    <vt:lpwstr>9788a1e2cff90a8b0a0b89c964e56f6e6a612f9769bc84c067c7d1a91603ee22</vt:lpwstr>
  </property>
</Properties>
</file>