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3FB7FB82" w14:textId="77777777" w:rsidTr="00796BDB">
        <w:trPr>
          <w:cantSplit/>
          <w:trHeight w:val="23"/>
        </w:trPr>
        <w:tc>
          <w:tcPr>
            <w:tcW w:w="3969" w:type="dxa"/>
            <w:vMerge w:val="restart"/>
            <w:tcMar>
              <w:left w:w="0" w:type="dxa"/>
            </w:tcMar>
          </w:tcPr>
          <w:p w14:paraId="35382425" w14:textId="6E8E627D" w:rsidR="00D72F49" w:rsidRPr="00E85629" w:rsidRDefault="00D72F49" w:rsidP="00796BDB">
            <w:pPr>
              <w:tabs>
                <w:tab w:val="left" w:pos="851"/>
              </w:tabs>
              <w:spacing w:before="0" w:line="240" w:lineRule="atLeast"/>
              <w:rPr>
                <w:b/>
              </w:rPr>
            </w:pPr>
            <w:r w:rsidRPr="00122CE1">
              <w:rPr>
                <w:b/>
              </w:rPr>
              <w:t>Point de l'ordre du jour</w:t>
            </w:r>
            <w:r>
              <w:rPr>
                <w:b/>
              </w:rPr>
              <w:t>:</w:t>
            </w:r>
            <w:r w:rsidR="006218AE">
              <w:rPr>
                <w:b/>
              </w:rPr>
              <w:t xml:space="preserve"> ADM 1</w:t>
            </w:r>
          </w:p>
        </w:tc>
        <w:tc>
          <w:tcPr>
            <w:tcW w:w="5245" w:type="dxa"/>
          </w:tcPr>
          <w:p w14:paraId="45CF608E" w14:textId="1E0B7CCE"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111A65">
              <w:rPr>
                <w:b/>
              </w:rPr>
              <w:t>16</w:t>
            </w:r>
            <w:r>
              <w:rPr>
                <w:b/>
              </w:rPr>
              <w:t>-F</w:t>
            </w:r>
          </w:p>
        </w:tc>
      </w:tr>
      <w:tr w:rsidR="00D72F49" w:rsidRPr="00C049D7" w14:paraId="1A2CAAB7" w14:textId="77777777" w:rsidTr="00796BDB">
        <w:trPr>
          <w:cantSplit/>
        </w:trPr>
        <w:tc>
          <w:tcPr>
            <w:tcW w:w="3969" w:type="dxa"/>
            <w:vMerge/>
          </w:tcPr>
          <w:p w14:paraId="10386E7D" w14:textId="77777777" w:rsidR="00D72F49" w:rsidRPr="00813E5E" w:rsidRDefault="00D72F49" w:rsidP="00796BDB">
            <w:pPr>
              <w:tabs>
                <w:tab w:val="left" w:pos="851"/>
              </w:tabs>
              <w:spacing w:line="240" w:lineRule="atLeast"/>
              <w:rPr>
                <w:b/>
              </w:rPr>
            </w:pPr>
          </w:p>
        </w:tc>
        <w:tc>
          <w:tcPr>
            <w:tcW w:w="5245" w:type="dxa"/>
          </w:tcPr>
          <w:p w14:paraId="5FF37718" w14:textId="12A71EF4" w:rsidR="00D72F49" w:rsidRPr="00FC6D7D" w:rsidRDefault="00111A65" w:rsidP="00796BDB">
            <w:pPr>
              <w:tabs>
                <w:tab w:val="left" w:pos="851"/>
              </w:tabs>
              <w:spacing w:before="0"/>
              <w:jc w:val="right"/>
              <w:rPr>
                <w:b/>
                <w:lang w:val="en-GB"/>
              </w:rPr>
            </w:pPr>
            <w:r>
              <w:rPr>
                <w:b/>
              </w:rPr>
              <w:t>3 mars 2026</w:t>
            </w:r>
          </w:p>
        </w:tc>
      </w:tr>
      <w:tr w:rsidR="00D72F49" w:rsidRPr="00813E5E" w14:paraId="042D6FB1" w14:textId="77777777" w:rsidTr="00796BDB">
        <w:trPr>
          <w:cantSplit/>
          <w:trHeight w:val="23"/>
        </w:trPr>
        <w:tc>
          <w:tcPr>
            <w:tcW w:w="3969" w:type="dxa"/>
            <w:vMerge/>
          </w:tcPr>
          <w:p w14:paraId="3E9DDD89" w14:textId="77777777" w:rsidR="00D72F49" w:rsidRPr="00FC6D7D" w:rsidRDefault="00D72F49" w:rsidP="00796BDB">
            <w:pPr>
              <w:tabs>
                <w:tab w:val="left" w:pos="851"/>
              </w:tabs>
              <w:spacing w:line="240" w:lineRule="atLeast"/>
              <w:rPr>
                <w:b/>
                <w:lang w:val="en-GB"/>
              </w:rPr>
            </w:pPr>
          </w:p>
        </w:tc>
        <w:tc>
          <w:tcPr>
            <w:tcW w:w="5245" w:type="dxa"/>
          </w:tcPr>
          <w:p w14:paraId="4948AD4E"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616AA557" w14:textId="77777777" w:rsidTr="00796BDB">
        <w:trPr>
          <w:cantSplit/>
          <w:trHeight w:val="23"/>
        </w:trPr>
        <w:tc>
          <w:tcPr>
            <w:tcW w:w="3969" w:type="dxa"/>
          </w:tcPr>
          <w:p w14:paraId="5E22916C" w14:textId="77777777" w:rsidR="00D72F49" w:rsidRPr="00813E5E" w:rsidRDefault="00D72F49" w:rsidP="00796BDB">
            <w:pPr>
              <w:tabs>
                <w:tab w:val="left" w:pos="851"/>
              </w:tabs>
              <w:spacing w:line="240" w:lineRule="atLeast"/>
              <w:rPr>
                <w:b/>
              </w:rPr>
            </w:pPr>
          </w:p>
        </w:tc>
        <w:tc>
          <w:tcPr>
            <w:tcW w:w="5245" w:type="dxa"/>
          </w:tcPr>
          <w:p w14:paraId="6F31B7F2" w14:textId="77777777" w:rsidR="00D72F49" w:rsidRDefault="00D72F49" w:rsidP="00796BDB">
            <w:pPr>
              <w:tabs>
                <w:tab w:val="left" w:pos="851"/>
              </w:tabs>
              <w:spacing w:before="0" w:line="240" w:lineRule="atLeast"/>
              <w:jc w:val="right"/>
              <w:rPr>
                <w:b/>
              </w:rPr>
            </w:pPr>
          </w:p>
        </w:tc>
      </w:tr>
      <w:tr w:rsidR="00D72F49" w:rsidRPr="00122CE1" w14:paraId="208456EA" w14:textId="77777777" w:rsidTr="00796BDB">
        <w:trPr>
          <w:cantSplit/>
        </w:trPr>
        <w:tc>
          <w:tcPr>
            <w:tcW w:w="9214" w:type="dxa"/>
            <w:gridSpan w:val="2"/>
            <w:tcMar>
              <w:left w:w="0" w:type="dxa"/>
            </w:tcMar>
          </w:tcPr>
          <w:p w14:paraId="5355E022" w14:textId="77777777" w:rsidR="00D72F49" w:rsidRPr="00C42437" w:rsidRDefault="00D72F49" w:rsidP="001F5A47">
            <w:pPr>
              <w:pStyle w:val="Source"/>
              <w:framePr w:hSpace="0" w:wrap="auto" w:vAnchor="margin" w:hAnchor="text" w:xAlign="left" w:yAlign="inline"/>
              <w:rPr>
                <w:lang w:val="fr-CH"/>
              </w:rPr>
            </w:pPr>
            <w:r w:rsidRPr="00D72F49">
              <w:t xml:space="preserve">Rapport </w:t>
            </w:r>
            <w:r w:rsidR="00E95647">
              <w:t xml:space="preserve">de la </w:t>
            </w:r>
            <w:r w:rsidRPr="001F5A47">
              <w:t>Secrétaire</w:t>
            </w:r>
            <w:r w:rsidRPr="00D72F49">
              <w:t xml:space="preserve"> général</w:t>
            </w:r>
            <w:r w:rsidR="00E95647">
              <w:t>e</w:t>
            </w:r>
          </w:p>
        </w:tc>
      </w:tr>
      <w:tr w:rsidR="00D72F49" w:rsidRPr="00813E5E" w14:paraId="794A5175" w14:textId="77777777" w:rsidTr="00796BDB">
        <w:trPr>
          <w:cantSplit/>
        </w:trPr>
        <w:tc>
          <w:tcPr>
            <w:tcW w:w="9214" w:type="dxa"/>
            <w:gridSpan w:val="2"/>
            <w:tcMar>
              <w:left w:w="0" w:type="dxa"/>
            </w:tcMar>
          </w:tcPr>
          <w:p w14:paraId="10070B54" w14:textId="6C68341E" w:rsidR="00D72F49" w:rsidRPr="00111A65" w:rsidRDefault="001F5A47" w:rsidP="00796BDB">
            <w:pPr>
              <w:pStyle w:val="Subtitle"/>
              <w:framePr w:hSpace="0" w:wrap="auto" w:hAnchor="text" w:xAlign="left" w:yAlign="inline"/>
              <w:rPr>
                <w:sz w:val="32"/>
                <w:szCs w:val="32"/>
                <w:lang w:val="fr-FR"/>
              </w:rPr>
            </w:pPr>
            <w:r w:rsidRPr="00111A65">
              <w:rPr>
                <w:rFonts w:cstheme="minorHAnsi"/>
                <w:sz w:val="32"/>
                <w:szCs w:val="32"/>
                <w:lang w:val="fr-FR"/>
              </w:rPr>
              <w:t>RECOUVREMENT DES COÛTS POUR LE TRAITEMENT DES FICHES DE NOTIFICATION DES RÉSEAUX À SATELLITE</w:t>
            </w:r>
          </w:p>
        </w:tc>
      </w:tr>
      <w:tr w:rsidR="00D72F49" w:rsidRPr="00813E5E" w14:paraId="18525813" w14:textId="77777777" w:rsidTr="00796BDB">
        <w:trPr>
          <w:cantSplit/>
        </w:trPr>
        <w:tc>
          <w:tcPr>
            <w:tcW w:w="9214" w:type="dxa"/>
            <w:gridSpan w:val="2"/>
            <w:tcBorders>
              <w:top w:val="single" w:sz="4" w:space="0" w:color="auto"/>
              <w:bottom w:val="single" w:sz="4" w:space="0" w:color="auto"/>
            </w:tcBorders>
            <w:tcMar>
              <w:left w:w="0" w:type="dxa"/>
            </w:tcMar>
          </w:tcPr>
          <w:p w14:paraId="3323DB55" w14:textId="77777777" w:rsidR="00D72F49" w:rsidRPr="0099485B" w:rsidRDefault="00F37FE5" w:rsidP="00796BDB">
            <w:pPr>
              <w:spacing w:before="160"/>
              <w:rPr>
                <w:b/>
                <w:bCs/>
                <w:sz w:val="26"/>
                <w:szCs w:val="26"/>
                <w:lang w:val="fr-CH"/>
              </w:rPr>
            </w:pPr>
            <w:r>
              <w:rPr>
                <w:b/>
                <w:bCs/>
                <w:sz w:val="26"/>
                <w:szCs w:val="26"/>
                <w:lang w:val="fr-CH"/>
              </w:rPr>
              <w:t>Objet</w:t>
            </w:r>
          </w:p>
          <w:p w14:paraId="01A22007" w14:textId="5084F67B" w:rsidR="00D72F49" w:rsidRPr="0099485B" w:rsidRDefault="00111A65" w:rsidP="001F5A47">
            <w:pPr>
              <w:jc w:val="both"/>
              <w:rPr>
                <w:lang w:val="fr-CH"/>
              </w:rPr>
            </w:pPr>
            <w:r w:rsidRPr="00111A65">
              <w:rPr>
                <w:lang w:val="fr-CH"/>
              </w:rPr>
              <w:t>Le présent document contient le rapport annuel sur la mise en œuvre du recouvrement des coûts pour le traitement des fiches de notification des réseaux à satellite, conformément à la Décision</w:t>
            </w:r>
            <w:r>
              <w:rPr>
                <w:lang w:val="fr-CH"/>
              </w:rPr>
              <w:t> </w:t>
            </w:r>
            <w:r w:rsidRPr="00111A65">
              <w:rPr>
                <w:lang w:val="fr-CH"/>
              </w:rPr>
              <w:t>482 (C01, modifiée pour la dernière fois en 2025)</w:t>
            </w:r>
            <w:r>
              <w:rPr>
                <w:lang w:val="fr-CH"/>
              </w:rPr>
              <w:t xml:space="preserve"> </w:t>
            </w:r>
            <w:r w:rsidRPr="00111A65">
              <w:rPr>
                <w:lang w:val="fr-CH"/>
              </w:rPr>
              <w:t>du Conseil de l'UIT.</w:t>
            </w:r>
          </w:p>
          <w:p w14:paraId="43B35F58"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535D92A7" w14:textId="6A084B09" w:rsidR="00D72F49" w:rsidRPr="00122CE1" w:rsidRDefault="00111A65" w:rsidP="001F5A47">
            <w:pPr>
              <w:jc w:val="both"/>
              <w:rPr>
                <w:lang w:val="fr-CH"/>
              </w:rPr>
            </w:pPr>
            <w:r w:rsidRPr="00111A65">
              <w:rPr>
                <w:lang w:val="fr-CH"/>
              </w:rPr>
              <w:t xml:space="preserve">Le Conseil est invité à </w:t>
            </w:r>
            <w:r w:rsidRPr="00111A65">
              <w:rPr>
                <w:b/>
                <w:bCs/>
                <w:lang w:val="fr-CH"/>
              </w:rPr>
              <w:t>prendre note</w:t>
            </w:r>
            <w:r w:rsidRPr="00111A65">
              <w:rPr>
                <w:lang w:val="fr-CH"/>
              </w:rPr>
              <w:t xml:space="preserve"> du présent rapport concernant la mise en œuvre du recouvrement des coûts pour le traitement des fiches de notification des réseaux à satellite et de </w:t>
            </w:r>
            <w:r w:rsidRPr="00111A65">
              <w:rPr>
                <w:b/>
                <w:bCs/>
                <w:lang w:val="fr-CH"/>
              </w:rPr>
              <w:t>charger le Groupe de travail du Conseil sur les ressources financières et humaines d'étudier</w:t>
            </w:r>
            <w:r w:rsidRPr="00111A65">
              <w:rPr>
                <w:lang w:val="fr-CH"/>
              </w:rPr>
              <w:t xml:space="preserve"> les moyens de garantir une évaluation appropriée du coût des activités découlant des Résolutions 35 (Rév.CMR-23) et 8 (CMR-23).</w:t>
            </w:r>
          </w:p>
          <w:p w14:paraId="47CFF43F" w14:textId="3AAECE1C" w:rsidR="00D72F49" w:rsidRPr="00122CE1" w:rsidRDefault="00D72F49" w:rsidP="00796BDB">
            <w:pPr>
              <w:spacing w:before="160"/>
              <w:rPr>
                <w:b/>
                <w:bCs/>
                <w:sz w:val="26"/>
                <w:szCs w:val="26"/>
                <w:lang w:val="fr-CH"/>
              </w:rPr>
            </w:pPr>
            <w:r w:rsidRPr="00122CE1">
              <w:rPr>
                <w:b/>
                <w:bCs/>
                <w:sz w:val="26"/>
                <w:szCs w:val="26"/>
                <w:lang w:val="fr-CH"/>
              </w:rPr>
              <w:t xml:space="preserve">Liens pertinents avec le </w:t>
            </w:r>
            <w:r w:rsidR="00F37FE5">
              <w:rPr>
                <w:b/>
                <w:bCs/>
                <w:sz w:val="26"/>
                <w:szCs w:val="26"/>
                <w:lang w:val="fr-CH"/>
              </w:rPr>
              <w:t>p</w:t>
            </w:r>
            <w:r w:rsidRPr="00122CE1">
              <w:rPr>
                <w:b/>
                <w:bCs/>
                <w:sz w:val="26"/>
                <w:szCs w:val="26"/>
                <w:lang w:val="fr-CH"/>
              </w:rPr>
              <w:t>lan stratégique</w:t>
            </w:r>
          </w:p>
          <w:p w14:paraId="0FD9FE17" w14:textId="783E38F9" w:rsidR="00D72F49" w:rsidRPr="00122CE1" w:rsidRDefault="00111A65" w:rsidP="001F5A47">
            <w:pPr>
              <w:jc w:val="both"/>
              <w:rPr>
                <w:lang w:val="fr-CH"/>
              </w:rPr>
            </w:pPr>
            <w:r w:rsidRPr="00111A65">
              <w:rPr>
                <w:lang w:val="fr-CH"/>
              </w:rPr>
              <w:t xml:space="preserve">Utilisation du spectre pour les services spatiaux et les services de Terre; </w:t>
            </w:r>
            <w:r>
              <w:rPr>
                <w:lang w:val="fr-CH"/>
              </w:rPr>
              <w:t>o</w:t>
            </w:r>
            <w:r w:rsidRPr="00111A65">
              <w:rPr>
                <w:lang w:val="fr-CH"/>
              </w:rPr>
              <w:t xml:space="preserve">ffres de produits et de services; </w:t>
            </w:r>
            <w:r>
              <w:rPr>
                <w:lang w:val="fr-CH"/>
              </w:rPr>
              <w:t>a</w:t>
            </w:r>
            <w:r w:rsidRPr="00111A65">
              <w:rPr>
                <w:lang w:val="fr-CH"/>
              </w:rPr>
              <w:t>ttribution et gestion des ressources.</w:t>
            </w:r>
          </w:p>
          <w:p w14:paraId="38F56CBB"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412DC23F" w14:textId="45EFBB4B" w:rsidR="00111A65" w:rsidRPr="00111A65" w:rsidRDefault="00111A65" w:rsidP="001F5A47">
            <w:pPr>
              <w:jc w:val="both"/>
              <w:rPr>
                <w:szCs w:val="24"/>
              </w:rPr>
            </w:pPr>
            <w:r w:rsidRPr="00111A65">
              <w:rPr>
                <w:szCs w:val="24"/>
              </w:rPr>
              <w:t>8 031 590 CHF au titre du total des factures envoyées en 2025.</w:t>
            </w:r>
          </w:p>
          <w:p w14:paraId="1381CB53" w14:textId="18F0F527" w:rsidR="00111A65" w:rsidRPr="00111A65" w:rsidRDefault="00111A65" w:rsidP="001F5A47">
            <w:pPr>
              <w:jc w:val="both"/>
              <w:rPr>
                <w:szCs w:val="24"/>
              </w:rPr>
            </w:pPr>
            <w:r w:rsidRPr="00111A65">
              <w:rPr>
                <w:szCs w:val="24"/>
              </w:rPr>
              <w:t>4 237 520 CHF au titre des produits différés et environ 3 800 000 CHF restant en attente de facturation, en raison d'un manque de ressources à des fins de traitement.</w:t>
            </w:r>
          </w:p>
          <w:p w14:paraId="3A591A80" w14:textId="7561D9DC" w:rsidR="00D72F49" w:rsidRPr="00882919" w:rsidRDefault="00111A65" w:rsidP="001F5A47">
            <w:pPr>
              <w:jc w:val="both"/>
              <w:rPr>
                <w:szCs w:val="24"/>
              </w:rPr>
            </w:pPr>
            <w:r w:rsidRPr="00111A65">
              <w:rPr>
                <w:szCs w:val="24"/>
              </w:rPr>
              <w:t>23 233 090 CHF au titre du coût total du traitement de toutes les fiches de notification des réseaux à satellite en 2025, sachant que les frais supplémentaires sont à la charge de l'UIT pour ce qui est du développement de logiciels spatiaux spécifiques.</w:t>
            </w:r>
          </w:p>
          <w:p w14:paraId="075A6ECE" w14:textId="77777777" w:rsidR="00D72F49" w:rsidRPr="00813E5E" w:rsidRDefault="00D72F49" w:rsidP="00796BDB">
            <w:pPr>
              <w:spacing w:before="160"/>
              <w:rPr>
                <w:caps/>
                <w:sz w:val="22"/>
              </w:rPr>
            </w:pPr>
            <w:r w:rsidRPr="00813E5E">
              <w:rPr>
                <w:sz w:val="22"/>
              </w:rPr>
              <w:t>____________</w:t>
            </w:r>
            <w:r>
              <w:rPr>
                <w:sz w:val="22"/>
              </w:rPr>
              <w:t>______</w:t>
            </w:r>
          </w:p>
          <w:p w14:paraId="33598132" w14:textId="77777777" w:rsidR="00D72F49" w:rsidRDefault="00D72F49" w:rsidP="00796BDB">
            <w:pPr>
              <w:spacing w:before="160"/>
              <w:rPr>
                <w:b/>
                <w:bCs/>
                <w:sz w:val="26"/>
                <w:szCs w:val="26"/>
              </w:rPr>
            </w:pPr>
            <w:r w:rsidRPr="00F16BAB">
              <w:rPr>
                <w:b/>
                <w:bCs/>
                <w:sz w:val="26"/>
                <w:szCs w:val="26"/>
              </w:rPr>
              <w:t>Références</w:t>
            </w:r>
          </w:p>
          <w:p w14:paraId="0BBE2306" w14:textId="3D57D6C0" w:rsidR="00D72F49" w:rsidRPr="00111A65" w:rsidRDefault="00111A65" w:rsidP="00CE5172">
            <w:pPr>
              <w:pStyle w:val="Referencetext"/>
              <w:framePr w:hSpace="0" w:wrap="auto" w:vAnchor="margin" w:hAnchor="text" w:xAlign="left" w:yAlign="inline"/>
              <w:rPr>
                <w:sz w:val="24"/>
                <w:szCs w:val="24"/>
              </w:rPr>
            </w:pPr>
            <w:r w:rsidRPr="00111A65">
              <w:rPr>
                <w:sz w:val="24"/>
                <w:szCs w:val="24"/>
              </w:rPr>
              <w:t xml:space="preserve">Résolution </w:t>
            </w:r>
            <w:hyperlink r:id="rId7" w:history="1">
              <w:r w:rsidRPr="001F5A47">
                <w:rPr>
                  <w:rStyle w:val="Hyperlink"/>
                  <w:rFonts w:eastAsia="Times New Roman" w:cs="Times New Roman"/>
                  <w:sz w:val="24"/>
                  <w:szCs w:val="24"/>
                </w:rPr>
                <w:t>91 (Rév. Guadalajara, 2010)</w:t>
              </w:r>
            </w:hyperlink>
            <w:r w:rsidRPr="00111A65">
              <w:rPr>
                <w:sz w:val="24"/>
                <w:szCs w:val="24"/>
              </w:rPr>
              <w:t xml:space="preserve"> de la Conférence de </w:t>
            </w:r>
            <w:proofErr w:type="gramStart"/>
            <w:r w:rsidRPr="00111A65">
              <w:rPr>
                <w:sz w:val="24"/>
                <w:szCs w:val="24"/>
              </w:rPr>
              <w:t>plénipotentiaires;</w:t>
            </w:r>
            <w:proofErr w:type="gramEnd"/>
            <w:r w:rsidRPr="00111A65">
              <w:rPr>
                <w:sz w:val="24"/>
                <w:szCs w:val="24"/>
              </w:rPr>
              <w:t xml:space="preserve"> Décision </w:t>
            </w:r>
            <w:hyperlink r:id="rId8" w:history="1">
              <w:r w:rsidRPr="001F5A47">
                <w:rPr>
                  <w:rStyle w:val="Hyperlink"/>
                  <w:rFonts w:eastAsia="Times New Roman" w:cs="Times New Roman"/>
                  <w:sz w:val="24"/>
                  <w:szCs w:val="24"/>
                </w:rPr>
                <w:t>482 (</w:t>
              </w:r>
              <w:proofErr w:type="spellStart"/>
              <w:r w:rsidRPr="001F5A47">
                <w:rPr>
                  <w:rStyle w:val="Hyperlink"/>
                  <w:rFonts w:eastAsia="Times New Roman" w:cs="Times New Roman"/>
                  <w:sz w:val="24"/>
                  <w:szCs w:val="24"/>
                </w:rPr>
                <w:t>C01</w:t>
              </w:r>
              <w:proofErr w:type="spellEnd"/>
              <w:r w:rsidRPr="001F5A47">
                <w:rPr>
                  <w:rStyle w:val="Hyperlink"/>
                  <w:rFonts w:eastAsia="Times New Roman" w:cs="Times New Roman"/>
                  <w:sz w:val="24"/>
                  <w:szCs w:val="24"/>
                </w:rPr>
                <w:t>, modifiée pour la dernière fois en 2025)</w:t>
              </w:r>
            </w:hyperlink>
            <w:r w:rsidRPr="00111A65">
              <w:rPr>
                <w:sz w:val="24"/>
                <w:szCs w:val="24"/>
              </w:rPr>
              <w:t xml:space="preserve"> du </w:t>
            </w:r>
            <w:proofErr w:type="gramStart"/>
            <w:r w:rsidRPr="00111A65">
              <w:rPr>
                <w:sz w:val="24"/>
                <w:szCs w:val="24"/>
              </w:rPr>
              <w:t>Conseil;</w:t>
            </w:r>
            <w:proofErr w:type="gramEnd"/>
            <w:r w:rsidRPr="00111A65">
              <w:rPr>
                <w:sz w:val="24"/>
                <w:szCs w:val="24"/>
              </w:rPr>
              <w:t xml:space="preserve"> Documents </w:t>
            </w:r>
            <w:hyperlink r:id="rId9" w:history="1">
              <w:r w:rsidRPr="00111A65">
                <w:rPr>
                  <w:rStyle w:val="Hyperlink"/>
                  <w:rFonts w:eastAsia="Times New Roman" w:cs="Times New Roman"/>
                  <w:sz w:val="24"/>
                  <w:szCs w:val="24"/>
                </w:rPr>
                <w:t>C25/11</w:t>
              </w:r>
            </w:hyperlink>
            <w:r w:rsidRPr="00111A65">
              <w:rPr>
                <w:sz w:val="24"/>
                <w:szCs w:val="24"/>
              </w:rPr>
              <w:t xml:space="preserve"> et </w:t>
            </w:r>
            <w:hyperlink r:id="rId10" w:history="1">
              <w:r w:rsidRPr="00111A65">
                <w:rPr>
                  <w:rStyle w:val="Hyperlink"/>
                  <w:rFonts w:eastAsia="Times New Roman" w:cs="Times New Roman"/>
                  <w:sz w:val="24"/>
                  <w:szCs w:val="24"/>
                </w:rPr>
                <w:t>C25/16</w:t>
              </w:r>
            </w:hyperlink>
            <w:r w:rsidRPr="00111A65">
              <w:rPr>
                <w:sz w:val="24"/>
                <w:szCs w:val="24"/>
              </w:rPr>
              <w:t xml:space="preserve"> du Conseil</w:t>
            </w:r>
          </w:p>
        </w:tc>
      </w:tr>
    </w:tbl>
    <w:p w14:paraId="0E806DBB" w14:textId="4284F1ED" w:rsidR="00111A65" w:rsidRDefault="00111A65" w:rsidP="001F5A47">
      <w:pPr>
        <w:jc w:val="both"/>
      </w:pPr>
      <w:r>
        <w:lastRenderedPageBreak/>
        <w:t>1</w:t>
      </w:r>
      <w:r>
        <w:tab/>
        <w:t xml:space="preserve">À sa session de 2025, le Conseil a approuvé une version modifiée de la Décision </w:t>
      </w:r>
      <w:hyperlink r:id="rId11" w:history="1">
        <w:r w:rsidRPr="00111A65">
          <w:rPr>
            <w:rStyle w:val="Hyperlink"/>
            <w:rFonts w:eastAsia="Times New Roman" w:cs="Times New Roman"/>
            <w:szCs w:val="20"/>
          </w:rPr>
          <w:t>482</w:t>
        </w:r>
      </w:hyperlink>
      <w:r>
        <w:t xml:space="preserve">, qui est </w:t>
      </w:r>
      <w:r w:rsidRPr="00111A65">
        <w:t>entrée</w:t>
      </w:r>
      <w:r>
        <w:t xml:space="preserve"> en vigueur le 1er juillet 2026. Le Bureau des radiocommunications a actualisé son logiciel pour permettre aux administrations de calculer le coût de leurs fiches de notification préalablement à la soumission de celles-ci. Une version d'essai du logiciel a été mise à disposition en novembre 2025 afin que les administrations soient en mesure de mieux comprendre les conséquences des modifications de la Décision 482 pour les fiches de notification qu'elles prévoyaient de soumettre à compter de 2026. Le logiciel est en service depuis début 2026.</w:t>
      </w:r>
    </w:p>
    <w:p w14:paraId="6FFE5554" w14:textId="2B5541FE" w:rsidR="00111A65" w:rsidRDefault="00111A65" w:rsidP="001F5A47">
      <w:pPr>
        <w:pStyle w:val="Headingb"/>
      </w:pPr>
      <w:r>
        <w:t>Rapport sur la mise en œuvre de la Décision 482 (C01, modifiée pour la dernière fois en 2025) en 2024 et 2025</w:t>
      </w:r>
    </w:p>
    <w:p w14:paraId="532F0962" w14:textId="48369C53" w:rsidR="006A11AE" w:rsidRDefault="00111A65" w:rsidP="001F5A47">
      <w:pPr>
        <w:jc w:val="both"/>
      </w:pPr>
      <w:r>
        <w:t>2</w:t>
      </w:r>
      <w:r>
        <w:tab/>
        <w:t xml:space="preserve">Le </w:t>
      </w:r>
      <w:r w:rsidRPr="00111A65">
        <w:t>Tableau</w:t>
      </w:r>
      <w:r>
        <w:t xml:space="preserve"> 1 ci-après donne des renseignements concernant l'application de la Décision</w:t>
      </w:r>
      <w:r w:rsidR="004B4E3C">
        <w:t> </w:t>
      </w:r>
      <w:r>
        <w:t>482 (C01, modifiée pour la dernière fois en 2025) pour 2024 et 2025, en particulier le pourcentage de factures établies en 2024 et 2025 qui ont été acquittées en temps voulu.</w:t>
      </w:r>
    </w:p>
    <w:p w14:paraId="3E995638" w14:textId="77777777" w:rsidR="00561B05" w:rsidRDefault="00561B05" w:rsidP="00561B05">
      <w:pPr>
        <w:pStyle w:val="TableNo"/>
      </w:pPr>
      <w:r>
        <w:t>TABLEAU 1</w:t>
      </w:r>
    </w:p>
    <w:p w14:paraId="5529967D" w14:textId="017DD548" w:rsidR="00111A65" w:rsidRDefault="00561B05" w:rsidP="00561B05">
      <w:pPr>
        <w:pStyle w:val="Tabletitle"/>
      </w:pPr>
      <w:r>
        <w:t xml:space="preserve">Situation en ce qui concerne la mise en œuvre </w:t>
      </w:r>
      <w:r>
        <w:br/>
        <w:t>de la Décision 482 pour 2024 et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801"/>
        <w:gridCol w:w="2268"/>
        <w:gridCol w:w="2268"/>
      </w:tblGrid>
      <w:tr w:rsidR="00561B05" w14:paraId="2C50441C" w14:textId="77777777" w:rsidTr="0020721E">
        <w:trPr>
          <w:jc w:val="center"/>
        </w:trPr>
        <w:tc>
          <w:tcPr>
            <w:tcW w:w="2880" w:type="dxa"/>
            <w:tcBorders>
              <w:top w:val="single" w:sz="4" w:space="0" w:color="auto"/>
              <w:left w:val="single" w:sz="4" w:space="0" w:color="auto"/>
              <w:bottom w:val="single" w:sz="4" w:space="0" w:color="auto"/>
              <w:right w:val="single" w:sz="4" w:space="0" w:color="auto"/>
            </w:tcBorders>
          </w:tcPr>
          <w:p w14:paraId="7E175648" w14:textId="77777777" w:rsidR="00561B05" w:rsidRDefault="00561B05">
            <w:pPr>
              <w:pStyle w:val="Tablehead"/>
              <w:rPr>
                <w:lang w:val="fr-CH"/>
              </w:rPr>
            </w:pPr>
          </w:p>
        </w:tc>
        <w:tc>
          <w:tcPr>
            <w:tcW w:w="801" w:type="dxa"/>
            <w:tcBorders>
              <w:top w:val="single" w:sz="4" w:space="0" w:color="auto"/>
              <w:left w:val="single" w:sz="4" w:space="0" w:color="auto"/>
              <w:bottom w:val="single" w:sz="4" w:space="0" w:color="auto"/>
              <w:right w:val="single" w:sz="4" w:space="0" w:color="auto"/>
            </w:tcBorders>
          </w:tcPr>
          <w:p w14:paraId="6056067C" w14:textId="77777777" w:rsidR="00561B05" w:rsidRDefault="00561B05">
            <w:pPr>
              <w:pStyle w:val="Tablehead"/>
              <w:rPr>
                <w:lang w:val="fr-CH"/>
              </w:rPr>
            </w:pPr>
          </w:p>
        </w:tc>
        <w:tc>
          <w:tcPr>
            <w:tcW w:w="2268" w:type="dxa"/>
            <w:tcBorders>
              <w:top w:val="single" w:sz="4" w:space="0" w:color="auto"/>
              <w:left w:val="single" w:sz="4" w:space="0" w:color="auto"/>
              <w:bottom w:val="single" w:sz="4" w:space="0" w:color="auto"/>
              <w:right w:val="single" w:sz="4" w:space="0" w:color="auto"/>
            </w:tcBorders>
            <w:hideMark/>
          </w:tcPr>
          <w:p w14:paraId="5F43A67A" w14:textId="77777777" w:rsidR="00561B05" w:rsidRDefault="00561B05">
            <w:pPr>
              <w:pStyle w:val="Tablehead"/>
              <w:rPr>
                <w:lang w:val="en-GB"/>
              </w:rPr>
            </w:pPr>
            <w:r>
              <w:t>2024</w:t>
            </w:r>
          </w:p>
        </w:tc>
        <w:tc>
          <w:tcPr>
            <w:tcW w:w="2268" w:type="dxa"/>
            <w:tcBorders>
              <w:top w:val="single" w:sz="4" w:space="0" w:color="auto"/>
              <w:left w:val="single" w:sz="4" w:space="0" w:color="auto"/>
              <w:bottom w:val="single" w:sz="4" w:space="0" w:color="auto"/>
              <w:right w:val="single" w:sz="4" w:space="0" w:color="auto"/>
            </w:tcBorders>
            <w:hideMark/>
          </w:tcPr>
          <w:p w14:paraId="41567195" w14:textId="77777777" w:rsidR="00561B05" w:rsidRDefault="00561B05">
            <w:pPr>
              <w:pStyle w:val="Tablehead"/>
            </w:pPr>
            <w:r>
              <w:t>2025</w:t>
            </w:r>
          </w:p>
        </w:tc>
      </w:tr>
      <w:tr w:rsidR="00561B05" w14:paraId="5C3C8F2F" w14:textId="77777777" w:rsidTr="0020721E">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1E51BDFD" w14:textId="77777777" w:rsidR="00561B05" w:rsidRDefault="00561B05">
            <w:pPr>
              <w:pStyle w:val="Tabletext"/>
            </w:pPr>
            <w:r>
              <w:t>Montant inscrit au budget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0F26841" w14:textId="77777777" w:rsidR="00561B05" w:rsidRDefault="00561B05">
            <w:pPr>
              <w:pStyle w:val="Tabletext"/>
              <w:jc w:val="center"/>
            </w:pPr>
            <w:r>
              <w:t>CHF</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965B2F" w14:textId="14D3144D" w:rsidR="00561B05" w:rsidRDefault="00561B05">
            <w:pPr>
              <w:pStyle w:val="Tabletext"/>
              <w:jc w:val="center"/>
              <w:rPr>
                <w:lang w:val="fr-CH"/>
              </w:rPr>
            </w:pPr>
            <w:r>
              <w:rPr>
                <w:lang w:val="fr-CH"/>
              </w:rPr>
              <w:t xml:space="preserve">14 000 000 </w:t>
            </w:r>
            <w:r>
              <w:rPr>
                <w:lang w:val="fr-CH"/>
              </w:rPr>
              <w:br/>
            </w:r>
            <w:r>
              <w:rPr>
                <w:sz w:val="18"/>
                <w:szCs w:val="18"/>
                <w:lang w:val="fr-CH"/>
              </w:rPr>
              <w:t>(</w:t>
            </w:r>
            <w:r>
              <w:rPr>
                <w:sz w:val="18"/>
                <w:szCs w:val="18"/>
              </w:rPr>
              <w:t>Rés</w:t>
            </w:r>
            <w:r w:rsidR="0020721E">
              <w:rPr>
                <w:sz w:val="18"/>
                <w:szCs w:val="18"/>
              </w:rPr>
              <w:t>.</w:t>
            </w:r>
            <w:r>
              <w:rPr>
                <w:sz w:val="18"/>
                <w:szCs w:val="18"/>
              </w:rPr>
              <w:t xml:space="preserve"> 1417 </w:t>
            </w:r>
            <w:r>
              <w:rPr>
                <w:sz w:val="18"/>
                <w:szCs w:val="18"/>
                <w:lang w:val="fr-CH"/>
              </w:rPr>
              <w:t>(</w:t>
            </w:r>
            <w:proofErr w:type="spellStart"/>
            <w:r>
              <w:rPr>
                <w:sz w:val="18"/>
                <w:szCs w:val="18"/>
                <w:lang w:val="fr-CH"/>
              </w:rPr>
              <w:t>C23</w:t>
            </w:r>
            <w:proofErr w:type="spellEnd"/>
            <w:r>
              <w:rPr>
                <w:sz w:val="18"/>
                <w:szCs w:val="18"/>
                <w:lang w:val="fr-CH"/>
              </w:rPr>
              <w:t>)</w:t>
            </w:r>
            <w:r w:rsidR="001F5A47">
              <w:rPr>
                <w:sz w:val="18"/>
                <w:szCs w:val="18"/>
              </w:rPr>
              <w:t xml:space="preserve"> </w:t>
            </w:r>
            <w:r w:rsidR="001F5A47">
              <w:rPr>
                <w:sz w:val="18"/>
                <w:szCs w:val="18"/>
              </w:rPr>
              <w:t>du Conseil</w:t>
            </w:r>
            <w:r>
              <w:rPr>
                <w:sz w:val="18"/>
                <w:szCs w:val="18"/>
                <w:lang w:val="fr-CH"/>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34DE2F" w14:textId="3123E196" w:rsidR="00561B05" w:rsidRDefault="00561B05" w:rsidP="0020721E">
            <w:pPr>
              <w:pStyle w:val="Tabletext"/>
              <w:jc w:val="center"/>
              <w:rPr>
                <w:lang w:val="en-GB"/>
              </w:rPr>
            </w:pPr>
            <w:r>
              <w:t xml:space="preserve">14 000 000 </w:t>
            </w:r>
            <w:r>
              <w:br/>
            </w:r>
            <w:r>
              <w:rPr>
                <w:sz w:val="18"/>
                <w:szCs w:val="18"/>
              </w:rPr>
              <w:t>(Rés</w:t>
            </w:r>
            <w:r w:rsidR="0020721E">
              <w:rPr>
                <w:sz w:val="18"/>
                <w:szCs w:val="18"/>
              </w:rPr>
              <w:t>.</w:t>
            </w:r>
            <w:r>
              <w:rPr>
                <w:sz w:val="18"/>
                <w:szCs w:val="18"/>
              </w:rPr>
              <w:t xml:space="preserve"> 1417 (</w:t>
            </w:r>
            <w:proofErr w:type="spellStart"/>
            <w:r>
              <w:rPr>
                <w:sz w:val="18"/>
                <w:szCs w:val="18"/>
              </w:rPr>
              <w:t>C23</w:t>
            </w:r>
            <w:proofErr w:type="spellEnd"/>
            <w:r>
              <w:rPr>
                <w:sz w:val="18"/>
                <w:szCs w:val="18"/>
              </w:rPr>
              <w:t>)</w:t>
            </w:r>
            <w:r w:rsidR="001F5A47">
              <w:rPr>
                <w:sz w:val="18"/>
                <w:szCs w:val="18"/>
              </w:rPr>
              <w:t xml:space="preserve"> </w:t>
            </w:r>
            <w:r w:rsidR="001F5A47">
              <w:rPr>
                <w:sz w:val="18"/>
                <w:szCs w:val="18"/>
              </w:rPr>
              <w:t>du Conseil</w:t>
            </w:r>
            <w:r>
              <w:rPr>
                <w:sz w:val="18"/>
                <w:szCs w:val="18"/>
              </w:rPr>
              <w:t>)</w:t>
            </w:r>
          </w:p>
        </w:tc>
      </w:tr>
      <w:tr w:rsidR="00561B05" w14:paraId="2B3D4D4E" w14:textId="77777777" w:rsidTr="0020721E">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1A4DDD50" w14:textId="77777777" w:rsidR="00561B05" w:rsidRDefault="00561B05">
            <w:pPr>
              <w:pStyle w:val="Tabletext"/>
              <w:rPr>
                <w:lang w:val="fr-CH"/>
              </w:rPr>
            </w:pPr>
            <w:r>
              <w:t>Total des factures établies* (moins franchises)</w:t>
            </w:r>
          </w:p>
        </w:tc>
        <w:tc>
          <w:tcPr>
            <w:tcW w:w="801" w:type="dxa"/>
            <w:tcBorders>
              <w:top w:val="single" w:sz="4" w:space="0" w:color="auto"/>
              <w:left w:val="single" w:sz="4" w:space="0" w:color="auto"/>
              <w:bottom w:val="single" w:sz="4" w:space="0" w:color="auto"/>
              <w:right w:val="single" w:sz="4" w:space="0" w:color="auto"/>
            </w:tcBorders>
            <w:vAlign w:val="center"/>
            <w:hideMark/>
          </w:tcPr>
          <w:p w14:paraId="382FF45E" w14:textId="77777777" w:rsidR="00561B05" w:rsidRDefault="00561B05">
            <w:pPr>
              <w:pStyle w:val="Tabletext"/>
              <w:jc w:val="center"/>
              <w:rPr>
                <w:lang w:val="en-GB"/>
              </w:rPr>
            </w:pPr>
            <w:r>
              <w:t>CHF</w:t>
            </w:r>
          </w:p>
        </w:tc>
        <w:tc>
          <w:tcPr>
            <w:tcW w:w="2268" w:type="dxa"/>
            <w:tcBorders>
              <w:top w:val="single" w:sz="4" w:space="0" w:color="auto"/>
              <w:left w:val="single" w:sz="4" w:space="0" w:color="auto"/>
              <w:bottom w:val="single" w:sz="4" w:space="0" w:color="auto"/>
              <w:right w:val="single" w:sz="4" w:space="0" w:color="auto"/>
            </w:tcBorders>
            <w:hideMark/>
          </w:tcPr>
          <w:p w14:paraId="22BE9DBB" w14:textId="77777777" w:rsidR="00561B05" w:rsidRDefault="00561B05">
            <w:pPr>
              <w:pStyle w:val="Tabletext"/>
              <w:jc w:val="center"/>
            </w:pPr>
            <w:r>
              <w:t>9 679 754</w:t>
            </w:r>
          </w:p>
        </w:tc>
        <w:tc>
          <w:tcPr>
            <w:tcW w:w="2268" w:type="dxa"/>
            <w:tcBorders>
              <w:top w:val="single" w:sz="4" w:space="0" w:color="auto"/>
              <w:left w:val="single" w:sz="4" w:space="0" w:color="auto"/>
              <w:bottom w:val="single" w:sz="4" w:space="0" w:color="auto"/>
              <w:right w:val="single" w:sz="4" w:space="0" w:color="auto"/>
            </w:tcBorders>
            <w:hideMark/>
          </w:tcPr>
          <w:p w14:paraId="05B5D1C6" w14:textId="77777777" w:rsidR="00561B05" w:rsidRDefault="00561B05">
            <w:pPr>
              <w:pStyle w:val="Tabletext"/>
              <w:jc w:val="center"/>
              <w:rPr>
                <w:highlight w:val="yellow"/>
              </w:rPr>
            </w:pPr>
            <w:r>
              <w:t>8 031 590</w:t>
            </w:r>
          </w:p>
        </w:tc>
      </w:tr>
      <w:tr w:rsidR="00561B05" w14:paraId="24B3342A" w14:textId="77777777" w:rsidTr="0020721E">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69CB81E6" w14:textId="77777777" w:rsidR="00561B05" w:rsidRDefault="00561B05">
            <w:pPr>
              <w:pStyle w:val="Tabletext"/>
            </w:pPr>
            <w:r>
              <w:t>Franchises</w:t>
            </w:r>
          </w:p>
        </w:tc>
        <w:tc>
          <w:tcPr>
            <w:tcW w:w="801" w:type="dxa"/>
            <w:tcBorders>
              <w:top w:val="single" w:sz="4" w:space="0" w:color="auto"/>
              <w:left w:val="single" w:sz="4" w:space="0" w:color="auto"/>
              <w:bottom w:val="single" w:sz="4" w:space="0" w:color="auto"/>
              <w:right w:val="single" w:sz="4" w:space="0" w:color="auto"/>
            </w:tcBorders>
            <w:vAlign w:val="center"/>
            <w:hideMark/>
          </w:tcPr>
          <w:p w14:paraId="3F434938" w14:textId="77777777" w:rsidR="00561B05" w:rsidRDefault="00561B05">
            <w:pPr>
              <w:pStyle w:val="Tabletext"/>
              <w:jc w:val="center"/>
            </w:pPr>
            <w:r>
              <w:t>CHF</w:t>
            </w:r>
          </w:p>
        </w:tc>
        <w:tc>
          <w:tcPr>
            <w:tcW w:w="2268" w:type="dxa"/>
            <w:tcBorders>
              <w:top w:val="single" w:sz="4" w:space="0" w:color="auto"/>
              <w:left w:val="single" w:sz="4" w:space="0" w:color="auto"/>
              <w:bottom w:val="single" w:sz="4" w:space="0" w:color="auto"/>
              <w:right w:val="single" w:sz="4" w:space="0" w:color="auto"/>
            </w:tcBorders>
            <w:hideMark/>
          </w:tcPr>
          <w:p w14:paraId="135CBC11" w14:textId="77777777" w:rsidR="00561B05" w:rsidRDefault="00561B05">
            <w:pPr>
              <w:pStyle w:val="Tabletext"/>
              <w:jc w:val="center"/>
              <w:rPr>
                <w:szCs w:val="22"/>
              </w:rPr>
            </w:pPr>
            <w:r>
              <w:t>1 209 753</w:t>
            </w:r>
          </w:p>
        </w:tc>
        <w:tc>
          <w:tcPr>
            <w:tcW w:w="2268" w:type="dxa"/>
            <w:tcBorders>
              <w:top w:val="single" w:sz="4" w:space="0" w:color="auto"/>
              <w:left w:val="single" w:sz="4" w:space="0" w:color="auto"/>
              <w:bottom w:val="single" w:sz="4" w:space="0" w:color="auto"/>
              <w:right w:val="single" w:sz="4" w:space="0" w:color="auto"/>
            </w:tcBorders>
            <w:hideMark/>
          </w:tcPr>
          <w:p w14:paraId="67A7A008" w14:textId="77777777" w:rsidR="00561B05" w:rsidRDefault="00561B05">
            <w:pPr>
              <w:pStyle w:val="Tabletext"/>
              <w:jc w:val="center"/>
              <w:rPr>
                <w:szCs w:val="22"/>
                <w:highlight w:val="yellow"/>
              </w:rPr>
            </w:pPr>
            <w:r>
              <w:t>1 869 666</w:t>
            </w:r>
          </w:p>
        </w:tc>
      </w:tr>
      <w:tr w:rsidR="00561B05" w14:paraId="54768591" w14:textId="77777777" w:rsidTr="0020721E">
        <w:trPr>
          <w:jc w:val="center"/>
        </w:trPr>
        <w:tc>
          <w:tcPr>
            <w:tcW w:w="2880" w:type="dxa"/>
            <w:tcBorders>
              <w:top w:val="single" w:sz="4" w:space="0" w:color="auto"/>
              <w:left w:val="single" w:sz="4" w:space="0" w:color="auto"/>
              <w:bottom w:val="single" w:sz="12" w:space="0" w:color="auto"/>
              <w:right w:val="single" w:sz="4" w:space="0" w:color="auto"/>
            </w:tcBorders>
            <w:vAlign w:val="center"/>
            <w:hideMark/>
          </w:tcPr>
          <w:p w14:paraId="09E50042" w14:textId="77777777" w:rsidR="00561B05" w:rsidRDefault="00561B05">
            <w:pPr>
              <w:pStyle w:val="Tabletext"/>
            </w:pPr>
            <w:r>
              <w:t>Paiements reçus**</w:t>
            </w:r>
          </w:p>
        </w:tc>
        <w:tc>
          <w:tcPr>
            <w:tcW w:w="801" w:type="dxa"/>
            <w:tcBorders>
              <w:top w:val="single" w:sz="4" w:space="0" w:color="auto"/>
              <w:left w:val="single" w:sz="4" w:space="0" w:color="auto"/>
              <w:bottom w:val="single" w:sz="12" w:space="0" w:color="auto"/>
              <w:right w:val="single" w:sz="4" w:space="0" w:color="auto"/>
            </w:tcBorders>
            <w:vAlign w:val="center"/>
            <w:hideMark/>
          </w:tcPr>
          <w:p w14:paraId="3147A504" w14:textId="77777777" w:rsidR="00561B05" w:rsidRDefault="00561B05">
            <w:pPr>
              <w:pStyle w:val="Tabletext"/>
              <w:jc w:val="center"/>
            </w:pPr>
            <w:r>
              <w:t>CHF</w:t>
            </w:r>
          </w:p>
        </w:tc>
        <w:tc>
          <w:tcPr>
            <w:tcW w:w="2268" w:type="dxa"/>
            <w:tcBorders>
              <w:top w:val="single" w:sz="4" w:space="0" w:color="auto"/>
              <w:left w:val="single" w:sz="4" w:space="0" w:color="auto"/>
              <w:bottom w:val="single" w:sz="12" w:space="0" w:color="auto"/>
              <w:right w:val="single" w:sz="4" w:space="0" w:color="auto"/>
            </w:tcBorders>
            <w:hideMark/>
          </w:tcPr>
          <w:p w14:paraId="24925768" w14:textId="77777777" w:rsidR="00561B05" w:rsidRDefault="00561B05">
            <w:pPr>
              <w:pStyle w:val="Tabletext"/>
              <w:jc w:val="center"/>
              <w:rPr>
                <w:szCs w:val="22"/>
              </w:rPr>
            </w:pPr>
            <w:r>
              <w:t>9 707 718</w:t>
            </w:r>
          </w:p>
        </w:tc>
        <w:tc>
          <w:tcPr>
            <w:tcW w:w="2268" w:type="dxa"/>
            <w:tcBorders>
              <w:top w:val="single" w:sz="4" w:space="0" w:color="auto"/>
              <w:left w:val="single" w:sz="4" w:space="0" w:color="auto"/>
              <w:bottom w:val="single" w:sz="12" w:space="0" w:color="auto"/>
              <w:right w:val="single" w:sz="4" w:space="0" w:color="auto"/>
            </w:tcBorders>
            <w:hideMark/>
          </w:tcPr>
          <w:p w14:paraId="1D2FF92A" w14:textId="77777777" w:rsidR="00561B05" w:rsidRDefault="00561B05">
            <w:pPr>
              <w:pStyle w:val="Tabletext"/>
              <w:jc w:val="center"/>
              <w:rPr>
                <w:szCs w:val="22"/>
                <w:highlight w:val="yellow"/>
              </w:rPr>
            </w:pPr>
            <w:r>
              <w:t>8 189 965</w:t>
            </w:r>
          </w:p>
        </w:tc>
      </w:tr>
      <w:tr w:rsidR="00561B05" w14:paraId="4BCEEE88" w14:textId="77777777">
        <w:trPr>
          <w:jc w:val="center"/>
        </w:trPr>
        <w:tc>
          <w:tcPr>
            <w:tcW w:w="5949" w:type="dxa"/>
            <w:gridSpan w:val="3"/>
            <w:tcBorders>
              <w:top w:val="single" w:sz="12" w:space="0" w:color="auto"/>
              <w:left w:val="single" w:sz="2" w:space="0" w:color="auto"/>
              <w:bottom w:val="single" w:sz="4" w:space="0" w:color="auto"/>
              <w:right w:val="single" w:sz="2" w:space="0" w:color="auto"/>
            </w:tcBorders>
            <w:vAlign w:val="center"/>
            <w:hideMark/>
          </w:tcPr>
          <w:p w14:paraId="61EEE630" w14:textId="77777777" w:rsidR="00561B05" w:rsidRDefault="00561B05" w:rsidP="0020721E">
            <w:pPr>
              <w:pStyle w:val="Tabletext"/>
              <w:rPr>
                <w:lang w:val="fr-CH"/>
              </w:rPr>
            </w:pPr>
            <w:r>
              <w:t>Pourcentage de factures établies en 2024 et 2025, exigibles au 31 décembre 2025 et qui ont été acquittées</w:t>
            </w:r>
          </w:p>
        </w:tc>
        <w:tc>
          <w:tcPr>
            <w:tcW w:w="2268" w:type="dxa"/>
            <w:tcBorders>
              <w:top w:val="single" w:sz="12" w:space="0" w:color="auto"/>
              <w:left w:val="single" w:sz="2" w:space="0" w:color="auto"/>
              <w:bottom w:val="single" w:sz="4" w:space="0" w:color="auto"/>
              <w:right w:val="single" w:sz="2" w:space="0" w:color="auto"/>
            </w:tcBorders>
            <w:vAlign w:val="center"/>
            <w:hideMark/>
          </w:tcPr>
          <w:p w14:paraId="2501A977" w14:textId="77777777" w:rsidR="00561B05" w:rsidRDefault="00561B05">
            <w:pPr>
              <w:pStyle w:val="Tabletext"/>
              <w:jc w:val="center"/>
              <w:rPr>
                <w:highlight w:val="yellow"/>
                <w:lang w:val="en-GB"/>
              </w:rPr>
            </w:pPr>
            <w:r>
              <w:t>&gt;99%</w:t>
            </w:r>
          </w:p>
        </w:tc>
      </w:tr>
      <w:tr w:rsidR="00561B05" w:rsidRPr="00561B05" w14:paraId="0763BA5F" w14:textId="77777777">
        <w:trPr>
          <w:jc w:val="center"/>
        </w:trPr>
        <w:tc>
          <w:tcPr>
            <w:tcW w:w="8217" w:type="dxa"/>
            <w:gridSpan w:val="4"/>
            <w:tcBorders>
              <w:top w:val="single" w:sz="4" w:space="0" w:color="auto"/>
              <w:left w:val="nil"/>
              <w:bottom w:val="nil"/>
              <w:right w:val="nil"/>
            </w:tcBorders>
            <w:vAlign w:val="center"/>
            <w:hideMark/>
          </w:tcPr>
          <w:p w14:paraId="5CA1A900" w14:textId="77777777" w:rsidR="00561B05" w:rsidRDefault="00561B05">
            <w:pPr>
              <w:pStyle w:val="Tablelegend"/>
              <w:rPr>
                <w:lang w:val="fr-CH"/>
              </w:rPr>
            </w:pPr>
            <w:r>
              <w:rPr>
                <w:lang w:val="fr-CH"/>
              </w:rPr>
              <w:t>*</w:t>
            </w:r>
            <w:r>
              <w:rPr>
                <w:lang w:val="fr-CH"/>
              </w:rPr>
              <w:tab/>
            </w:r>
            <w:r>
              <w:t>À partir de la date d'émission des factures, 6 mois sont accordés pour le paiement</w:t>
            </w:r>
            <w:r>
              <w:rPr>
                <w:lang w:val="fr-CH"/>
              </w:rPr>
              <w:t>.</w:t>
            </w:r>
          </w:p>
          <w:p w14:paraId="40DD5DC9" w14:textId="77777777" w:rsidR="00561B05" w:rsidRDefault="00561B05" w:rsidP="0020721E">
            <w:pPr>
              <w:pStyle w:val="Tablelegend"/>
              <w:jc w:val="both"/>
              <w:rPr>
                <w:lang w:val="fr-CH"/>
              </w:rPr>
            </w:pPr>
            <w:r>
              <w:rPr>
                <w:lang w:val="fr-CH"/>
              </w:rPr>
              <w:t>**</w:t>
            </w:r>
            <w:r>
              <w:rPr>
                <w:lang w:val="fr-CH"/>
              </w:rPr>
              <w:tab/>
            </w:r>
            <w:r>
              <w:t>Les paiements reçus couvrent les factures qui ont été établies les années précédentes. Ce montant représente la somme de tous les paiements reçus par l'UIT au cours de l'année civile 2025 mais diffère des produits comptabilisés étant donné que ces paiements sont pris en compte dans les produits de l'année de publication des fiches de notification correspondantes.</w:t>
            </w:r>
          </w:p>
        </w:tc>
      </w:tr>
    </w:tbl>
    <w:p w14:paraId="67F841C5" w14:textId="77777777" w:rsidR="0020721E" w:rsidRDefault="0020721E" w:rsidP="0020721E">
      <w:pPr>
        <w:pStyle w:val="Tablefin"/>
      </w:pPr>
    </w:p>
    <w:p w14:paraId="15161523" w14:textId="568FDC03" w:rsidR="00561B05" w:rsidRDefault="00561B05" w:rsidP="0020721E">
      <w:pPr>
        <w:spacing w:before="240"/>
        <w:jc w:val="both"/>
      </w:pPr>
      <w:r>
        <w:t>3</w:t>
      </w:r>
      <w:r>
        <w:tab/>
        <w:t xml:space="preserve">Le Document </w:t>
      </w:r>
      <w:hyperlink r:id="rId12" w:history="1">
        <w:proofErr w:type="spellStart"/>
        <w:r w:rsidRPr="00561B05">
          <w:rPr>
            <w:rStyle w:val="Hyperlink"/>
            <w:rFonts w:eastAsia="Times New Roman" w:cs="Times New Roman"/>
            <w:szCs w:val="20"/>
          </w:rPr>
          <w:t>C26</w:t>
        </w:r>
        <w:proofErr w:type="spellEnd"/>
        <w:r w:rsidRPr="00561B05">
          <w:rPr>
            <w:rStyle w:val="Hyperlink"/>
            <w:rFonts w:eastAsia="Times New Roman" w:cs="Times New Roman"/>
            <w:szCs w:val="20"/>
          </w:rPr>
          <w:t>/11</w:t>
        </w:r>
      </w:hyperlink>
      <w:r>
        <w:t xml:space="preserve"> du Conseil </w:t>
      </w:r>
      <w:proofErr w:type="gramStart"/>
      <w:r>
        <w:t>donne</w:t>
      </w:r>
      <w:proofErr w:type="gramEnd"/>
      <w:r>
        <w:t xml:space="preserve"> des informations sur la situation des arriérés et des comptes spéciaux d'arriérés au 31 décembre 2025, qui comprend des rubriques sur les fiches de notification de </w:t>
      </w:r>
      <w:r w:rsidRPr="00561B05">
        <w:t>réseaux</w:t>
      </w:r>
      <w:r>
        <w:t xml:space="preserve"> à satellite.</w:t>
      </w:r>
    </w:p>
    <w:p w14:paraId="0B3596CA" w14:textId="686644AA" w:rsidR="00561B05" w:rsidRDefault="00561B05" w:rsidP="0020721E">
      <w:pPr>
        <w:jc w:val="both"/>
      </w:pPr>
      <w:r>
        <w:t>4</w:t>
      </w:r>
      <w:r>
        <w:tab/>
        <w:t>La différence entre les montants inscrits au budget pour le recouvrement des coûts et les montants effectivement facturés résulte d'un rééquilibrage entre les soumissions de réseaux à satellite géostationnaire et les soumissions de systèmes à satellites non géostationnaires. Les soumissions de réseaux à satellite géostationnaire sont généralement assujetties à des droits plus élevés que les soumissions de systèmes à satellites non géostationnaires. Afin de tenir compte de cette différence, le Conseil a adopté, à sa session de</w:t>
      </w:r>
      <w:r w:rsidR="004B4E3C">
        <w:t> </w:t>
      </w:r>
      <w:r>
        <w:t xml:space="preserve">2025, la Décision </w:t>
      </w:r>
      <w:hyperlink r:id="rId13" w:history="1">
        <w:r w:rsidRPr="00561B05">
          <w:rPr>
            <w:rStyle w:val="Hyperlink"/>
            <w:rFonts w:eastAsia="Times New Roman" w:cs="Times New Roman"/>
            <w:szCs w:val="20"/>
          </w:rPr>
          <w:t>482</w:t>
        </w:r>
      </w:hyperlink>
      <w:r>
        <w:t xml:space="preserve"> modifiée, mais l'incidence de ces modifications ne sera visible qu'à compter de 2026, étant donné que cette révision est entrée en vigueur le 1er janvier 2026 (on </w:t>
      </w:r>
      <w:r>
        <w:lastRenderedPageBreak/>
        <w:t>notera qu'un nombre record de soumissions concernant des bandes non planifiées, représentant plus du double du nombre moyen de soumissions des autres mois de 2025, a été enregistré en décembre 2025).</w:t>
      </w:r>
    </w:p>
    <w:p w14:paraId="6BBEC4BB" w14:textId="21E68A44" w:rsidR="00561B05" w:rsidRDefault="00561B05" w:rsidP="0020721E">
      <w:pPr>
        <w:jc w:val="both"/>
      </w:pPr>
      <w:r>
        <w:t>5</w:t>
      </w:r>
      <w:r>
        <w:tab/>
        <w:t xml:space="preserve">Conformément au point 2 a) du </w:t>
      </w:r>
      <w:r w:rsidRPr="004B4E3C">
        <w:rPr>
          <w:i/>
          <w:iCs/>
        </w:rPr>
        <w:t>charge le Directeur du Bureau des radiocommunications</w:t>
      </w:r>
      <w:r>
        <w:t xml:space="preserve"> de la Décision 482, le Tableau 2 ci-dessous fait état des coûts associés au traitement des fiches de notification des réseaux à satellite en 2024 et 2025.</w:t>
      </w:r>
    </w:p>
    <w:p w14:paraId="05F6E2F0" w14:textId="77777777" w:rsidR="00561B05" w:rsidRDefault="00561B05" w:rsidP="00561B05">
      <w:pPr>
        <w:pStyle w:val="TableNo"/>
      </w:pPr>
      <w:r>
        <w:t>TABLEAU 2</w:t>
      </w:r>
    </w:p>
    <w:p w14:paraId="40F56964" w14:textId="488E515E" w:rsidR="00561B05" w:rsidRDefault="00561B05" w:rsidP="00561B05">
      <w:pPr>
        <w:pStyle w:val="Tabletitle"/>
      </w:pPr>
      <w:r>
        <w:t>Coûts associés au traitement des fiches de notification</w:t>
      </w:r>
      <w:r>
        <w:br/>
        <w:t>des réseaux à satellite en 2024 et 2025</w:t>
      </w:r>
    </w:p>
    <w:tbl>
      <w:tblPr>
        <w:tblW w:w="8645" w:type="dxa"/>
        <w:jc w:val="center"/>
        <w:tblLook w:val="04A0" w:firstRow="1" w:lastRow="0" w:firstColumn="1" w:lastColumn="0" w:noHBand="0" w:noVBand="1"/>
      </w:tblPr>
      <w:tblGrid>
        <w:gridCol w:w="4561"/>
        <w:gridCol w:w="682"/>
        <w:gridCol w:w="1701"/>
        <w:gridCol w:w="1701"/>
      </w:tblGrid>
      <w:tr w:rsidR="00561B05" w:rsidRPr="00561B05" w14:paraId="49502513" w14:textId="77777777">
        <w:trPr>
          <w:trHeight w:val="300"/>
          <w:jc w:val="center"/>
        </w:trPr>
        <w:tc>
          <w:tcPr>
            <w:tcW w:w="4561" w:type="dxa"/>
            <w:tcBorders>
              <w:top w:val="single" w:sz="4" w:space="0" w:color="auto"/>
              <w:left w:val="single" w:sz="4" w:space="0" w:color="auto"/>
              <w:bottom w:val="single" w:sz="4" w:space="0" w:color="auto"/>
              <w:right w:val="single" w:sz="4" w:space="0" w:color="auto"/>
            </w:tcBorders>
            <w:noWrap/>
            <w:vAlign w:val="bottom"/>
          </w:tcPr>
          <w:p w14:paraId="60C34047" w14:textId="77777777" w:rsidR="00561B05" w:rsidRPr="00561B05" w:rsidRDefault="00561B05" w:rsidP="00561B05">
            <w:pPr>
              <w:pStyle w:val="Tablehead"/>
              <w:rPr>
                <w:lang w:val="fr-CH"/>
              </w:rPr>
            </w:pPr>
          </w:p>
        </w:tc>
        <w:tc>
          <w:tcPr>
            <w:tcW w:w="682" w:type="dxa"/>
            <w:tcBorders>
              <w:top w:val="single" w:sz="4" w:space="0" w:color="auto"/>
              <w:left w:val="nil"/>
              <w:bottom w:val="single" w:sz="4" w:space="0" w:color="auto"/>
              <w:right w:val="single" w:sz="4" w:space="0" w:color="auto"/>
            </w:tcBorders>
            <w:vAlign w:val="center"/>
          </w:tcPr>
          <w:p w14:paraId="3D85CB6B" w14:textId="77777777" w:rsidR="00561B05" w:rsidRPr="00561B05" w:rsidRDefault="00561B05" w:rsidP="00561B05">
            <w:pPr>
              <w:pStyle w:val="Tablehead"/>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0D9A9BA" w14:textId="77777777" w:rsidR="00561B05" w:rsidRPr="00561B05" w:rsidRDefault="00561B05" w:rsidP="00561B05">
            <w:pPr>
              <w:pStyle w:val="Tablehead"/>
              <w:rPr>
                <w:lang w:val="en-GB"/>
              </w:rPr>
            </w:pPr>
            <w:r w:rsidRPr="00561B05">
              <w:t>2024</w:t>
            </w:r>
          </w:p>
        </w:tc>
        <w:tc>
          <w:tcPr>
            <w:tcW w:w="1701" w:type="dxa"/>
            <w:tcBorders>
              <w:top w:val="single" w:sz="4" w:space="0" w:color="auto"/>
              <w:left w:val="nil"/>
              <w:bottom w:val="single" w:sz="4" w:space="0" w:color="auto"/>
              <w:right w:val="single" w:sz="4" w:space="0" w:color="auto"/>
            </w:tcBorders>
            <w:vAlign w:val="center"/>
            <w:hideMark/>
          </w:tcPr>
          <w:p w14:paraId="495126F3" w14:textId="77777777" w:rsidR="00561B05" w:rsidRPr="00561B05" w:rsidRDefault="00561B05" w:rsidP="00561B05">
            <w:pPr>
              <w:pStyle w:val="Tablehead"/>
            </w:pPr>
            <w:r w:rsidRPr="00561B05">
              <w:t>2025</w:t>
            </w:r>
          </w:p>
        </w:tc>
      </w:tr>
      <w:tr w:rsidR="00561B05" w:rsidRPr="00561B05" w14:paraId="053EE21D" w14:textId="77777777">
        <w:trPr>
          <w:trHeight w:val="300"/>
          <w:jc w:val="center"/>
        </w:trPr>
        <w:tc>
          <w:tcPr>
            <w:tcW w:w="4561" w:type="dxa"/>
            <w:tcBorders>
              <w:top w:val="nil"/>
              <w:left w:val="single" w:sz="4" w:space="0" w:color="auto"/>
              <w:bottom w:val="single" w:sz="4" w:space="0" w:color="auto"/>
              <w:right w:val="single" w:sz="4" w:space="0" w:color="auto"/>
            </w:tcBorders>
            <w:noWrap/>
            <w:vAlign w:val="center"/>
            <w:hideMark/>
          </w:tcPr>
          <w:p w14:paraId="22AB19DA" w14:textId="77777777" w:rsidR="00561B05" w:rsidRPr="00561B05" w:rsidRDefault="00561B05" w:rsidP="00561B05">
            <w:pPr>
              <w:pStyle w:val="Tabletext"/>
              <w:rPr>
                <w:lang w:val="fr-CH"/>
              </w:rPr>
            </w:pPr>
            <w:r w:rsidRPr="00561B05">
              <w:t>Coûts du BR fondés sur une étude de temps</w:t>
            </w:r>
          </w:p>
        </w:tc>
        <w:tc>
          <w:tcPr>
            <w:tcW w:w="682" w:type="dxa"/>
            <w:tcBorders>
              <w:top w:val="single" w:sz="4" w:space="0" w:color="auto"/>
              <w:left w:val="nil"/>
              <w:bottom w:val="single" w:sz="4" w:space="0" w:color="auto"/>
              <w:right w:val="single" w:sz="4" w:space="0" w:color="auto"/>
            </w:tcBorders>
            <w:vAlign w:val="center"/>
            <w:hideMark/>
          </w:tcPr>
          <w:p w14:paraId="190B92C5" w14:textId="77777777" w:rsidR="00561B05" w:rsidRPr="00561B05" w:rsidRDefault="00561B05" w:rsidP="00561B05">
            <w:pPr>
              <w:pStyle w:val="Tabletext"/>
              <w:rPr>
                <w:lang w:val="en-GB"/>
              </w:rPr>
            </w:pPr>
            <w:r w:rsidRPr="00561B05">
              <w:t>CHF</w:t>
            </w:r>
          </w:p>
        </w:tc>
        <w:tc>
          <w:tcPr>
            <w:tcW w:w="1701" w:type="dxa"/>
            <w:tcBorders>
              <w:top w:val="nil"/>
              <w:left w:val="single" w:sz="4" w:space="0" w:color="auto"/>
              <w:bottom w:val="single" w:sz="4" w:space="0" w:color="auto"/>
              <w:right w:val="single" w:sz="4" w:space="0" w:color="auto"/>
            </w:tcBorders>
            <w:hideMark/>
          </w:tcPr>
          <w:p w14:paraId="6C0A497C" w14:textId="77777777" w:rsidR="00561B05" w:rsidRPr="00561B05" w:rsidRDefault="00561B05" w:rsidP="00561B05">
            <w:pPr>
              <w:pStyle w:val="Tabletext"/>
              <w:jc w:val="right"/>
            </w:pPr>
            <w:r w:rsidRPr="00561B05">
              <w:t>12 144 478</w:t>
            </w:r>
          </w:p>
        </w:tc>
        <w:tc>
          <w:tcPr>
            <w:tcW w:w="1701" w:type="dxa"/>
            <w:tcBorders>
              <w:top w:val="nil"/>
              <w:left w:val="nil"/>
              <w:bottom w:val="single" w:sz="4" w:space="0" w:color="auto"/>
              <w:right w:val="single" w:sz="4" w:space="0" w:color="auto"/>
            </w:tcBorders>
            <w:hideMark/>
          </w:tcPr>
          <w:p w14:paraId="61B2038B" w14:textId="77777777" w:rsidR="00561B05" w:rsidRPr="00561B05" w:rsidRDefault="00561B05" w:rsidP="00561B05">
            <w:pPr>
              <w:pStyle w:val="Tabletext"/>
              <w:jc w:val="right"/>
            </w:pPr>
            <w:r w:rsidRPr="00561B05">
              <w:t>12 567 090</w:t>
            </w:r>
          </w:p>
        </w:tc>
      </w:tr>
      <w:tr w:rsidR="00561B05" w:rsidRPr="00561B05" w14:paraId="613C29B2" w14:textId="77777777">
        <w:trPr>
          <w:trHeight w:val="300"/>
          <w:jc w:val="center"/>
        </w:trPr>
        <w:tc>
          <w:tcPr>
            <w:tcW w:w="4561" w:type="dxa"/>
            <w:tcBorders>
              <w:top w:val="nil"/>
              <w:left w:val="single" w:sz="4" w:space="0" w:color="auto"/>
              <w:bottom w:val="single" w:sz="4" w:space="0" w:color="auto"/>
              <w:right w:val="single" w:sz="4" w:space="0" w:color="auto"/>
            </w:tcBorders>
            <w:noWrap/>
            <w:vAlign w:val="center"/>
            <w:hideMark/>
          </w:tcPr>
          <w:p w14:paraId="58751440" w14:textId="77777777" w:rsidR="00561B05" w:rsidRPr="00561B05" w:rsidRDefault="00561B05" w:rsidP="00561B05">
            <w:pPr>
              <w:pStyle w:val="Tabletext"/>
              <w:rPr>
                <w:lang w:val="fr-CH"/>
              </w:rPr>
            </w:pPr>
            <w:r w:rsidRPr="00561B05">
              <w:t>Coûts des services administratifs et d'appui du Secrétariat général</w:t>
            </w:r>
          </w:p>
        </w:tc>
        <w:tc>
          <w:tcPr>
            <w:tcW w:w="682" w:type="dxa"/>
            <w:tcBorders>
              <w:top w:val="single" w:sz="4" w:space="0" w:color="auto"/>
              <w:left w:val="nil"/>
              <w:bottom w:val="single" w:sz="4" w:space="0" w:color="auto"/>
              <w:right w:val="single" w:sz="4" w:space="0" w:color="auto"/>
            </w:tcBorders>
            <w:vAlign w:val="center"/>
            <w:hideMark/>
          </w:tcPr>
          <w:p w14:paraId="1E96D16A" w14:textId="77777777" w:rsidR="00561B05" w:rsidRPr="00561B05" w:rsidRDefault="00561B05" w:rsidP="00561B05">
            <w:pPr>
              <w:pStyle w:val="Tabletext"/>
              <w:rPr>
                <w:lang w:val="en-GB"/>
              </w:rPr>
            </w:pPr>
            <w:r w:rsidRPr="00561B05">
              <w:t>CHF</w:t>
            </w:r>
          </w:p>
        </w:tc>
        <w:tc>
          <w:tcPr>
            <w:tcW w:w="1701" w:type="dxa"/>
            <w:tcBorders>
              <w:top w:val="nil"/>
              <w:left w:val="single" w:sz="4" w:space="0" w:color="auto"/>
              <w:bottom w:val="single" w:sz="4" w:space="0" w:color="auto"/>
              <w:right w:val="single" w:sz="4" w:space="0" w:color="auto"/>
            </w:tcBorders>
            <w:hideMark/>
          </w:tcPr>
          <w:p w14:paraId="1AEC9425" w14:textId="77777777" w:rsidR="00561B05" w:rsidRPr="00561B05" w:rsidRDefault="00561B05" w:rsidP="00561B05">
            <w:pPr>
              <w:pStyle w:val="Tabletext"/>
              <w:jc w:val="right"/>
            </w:pPr>
            <w:r w:rsidRPr="00561B05">
              <w:t>10 666 000</w:t>
            </w:r>
          </w:p>
        </w:tc>
        <w:tc>
          <w:tcPr>
            <w:tcW w:w="1701" w:type="dxa"/>
            <w:tcBorders>
              <w:top w:val="nil"/>
              <w:left w:val="nil"/>
              <w:bottom w:val="single" w:sz="4" w:space="0" w:color="auto"/>
              <w:right w:val="single" w:sz="4" w:space="0" w:color="auto"/>
            </w:tcBorders>
            <w:hideMark/>
          </w:tcPr>
          <w:p w14:paraId="00FC119B" w14:textId="77777777" w:rsidR="00561B05" w:rsidRPr="00561B05" w:rsidRDefault="00561B05" w:rsidP="00561B05">
            <w:pPr>
              <w:pStyle w:val="Tabletext"/>
              <w:jc w:val="right"/>
            </w:pPr>
            <w:r w:rsidRPr="00561B05">
              <w:t>10 666 000</w:t>
            </w:r>
          </w:p>
        </w:tc>
      </w:tr>
      <w:tr w:rsidR="00561B05" w:rsidRPr="00561B05" w14:paraId="03644E7F" w14:textId="77777777">
        <w:trPr>
          <w:trHeight w:val="300"/>
          <w:jc w:val="center"/>
        </w:trPr>
        <w:tc>
          <w:tcPr>
            <w:tcW w:w="4561" w:type="dxa"/>
            <w:tcBorders>
              <w:top w:val="nil"/>
              <w:left w:val="single" w:sz="4" w:space="0" w:color="auto"/>
              <w:bottom w:val="single" w:sz="4" w:space="0" w:color="auto"/>
              <w:right w:val="single" w:sz="4" w:space="0" w:color="auto"/>
            </w:tcBorders>
            <w:noWrap/>
            <w:vAlign w:val="center"/>
            <w:hideMark/>
          </w:tcPr>
          <w:p w14:paraId="5C1868F5" w14:textId="77777777" w:rsidR="00561B05" w:rsidRPr="00561B05" w:rsidRDefault="00561B05" w:rsidP="00561B05">
            <w:pPr>
              <w:pStyle w:val="Tabletext"/>
            </w:pPr>
            <w:r w:rsidRPr="00561B05">
              <w:t>Coûts totaux</w:t>
            </w:r>
          </w:p>
        </w:tc>
        <w:tc>
          <w:tcPr>
            <w:tcW w:w="682" w:type="dxa"/>
            <w:tcBorders>
              <w:top w:val="single" w:sz="4" w:space="0" w:color="auto"/>
              <w:left w:val="nil"/>
              <w:bottom w:val="single" w:sz="4" w:space="0" w:color="auto"/>
              <w:right w:val="single" w:sz="4" w:space="0" w:color="auto"/>
            </w:tcBorders>
            <w:vAlign w:val="center"/>
            <w:hideMark/>
          </w:tcPr>
          <w:p w14:paraId="2F7F5566" w14:textId="77777777" w:rsidR="00561B05" w:rsidRPr="00561B05" w:rsidRDefault="00561B05" w:rsidP="00561B05">
            <w:pPr>
              <w:pStyle w:val="Tabletext"/>
            </w:pPr>
            <w:r w:rsidRPr="00561B05">
              <w:t>CHF</w:t>
            </w:r>
          </w:p>
        </w:tc>
        <w:tc>
          <w:tcPr>
            <w:tcW w:w="1701" w:type="dxa"/>
            <w:tcBorders>
              <w:top w:val="nil"/>
              <w:left w:val="single" w:sz="4" w:space="0" w:color="auto"/>
              <w:bottom w:val="single" w:sz="4" w:space="0" w:color="auto"/>
              <w:right w:val="single" w:sz="4" w:space="0" w:color="auto"/>
            </w:tcBorders>
            <w:hideMark/>
          </w:tcPr>
          <w:p w14:paraId="42FBEE17" w14:textId="77777777" w:rsidR="00561B05" w:rsidRPr="00561B05" w:rsidRDefault="00561B05" w:rsidP="00561B05">
            <w:pPr>
              <w:pStyle w:val="Tabletext"/>
              <w:jc w:val="right"/>
            </w:pPr>
            <w:r w:rsidRPr="00561B05">
              <w:t>22 810 478</w:t>
            </w:r>
          </w:p>
        </w:tc>
        <w:tc>
          <w:tcPr>
            <w:tcW w:w="1701" w:type="dxa"/>
            <w:tcBorders>
              <w:top w:val="nil"/>
              <w:left w:val="nil"/>
              <w:bottom w:val="single" w:sz="4" w:space="0" w:color="auto"/>
              <w:right w:val="single" w:sz="4" w:space="0" w:color="auto"/>
            </w:tcBorders>
            <w:hideMark/>
          </w:tcPr>
          <w:p w14:paraId="55E9BF7F" w14:textId="4F60B2B0" w:rsidR="00561B05" w:rsidRPr="00561B05" w:rsidRDefault="00561B05" w:rsidP="00561B05">
            <w:pPr>
              <w:pStyle w:val="Tabletext"/>
              <w:jc w:val="right"/>
            </w:pPr>
            <w:r w:rsidRPr="00561B05">
              <w:t>23 233 090</w:t>
            </w:r>
          </w:p>
        </w:tc>
      </w:tr>
      <w:tr w:rsidR="00561B05" w:rsidRPr="00561B05" w14:paraId="13EFCF48" w14:textId="77777777">
        <w:trPr>
          <w:trHeight w:val="300"/>
          <w:jc w:val="center"/>
        </w:trPr>
        <w:tc>
          <w:tcPr>
            <w:tcW w:w="8645" w:type="dxa"/>
            <w:gridSpan w:val="4"/>
            <w:tcBorders>
              <w:top w:val="single" w:sz="4" w:space="0" w:color="auto"/>
              <w:left w:val="nil"/>
              <w:bottom w:val="nil"/>
              <w:right w:val="nil"/>
            </w:tcBorders>
            <w:noWrap/>
            <w:vAlign w:val="center"/>
            <w:hideMark/>
          </w:tcPr>
          <w:p w14:paraId="3A240C12" w14:textId="28BA8505" w:rsidR="00561B05" w:rsidRPr="00561B05" w:rsidRDefault="00561B05" w:rsidP="00561B05">
            <w:pPr>
              <w:pStyle w:val="Tablelegend"/>
              <w:tabs>
                <w:tab w:val="clear" w:pos="284"/>
              </w:tabs>
              <w:ind w:left="-6" w:firstLine="6"/>
              <w:rPr>
                <w:lang w:val="fr-CH"/>
              </w:rPr>
            </w:pPr>
            <w:r w:rsidRPr="00561B05">
              <w:t xml:space="preserve">Note: </w:t>
            </w:r>
            <w:r>
              <w:t>l</w:t>
            </w:r>
            <w:r w:rsidRPr="00561B05">
              <w:t>es frais supplémentaires sont à la charge de l'UIT pour ce qui est du développement de logiciels spatiaux spécifiques.</w:t>
            </w:r>
          </w:p>
        </w:tc>
      </w:tr>
    </w:tbl>
    <w:p w14:paraId="79EECBCF" w14:textId="77777777" w:rsidR="0020721E" w:rsidRDefault="0020721E" w:rsidP="0020721E">
      <w:pPr>
        <w:pStyle w:val="Tablefin"/>
      </w:pPr>
    </w:p>
    <w:p w14:paraId="1ED70588" w14:textId="5C1A59AB" w:rsidR="00561B05" w:rsidRPr="00561B05" w:rsidRDefault="00561B05" w:rsidP="0020721E">
      <w:pPr>
        <w:spacing w:before="240"/>
        <w:jc w:val="both"/>
      </w:pPr>
      <w:r w:rsidRPr="00561B05">
        <w:t>6</w:t>
      </w:r>
      <w:r w:rsidRPr="00561B05">
        <w:tab/>
        <w:t>La mise en œuvre de la Décision 482 par le Bureau des radiocommunications n'a soulevé aucune difficulté d'ordre administratif ou opérationnel touchant à des questions de fond, aussi bien en interne qu'avec les administrations présentant des fiches de notification de réseaux à satellite.</w:t>
      </w:r>
    </w:p>
    <w:p w14:paraId="39FBF6F7" w14:textId="77777777" w:rsidR="00561B05" w:rsidRPr="00561B05" w:rsidRDefault="00561B05" w:rsidP="00056E70">
      <w:pPr>
        <w:pStyle w:val="Headingb"/>
      </w:pPr>
      <w:r w:rsidRPr="00561B05">
        <w:t>Produits différés en raison d'un manque de ressources à des fins de traitement</w:t>
      </w:r>
    </w:p>
    <w:p w14:paraId="123E434A" w14:textId="77777777" w:rsidR="00561B05" w:rsidRPr="00561B05" w:rsidRDefault="00561B05" w:rsidP="0020721E">
      <w:pPr>
        <w:jc w:val="both"/>
      </w:pPr>
      <w:r w:rsidRPr="00561B05">
        <w:t>7</w:t>
      </w:r>
      <w:r w:rsidRPr="00561B05">
        <w:tab/>
        <w:t>Compte tenu des règles de vérification des comptes en vigueur, le paiement des factures liées au recouvrement des coûts pour le traitement des fiches de notification des réseaux à satellite n'est pris en compte dans les produits comptabilisés qu'après la publication des Sections spéciales correspondantes.</w:t>
      </w:r>
    </w:p>
    <w:p w14:paraId="79A83463" w14:textId="726C5DCD" w:rsidR="00561B05" w:rsidRPr="00561B05" w:rsidRDefault="00561B05" w:rsidP="0020721E">
      <w:pPr>
        <w:jc w:val="both"/>
      </w:pPr>
      <w:r w:rsidRPr="00561B05">
        <w:t>8</w:t>
      </w:r>
      <w:r w:rsidRPr="00561B05">
        <w:tab/>
        <w:t>Fin 2025, les produits différés (c'est-à-dire les cas dans lesquels les factures ont déjà été émises à l'entité qui soumet la fiche de notification, mais où la Section spéciale correspondante n'a pas encore été publiée) s'élevaient à 4 237 520 CHF.</w:t>
      </w:r>
    </w:p>
    <w:p w14:paraId="44EEB73F" w14:textId="10610513" w:rsidR="00561B05" w:rsidRPr="00561B05" w:rsidRDefault="00561B05" w:rsidP="0020721E">
      <w:pPr>
        <w:jc w:val="both"/>
      </w:pPr>
      <w:r w:rsidRPr="00561B05">
        <w:t>9</w:t>
      </w:r>
      <w:r w:rsidRPr="00561B05">
        <w:tab/>
        <w:t>Les délais de traitement applicables à l'ensemble des Sections spéciales, à l'exception des demandes de coordination, sont compris dans les délais précisés soit dans le Règlement des radiocommunications (RR), soit dans le Plan opérationnel de l'UIT-R pour les cas où il n'y</w:t>
      </w:r>
      <w:r w:rsidR="00056E70">
        <w:t> </w:t>
      </w:r>
      <w:r w:rsidRPr="00561B05">
        <w:t>a pas de délai réglementaire. S'agissant des demandes de coordination, le nombre de réseaux en cours de traitement est en baisse depuis juin 2025, ce qui témoigne des efforts déployés par le Bureau des radiocommunications (BR) pour résorber le retard (après une durée record de 17 mois en juin 2025, le délai de traitement actuel est de 14 mois alors que le délai réglementaire est de quatre mois).</w:t>
      </w:r>
    </w:p>
    <w:p w14:paraId="14F8BA57" w14:textId="2F73AD20" w:rsidR="00561B05" w:rsidRPr="00561B05" w:rsidRDefault="00561B05" w:rsidP="0020721E">
      <w:pPr>
        <w:jc w:val="both"/>
      </w:pPr>
      <w:r w:rsidRPr="00561B05">
        <w:t>10</w:t>
      </w:r>
      <w:r w:rsidRPr="00561B05">
        <w:tab/>
        <w:t>Toutefois, les contraintes budgétaires actuelles de l'UIT ont entraîné un gel effectif des recrutements, plusieurs postes vacants du Bureau n'étant toujours pas pourvus. Compte</w:t>
      </w:r>
      <w:r w:rsidR="00775C9B">
        <w:t> </w:t>
      </w:r>
      <w:r w:rsidRPr="00561B05">
        <w:t xml:space="preserve">tenu du manque de personnel pour ce qui est du traitement des demandes de coordination, le </w:t>
      </w:r>
      <w:r w:rsidRPr="00561B05">
        <w:lastRenderedPageBreak/>
        <w:t xml:space="preserve">Bureau ne dispose pas des ressources nécessaires pour résorber le retard et, partant, réduire le montant des produits différés. Dans le Document </w:t>
      </w:r>
      <w:hyperlink r:id="rId14" w:history="1">
        <w:r w:rsidRPr="00056E70">
          <w:rPr>
            <w:rStyle w:val="Hyperlink"/>
            <w:rFonts w:eastAsia="Times New Roman" w:cs="Times New Roman"/>
            <w:szCs w:val="20"/>
          </w:rPr>
          <w:t>C26/42</w:t>
        </w:r>
      </w:hyperlink>
      <w:r w:rsidRPr="00561B05">
        <w:t>, le Conseil propose d'allouer une partie des économies de 2025 pour remédier à ce problème.</w:t>
      </w:r>
    </w:p>
    <w:p w14:paraId="251155E7" w14:textId="7DB77386" w:rsidR="00561B05" w:rsidRPr="00561B05" w:rsidRDefault="00561B05" w:rsidP="0020721E">
      <w:pPr>
        <w:jc w:val="both"/>
      </w:pPr>
      <w:r w:rsidRPr="00561B05">
        <w:t>11</w:t>
      </w:r>
      <w:r w:rsidRPr="00561B05">
        <w:tab/>
        <w:t>De plus, la facturation intervenant à la fin de la première des trois phases du traitement des fiches de notification des réseaux à satellite, un retard dans le traitement a pour effet de retarder les trois phases ce qui entraîne un retard de facturation important. De</w:t>
      </w:r>
      <w:r w:rsidR="00056E70">
        <w:t> </w:t>
      </w:r>
      <w:r w:rsidRPr="00561B05">
        <w:t>ce</w:t>
      </w:r>
      <w:r w:rsidR="00056E70">
        <w:t> </w:t>
      </w:r>
      <w:r w:rsidRPr="00561B05">
        <w:t>fait, plus de 190 demandes de coordination reçues en 2025, d'un montant total estimé à</w:t>
      </w:r>
      <w:r w:rsidR="00056E70">
        <w:t> </w:t>
      </w:r>
      <w:r w:rsidRPr="00561B05">
        <w:t>3</w:t>
      </w:r>
      <w:r w:rsidR="00056E70">
        <w:t> </w:t>
      </w:r>
      <w:r w:rsidRPr="00561B05">
        <w:t>800</w:t>
      </w:r>
      <w:r w:rsidR="00056E70">
        <w:t> </w:t>
      </w:r>
      <w:r w:rsidRPr="00561B05">
        <w:t>000</w:t>
      </w:r>
      <w:r w:rsidR="00056E70">
        <w:t> </w:t>
      </w:r>
      <w:r w:rsidRPr="00561B05">
        <w:t>CHF (sur la base d'une valeur de 20 000 CHF par demande de coordination), sont toujours en attente de facturation.</w:t>
      </w:r>
    </w:p>
    <w:p w14:paraId="25193E89" w14:textId="77777777" w:rsidR="00561B05" w:rsidRPr="00561B05" w:rsidRDefault="00561B05" w:rsidP="0020721E">
      <w:pPr>
        <w:jc w:val="both"/>
      </w:pPr>
      <w:r w:rsidRPr="00561B05">
        <w:t>12</w:t>
      </w:r>
      <w:r w:rsidRPr="00561B05">
        <w:tab/>
        <w:t>Des retards dans le traitement des demandes de coordination augmentent également l'incertitude réglementaire et nuisent à la capacité des administrations et des opérateurs de satellites de progresser dans l'exécution de leurs plans de déploiement de réseaux à satellite, qui doivent être mis en service dans un délai de sept ans après la soumission.</w:t>
      </w:r>
    </w:p>
    <w:p w14:paraId="5480C969" w14:textId="019772DF" w:rsidR="00561B05" w:rsidRPr="004B4E3C" w:rsidRDefault="004B4E3C" w:rsidP="00056E70">
      <w:pPr>
        <w:pStyle w:val="Headingb"/>
      </w:pPr>
      <w:r w:rsidRPr="004B4E3C">
        <w:t>Incidences des Résolutions 35 (Rév.CMR-23) et 8 (CMR-23)</w:t>
      </w:r>
    </w:p>
    <w:p w14:paraId="6BBBB176" w14:textId="38BEFA56" w:rsidR="00561B05" w:rsidRPr="00561B05" w:rsidRDefault="00561B05" w:rsidP="0020721E">
      <w:pPr>
        <w:jc w:val="both"/>
      </w:pPr>
      <w:r w:rsidRPr="00561B05">
        <w:t>13</w:t>
      </w:r>
      <w:r w:rsidRPr="00561B05">
        <w:tab/>
        <w:t>L'application des Résolutions 35 (Rév.CMR-23) et 8 (CMR-23) nécessite d'examiner les caractéristiques de déploiement de chaque satellite du système à satellites non géostationnaires considéré.</w:t>
      </w:r>
    </w:p>
    <w:p w14:paraId="1A93E06C" w14:textId="77777777" w:rsidR="00561B05" w:rsidRPr="00561B05" w:rsidRDefault="00561B05" w:rsidP="0020721E">
      <w:pPr>
        <w:jc w:val="both"/>
      </w:pPr>
      <w:r w:rsidRPr="00561B05">
        <w:t>14</w:t>
      </w:r>
      <w:r w:rsidRPr="00561B05">
        <w:tab/>
        <w:t>On pourrait considérer que cet examen fait partie intégrante des activités associées à la notification des assignations de fréquence au réseau à satellite non géostationnaire et couvertes par le coût de la notification pour autant que le système ne comporte qu'un nombre limité de satellites. Toutefois, cette prémisse n'est plus valable dans le cas d'un grand système à satellites non géostationnaires, car la charge de travail pour examiner la conformité de chaque satellite aux conditions prévues dans les deux Résolutions est directement liée au nombre de satellites effectivement déployés et aux caractéristiques particulières à vérifier.</w:t>
      </w:r>
    </w:p>
    <w:p w14:paraId="36156015" w14:textId="77777777" w:rsidR="00561B05" w:rsidRPr="00561B05" w:rsidRDefault="00561B05" w:rsidP="0020721E">
      <w:pPr>
        <w:jc w:val="both"/>
      </w:pPr>
      <w:r w:rsidRPr="00561B05">
        <w:t>15</w:t>
      </w:r>
      <w:r w:rsidRPr="00561B05">
        <w:tab/>
        <w:t>Il y a donc lieu de mener des études pour évaluer comme il convient les coûts d'examen découlant de ces deux Résolutions.</w:t>
      </w:r>
    </w:p>
    <w:p w14:paraId="6D13DF17" w14:textId="77777777" w:rsidR="00561B05" w:rsidRPr="00561B05" w:rsidRDefault="00561B05" w:rsidP="00416D05">
      <w:pPr>
        <w:pStyle w:val="Headingb"/>
      </w:pPr>
      <w:r w:rsidRPr="00561B05">
        <w:t>Conclusion</w:t>
      </w:r>
    </w:p>
    <w:p w14:paraId="6A56BAB8" w14:textId="30E53839" w:rsidR="00561B05" w:rsidRDefault="00561B05" w:rsidP="0020721E">
      <w:pPr>
        <w:jc w:val="both"/>
      </w:pPr>
      <w:r w:rsidRPr="00561B05">
        <w:t>16</w:t>
      </w:r>
      <w:r w:rsidRPr="00561B05">
        <w:tab/>
        <w:t xml:space="preserve">Le Conseil est invité à </w:t>
      </w:r>
      <w:r w:rsidRPr="00416D05">
        <w:rPr>
          <w:b/>
          <w:bCs/>
        </w:rPr>
        <w:t>prendre note</w:t>
      </w:r>
      <w:r w:rsidRPr="00561B05">
        <w:t xml:space="preserve"> du présent rapport concernant la mise en œuvre du recouvrement des coûts pour le traitement des fiches de notification des réseaux à satellite et de </w:t>
      </w:r>
      <w:r w:rsidRPr="00416D05">
        <w:rPr>
          <w:b/>
          <w:bCs/>
        </w:rPr>
        <w:t>charger le Groupe de travail du Conseil sur les ressources financières et humaines d'étudier</w:t>
      </w:r>
      <w:r w:rsidRPr="00561B05">
        <w:t xml:space="preserve"> les moyens de garantir une évaluation appropriée du coût des activités découlant des Résolutions 35 (</w:t>
      </w:r>
      <w:proofErr w:type="spellStart"/>
      <w:r w:rsidRPr="00561B05">
        <w:t>Rév.CMR</w:t>
      </w:r>
      <w:proofErr w:type="spellEnd"/>
      <w:r w:rsidRPr="00561B05">
        <w:t>-23) et 8 (CMR-23).</w:t>
      </w:r>
    </w:p>
    <w:p w14:paraId="03036854" w14:textId="77777777" w:rsidR="00BC36E8" w:rsidRPr="00561B05" w:rsidRDefault="00BC36E8" w:rsidP="0020721E">
      <w:pPr>
        <w:jc w:val="both"/>
      </w:pPr>
    </w:p>
    <w:p w14:paraId="4E87E046" w14:textId="77777777" w:rsidR="00897553" w:rsidRDefault="006A11AE" w:rsidP="002D2336">
      <w:pPr>
        <w:jc w:val="center"/>
      </w:pPr>
      <w:r>
        <w:t>______________</w:t>
      </w:r>
    </w:p>
    <w:sectPr w:rsidR="00897553" w:rsidSect="00D72F49">
      <w:headerReference w:type="even" r:id="rId15"/>
      <w:footerReference w:type="even" r:id="rId16"/>
      <w:footerReference w:type="default" r:id="rId17"/>
      <w:headerReference w:type="first" r:id="rId18"/>
      <w:footerReference w:type="first" r:id="rId1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BBD0" w14:textId="77777777" w:rsidR="00E36F64" w:rsidRDefault="00E36F64">
      <w:r>
        <w:separator/>
      </w:r>
    </w:p>
  </w:endnote>
  <w:endnote w:type="continuationSeparator" w:id="0">
    <w:p w14:paraId="4ED97927" w14:textId="77777777" w:rsidR="00E36F64" w:rsidRDefault="00E3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38D2" w14:textId="58496B7C" w:rsidR="00732045" w:rsidRDefault="00E36F64">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E3664C">
      <w:t>18.03.26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11DFCFF" w14:textId="77777777" w:rsidTr="00E31DCE">
      <w:trPr>
        <w:jc w:val="center"/>
      </w:trPr>
      <w:tc>
        <w:tcPr>
          <w:tcW w:w="1803" w:type="dxa"/>
          <w:vAlign w:val="center"/>
        </w:tcPr>
        <w:p w14:paraId="14489300" w14:textId="6821190D" w:rsidR="00A51849" w:rsidRDefault="00561B05" w:rsidP="00A51849">
          <w:pPr>
            <w:pStyle w:val="Header"/>
            <w:jc w:val="left"/>
            <w:rPr>
              <w:noProof/>
            </w:rPr>
          </w:pPr>
          <w:r>
            <w:rPr>
              <w:noProof/>
            </w:rPr>
            <w:t>2600511</w:t>
          </w:r>
        </w:p>
      </w:tc>
      <w:tc>
        <w:tcPr>
          <w:tcW w:w="8261" w:type="dxa"/>
        </w:tcPr>
        <w:p w14:paraId="3F3C232B" w14:textId="1A1A582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561B05">
            <w:rPr>
              <w:bCs/>
            </w:rPr>
            <w:t>16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767F63FA"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A720A86" w14:textId="77777777" w:rsidTr="00E31DCE">
      <w:trPr>
        <w:jc w:val="center"/>
      </w:trPr>
      <w:tc>
        <w:tcPr>
          <w:tcW w:w="1803" w:type="dxa"/>
          <w:vAlign w:val="center"/>
        </w:tcPr>
        <w:p w14:paraId="4359833D"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C0C99B8" w14:textId="6F7F853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111A65">
            <w:rPr>
              <w:bCs/>
            </w:rPr>
            <w:t>16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40A98FD"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1C10" w14:textId="77777777" w:rsidR="00E36F64" w:rsidRDefault="00E36F64">
      <w:r>
        <w:t>____________________</w:t>
      </w:r>
    </w:p>
  </w:footnote>
  <w:footnote w:type="continuationSeparator" w:id="0">
    <w:p w14:paraId="1D915A5B" w14:textId="77777777" w:rsidR="00E36F64" w:rsidRDefault="00E36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D5D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FCB71F2"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4A4"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64"/>
    <w:rsid w:val="00002CD7"/>
    <w:rsid w:val="00056E70"/>
    <w:rsid w:val="00076A2C"/>
    <w:rsid w:val="000D0D0A"/>
    <w:rsid w:val="00103163"/>
    <w:rsid w:val="00106B19"/>
    <w:rsid w:val="00111A65"/>
    <w:rsid w:val="001133EF"/>
    <w:rsid w:val="00115D93"/>
    <w:rsid w:val="001247A8"/>
    <w:rsid w:val="001342E0"/>
    <w:rsid w:val="001370B2"/>
    <w:rsid w:val="00137516"/>
    <w:rsid w:val="001378C0"/>
    <w:rsid w:val="001658F9"/>
    <w:rsid w:val="0018694A"/>
    <w:rsid w:val="0019129B"/>
    <w:rsid w:val="001A3287"/>
    <w:rsid w:val="001A6508"/>
    <w:rsid w:val="001D4C31"/>
    <w:rsid w:val="001E4D21"/>
    <w:rsid w:val="001F5A47"/>
    <w:rsid w:val="0020721E"/>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6D05"/>
    <w:rsid w:val="004177BD"/>
    <w:rsid w:val="0042404A"/>
    <w:rsid w:val="0044618F"/>
    <w:rsid w:val="00465C35"/>
    <w:rsid w:val="0046769A"/>
    <w:rsid w:val="00475FB3"/>
    <w:rsid w:val="004B4E3C"/>
    <w:rsid w:val="004C37A9"/>
    <w:rsid w:val="004D1D50"/>
    <w:rsid w:val="004F259E"/>
    <w:rsid w:val="004F633A"/>
    <w:rsid w:val="00504C7F"/>
    <w:rsid w:val="00511F1D"/>
    <w:rsid w:val="00520F36"/>
    <w:rsid w:val="00524E8D"/>
    <w:rsid w:val="00534E13"/>
    <w:rsid w:val="00540615"/>
    <w:rsid w:val="00540A6D"/>
    <w:rsid w:val="00553536"/>
    <w:rsid w:val="00561B05"/>
    <w:rsid w:val="00566679"/>
    <w:rsid w:val="00571EEA"/>
    <w:rsid w:val="00575417"/>
    <w:rsid w:val="005768E1"/>
    <w:rsid w:val="005B1938"/>
    <w:rsid w:val="005C3890"/>
    <w:rsid w:val="005F7BFE"/>
    <w:rsid w:val="00600017"/>
    <w:rsid w:val="00602682"/>
    <w:rsid w:val="006218AE"/>
    <w:rsid w:val="006235CA"/>
    <w:rsid w:val="0062366E"/>
    <w:rsid w:val="006643AB"/>
    <w:rsid w:val="006A11AE"/>
    <w:rsid w:val="006B224B"/>
    <w:rsid w:val="006F0A53"/>
    <w:rsid w:val="0071402E"/>
    <w:rsid w:val="007210CD"/>
    <w:rsid w:val="00732045"/>
    <w:rsid w:val="0073275D"/>
    <w:rsid w:val="007369DB"/>
    <w:rsid w:val="0077110E"/>
    <w:rsid w:val="00775C9B"/>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C36E8"/>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3664C"/>
    <w:rsid w:val="00E36F64"/>
    <w:rsid w:val="00E4428F"/>
    <w:rsid w:val="00E4448E"/>
    <w:rsid w:val="00E47427"/>
    <w:rsid w:val="00E72EEB"/>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906B0"/>
  <w15:docId w15:val="{E911D7CC-1BDD-461D-BBCB-2D11FA78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1F5A47"/>
    <w:pPr>
      <w:framePr w:hSpace="181" w:wrap="around" w:vAnchor="page" w:hAnchor="page" w:x="1589" w:y="2314"/>
      <w:spacing w:before="840"/>
    </w:pPr>
    <w:rPr>
      <w:rFonts w:cstheme="minorHAnsi"/>
      <w:b/>
      <w:color w:val="000000"/>
      <w:sz w:val="32"/>
      <w:szCs w:val="34"/>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Tablefin">
    <w:name w:val="Table_fin"/>
    <w:basedOn w:val="Tabletext"/>
    <w:rsid w:val="0020721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5/fr" TargetMode="External"/><Relationship Id="rId13" Type="http://schemas.openxmlformats.org/officeDocument/2006/relationships/hyperlink" Target="https://www.itu.int/md/S25-CL-C-0125/f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tu.int/en/council/Documents/basic-texts-2023/RES-091-F.pdf" TargetMode="External"/><Relationship Id="rId12" Type="http://schemas.openxmlformats.org/officeDocument/2006/relationships/hyperlink" Target="https://www.itu.int/md/S26-CL-C-0011/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L-C-0125/f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md/S25-CL-C-0016/f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S25-CL-C-0011/fr" TargetMode="External"/><Relationship Id="rId14" Type="http://schemas.openxmlformats.org/officeDocument/2006/relationships/hyperlink" Target="https://www.itu.int/md/S26-CL-C-0042/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48</TotalTime>
  <Pages>4</Pages>
  <Words>1627</Words>
  <Characters>8904</Characters>
  <Application>Microsoft Office Word</Application>
  <DocSecurity>0</DocSecurity>
  <Lines>212</Lines>
  <Paragraphs>121</Paragraphs>
  <ScaleCrop>false</ScaleCrop>
  <HeadingPairs>
    <vt:vector size="2" baseType="variant">
      <vt:variant>
        <vt:lpstr>Title</vt:lpstr>
      </vt:variant>
      <vt:variant>
        <vt:i4>1</vt:i4>
      </vt:variant>
    </vt:vector>
  </HeadingPairs>
  <TitlesOfParts>
    <vt:vector size="1" baseType="lpstr">
      <vt:lpstr>Recouvrement des coûts pour le traitement des fiches de notification des réseaux à satellite</vt:lpstr>
    </vt:vector>
  </TitlesOfParts>
  <Manager>Secrétariat général - Pool</Manager>
  <Company>Union internationale des télécommunications (UIT)</Company>
  <LinksUpToDate>false</LinksUpToDate>
  <CharactersWithSpaces>10410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Recouvrement des coûts pour le traitement des fiches de notification des réseaux à satellite</dc:title>
  <dc:subject>Conseil 2026 de l'UIT</dc:subject>
  <cp:keywords>C26; C2026; Council 2026; PP26</cp:keywords>
  <dc:description/>
  <cp:lastPrinted>2000-07-18T08:55:00Z</cp:lastPrinted>
  <dcterms:created xsi:type="dcterms:W3CDTF">2026-03-23T14:05:00Z</dcterms:created>
  <dcterms:modified xsi:type="dcterms:W3CDTF">2026-03-23T15:10:00Z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