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AD3606" w:rsidRPr="00C62D1B" w14:paraId="27019F64" w14:textId="77777777" w:rsidTr="0A2D326B">
        <w:trPr>
          <w:cantSplit/>
          <w:trHeight w:val="23"/>
        </w:trPr>
        <w:tc>
          <w:tcPr>
            <w:tcW w:w="3969" w:type="dxa"/>
            <w:vMerge w:val="restart"/>
            <w:tcMar>
              <w:left w:w="0" w:type="dxa"/>
            </w:tcMar>
          </w:tcPr>
          <w:p w14:paraId="61645E1B" w14:textId="776FB90B" w:rsidR="00AD3606" w:rsidRPr="00C62D1B" w:rsidRDefault="00AD3606" w:rsidP="00954C49">
            <w:pPr>
              <w:tabs>
                <w:tab w:val="left" w:pos="851"/>
              </w:tabs>
              <w:spacing w:before="0" w:line="240" w:lineRule="atLeast"/>
              <w:rPr>
                <w:b/>
              </w:rPr>
            </w:pPr>
            <w:bookmarkStart w:id="0" w:name="dnum" w:colFirst="1" w:colLast="1"/>
            <w:bookmarkStart w:id="1" w:name="dmeeting" w:colFirst="0" w:colLast="0"/>
            <w:bookmarkStart w:id="2" w:name="_Hlk133421839"/>
            <w:bookmarkStart w:id="3" w:name="_Hlk133422370"/>
            <w:bookmarkStart w:id="4" w:name="_Hlk133421856"/>
            <w:bookmarkStart w:id="5" w:name="_Hlk133586559"/>
            <w:r w:rsidRPr="00C62D1B">
              <w:rPr>
                <w:b/>
              </w:rPr>
              <w:t xml:space="preserve">Agenda item: </w:t>
            </w:r>
            <w:r w:rsidR="000106BD" w:rsidRPr="00C62D1B">
              <w:rPr>
                <w:b/>
              </w:rPr>
              <w:t>ADM 1</w:t>
            </w:r>
          </w:p>
        </w:tc>
        <w:tc>
          <w:tcPr>
            <w:tcW w:w="5245" w:type="dxa"/>
          </w:tcPr>
          <w:p w14:paraId="627B15D6" w14:textId="7B6014F4" w:rsidR="00AD3606" w:rsidRPr="00C62D1B" w:rsidRDefault="00AD3606" w:rsidP="00954C49">
            <w:pPr>
              <w:tabs>
                <w:tab w:val="left" w:pos="851"/>
              </w:tabs>
              <w:spacing w:before="0" w:line="240" w:lineRule="atLeast"/>
              <w:jc w:val="right"/>
              <w:rPr>
                <w:b/>
              </w:rPr>
            </w:pPr>
            <w:r w:rsidRPr="00C62D1B">
              <w:rPr>
                <w:b/>
              </w:rPr>
              <w:t>Document C2</w:t>
            </w:r>
            <w:r w:rsidR="00DE532B" w:rsidRPr="00C62D1B">
              <w:rPr>
                <w:b/>
              </w:rPr>
              <w:t>6</w:t>
            </w:r>
            <w:r w:rsidRPr="00C62D1B">
              <w:rPr>
                <w:b/>
              </w:rPr>
              <w:t>/</w:t>
            </w:r>
            <w:r w:rsidR="00BD6180" w:rsidRPr="00C62D1B">
              <w:rPr>
                <w:b/>
              </w:rPr>
              <w:t>16</w:t>
            </w:r>
            <w:r w:rsidRPr="00C62D1B">
              <w:rPr>
                <w:b/>
              </w:rPr>
              <w:t>-E</w:t>
            </w:r>
          </w:p>
        </w:tc>
      </w:tr>
      <w:tr w:rsidR="00AD3606" w:rsidRPr="00C62D1B" w14:paraId="65AB0567" w14:textId="77777777" w:rsidTr="0A2D326B">
        <w:trPr>
          <w:cantSplit/>
        </w:trPr>
        <w:tc>
          <w:tcPr>
            <w:tcW w:w="3969" w:type="dxa"/>
            <w:vMerge/>
          </w:tcPr>
          <w:p w14:paraId="044C8158" w14:textId="77777777" w:rsidR="00AD3606" w:rsidRPr="00C62D1B" w:rsidRDefault="00AD3606" w:rsidP="00954C49">
            <w:pPr>
              <w:tabs>
                <w:tab w:val="left" w:pos="851"/>
              </w:tabs>
              <w:spacing w:line="240" w:lineRule="atLeast"/>
              <w:rPr>
                <w:b/>
              </w:rPr>
            </w:pPr>
            <w:bookmarkStart w:id="6" w:name="ddate" w:colFirst="1" w:colLast="1"/>
            <w:bookmarkEnd w:id="0"/>
            <w:bookmarkEnd w:id="1"/>
          </w:p>
        </w:tc>
        <w:tc>
          <w:tcPr>
            <w:tcW w:w="5245" w:type="dxa"/>
          </w:tcPr>
          <w:p w14:paraId="060AC16C" w14:textId="1C3B693A" w:rsidR="00AD3606" w:rsidRPr="00C62D1B" w:rsidRDefault="002179C4" w:rsidP="00954C49">
            <w:pPr>
              <w:tabs>
                <w:tab w:val="left" w:pos="851"/>
              </w:tabs>
              <w:spacing w:before="0"/>
              <w:jc w:val="right"/>
              <w:rPr>
                <w:b/>
              </w:rPr>
            </w:pPr>
            <w:r w:rsidRPr="00C62D1B">
              <w:rPr>
                <w:b/>
              </w:rPr>
              <w:t>3 March</w:t>
            </w:r>
            <w:r w:rsidR="00143D61" w:rsidRPr="00C62D1B">
              <w:rPr>
                <w:b/>
              </w:rPr>
              <w:t xml:space="preserve"> 2026</w:t>
            </w:r>
          </w:p>
        </w:tc>
      </w:tr>
      <w:tr w:rsidR="00AD3606" w:rsidRPr="00C62D1B" w14:paraId="2FF439A4" w14:textId="77777777" w:rsidTr="0A2D326B">
        <w:trPr>
          <w:cantSplit/>
          <w:trHeight w:val="23"/>
        </w:trPr>
        <w:tc>
          <w:tcPr>
            <w:tcW w:w="3969" w:type="dxa"/>
            <w:vMerge/>
          </w:tcPr>
          <w:p w14:paraId="6CFB30F5" w14:textId="77777777" w:rsidR="00AD3606" w:rsidRPr="00C62D1B" w:rsidRDefault="00AD3606" w:rsidP="00954C49">
            <w:pPr>
              <w:tabs>
                <w:tab w:val="left" w:pos="851"/>
              </w:tabs>
              <w:spacing w:line="240" w:lineRule="atLeast"/>
              <w:rPr>
                <w:b/>
              </w:rPr>
            </w:pPr>
            <w:bookmarkStart w:id="7" w:name="dorlang" w:colFirst="1" w:colLast="1"/>
            <w:bookmarkEnd w:id="6"/>
          </w:p>
        </w:tc>
        <w:tc>
          <w:tcPr>
            <w:tcW w:w="5245" w:type="dxa"/>
          </w:tcPr>
          <w:p w14:paraId="7B922076" w14:textId="77777777" w:rsidR="00AD3606" w:rsidRPr="00C62D1B" w:rsidRDefault="00AD3606" w:rsidP="00954C49">
            <w:pPr>
              <w:tabs>
                <w:tab w:val="left" w:pos="851"/>
              </w:tabs>
              <w:spacing w:before="0" w:line="240" w:lineRule="atLeast"/>
              <w:jc w:val="right"/>
              <w:rPr>
                <w:b/>
              </w:rPr>
            </w:pPr>
            <w:r w:rsidRPr="00C62D1B">
              <w:rPr>
                <w:b/>
              </w:rPr>
              <w:t>Original: English</w:t>
            </w:r>
          </w:p>
        </w:tc>
      </w:tr>
      <w:tr w:rsidR="00472BAD" w:rsidRPr="00C62D1B" w14:paraId="6693A6D9" w14:textId="77777777" w:rsidTr="0A2D326B">
        <w:trPr>
          <w:cantSplit/>
          <w:trHeight w:val="23"/>
        </w:trPr>
        <w:tc>
          <w:tcPr>
            <w:tcW w:w="3969" w:type="dxa"/>
          </w:tcPr>
          <w:p w14:paraId="47541C46" w14:textId="77777777" w:rsidR="00472BAD" w:rsidRPr="00C62D1B" w:rsidRDefault="00472BAD" w:rsidP="00954C49">
            <w:pPr>
              <w:tabs>
                <w:tab w:val="left" w:pos="851"/>
              </w:tabs>
              <w:spacing w:line="240" w:lineRule="atLeast"/>
              <w:rPr>
                <w:b/>
              </w:rPr>
            </w:pPr>
          </w:p>
        </w:tc>
        <w:tc>
          <w:tcPr>
            <w:tcW w:w="5245" w:type="dxa"/>
          </w:tcPr>
          <w:p w14:paraId="00CD7F27" w14:textId="77777777" w:rsidR="00472BAD" w:rsidRPr="00C62D1B" w:rsidRDefault="00472BAD" w:rsidP="00954C49">
            <w:pPr>
              <w:tabs>
                <w:tab w:val="left" w:pos="851"/>
              </w:tabs>
              <w:spacing w:before="0" w:line="240" w:lineRule="atLeast"/>
              <w:jc w:val="right"/>
              <w:rPr>
                <w:b/>
              </w:rPr>
            </w:pPr>
          </w:p>
        </w:tc>
      </w:tr>
      <w:tr w:rsidR="00AD3606" w:rsidRPr="00C62D1B" w14:paraId="21388443" w14:textId="77777777" w:rsidTr="0A2D326B">
        <w:trPr>
          <w:cantSplit/>
        </w:trPr>
        <w:tc>
          <w:tcPr>
            <w:tcW w:w="9214" w:type="dxa"/>
            <w:gridSpan w:val="2"/>
            <w:tcMar>
              <w:left w:w="0" w:type="dxa"/>
            </w:tcMar>
          </w:tcPr>
          <w:p w14:paraId="4974CF10" w14:textId="77777777" w:rsidR="00AD3606" w:rsidRPr="00C62D1B" w:rsidRDefault="00AD3606" w:rsidP="00954C49">
            <w:pPr>
              <w:pStyle w:val="Source"/>
              <w:framePr w:hSpace="0" w:wrap="auto" w:vAnchor="margin" w:hAnchor="text" w:yAlign="inline"/>
            </w:pPr>
            <w:bookmarkStart w:id="8" w:name="dsource" w:colFirst="0" w:colLast="0"/>
            <w:bookmarkEnd w:id="7"/>
            <w:r w:rsidRPr="00C62D1B">
              <w:t>Report by the Secretary-General</w:t>
            </w:r>
          </w:p>
        </w:tc>
      </w:tr>
      <w:tr w:rsidR="00AD3606" w:rsidRPr="00C62D1B" w14:paraId="2008114E" w14:textId="77777777" w:rsidTr="0A2D326B">
        <w:trPr>
          <w:cantSplit/>
        </w:trPr>
        <w:tc>
          <w:tcPr>
            <w:tcW w:w="9214" w:type="dxa"/>
            <w:gridSpan w:val="2"/>
            <w:tcMar>
              <w:left w:w="0" w:type="dxa"/>
            </w:tcMar>
          </w:tcPr>
          <w:p w14:paraId="1036C3F4" w14:textId="4E29E8E9" w:rsidR="00AD3606" w:rsidRPr="00C62D1B" w:rsidRDefault="000106BD" w:rsidP="00954C49">
            <w:pPr>
              <w:pStyle w:val="Subtitle"/>
              <w:framePr w:hSpace="0" w:wrap="auto" w:hAnchor="text" w:xAlign="left" w:yAlign="inline"/>
            </w:pPr>
            <w:bookmarkStart w:id="9" w:name="_Hlk162950648"/>
            <w:bookmarkStart w:id="10" w:name="dtitle1"/>
            <w:bookmarkEnd w:id="8"/>
            <w:r w:rsidRPr="00C62D1B">
              <w:t>COST RECOVERY FOR THE PROCESSING OF SATELLITE NETWORK FILINGS</w:t>
            </w:r>
            <w:bookmarkEnd w:id="9"/>
          </w:p>
        </w:tc>
      </w:tr>
      <w:tr w:rsidR="00AD3606" w:rsidRPr="00C62D1B" w14:paraId="58526C68" w14:textId="77777777" w:rsidTr="0A2D326B">
        <w:trPr>
          <w:cantSplit/>
        </w:trPr>
        <w:tc>
          <w:tcPr>
            <w:tcW w:w="9214" w:type="dxa"/>
            <w:gridSpan w:val="2"/>
            <w:tcBorders>
              <w:top w:val="single" w:sz="4" w:space="0" w:color="auto"/>
              <w:bottom w:val="single" w:sz="4" w:space="0" w:color="auto"/>
            </w:tcBorders>
            <w:tcMar>
              <w:left w:w="0" w:type="dxa"/>
            </w:tcMar>
          </w:tcPr>
          <w:p w14:paraId="708C9082" w14:textId="77777777" w:rsidR="00AD3606" w:rsidRPr="00C62D1B" w:rsidRDefault="00F16BAB" w:rsidP="00954C49">
            <w:pPr>
              <w:spacing w:before="160"/>
              <w:rPr>
                <w:b/>
                <w:bCs/>
                <w:sz w:val="26"/>
                <w:szCs w:val="26"/>
              </w:rPr>
            </w:pPr>
            <w:r w:rsidRPr="00C62D1B">
              <w:rPr>
                <w:b/>
                <w:bCs/>
                <w:sz w:val="26"/>
                <w:szCs w:val="26"/>
              </w:rPr>
              <w:t>Purpose</w:t>
            </w:r>
          </w:p>
          <w:p w14:paraId="5B90CDC0" w14:textId="62C114CE" w:rsidR="00AD3606" w:rsidRPr="00C62D1B" w:rsidRDefault="00D91179" w:rsidP="00AA6CAC">
            <w:pPr>
              <w:jc w:val="both"/>
            </w:pPr>
            <w:r w:rsidRPr="00C62D1B">
              <w:rPr>
                <w:szCs w:val="24"/>
              </w:rPr>
              <w:t>This document presents the annual report on the implementation of cost recovery for satellite network filings, pursuant to ITU Council Decision 482 (C01, last amended C25).</w:t>
            </w:r>
          </w:p>
          <w:p w14:paraId="5D3228C6" w14:textId="77777777" w:rsidR="00AD3606" w:rsidRPr="00C62D1B" w:rsidRDefault="00AD3606" w:rsidP="00954C49">
            <w:pPr>
              <w:spacing w:before="160"/>
              <w:rPr>
                <w:b/>
                <w:bCs/>
                <w:sz w:val="26"/>
                <w:szCs w:val="26"/>
              </w:rPr>
            </w:pPr>
            <w:r w:rsidRPr="00C62D1B">
              <w:rPr>
                <w:b/>
                <w:bCs/>
                <w:sz w:val="26"/>
                <w:szCs w:val="26"/>
              </w:rPr>
              <w:t>Action required</w:t>
            </w:r>
            <w:r w:rsidR="00F16BAB" w:rsidRPr="00C62D1B">
              <w:rPr>
                <w:b/>
                <w:bCs/>
                <w:sz w:val="26"/>
                <w:szCs w:val="26"/>
              </w:rPr>
              <w:t xml:space="preserve"> by the Council</w:t>
            </w:r>
          </w:p>
          <w:p w14:paraId="0F5EF232" w14:textId="2E4092D7" w:rsidR="00192D54" w:rsidRPr="00C62D1B" w:rsidRDefault="00192D54" w:rsidP="00AA6CAC">
            <w:pPr>
              <w:spacing w:before="160"/>
              <w:jc w:val="both"/>
            </w:pPr>
            <w:r w:rsidRPr="00C62D1B">
              <w:t xml:space="preserve">The </w:t>
            </w:r>
            <w:r w:rsidRPr="00C62D1B">
              <w:rPr>
                <w:rFonts w:eastAsia="SimSun"/>
              </w:rPr>
              <w:t>Council</w:t>
            </w:r>
            <w:r w:rsidRPr="00C62D1B">
              <w:t xml:space="preserve"> is invited </w:t>
            </w:r>
            <w:r w:rsidRPr="00C62D1B">
              <w:rPr>
                <w:b/>
                <w:bCs/>
              </w:rPr>
              <w:t>to take note</w:t>
            </w:r>
            <w:r w:rsidRPr="00C62D1B">
              <w:t xml:space="preserve"> of the status report on the implementation of cost recovery for satellite network filings and </w:t>
            </w:r>
            <w:r w:rsidRPr="00C62D1B">
              <w:rPr>
                <w:b/>
                <w:bCs/>
              </w:rPr>
              <w:t xml:space="preserve">to task the Council Working Group on Financial and Human Resources to study </w:t>
            </w:r>
            <w:r w:rsidRPr="00C62D1B">
              <w:t>how to ensure a proper cost assessment of the work implied by Resolutions 35 (</w:t>
            </w:r>
            <w:r w:rsidR="00AA6CAC" w:rsidRPr="00C62D1B">
              <w:t>Rev</w:t>
            </w:r>
            <w:r w:rsidRPr="00C62D1B">
              <w:t>.WRC-23) and 8 (WRC-23).</w:t>
            </w:r>
          </w:p>
          <w:p w14:paraId="5563AED1" w14:textId="6E1AA5FE" w:rsidR="00722551" w:rsidRPr="00C62D1B" w:rsidRDefault="00722551" w:rsidP="00954C49">
            <w:pPr>
              <w:spacing w:before="160"/>
              <w:rPr>
                <w:b/>
                <w:bCs/>
                <w:sz w:val="26"/>
                <w:szCs w:val="26"/>
              </w:rPr>
            </w:pPr>
            <w:r w:rsidRPr="00C62D1B">
              <w:rPr>
                <w:b/>
                <w:bCs/>
                <w:sz w:val="26"/>
                <w:szCs w:val="26"/>
              </w:rPr>
              <w:t>Relevant link</w:t>
            </w:r>
            <w:r w:rsidR="00176F47" w:rsidRPr="00C62D1B">
              <w:rPr>
                <w:b/>
                <w:bCs/>
                <w:sz w:val="26"/>
                <w:szCs w:val="26"/>
              </w:rPr>
              <w:t>(s)</w:t>
            </w:r>
            <w:r w:rsidRPr="00C62D1B">
              <w:rPr>
                <w:b/>
                <w:bCs/>
                <w:sz w:val="26"/>
                <w:szCs w:val="26"/>
              </w:rPr>
              <w:t xml:space="preserve"> with the Strategic Plan</w:t>
            </w:r>
          </w:p>
          <w:p w14:paraId="6C365A58" w14:textId="7D7296D2" w:rsidR="00722551" w:rsidRPr="00C62D1B" w:rsidRDefault="00A81AC1" w:rsidP="00A81AC1">
            <w:pPr>
              <w:jc w:val="both"/>
            </w:pPr>
            <w:r w:rsidRPr="00C62D1B">
              <w:t>Spectrum use for space and terrestrial services, Product and service offerings, Allocation and management of resources.</w:t>
            </w:r>
          </w:p>
          <w:p w14:paraId="7C34DAAD" w14:textId="77777777" w:rsidR="00722551" w:rsidRPr="00C62D1B" w:rsidRDefault="00722551" w:rsidP="00954C49">
            <w:pPr>
              <w:spacing w:before="160"/>
              <w:rPr>
                <w:b/>
                <w:bCs/>
                <w:sz w:val="26"/>
                <w:szCs w:val="26"/>
              </w:rPr>
            </w:pPr>
            <w:r w:rsidRPr="00C62D1B">
              <w:rPr>
                <w:b/>
                <w:bCs/>
                <w:sz w:val="26"/>
                <w:szCs w:val="26"/>
              </w:rPr>
              <w:t>Financial implications</w:t>
            </w:r>
          </w:p>
          <w:p w14:paraId="4AE7ACAD" w14:textId="689CED70" w:rsidR="00C04D21" w:rsidRPr="00C62D1B" w:rsidRDefault="00C04D21" w:rsidP="00C04D21">
            <w:pPr>
              <w:spacing w:before="160"/>
              <w:jc w:val="both"/>
            </w:pPr>
            <w:r w:rsidRPr="00C62D1B">
              <w:t>CHF </w:t>
            </w:r>
            <w:r w:rsidR="00192D54" w:rsidRPr="00C62D1B">
              <w:t>8</w:t>
            </w:r>
            <w:r w:rsidR="008E13FA" w:rsidRPr="00C62D1B">
              <w:t> </w:t>
            </w:r>
            <w:r w:rsidR="00192D54" w:rsidRPr="00C62D1B">
              <w:t>031</w:t>
            </w:r>
            <w:r w:rsidR="008E13FA" w:rsidRPr="00C62D1B">
              <w:t> </w:t>
            </w:r>
            <w:r w:rsidR="00192D54" w:rsidRPr="00C62D1B">
              <w:t>590</w:t>
            </w:r>
            <w:r w:rsidRPr="00C62D1B">
              <w:t xml:space="preserve"> as </w:t>
            </w:r>
            <w:r w:rsidR="00A1082F" w:rsidRPr="00C62D1B">
              <w:t xml:space="preserve">total of </w:t>
            </w:r>
            <w:r w:rsidRPr="00C62D1B">
              <w:t xml:space="preserve">invoices </w:t>
            </w:r>
            <w:r w:rsidR="00627615" w:rsidRPr="00C62D1B">
              <w:t xml:space="preserve">sent </w:t>
            </w:r>
            <w:r w:rsidRPr="00C62D1B">
              <w:t xml:space="preserve">in 2025. </w:t>
            </w:r>
          </w:p>
          <w:p w14:paraId="34D83EB7" w14:textId="5A21C3F6" w:rsidR="00C04D21" w:rsidRPr="00C62D1B" w:rsidRDefault="00192D54" w:rsidP="00C04D21">
            <w:pPr>
              <w:spacing w:before="160"/>
              <w:jc w:val="both"/>
            </w:pPr>
            <w:r w:rsidRPr="00C62D1B">
              <w:t>CHF 4 237</w:t>
            </w:r>
            <w:r w:rsidR="008E13FA" w:rsidRPr="00C62D1B">
              <w:t> </w:t>
            </w:r>
            <w:r w:rsidRPr="00C62D1B">
              <w:t xml:space="preserve">520 </w:t>
            </w:r>
            <w:r w:rsidR="00C04D21" w:rsidRPr="00C62D1B">
              <w:t xml:space="preserve">as deferred revenues </w:t>
            </w:r>
            <w:r w:rsidR="00A63970" w:rsidRPr="00C62D1B">
              <w:t xml:space="preserve">and around CHF 3 800 000 still awaiting invoicing, </w:t>
            </w:r>
            <w:r w:rsidR="00C04D21" w:rsidRPr="00C62D1B">
              <w:t>due to a lack of processing resources.</w:t>
            </w:r>
          </w:p>
          <w:p w14:paraId="12B610AB" w14:textId="1DC1C120" w:rsidR="00453079" w:rsidRPr="00C62D1B" w:rsidRDefault="00C04D21" w:rsidP="00C04D21">
            <w:pPr>
              <w:tabs>
                <w:tab w:val="left" w:pos="7710"/>
              </w:tabs>
              <w:spacing w:before="160"/>
              <w:jc w:val="both"/>
            </w:pPr>
            <w:r w:rsidRPr="00C62D1B">
              <w:t>CHF </w:t>
            </w:r>
            <w:r w:rsidR="000B1301" w:rsidRPr="00C62D1B">
              <w:t>23 233 090</w:t>
            </w:r>
            <w:r w:rsidRPr="00C62D1B">
              <w:t xml:space="preserve"> as total costs of processing of all satellite network filings in 2025, noting that additional costs are borne by ITU for specific space software development.</w:t>
            </w:r>
          </w:p>
          <w:p w14:paraId="6DAA204C" w14:textId="77777777" w:rsidR="00C0458D" w:rsidRPr="00C62D1B" w:rsidRDefault="00C0458D" w:rsidP="00954C49">
            <w:r w:rsidRPr="00C62D1B">
              <w:t>_______________</w:t>
            </w:r>
          </w:p>
          <w:p w14:paraId="32A5FBF2" w14:textId="77777777" w:rsidR="00AD3606" w:rsidRPr="00C62D1B" w:rsidRDefault="00AD3606" w:rsidP="00954C49">
            <w:pPr>
              <w:spacing w:before="160"/>
              <w:rPr>
                <w:b/>
                <w:bCs/>
                <w:sz w:val="26"/>
                <w:szCs w:val="26"/>
              </w:rPr>
            </w:pPr>
            <w:r w:rsidRPr="00C62D1B">
              <w:rPr>
                <w:b/>
                <w:bCs/>
                <w:sz w:val="26"/>
                <w:szCs w:val="26"/>
              </w:rPr>
              <w:t>References</w:t>
            </w:r>
          </w:p>
          <w:p w14:paraId="24BF41F7" w14:textId="5896E526" w:rsidR="00AD3606" w:rsidRPr="00C62D1B" w:rsidRDefault="001F732D" w:rsidP="00954C49">
            <w:pPr>
              <w:spacing w:after="160"/>
              <w:rPr>
                <w:i/>
                <w:iCs/>
                <w:sz w:val="22"/>
                <w:szCs w:val="22"/>
              </w:rPr>
            </w:pPr>
            <w:hyperlink r:id="rId11" w:history="1">
              <w:r w:rsidRPr="00C62D1B">
                <w:rPr>
                  <w:rStyle w:val="Hyperlink"/>
                  <w:i/>
                  <w:iCs/>
                  <w:sz w:val="22"/>
                  <w:szCs w:val="22"/>
                </w:rPr>
                <w:t>Resolution 91 (Rev. Guadalajara, 2010)</w:t>
              </w:r>
            </w:hyperlink>
            <w:r w:rsidRPr="00C62D1B">
              <w:rPr>
                <w:i/>
                <w:iCs/>
                <w:sz w:val="22"/>
                <w:szCs w:val="22"/>
              </w:rPr>
              <w:t xml:space="preserve"> of the Plenipotentiary Conference; Council Decision </w:t>
            </w:r>
            <w:hyperlink r:id="rId12" w:history="1">
              <w:r w:rsidRPr="00C62D1B">
                <w:rPr>
                  <w:rStyle w:val="Hyperlink"/>
                  <w:i/>
                  <w:iCs/>
                  <w:sz w:val="22"/>
                  <w:szCs w:val="22"/>
                </w:rPr>
                <w:t>482 (C01, last amended C25)</w:t>
              </w:r>
            </w:hyperlink>
            <w:r w:rsidRPr="00C62D1B">
              <w:rPr>
                <w:i/>
                <w:iCs/>
                <w:sz w:val="22"/>
                <w:szCs w:val="22"/>
              </w:rPr>
              <w:t xml:space="preserve">; Council Documents </w:t>
            </w:r>
            <w:hyperlink r:id="rId13" w:history="1">
              <w:r w:rsidR="001F61E4" w:rsidRPr="00C62D1B">
                <w:rPr>
                  <w:rStyle w:val="Hyperlink"/>
                  <w:i/>
                  <w:iCs/>
                  <w:sz w:val="22"/>
                  <w:szCs w:val="22"/>
                </w:rPr>
                <w:t>C25/11</w:t>
              </w:r>
            </w:hyperlink>
            <w:r w:rsidRPr="00C62D1B">
              <w:rPr>
                <w:i/>
                <w:iCs/>
                <w:sz w:val="22"/>
                <w:szCs w:val="22"/>
              </w:rPr>
              <w:t xml:space="preserve"> and </w:t>
            </w:r>
            <w:hyperlink r:id="rId14" w:history="1">
              <w:r w:rsidR="001F61E4" w:rsidRPr="00C62D1B">
                <w:rPr>
                  <w:rStyle w:val="Hyperlink"/>
                  <w:i/>
                  <w:iCs/>
                  <w:sz w:val="22"/>
                  <w:szCs w:val="22"/>
                </w:rPr>
                <w:t>C25/16</w:t>
              </w:r>
            </w:hyperlink>
          </w:p>
        </w:tc>
      </w:tr>
    </w:tbl>
    <w:p w14:paraId="6D15BD27" w14:textId="77777777" w:rsidR="00E227F3" w:rsidRPr="00C62D1B"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1" w:name="_Hlk133421428"/>
      <w:bookmarkEnd w:id="2"/>
      <w:bookmarkEnd w:id="10"/>
    </w:p>
    <w:bookmarkEnd w:id="3"/>
    <w:bookmarkEnd w:id="4"/>
    <w:p w14:paraId="7606662B" w14:textId="77777777" w:rsidR="0090147A" w:rsidRPr="00C62D1B"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C62D1B">
        <w:br w:type="page"/>
      </w:r>
    </w:p>
    <w:bookmarkEnd w:id="5"/>
    <w:bookmarkEnd w:id="11"/>
    <w:p w14:paraId="227AAF45" w14:textId="16F1FDB3" w:rsidR="00726346" w:rsidRPr="00C62D1B" w:rsidRDefault="00726346" w:rsidP="008E13FA">
      <w:pPr>
        <w:jc w:val="both"/>
      </w:pPr>
      <w:r w:rsidRPr="00C62D1B">
        <w:rPr>
          <w:rFonts w:eastAsia="SimSun"/>
        </w:rPr>
        <w:lastRenderedPageBreak/>
        <w:t>1</w:t>
      </w:r>
      <w:r w:rsidRPr="00C62D1B">
        <w:rPr>
          <w:rFonts w:eastAsia="SimSun"/>
        </w:rPr>
        <w:tab/>
      </w:r>
      <w:r w:rsidRPr="00C62D1B">
        <w:t xml:space="preserve">At its 2025 session, the Council approved an amended </w:t>
      </w:r>
      <w:hyperlink r:id="rId15" w:history="1">
        <w:r w:rsidRPr="00C62D1B">
          <w:rPr>
            <w:rStyle w:val="Hyperlink"/>
          </w:rPr>
          <w:t>Decision 482</w:t>
        </w:r>
      </w:hyperlink>
      <w:r w:rsidRPr="00C62D1B">
        <w:t>, which entered into force on 1 January 2026.</w:t>
      </w:r>
      <w:r w:rsidR="00ED1F86" w:rsidRPr="00C62D1B">
        <w:t xml:space="preserve"> </w:t>
      </w:r>
      <w:r w:rsidR="006C5AA3" w:rsidRPr="00C62D1B">
        <w:t xml:space="preserve">The Radiocommunication Bureau has updated its software to enable administrations to calculate the costs </w:t>
      </w:r>
      <w:r w:rsidR="005614A8" w:rsidRPr="00C62D1B">
        <w:t xml:space="preserve">of their filings </w:t>
      </w:r>
      <w:r w:rsidR="006C5AA3" w:rsidRPr="00C62D1B">
        <w:t>in advance</w:t>
      </w:r>
      <w:r w:rsidR="005614A8" w:rsidRPr="00C62D1B">
        <w:t xml:space="preserve"> of their submission</w:t>
      </w:r>
      <w:r w:rsidR="006C5AA3" w:rsidRPr="00C62D1B">
        <w:t xml:space="preserve">. A test version of the software was made available in November 2025 so that administrations can better understand the consequences of the changes to Decision 482 on the filings they </w:t>
      </w:r>
      <w:r w:rsidR="005614A8" w:rsidRPr="00C62D1B">
        <w:t xml:space="preserve">were </w:t>
      </w:r>
      <w:r w:rsidR="006C5AA3" w:rsidRPr="00C62D1B">
        <w:t>plan</w:t>
      </w:r>
      <w:r w:rsidR="005614A8" w:rsidRPr="00C62D1B">
        <w:t>ning</w:t>
      </w:r>
      <w:r w:rsidR="006C5AA3" w:rsidRPr="00C62D1B">
        <w:t xml:space="preserve"> to submit in 2026 onwards.</w:t>
      </w:r>
      <w:r w:rsidR="005614A8" w:rsidRPr="00C62D1B">
        <w:t xml:space="preserve"> The software </w:t>
      </w:r>
      <w:r w:rsidR="008E13FA" w:rsidRPr="00C62D1B">
        <w:t>has been</w:t>
      </w:r>
      <w:r w:rsidR="005614A8" w:rsidRPr="00C62D1B">
        <w:t xml:space="preserve"> </w:t>
      </w:r>
      <w:r w:rsidR="00E84948" w:rsidRPr="00C62D1B">
        <w:t>in operational mode since the beginning of 2026.</w:t>
      </w:r>
    </w:p>
    <w:p w14:paraId="57A2BE82" w14:textId="77777777" w:rsidR="00726346" w:rsidRPr="00C62D1B" w:rsidRDefault="00726346" w:rsidP="00726346">
      <w:pPr>
        <w:pStyle w:val="Headingb"/>
      </w:pPr>
      <w:r w:rsidRPr="00C62D1B">
        <w:t>Report on the implementation of Decision 482 (C01, last amended C25) in 2024 and 2025</w:t>
      </w:r>
    </w:p>
    <w:p w14:paraId="19737644" w14:textId="119C323E" w:rsidR="00726346" w:rsidRPr="00C62D1B" w:rsidRDefault="00726346" w:rsidP="00726346">
      <w:pPr>
        <w:jc w:val="both"/>
      </w:pPr>
      <w:r w:rsidRPr="00C62D1B">
        <w:t>2</w:t>
      </w:r>
      <w:r w:rsidRPr="00C62D1B">
        <w:tab/>
        <w:t xml:space="preserve">Table 1 below provides relevant information regarding the application of Decision 482 (C01, last amended </w:t>
      </w:r>
      <w:r w:rsidRPr="00C62D1B">
        <w:rPr>
          <w:rFonts w:eastAsia="SimSun"/>
        </w:rPr>
        <w:t>C25</w:t>
      </w:r>
      <w:r w:rsidRPr="00C62D1B">
        <w:t>) for 2024 and 2025, in particular the percentage of invoices issued in</w:t>
      </w:r>
      <w:r w:rsidR="002179C4" w:rsidRPr="00C62D1B">
        <w:t> </w:t>
      </w:r>
      <w:r w:rsidRPr="00C62D1B">
        <w:t>2024 and 2025 that were paid in a timely manner.</w:t>
      </w:r>
    </w:p>
    <w:p w14:paraId="7D8CDDE6" w14:textId="77777777" w:rsidR="00726346" w:rsidRPr="00C62D1B" w:rsidRDefault="00726346" w:rsidP="00726346">
      <w:pPr>
        <w:pStyle w:val="TableNo"/>
      </w:pPr>
      <w:bookmarkStart w:id="12" w:name="_Hlk162508169"/>
      <w:r w:rsidRPr="00C62D1B">
        <w:t>Table 1</w:t>
      </w:r>
    </w:p>
    <w:p w14:paraId="2029C089" w14:textId="77777777" w:rsidR="00726346" w:rsidRPr="00C62D1B" w:rsidRDefault="00726346" w:rsidP="00726346">
      <w:pPr>
        <w:pStyle w:val="Tabletitle"/>
      </w:pPr>
      <w:r w:rsidRPr="00C62D1B">
        <w:t>Status of the implementation of Decision 482 for 2024 and 2025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900"/>
        <w:gridCol w:w="2169"/>
        <w:gridCol w:w="2268"/>
      </w:tblGrid>
      <w:tr w:rsidR="00726346" w:rsidRPr="00C62D1B" w14:paraId="16C7EBAC" w14:textId="77777777" w:rsidTr="0A2D326B">
        <w:trPr>
          <w:jc w:val="center"/>
        </w:trPr>
        <w:tc>
          <w:tcPr>
            <w:tcW w:w="2880" w:type="dxa"/>
          </w:tcPr>
          <w:p w14:paraId="7CCC0488" w14:textId="77777777" w:rsidR="00726346" w:rsidRPr="00C62D1B" w:rsidRDefault="00726346" w:rsidP="00152845">
            <w:pPr>
              <w:pStyle w:val="Tablehead"/>
            </w:pPr>
          </w:p>
        </w:tc>
        <w:tc>
          <w:tcPr>
            <w:tcW w:w="900" w:type="dxa"/>
          </w:tcPr>
          <w:p w14:paraId="39D6E186" w14:textId="77777777" w:rsidR="00726346" w:rsidRPr="00C62D1B" w:rsidRDefault="00726346" w:rsidP="00152845">
            <w:pPr>
              <w:pStyle w:val="Tablehead"/>
            </w:pPr>
          </w:p>
        </w:tc>
        <w:tc>
          <w:tcPr>
            <w:tcW w:w="2169" w:type="dxa"/>
          </w:tcPr>
          <w:p w14:paraId="03969EEF" w14:textId="77777777" w:rsidR="00726346" w:rsidRPr="00C62D1B" w:rsidRDefault="00726346" w:rsidP="00152845">
            <w:pPr>
              <w:pStyle w:val="Tablehead"/>
            </w:pPr>
            <w:r w:rsidRPr="00C62D1B">
              <w:t>2024</w:t>
            </w:r>
          </w:p>
        </w:tc>
        <w:tc>
          <w:tcPr>
            <w:tcW w:w="2268" w:type="dxa"/>
          </w:tcPr>
          <w:p w14:paraId="445BF4B7" w14:textId="77777777" w:rsidR="00726346" w:rsidRPr="00C62D1B" w:rsidRDefault="00726346" w:rsidP="00152845">
            <w:pPr>
              <w:pStyle w:val="Tablehead"/>
            </w:pPr>
            <w:r w:rsidRPr="00C62D1B">
              <w:t>2025</w:t>
            </w:r>
          </w:p>
        </w:tc>
      </w:tr>
      <w:tr w:rsidR="00726346" w:rsidRPr="00C62D1B" w14:paraId="71768EF9" w14:textId="77777777" w:rsidTr="0A2D326B">
        <w:trPr>
          <w:jc w:val="center"/>
        </w:trPr>
        <w:tc>
          <w:tcPr>
            <w:tcW w:w="2880" w:type="dxa"/>
            <w:vAlign w:val="center"/>
          </w:tcPr>
          <w:p w14:paraId="0EA8DB23" w14:textId="77777777" w:rsidR="00726346" w:rsidRPr="00C62D1B" w:rsidRDefault="00726346" w:rsidP="00152845">
            <w:pPr>
              <w:pStyle w:val="Tabletext"/>
            </w:pPr>
            <w:r w:rsidRPr="00C62D1B">
              <w:t>Budgeted amount</w:t>
            </w:r>
          </w:p>
        </w:tc>
        <w:tc>
          <w:tcPr>
            <w:tcW w:w="900" w:type="dxa"/>
            <w:vAlign w:val="center"/>
          </w:tcPr>
          <w:p w14:paraId="7EEB8349" w14:textId="77777777" w:rsidR="00726346" w:rsidRPr="00C62D1B" w:rsidRDefault="00726346" w:rsidP="00143D61">
            <w:pPr>
              <w:pStyle w:val="Tabletext"/>
              <w:jc w:val="center"/>
            </w:pPr>
            <w:r w:rsidRPr="00C62D1B">
              <w:t>CHF</w:t>
            </w:r>
          </w:p>
        </w:tc>
        <w:tc>
          <w:tcPr>
            <w:tcW w:w="2169" w:type="dxa"/>
            <w:vAlign w:val="center"/>
          </w:tcPr>
          <w:p w14:paraId="2C1882DA" w14:textId="39617644" w:rsidR="00726346" w:rsidRPr="00C62D1B" w:rsidRDefault="00726346" w:rsidP="00152845">
            <w:pPr>
              <w:pStyle w:val="Tabletext"/>
              <w:jc w:val="center"/>
            </w:pPr>
            <w:r w:rsidRPr="00C62D1B">
              <w:t xml:space="preserve">14 000 000 </w:t>
            </w:r>
            <w:r w:rsidRPr="00C62D1B">
              <w:br/>
            </w:r>
            <w:r w:rsidRPr="00C62D1B">
              <w:rPr>
                <w:sz w:val="18"/>
                <w:szCs w:val="18"/>
              </w:rPr>
              <w:t>(Council Res</w:t>
            </w:r>
            <w:r w:rsidR="009F5D24" w:rsidRPr="00C62D1B">
              <w:rPr>
                <w:sz w:val="18"/>
                <w:szCs w:val="18"/>
              </w:rPr>
              <w:t>.</w:t>
            </w:r>
            <w:r w:rsidRPr="00C62D1B">
              <w:rPr>
                <w:sz w:val="18"/>
                <w:szCs w:val="18"/>
              </w:rPr>
              <w:t xml:space="preserve"> 1417 (C23))</w:t>
            </w:r>
          </w:p>
        </w:tc>
        <w:tc>
          <w:tcPr>
            <w:tcW w:w="2268" w:type="dxa"/>
            <w:vAlign w:val="center"/>
          </w:tcPr>
          <w:p w14:paraId="4360BE6F" w14:textId="66BA4F88" w:rsidR="00726346" w:rsidRPr="00C62D1B" w:rsidRDefault="00726346" w:rsidP="00152845">
            <w:pPr>
              <w:pStyle w:val="Tabletext"/>
              <w:jc w:val="center"/>
            </w:pPr>
            <w:r w:rsidRPr="00C62D1B">
              <w:t xml:space="preserve">14 000 000 </w:t>
            </w:r>
            <w:r w:rsidRPr="00C62D1B">
              <w:br/>
            </w:r>
            <w:r w:rsidRPr="00C62D1B">
              <w:rPr>
                <w:sz w:val="18"/>
                <w:szCs w:val="18"/>
              </w:rPr>
              <w:t>(Council Res</w:t>
            </w:r>
            <w:r w:rsidR="009F5D24" w:rsidRPr="00C62D1B">
              <w:rPr>
                <w:sz w:val="18"/>
                <w:szCs w:val="18"/>
              </w:rPr>
              <w:t>.</w:t>
            </w:r>
            <w:r w:rsidRPr="00C62D1B">
              <w:rPr>
                <w:sz w:val="18"/>
                <w:szCs w:val="18"/>
              </w:rPr>
              <w:t xml:space="preserve"> 1417 (C23))</w:t>
            </w:r>
          </w:p>
        </w:tc>
      </w:tr>
      <w:tr w:rsidR="001B528C" w:rsidRPr="00C62D1B" w14:paraId="6016CFFC" w14:textId="77777777" w:rsidTr="0A2D326B">
        <w:trPr>
          <w:jc w:val="center"/>
        </w:trPr>
        <w:tc>
          <w:tcPr>
            <w:tcW w:w="2880" w:type="dxa"/>
            <w:vAlign w:val="center"/>
          </w:tcPr>
          <w:p w14:paraId="6C57E0D0" w14:textId="77777777" w:rsidR="001B528C" w:rsidRPr="00C62D1B" w:rsidRDefault="001B528C" w:rsidP="00152845">
            <w:pPr>
              <w:pStyle w:val="Tabletext"/>
            </w:pPr>
            <w:r w:rsidRPr="00C62D1B">
              <w:t>Total invoices issued*</w:t>
            </w:r>
            <w:r w:rsidRPr="00C62D1B">
              <w:br/>
              <w:t>(minus the free entitlements)</w:t>
            </w:r>
          </w:p>
        </w:tc>
        <w:tc>
          <w:tcPr>
            <w:tcW w:w="900" w:type="dxa"/>
            <w:vAlign w:val="center"/>
          </w:tcPr>
          <w:p w14:paraId="02587D3C" w14:textId="77777777" w:rsidR="001B528C" w:rsidRPr="00C62D1B" w:rsidRDefault="001B528C" w:rsidP="00143D61">
            <w:pPr>
              <w:pStyle w:val="Tabletext"/>
              <w:jc w:val="center"/>
            </w:pPr>
            <w:r w:rsidRPr="00C62D1B">
              <w:t>CHF</w:t>
            </w:r>
          </w:p>
        </w:tc>
        <w:tc>
          <w:tcPr>
            <w:tcW w:w="2169" w:type="dxa"/>
          </w:tcPr>
          <w:p w14:paraId="17C9090B" w14:textId="77777777" w:rsidR="001B528C" w:rsidRPr="00C62D1B" w:rsidRDefault="001B528C" w:rsidP="00152845">
            <w:pPr>
              <w:pStyle w:val="Tabletext"/>
              <w:jc w:val="center"/>
            </w:pPr>
            <w:r w:rsidRPr="00C62D1B">
              <w:t>9 679 754</w:t>
            </w:r>
          </w:p>
        </w:tc>
        <w:tc>
          <w:tcPr>
            <w:tcW w:w="2268" w:type="dxa"/>
          </w:tcPr>
          <w:p w14:paraId="166C9EDA" w14:textId="506A936A" w:rsidR="001B528C" w:rsidRPr="00C62D1B" w:rsidRDefault="001B528C" w:rsidP="00152845">
            <w:pPr>
              <w:pStyle w:val="Tabletext"/>
              <w:jc w:val="center"/>
              <w:rPr>
                <w:highlight w:val="yellow"/>
              </w:rPr>
            </w:pPr>
            <w:r w:rsidRPr="00C62D1B">
              <w:t>8 031 590</w:t>
            </w:r>
          </w:p>
        </w:tc>
      </w:tr>
      <w:tr w:rsidR="001B528C" w:rsidRPr="00C62D1B" w14:paraId="1817CF1D" w14:textId="77777777" w:rsidTr="0A2D326B">
        <w:trPr>
          <w:jc w:val="center"/>
        </w:trPr>
        <w:tc>
          <w:tcPr>
            <w:tcW w:w="2880" w:type="dxa"/>
            <w:vAlign w:val="center"/>
          </w:tcPr>
          <w:p w14:paraId="6635D8A0" w14:textId="77777777" w:rsidR="001B528C" w:rsidRPr="00C62D1B" w:rsidRDefault="001B528C" w:rsidP="00152845">
            <w:pPr>
              <w:pStyle w:val="Tabletext"/>
            </w:pPr>
            <w:r w:rsidRPr="00C62D1B">
              <w:t>Free entitlements</w:t>
            </w:r>
          </w:p>
        </w:tc>
        <w:tc>
          <w:tcPr>
            <w:tcW w:w="900" w:type="dxa"/>
            <w:vAlign w:val="center"/>
          </w:tcPr>
          <w:p w14:paraId="3AC46969" w14:textId="77777777" w:rsidR="001B528C" w:rsidRPr="00C62D1B" w:rsidRDefault="001B528C" w:rsidP="00143D61">
            <w:pPr>
              <w:pStyle w:val="Tabletext"/>
              <w:jc w:val="center"/>
            </w:pPr>
            <w:r w:rsidRPr="00C62D1B">
              <w:t>CHF</w:t>
            </w:r>
          </w:p>
        </w:tc>
        <w:tc>
          <w:tcPr>
            <w:tcW w:w="2169" w:type="dxa"/>
          </w:tcPr>
          <w:p w14:paraId="1C0CC194" w14:textId="77777777" w:rsidR="001B528C" w:rsidRPr="00C62D1B" w:rsidRDefault="001B528C" w:rsidP="00152845">
            <w:pPr>
              <w:pStyle w:val="Tabletext"/>
              <w:jc w:val="center"/>
              <w:rPr>
                <w:szCs w:val="22"/>
              </w:rPr>
            </w:pPr>
            <w:r w:rsidRPr="00C62D1B">
              <w:t>1 209 753</w:t>
            </w:r>
          </w:p>
        </w:tc>
        <w:tc>
          <w:tcPr>
            <w:tcW w:w="2268" w:type="dxa"/>
          </w:tcPr>
          <w:p w14:paraId="306B1BD7" w14:textId="35F7B267" w:rsidR="001B528C" w:rsidRPr="00C62D1B" w:rsidRDefault="001B528C" w:rsidP="00152845">
            <w:pPr>
              <w:pStyle w:val="Tabletext"/>
              <w:jc w:val="center"/>
              <w:rPr>
                <w:szCs w:val="22"/>
                <w:highlight w:val="yellow"/>
              </w:rPr>
            </w:pPr>
            <w:r w:rsidRPr="00C62D1B">
              <w:t>1 869 666</w:t>
            </w:r>
          </w:p>
        </w:tc>
      </w:tr>
      <w:tr w:rsidR="001B528C" w:rsidRPr="00C62D1B" w14:paraId="3C12B950" w14:textId="77777777" w:rsidTr="0A2D326B">
        <w:trPr>
          <w:jc w:val="center"/>
        </w:trPr>
        <w:tc>
          <w:tcPr>
            <w:tcW w:w="2880" w:type="dxa"/>
            <w:tcBorders>
              <w:bottom w:val="single" w:sz="12" w:space="0" w:color="auto"/>
            </w:tcBorders>
            <w:vAlign w:val="center"/>
          </w:tcPr>
          <w:p w14:paraId="6471545D" w14:textId="77777777" w:rsidR="001B528C" w:rsidRPr="00C62D1B" w:rsidRDefault="001B528C" w:rsidP="00152845">
            <w:pPr>
              <w:pStyle w:val="Tabletext"/>
            </w:pPr>
            <w:r w:rsidRPr="00C62D1B">
              <w:t>Payments received**</w:t>
            </w:r>
          </w:p>
        </w:tc>
        <w:tc>
          <w:tcPr>
            <w:tcW w:w="900" w:type="dxa"/>
            <w:tcBorders>
              <w:bottom w:val="single" w:sz="12" w:space="0" w:color="auto"/>
            </w:tcBorders>
            <w:vAlign w:val="center"/>
          </w:tcPr>
          <w:p w14:paraId="6ABE62E7" w14:textId="77777777" w:rsidR="001B528C" w:rsidRPr="00C62D1B" w:rsidRDefault="001B528C" w:rsidP="00143D61">
            <w:pPr>
              <w:pStyle w:val="Tabletext"/>
              <w:jc w:val="center"/>
            </w:pPr>
            <w:r w:rsidRPr="00C62D1B">
              <w:t>CHF</w:t>
            </w:r>
          </w:p>
        </w:tc>
        <w:tc>
          <w:tcPr>
            <w:tcW w:w="2169" w:type="dxa"/>
            <w:tcBorders>
              <w:bottom w:val="single" w:sz="12" w:space="0" w:color="auto"/>
            </w:tcBorders>
          </w:tcPr>
          <w:p w14:paraId="24E52012" w14:textId="77777777" w:rsidR="001B528C" w:rsidRPr="00C62D1B" w:rsidRDefault="001B528C" w:rsidP="00152845">
            <w:pPr>
              <w:pStyle w:val="Tabletext"/>
              <w:jc w:val="center"/>
              <w:rPr>
                <w:szCs w:val="22"/>
              </w:rPr>
            </w:pPr>
            <w:r w:rsidRPr="00C62D1B">
              <w:t>9 707 718</w:t>
            </w:r>
          </w:p>
        </w:tc>
        <w:tc>
          <w:tcPr>
            <w:tcW w:w="2268" w:type="dxa"/>
            <w:tcBorders>
              <w:bottom w:val="single" w:sz="12" w:space="0" w:color="auto"/>
            </w:tcBorders>
          </w:tcPr>
          <w:p w14:paraId="050C1873" w14:textId="33AD75ED" w:rsidR="001B528C" w:rsidRPr="00C62D1B" w:rsidRDefault="001B528C" w:rsidP="00152845">
            <w:pPr>
              <w:pStyle w:val="Tabletext"/>
              <w:jc w:val="center"/>
              <w:rPr>
                <w:szCs w:val="22"/>
                <w:highlight w:val="yellow"/>
              </w:rPr>
            </w:pPr>
            <w:r w:rsidRPr="00C62D1B">
              <w:t>8 189 965</w:t>
            </w:r>
          </w:p>
        </w:tc>
      </w:tr>
      <w:tr w:rsidR="00726346" w:rsidRPr="00C62D1B" w14:paraId="169FC8BD" w14:textId="77777777" w:rsidTr="0A2D326B">
        <w:trPr>
          <w:jc w:val="center"/>
        </w:trPr>
        <w:tc>
          <w:tcPr>
            <w:tcW w:w="5949" w:type="dxa"/>
            <w:gridSpan w:val="3"/>
            <w:tcBorders>
              <w:top w:val="single" w:sz="12" w:space="0" w:color="auto"/>
              <w:left w:val="single" w:sz="2" w:space="0" w:color="auto"/>
              <w:bottom w:val="single" w:sz="4" w:space="0" w:color="auto"/>
              <w:right w:val="single" w:sz="2" w:space="0" w:color="auto"/>
            </w:tcBorders>
            <w:vAlign w:val="center"/>
          </w:tcPr>
          <w:p w14:paraId="355BFB1E" w14:textId="77777777" w:rsidR="00726346" w:rsidRPr="00C62D1B" w:rsidRDefault="00726346" w:rsidP="00152845">
            <w:pPr>
              <w:pStyle w:val="Tabletext"/>
            </w:pPr>
            <w:r w:rsidRPr="00C62D1B">
              <w:t>Percentage of invoices issued in 2024 and 2025, due by 31/12/2025 and having been paid</w:t>
            </w:r>
          </w:p>
        </w:tc>
        <w:tc>
          <w:tcPr>
            <w:tcW w:w="2268" w:type="dxa"/>
            <w:tcBorders>
              <w:top w:val="single" w:sz="12" w:space="0" w:color="auto"/>
              <w:left w:val="single" w:sz="2" w:space="0" w:color="auto"/>
              <w:bottom w:val="single" w:sz="4" w:space="0" w:color="auto"/>
              <w:right w:val="single" w:sz="2" w:space="0" w:color="auto"/>
            </w:tcBorders>
            <w:vAlign w:val="center"/>
          </w:tcPr>
          <w:p w14:paraId="24BD8B90" w14:textId="77777777" w:rsidR="00726346" w:rsidRPr="00C62D1B" w:rsidRDefault="00726346" w:rsidP="00143D61">
            <w:pPr>
              <w:pStyle w:val="Tabletext"/>
              <w:jc w:val="center"/>
              <w:rPr>
                <w:highlight w:val="yellow"/>
              </w:rPr>
            </w:pPr>
            <w:r w:rsidRPr="00C62D1B">
              <w:t>&gt;99%</w:t>
            </w:r>
          </w:p>
        </w:tc>
      </w:tr>
      <w:tr w:rsidR="00726346" w:rsidRPr="00C62D1B" w14:paraId="40D812D1" w14:textId="77777777" w:rsidTr="0A2D326B">
        <w:trPr>
          <w:jc w:val="center"/>
        </w:trPr>
        <w:tc>
          <w:tcPr>
            <w:tcW w:w="8217" w:type="dxa"/>
            <w:gridSpan w:val="4"/>
            <w:tcBorders>
              <w:top w:val="single" w:sz="4" w:space="0" w:color="auto"/>
              <w:left w:val="nil"/>
              <w:bottom w:val="nil"/>
              <w:right w:val="nil"/>
            </w:tcBorders>
            <w:vAlign w:val="center"/>
          </w:tcPr>
          <w:p w14:paraId="0AE4C1B2" w14:textId="77777777" w:rsidR="00726346" w:rsidRPr="00C62D1B" w:rsidRDefault="00726346" w:rsidP="00152845">
            <w:pPr>
              <w:pStyle w:val="Tablelegend"/>
            </w:pPr>
            <w:r w:rsidRPr="00C62D1B">
              <w:t>*</w:t>
            </w:r>
            <w:r w:rsidRPr="00C62D1B">
              <w:tab/>
              <w:t>Invoices are payable within six months of the date of issue.</w:t>
            </w:r>
          </w:p>
          <w:p w14:paraId="04E784A3" w14:textId="6657CB54" w:rsidR="00726346" w:rsidRPr="00C62D1B" w:rsidRDefault="00726346" w:rsidP="00152845">
            <w:pPr>
              <w:pStyle w:val="Tablelegend"/>
            </w:pPr>
            <w:r w:rsidRPr="00C62D1B">
              <w:t>**</w:t>
            </w:r>
            <w:r w:rsidRPr="00C62D1B">
              <w:tab/>
              <w:t>The payments received include invoices issued in previous years. This amount represents the sum of all the payments received by ITU during the calendar year 2025</w:t>
            </w:r>
            <w:r w:rsidR="005B4B8F" w:rsidRPr="00C62D1B">
              <w:t>.</w:t>
            </w:r>
            <w:r w:rsidRPr="00C62D1B">
              <w:t xml:space="preserve"> </w:t>
            </w:r>
            <w:r w:rsidR="005B4B8F" w:rsidRPr="00C62D1B">
              <w:t xml:space="preserve">It </w:t>
            </w:r>
            <w:r w:rsidRPr="00C62D1B">
              <w:t xml:space="preserve">differs from the accounted revenues </w:t>
            </w:r>
            <w:r w:rsidR="005B4B8F" w:rsidRPr="00C62D1B">
              <w:t xml:space="preserve">in 2025 </w:t>
            </w:r>
            <w:r w:rsidRPr="00C62D1B">
              <w:t xml:space="preserve">since these payments </w:t>
            </w:r>
            <w:r w:rsidR="00293A4C" w:rsidRPr="00C62D1B">
              <w:t>are accounted in the revenues of the year of publication of the respective filings</w:t>
            </w:r>
            <w:r w:rsidRPr="00C62D1B">
              <w:t>.</w:t>
            </w:r>
          </w:p>
        </w:tc>
      </w:tr>
    </w:tbl>
    <w:p w14:paraId="3C56BF35" w14:textId="77777777" w:rsidR="00726346" w:rsidRPr="00C62D1B" w:rsidRDefault="00726346" w:rsidP="00152845">
      <w:pPr>
        <w:pStyle w:val="Tablefin"/>
      </w:pPr>
    </w:p>
    <w:bookmarkEnd w:id="12"/>
    <w:p w14:paraId="66F22194" w14:textId="11E0A45A" w:rsidR="00726346" w:rsidRPr="00C62D1B" w:rsidRDefault="00726346" w:rsidP="00726346">
      <w:pPr>
        <w:jc w:val="both"/>
      </w:pPr>
      <w:r w:rsidRPr="00C62D1B">
        <w:t>3</w:t>
      </w:r>
      <w:r w:rsidRPr="00C62D1B">
        <w:rPr>
          <w:szCs w:val="24"/>
        </w:rPr>
        <w:tab/>
      </w:r>
      <w:r w:rsidRPr="00C62D1B">
        <w:t xml:space="preserve">Council Document </w:t>
      </w:r>
      <w:hyperlink r:id="rId16" w:history="1">
        <w:r w:rsidRPr="00C62D1B">
          <w:rPr>
            <w:rStyle w:val="Hyperlink"/>
          </w:rPr>
          <w:t>C2</w:t>
        </w:r>
        <w:r w:rsidR="00CC74DB" w:rsidRPr="00C62D1B">
          <w:rPr>
            <w:rStyle w:val="Hyperlink"/>
          </w:rPr>
          <w:t>6</w:t>
        </w:r>
        <w:r w:rsidRPr="00C62D1B">
          <w:rPr>
            <w:rStyle w:val="Hyperlink"/>
          </w:rPr>
          <w:t>/11</w:t>
        </w:r>
      </w:hyperlink>
      <w:r w:rsidRPr="00C62D1B">
        <w:t xml:space="preserve"> provides information on the status of arrears</w:t>
      </w:r>
      <w:r w:rsidRPr="00C62D1B">
        <w:rPr>
          <w:szCs w:val="24"/>
        </w:rPr>
        <w:t xml:space="preserve"> </w:t>
      </w:r>
      <w:r w:rsidRPr="00C62D1B">
        <w:t>and</w:t>
      </w:r>
      <w:r w:rsidRPr="00C62D1B">
        <w:rPr>
          <w:szCs w:val="24"/>
        </w:rPr>
        <w:t xml:space="preserve"> </w:t>
      </w:r>
      <w:r w:rsidRPr="00C62D1B">
        <w:t xml:space="preserve">special arrears </w:t>
      </w:r>
      <w:r w:rsidRPr="00C62D1B">
        <w:rPr>
          <w:rFonts w:eastAsia="SimSun"/>
        </w:rPr>
        <w:t>accounts</w:t>
      </w:r>
      <w:r w:rsidRPr="00C62D1B">
        <w:t xml:space="preserve"> as at 31 December 2025, </w:t>
      </w:r>
      <w:r w:rsidRPr="00C62D1B">
        <w:rPr>
          <w:spacing w:val="-4"/>
        </w:rPr>
        <w:t>including</w:t>
      </w:r>
      <w:r w:rsidRPr="00C62D1B">
        <w:t xml:space="preserve"> items related to satellite network filings. </w:t>
      </w:r>
    </w:p>
    <w:p w14:paraId="71FF15FC" w14:textId="30C3EB76" w:rsidR="00726346" w:rsidRPr="00C62D1B" w:rsidRDefault="00726346" w:rsidP="00726346">
      <w:pPr>
        <w:jc w:val="both"/>
        <w:rPr>
          <w:spacing w:val="-2"/>
        </w:rPr>
      </w:pPr>
      <w:r w:rsidRPr="00C62D1B">
        <w:rPr>
          <w:spacing w:val="-2"/>
        </w:rPr>
        <w:t>4</w:t>
      </w:r>
      <w:r w:rsidRPr="00C62D1B">
        <w:rPr>
          <w:spacing w:val="-2"/>
        </w:rPr>
        <w:tab/>
        <w:t xml:space="preserve">The difference between the budgeted amounts for cost recovery and the actual invoiced amounts stems from a shift in balance between submissions of geostationary satellite </w:t>
      </w:r>
      <w:r w:rsidRPr="00C62D1B">
        <w:rPr>
          <w:rFonts w:eastAsia="SimSun"/>
          <w:spacing w:val="-2"/>
        </w:rPr>
        <w:t>networks</w:t>
      </w:r>
      <w:r w:rsidRPr="00C62D1B">
        <w:rPr>
          <w:spacing w:val="-2"/>
        </w:rPr>
        <w:t xml:space="preserve"> and non-geostationary satellite systems. Submissions of geostationary satellite networks are generally subject to higher fees than those of non-geostationary satellite systems. In order to address this difference, the 2025 session of the Council modified </w:t>
      </w:r>
      <w:hyperlink r:id="rId17" w:history="1">
        <w:r w:rsidRPr="00C62D1B">
          <w:rPr>
            <w:rStyle w:val="Hyperlink"/>
            <w:spacing w:val="-2"/>
          </w:rPr>
          <w:t>Decision 482</w:t>
        </w:r>
      </w:hyperlink>
      <w:r w:rsidRPr="00C62D1B">
        <w:rPr>
          <w:spacing w:val="-2"/>
        </w:rPr>
        <w:t xml:space="preserve"> but the impact of these modifications will only be seen from 2026 since this revision entered into force on 1</w:t>
      </w:r>
      <w:r w:rsidR="008E13FA" w:rsidRPr="00C62D1B">
        <w:rPr>
          <w:spacing w:val="-2"/>
        </w:rPr>
        <w:t> </w:t>
      </w:r>
      <w:r w:rsidRPr="00C62D1B">
        <w:rPr>
          <w:spacing w:val="-2"/>
        </w:rPr>
        <w:t>January 2026</w:t>
      </w:r>
      <w:r w:rsidR="002866C2" w:rsidRPr="00C62D1B">
        <w:rPr>
          <w:spacing w:val="-2"/>
        </w:rPr>
        <w:t xml:space="preserve"> </w:t>
      </w:r>
      <w:r w:rsidR="0008077E" w:rsidRPr="00C62D1B">
        <w:rPr>
          <w:spacing w:val="-2"/>
        </w:rPr>
        <w:t>(it should be noted that December 2025 has seen a peak of submissions</w:t>
      </w:r>
      <w:r w:rsidR="00F73430" w:rsidRPr="00C62D1B">
        <w:rPr>
          <w:spacing w:val="-2"/>
        </w:rPr>
        <w:t xml:space="preserve"> </w:t>
      </w:r>
      <w:r w:rsidR="00671E67" w:rsidRPr="00C62D1B">
        <w:rPr>
          <w:spacing w:val="-2"/>
        </w:rPr>
        <w:t>in non-planned bands amounting to more than twice the average number of submissions in the other months of 2025</w:t>
      </w:r>
      <w:r w:rsidR="0008077E" w:rsidRPr="00C62D1B">
        <w:rPr>
          <w:spacing w:val="-2"/>
        </w:rPr>
        <w:t>)</w:t>
      </w:r>
      <w:r w:rsidR="00671E67" w:rsidRPr="00C62D1B">
        <w:rPr>
          <w:spacing w:val="-2"/>
        </w:rPr>
        <w:t>.</w:t>
      </w:r>
      <w:r w:rsidR="002866C2" w:rsidRPr="00C62D1B">
        <w:rPr>
          <w:spacing w:val="-2"/>
        </w:rPr>
        <w:t xml:space="preserve"> </w:t>
      </w:r>
    </w:p>
    <w:p w14:paraId="61FB61FA" w14:textId="1EBA62F2" w:rsidR="00726346" w:rsidRPr="00C62D1B" w:rsidRDefault="00726346" w:rsidP="00726346">
      <w:pPr>
        <w:jc w:val="both"/>
      </w:pPr>
      <w:r w:rsidRPr="00C62D1B">
        <w:t>5</w:t>
      </w:r>
      <w:r w:rsidRPr="00C62D1B">
        <w:tab/>
        <w:t xml:space="preserve">In accordance with </w:t>
      </w:r>
      <w:r w:rsidRPr="00C62D1B">
        <w:rPr>
          <w:i/>
          <w:iCs/>
        </w:rPr>
        <w:t>instructs the Director of the Radiocommunication Bureau</w:t>
      </w:r>
      <w:r w:rsidRPr="00C62D1B">
        <w:t xml:space="preserve"> 2</w:t>
      </w:r>
      <w:r w:rsidR="00143D61" w:rsidRPr="00C62D1B">
        <w:t> </w:t>
      </w:r>
      <w:r w:rsidRPr="00C62D1B">
        <w:t>a) of Decision 482, Table 2 below presents the costs associated with the processing of satellite</w:t>
      </w:r>
      <w:r w:rsidR="002179C4" w:rsidRPr="00C62D1B">
        <w:noBreakHyphen/>
      </w:r>
      <w:r w:rsidRPr="00C62D1B">
        <w:t xml:space="preserve">related filings in 2024 and 2025. </w:t>
      </w:r>
    </w:p>
    <w:p w14:paraId="03EA905C" w14:textId="77777777" w:rsidR="00726346" w:rsidRPr="00C62D1B" w:rsidRDefault="00726346" w:rsidP="00726346">
      <w:pPr>
        <w:pStyle w:val="TableNo"/>
      </w:pPr>
      <w:r w:rsidRPr="00C62D1B">
        <w:lastRenderedPageBreak/>
        <w:t>Table 2</w:t>
      </w:r>
    </w:p>
    <w:p w14:paraId="58B0D969" w14:textId="77777777" w:rsidR="00726346" w:rsidRPr="00C62D1B" w:rsidRDefault="00726346" w:rsidP="00726346">
      <w:pPr>
        <w:pStyle w:val="Tabletitle"/>
      </w:pPr>
      <w:r w:rsidRPr="00C62D1B">
        <w:t>Costs associated to the processing of satellite-related filings in 2024 and 2025</w:t>
      </w:r>
    </w:p>
    <w:tbl>
      <w:tblPr>
        <w:tblW w:w="8645" w:type="dxa"/>
        <w:jc w:val="center"/>
        <w:tblLook w:val="04A0" w:firstRow="1" w:lastRow="0" w:firstColumn="1" w:lastColumn="0" w:noHBand="0" w:noVBand="1"/>
      </w:tblPr>
      <w:tblGrid>
        <w:gridCol w:w="4561"/>
        <w:gridCol w:w="682"/>
        <w:gridCol w:w="1701"/>
        <w:gridCol w:w="1701"/>
      </w:tblGrid>
      <w:tr w:rsidR="00726346" w:rsidRPr="00C62D1B" w14:paraId="348C3350" w14:textId="77777777" w:rsidTr="7F4E5F5B">
        <w:trPr>
          <w:trHeight w:val="300"/>
          <w:jc w:val="center"/>
        </w:trPr>
        <w:tc>
          <w:tcPr>
            <w:tcW w:w="4561" w:type="dxa"/>
            <w:tcBorders>
              <w:top w:val="single" w:sz="4" w:space="0" w:color="auto"/>
              <w:left w:val="single" w:sz="4" w:space="0" w:color="auto"/>
              <w:bottom w:val="single" w:sz="4" w:space="0" w:color="auto"/>
              <w:right w:val="single" w:sz="4" w:space="0" w:color="auto"/>
            </w:tcBorders>
            <w:noWrap/>
            <w:vAlign w:val="bottom"/>
          </w:tcPr>
          <w:p w14:paraId="13916FA2" w14:textId="77777777" w:rsidR="00726346" w:rsidRPr="00C62D1B" w:rsidRDefault="00726346" w:rsidP="00152845">
            <w:pPr>
              <w:pStyle w:val="Tablehead"/>
            </w:pPr>
          </w:p>
        </w:tc>
        <w:tc>
          <w:tcPr>
            <w:tcW w:w="682" w:type="dxa"/>
            <w:tcBorders>
              <w:top w:val="single" w:sz="4" w:space="0" w:color="auto"/>
              <w:left w:val="nil"/>
              <w:bottom w:val="single" w:sz="4" w:space="0" w:color="auto"/>
              <w:right w:val="single" w:sz="4" w:space="0" w:color="auto"/>
            </w:tcBorders>
            <w:vAlign w:val="center"/>
          </w:tcPr>
          <w:p w14:paraId="4D744F33" w14:textId="77777777" w:rsidR="00726346" w:rsidRPr="00C62D1B" w:rsidRDefault="00726346" w:rsidP="00152845">
            <w:pPr>
              <w:pStyle w:val="Tablehead"/>
            </w:pPr>
          </w:p>
        </w:tc>
        <w:tc>
          <w:tcPr>
            <w:tcW w:w="1701" w:type="dxa"/>
            <w:tcBorders>
              <w:top w:val="single" w:sz="4" w:space="0" w:color="auto"/>
              <w:left w:val="single" w:sz="4" w:space="0" w:color="auto"/>
              <w:bottom w:val="single" w:sz="4" w:space="0" w:color="auto"/>
              <w:right w:val="single" w:sz="4" w:space="0" w:color="auto"/>
            </w:tcBorders>
            <w:vAlign w:val="center"/>
          </w:tcPr>
          <w:p w14:paraId="020F3DF5" w14:textId="77777777" w:rsidR="00726346" w:rsidRPr="00C62D1B" w:rsidRDefault="00726346" w:rsidP="00152845">
            <w:pPr>
              <w:pStyle w:val="Tablehead"/>
            </w:pPr>
            <w:r w:rsidRPr="00C62D1B">
              <w:t>2024</w:t>
            </w:r>
          </w:p>
        </w:tc>
        <w:tc>
          <w:tcPr>
            <w:tcW w:w="1701" w:type="dxa"/>
            <w:tcBorders>
              <w:top w:val="single" w:sz="4" w:space="0" w:color="auto"/>
              <w:left w:val="nil"/>
              <w:bottom w:val="single" w:sz="4" w:space="0" w:color="auto"/>
              <w:right w:val="single" w:sz="4" w:space="0" w:color="auto"/>
            </w:tcBorders>
            <w:vAlign w:val="center"/>
          </w:tcPr>
          <w:p w14:paraId="1DC89F19" w14:textId="77777777" w:rsidR="00726346" w:rsidRPr="00C62D1B" w:rsidRDefault="00726346" w:rsidP="00152845">
            <w:pPr>
              <w:pStyle w:val="Tablehead"/>
            </w:pPr>
            <w:r w:rsidRPr="00C62D1B">
              <w:t>2025</w:t>
            </w:r>
          </w:p>
        </w:tc>
      </w:tr>
      <w:tr w:rsidR="00726346" w:rsidRPr="00C62D1B" w14:paraId="29548970" w14:textId="77777777" w:rsidTr="7F4E5F5B">
        <w:trPr>
          <w:trHeight w:val="300"/>
          <w:jc w:val="center"/>
        </w:trPr>
        <w:tc>
          <w:tcPr>
            <w:tcW w:w="4561" w:type="dxa"/>
            <w:tcBorders>
              <w:top w:val="nil"/>
              <w:left w:val="single" w:sz="4" w:space="0" w:color="auto"/>
              <w:bottom w:val="single" w:sz="4" w:space="0" w:color="auto"/>
              <w:right w:val="single" w:sz="4" w:space="0" w:color="auto"/>
            </w:tcBorders>
            <w:noWrap/>
            <w:vAlign w:val="center"/>
            <w:hideMark/>
          </w:tcPr>
          <w:p w14:paraId="01995B82" w14:textId="77777777" w:rsidR="00726346" w:rsidRPr="00C62D1B" w:rsidRDefault="00726346" w:rsidP="00152845">
            <w:pPr>
              <w:pStyle w:val="Tabletext"/>
            </w:pPr>
            <w:r w:rsidRPr="00C62D1B">
              <w:t>BR costs based on time survey</w:t>
            </w:r>
          </w:p>
        </w:tc>
        <w:tc>
          <w:tcPr>
            <w:tcW w:w="682" w:type="dxa"/>
            <w:tcBorders>
              <w:top w:val="single" w:sz="4" w:space="0" w:color="auto"/>
              <w:left w:val="nil"/>
              <w:bottom w:val="single" w:sz="4" w:space="0" w:color="auto"/>
              <w:right w:val="single" w:sz="4" w:space="0" w:color="auto"/>
            </w:tcBorders>
            <w:vAlign w:val="center"/>
          </w:tcPr>
          <w:p w14:paraId="73583CBA" w14:textId="77777777" w:rsidR="00726346" w:rsidRPr="00C62D1B" w:rsidRDefault="00726346" w:rsidP="00152845">
            <w:pPr>
              <w:pStyle w:val="Tabletext"/>
              <w:jc w:val="center"/>
            </w:pPr>
            <w:r w:rsidRPr="00C62D1B">
              <w:t>CHF</w:t>
            </w:r>
          </w:p>
        </w:tc>
        <w:tc>
          <w:tcPr>
            <w:tcW w:w="1701" w:type="dxa"/>
            <w:tcBorders>
              <w:top w:val="nil"/>
              <w:left w:val="single" w:sz="4" w:space="0" w:color="auto"/>
              <w:bottom w:val="single" w:sz="4" w:space="0" w:color="auto"/>
              <w:right w:val="single" w:sz="4" w:space="0" w:color="auto"/>
            </w:tcBorders>
          </w:tcPr>
          <w:p w14:paraId="1B1E95BF" w14:textId="3929A5C7" w:rsidR="00726346" w:rsidRPr="00C62D1B" w:rsidRDefault="00726346" w:rsidP="712917BD">
            <w:pPr>
              <w:pStyle w:val="Tabletext"/>
              <w:jc w:val="right"/>
            </w:pPr>
            <w:r w:rsidRPr="00C62D1B">
              <w:t>12 144 478</w:t>
            </w:r>
          </w:p>
        </w:tc>
        <w:tc>
          <w:tcPr>
            <w:tcW w:w="1701" w:type="dxa"/>
            <w:tcBorders>
              <w:top w:val="nil"/>
              <w:left w:val="nil"/>
              <w:bottom w:val="single" w:sz="4" w:space="0" w:color="auto"/>
              <w:right w:val="single" w:sz="4" w:space="0" w:color="auto"/>
            </w:tcBorders>
          </w:tcPr>
          <w:p w14:paraId="7F638E3C" w14:textId="4E075B2B" w:rsidR="00726346" w:rsidRPr="00C62D1B" w:rsidRDefault="00A45191" w:rsidP="712917BD">
            <w:pPr>
              <w:pStyle w:val="Tabletext"/>
              <w:jc w:val="right"/>
            </w:pPr>
            <w:r w:rsidRPr="00C62D1B">
              <w:t>12 567 090</w:t>
            </w:r>
          </w:p>
        </w:tc>
      </w:tr>
      <w:tr w:rsidR="00726346" w:rsidRPr="00C62D1B" w14:paraId="0247CDF0" w14:textId="77777777" w:rsidTr="7F4E5F5B">
        <w:trPr>
          <w:trHeight w:val="300"/>
          <w:jc w:val="center"/>
        </w:trPr>
        <w:tc>
          <w:tcPr>
            <w:tcW w:w="4561" w:type="dxa"/>
            <w:tcBorders>
              <w:top w:val="nil"/>
              <w:left w:val="single" w:sz="4" w:space="0" w:color="auto"/>
              <w:bottom w:val="single" w:sz="4" w:space="0" w:color="auto"/>
              <w:right w:val="single" w:sz="4" w:space="0" w:color="auto"/>
            </w:tcBorders>
            <w:noWrap/>
            <w:vAlign w:val="center"/>
            <w:hideMark/>
          </w:tcPr>
          <w:p w14:paraId="2B29480F" w14:textId="77777777" w:rsidR="00726346" w:rsidRPr="00C62D1B" w:rsidRDefault="00726346" w:rsidP="00152845">
            <w:pPr>
              <w:pStyle w:val="Tabletext"/>
            </w:pPr>
            <w:r w:rsidRPr="00C62D1B">
              <w:t>Costs of GS administrative and support services</w:t>
            </w:r>
          </w:p>
        </w:tc>
        <w:tc>
          <w:tcPr>
            <w:tcW w:w="682" w:type="dxa"/>
            <w:tcBorders>
              <w:top w:val="single" w:sz="4" w:space="0" w:color="auto"/>
              <w:left w:val="nil"/>
              <w:bottom w:val="single" w:sz="4" w:space="0" w:color="auto"/>
              <w:right w:val="single" w:sz="4" w:space="0" w:color="auto"/>
            </w:tcBorders>
            <w:vAlign w:val="center"/>
          </w:tcPr>
          <w:p w14:paraId="69BE2E08" w14:textId="77777777" w:rsidR="00726346" w:rsidRPr="00C62D1B" w:rsidRDefault="00726346" w:rsidP="00152845">
            <w:pPr>
              <w:pStyle w:val="Tabletext"/>
              <w:jc w:val="center"/>
            </w:pPr>
            <w:r w:rsidRPr="00C62D1B">
              <w:t>CHF</w:t>
            </w:r>
          </w:p>
        </w:tc>
        <w:tc>
          <w:tcPr>
            <w:tcW w:w="1701" w:type="dxa"/>
            <w:tcBorders>
              <w:top w:val="nil"/>
              <w:left w:val="single" w:sz="4" w:space="0" w:color="auto"/>
              <w:bottom w:val="single" w:sz="4" w:space="0" w:color="auto"/>
              <w:right w:val="single" w:sz="4" w:space="0" w:color="auto"/>
            </w:tcBorders>
          </w:tcPr>
          <w:p w14:paraId="3FF8C6CB" w14:textId="4197A606" w:rsidR="00726346" w:rsidRPr="00C62D1B" w:rsidRDefault="00726346" w:rsidP="712917BD">
            <w:pPr>
              <w:pStyle w:val="Tabletext"/>
              <w:jc w:val="right"/>
            </w:pPr>
            <w:r w:rsidRPr="00C62D1B">
              <w:t>10 666 000</w:t>
            </w:r>
          </w:p>
        </w:tc>
        <w:tc>
          <w:tcPr>
            <w:tcW w:w="1701" w:type="dxa"/>
            <w:tcBorders>
              <w:top w:val="nil"/>
              <w:left w:val="nil"/>
              <w:bottom w:val="single" w:sz="4" w:space="0" w:color="auto"/>
              <w:right w:val="single" w:sz="4" w:space="0" w:color="auto"/>
            </w:tcBorders>
          </w:tcPr>
          <w:p w14:paraId="45EF2413" w14:textId="03DD322A" w:rsidR="00726346" w:rsidRPr="00C62D1B" w:rsidRDefault="063925C1" w:rsidP="712917BD">
            <w:pPr>
              <w:pStyle w:val="Tabletext"/>
              <w:jc w:val="right"/>
            </w:pPr>
            <w:r w:rsidRPr="00C62D1B">
              <w:t>10 666 000</w:t>
            </w:r>
          </w:p>
        </w:tc>
      </w:tr>
      <w:tr w:rsidR="00726346" w:rsidRPr="00C62D1B" w14:paraId="67B36E39" w14:textId="77777777" w:rsidTr="7F4E5F5B">
        <w:trPr>
          <w:trHeight w:val="300"/>
          <w:jc w:val="center"/>
        </w:trPr>
        <w:tc>
          <w:tcPr>
            <w:tcW w:w="4561" w:type="dxa"/>
            <w:tcBorders>
              <w:top w:val="nil"/>
              <w:left w:val="single" w:sz="4" w:space="0" w:color="auto"/>
              <w:bottom w:val="single" w:sz="4" w:space="0" w:color="auto"/>
              <w:right w:val="single" w:sz="4" w:space="0" w:color="auto"/>
            </w:tcBorders>
            <w:noWrap/>
            <w:vAlign w:val="center"/>
            <w:hideMark/>
          </w:tcPr>
          <w:p w14:paraId="17B42C48" w14:textId="77777777" w:rsidR="00726346" w:rsidRPr="00C62D1B" w:rsidRDefault="00726346" w:rsidP="00152845">
            <w:pPr>
              <w:pStyle w:val="Tabletext"/>
            </w:pPr>
            <w:r w:rsidRPr="00C62D1B">
              <w:t>Total costs</w:t>
            </w:r>
          </w:p>
        </w:tc>
        <w:tc>
          <w:tcPr>
            <w:tcW w:w="682" w:type="dxa"/>
            <w:tcBorders>
              <w:top w:val="single" w:sz="4" w:space="0" w:color="auto"/>
              <w:left w:val="nil"/>
              <w:bottom w:val="single" w:sz="4" w:space="0" w:color="auto"/>
              <w:right w:val="single" w:sz="4" w:space="0" w:color="auto"/>
            </w:tcBorders>
            <w:vAlign w:val="center"/>
          </w:tcPr>
          <w:p w14:paraId="7613938E" w14:textId="77777777" w:rsidR="00726346" w:rsidRPr="00C62D1B" w:rsidRDefault="00726346" w:rsidP="00152845">
            <w:pPr>
              <w:pStyle w:val="Tabletext"/>
              <w:jc w:val="center"/>
            </w:pPr>
            <w:r w:rsidRPr="00C62D1B">
              <w:t>CHF</w:t>
            </w:r>
          </w:p>
        </w:tc>
        <w:tc>
          <w:tcPr>
            <w:tcW w:w="1701" w:type="dxa"/>
            <w:tcBorders>
              <w:top w:val="nil"/>
              <w:left w:val="single" w:sz="4" w:space="0" w:color="auto"/>
              <w:bottom w:val="single" w:sz="4" w:space="0" w:color="auto"/>
              <w:right w:val="single" w:sz="4" w:space="0" w:color="auto"/>
            </w:tcBorders>
          </w:tcPr>
          <w:p w14:paraId="6810B7C7" w14:textId="35251087" w:rsidR="00726346" w:rsidRPr="00C62D1B" w:rsidRDefault="00726346" w:rsidP="712917BD">
            <w:pPr>
              <w:pStyle w:val="Tabletext"/>
              <w:jc w:val="right"/>
            </w:pPr>
            <w:r w:rsidRPr="00C62D1B">
              <w:t>22 810 478</w:t>
            </w:r>
          </w:p>
        </w:tc>
        <w:tc>
          <w:tcPr>
            <w:tcW w:w="1701" w:type="dxa"/>
            <w:tcBorders>
              <w:top w:val="nil"/>
              <w:left w:val="nil"/>
              <w:bottom w:val="single" w:sz="4" w:space="0" w:color="auto"/>
              <w:right w:val="single" w:sz="4" w:space="0" w:color="auto"/>
            </w:tcBorders>
          </w:tcPr>
          <w:p w14:paraId="64673D9C" w14:textId="1BEF81DF" w:rsidR="00726346" w:rsidRPr="00C62D1B" w:rsidRDefault="00505027" w:rsidP="712917BD">
            <w:pPr>
              <w:pStyle w:val="Tabletext"/>
              <w:jc w:val="right"/>
            </w:pPr>
            <w:r w:rsidRPr="00C62D1B">
              <w:t>23 233</w:t>
            </w:r>
            <w:r w:rsidR="00B97EFE" w:rsidRPr="00C62D1B">
              <w:t xml:space="preserve"> 090</w:t>
            </w:r>
            <w:r w:rsidRPr="00C62D1B">
              <w:t xml:space="preserve"> </w:t>
            </w:r>
          </w:p>
        </w:tc>
      </w:tr>
      <w:tr w:rsidR="00726346" w:rsidRPr="00C62D1B" w14:paraId="19378C19" w14:textId="77777777" w:rsidTr="7F4E5F5B">
        <w:trPr>
          <w:trHeight w:val="300"/>
          <w:jc w:val="center"/>
        </w:trPr>
        <w:tc>
          <w:tcPr>
            <w:tcW w:w="8645" w:type="dxa"/>
            <w:gridSpan w:val="4"/>
            <w:tcBorders>
              <w:top w:val="single" w:sz="4" w:space="0" w:color="auto"/>
            </w:tcBorders>
            <w:noWrap/>
            <w:vAlign w:val="center"/>
          </w:tcPr>
          <w:p w14:paraId="699877C4" w14:textId="77777777" w:rsidR="00726346" w:rsidRPr="00C62D1B" w:rsidRDefault="00726346" w:rsidP="00152845">
            <w:pPr>
              <w:pStyle w:val="Tablelegend"/>
            </w:pPr>
            <w:r w:rsidRPr="00C62D1B">
              <w:t>Note: Additional costs are borne by ITU for specific space software development.</w:t>
            </w:r>
          </w:p>
        </w:tc>
      </w:tr>
    </w:tbl>
    <w:p w14:paraId="03065229" w14:textId="77777777" w:rsidR="00726346" w:rsidRPr="00C62D1B" w:rsidRDefault="00726346" w:rsidP="00152845">
      <w:pPr>
        <w:pStyle w:val="Tablefin"/>
      </w:pPr>
    </w:p>
    <w:p w14:paraId="248A8F6A" w14:textId="77777777" w:rsidR="00726346" w:rsidRPr="00C62D1B" w:rsidRDefault="00726346" w:rsidP="00726346">
      <w:pPr>
        <w:jc w:val="both"/>
      </w:pPr>
      <w:r w:rsidRPr="00C62D1B">
        <w:t>6</w:t>
      </w:r>
      <w:r w:rsidRPr="00C62D1B">
        <w:tab/>
        <w:t xml:space="preserve">The </w:t>
      </w:r>
      <w:r w:rsidRPr="00C62D1B">
        <w:rPr>
          <w:szCs w:val="22"/>
        </w:rPr>
        <w:t>implementation</w:t>
      </w:r>
      <w:r w:rsidRPr="00C62D1B">
        <w:t xml:space="preserve"> of Decision 482 by the Radiocommunication Bureau has not given rise to any </w:t>
      </w:r>
      <w:r w:rsidRPr="00C62D1B">
        <w:rPr>
          <w:rFonts w:eastAsia="SimSun"/>
        </w:rPr>
        <w:t>substantive</w:t>
      </w:r>
      <w:r w:rsidRPr="00C62D1B">
        <w:t xml:space="preserve"> administrative or operational difficulty either internally or with administrations notifying satellite network filings. </w:t>
      </w:r>
      <w:bookmarkStart w:id="13" w:name="_Hlk95138652"/>
    </w:p>
    <w:p w14:paraId="72ACA8E7" w14:textId="77777777" w:rsidR="00726346" w:rsidRPr="00C62D1B" w:rsidRDefault="00726346" w:rsidP="00143D61">
      <w:pPr>
        <w:pStyle w:val="Headingb"/>
      </w:pPr>
      <w:r w:rsidRPr="00C62D1B">
        <w:t>Deferred revenues due to a lack of processing resources</w:t>
      </w:r>
    </w:p>
    <w:p w14:paraId="393D89EE" w14:textId="35CE242C" w:rsidR="008510FF" w:rsidRPr="00C62D1B" w:rsidRDefault="00D41E54" w:rsidP="0048241A">
      <w:pPr>
        <w:jc w:val="both"/>
      </w:pPr>
      <w:r w:rsidRPr="00C62D1B">
        <w:t>7</w:t>
      </w:r>
      <w:r w:rsidRPr="00C62D1B">
        <w:tab/>
      </w:r>
      <w:r w:rsidR="0048241A" w:rsidRPr="00C62D1B">
        <w:t xml:space="preserve">Due to the current auditing rules, payments of invoices related to satellite cost recovery are taken into account in the accounted revenues only after the publication of the corresponding special sections. </w:t>
      </w:r>
    </w:p>
    <w:p w14:paraId="00D6F96A" w14:textId="501F165C" w:rsidR="00D2227E" w:rsidRPr="00C62D1B" w:rsidRDefault="00D41E54" w:rsidP="0048241A">
      <w:pPr>
        <w:jc w:val="both"/>
      </w:pPr>
      <w:r w:rsidRPr="00C62D1B">
        <w:t>8</w:t>
      </w:r>
      <w:r w:rsidRPr="00C62D1B">
        <w:tab/>
      </w:r>
      <w:r w:rsidR="0048241A" w:rsidRPr="00C62D1B">
        <w:t>At the end of 2025, deferred revenues (i.e. cases where invoices have been already issued to the submitting entity of the filing, but the corresponding special section has not yet been published) amounts to CHF 4 237</w:t>
      </w:r>
      <w:r w:rsidR="009F5D24" w:rsidRPr="00C62D1B">
        <w:t> </w:t>
      </w:r>
      <w:r w:rsidR="0048241A" w:rsidRPr="00C62D1B">
        <w:t xml:space="preserve">520. </w:t>
      </w:r>
    </w:p>
    <w:p w14:paraId="4EED4099" w14:textId="7E356F7F" w:rsidR="00A20C42" w:rsidRPr="00C62D1B" w:rsidRDefault="28B6C576" w:rsidP="486E1B78">
      <w:pPr>
        <w:spacing w:line="259" w:lineRule="auto"/>
        <w:jc w:val="both"/>
      </w:pPr>
      <w:r w:rsidRPr="00C62D1B">
        <w:t>9</w:t>
      </w:r>
      <w:r w:rsidR="00D41E54" w:rsidRPr="00C62D1B">
        <w:tab/>
      </w:r>
      <w:r w:rsidR="00726346" w:rsidRPr="00C62D1B">
        <w:t xml:space="preserve">The processing times of all special sections except coordination requests are within the periods specified either in the Radio Regulations or in the ITU-R operational plan for cases where there is no regulatory period. Concerning coordination requests, the number of networks under treatment is decreasing since </w:t>
      </w:r>
      <w:r w:rsidR="2F180461" w:rsidRPr="00C62D1B">
        <w:t xml:space="preserve">June </w:t>
      </w:r>
      <w:r w:rsidR="00726346" w:rsidRPr="00C62D1B">
        <w:t>2025, showing the Radiocommunication Bureau efforts to address the backlog (</w:t>
      </w:r>
      <w:r w:rsidR="024DF994" w:rsidRPr="00C62D1B">
        <w:t xml:space="preserve">after a peak at 17 months in June 2025, the </w:t>
      </w:r>
      <w:r w:rsidR="00726346" w:rsidRPr="00C62D1B">
        <w:t xml:space="preserve">current processing time is 14 months as compared to the regulatory requirement of 4 months). </w:t>
      </w:r>
    </w:p>
    <w:p w14:paraId="2824C0C9" w14:textId="556E627E" w:rsidR="00A20C42" w:rsidRPr="00C62D1B" w:rsidRDefault="00D41E54" w:rsidP="00726346">
      <w:pPr>
        <w:jc w:val="both"/>
      </w:pPr>
      <w:r w:rsidRPr="00C62D1B">
        <w:t>1</w:t>
      </w:r>
      <w:r w:rsidR="662446F2" w:rsidRPr="00C62D1B">
        <w:t>0</w:t>
      </w:r>
      <w:r w:rsidRPr="00C62D1B">
        <w:tab/>
      </w:r>
      <w:r w:rsidR="00726346" w:rsidRPr="00C62D1B">
        <w:t>However</w:t>
      </w:r>
      <w:r w:rsidR="000023A5" w:rsidRPr="00C62D1B">
        <w:t>,</w:t>
      </w:r>
      <w:r w:rsidR="00726346" w:rsidRPr="00C62D1B">
        <w:t xml:space="preserve"> the current budgetary constraints in ITU led to an actual freeze in recruitments, letting several of the Bureau’s vacant posts unfilled. With the current insufficient staffing in the processing of coordination requests, the </w:t>
      </w:r>
      <w:r w:rsidR="001E49B7" w:rsidRPr="00C62D1B">
        <w:t xml:space="preserve">Radiocommunication </w:t>
      </w:r>
      <w:r w:rsidR="00726346" w:rsidRPr="00C62D1B">
        <w:t>Bureau does not have the necessary resources to clear the backlog and therefore reduce the amount of deferred revenues.</w:t>
      </w:r>
      <w:r w:rsidR="003A774A" w:rsidRPr="00C62D1B">
        <w:t xml:space="preserve"> </w:t>
      </w:r>
      <w:r w:rsidR="008843A9" w:rsidRPr="00C62D1B">
        <w:t>C</w:t>
      </w:r>
      <w:r w:rsidR="00B45EBC" w:rsidRPr="00C62D1B">
        <w:t xml:space="preserve">ouncil Document </w:t>
      </w:r>
      <w:hyperlink r:id="rId18" w:history="1">
        <w:r w:rsidR="00B45EBC" w:rsidRPr="00C62D1B">
          <w:rPr>
            <w:rStyle w:val="Hyperlink"/>
          </w:rPr>
          <w:t>C26/</w:t>
        </w:r>
        <w:r w:rsidR="009F5D24" w:rsidRPr="00C62D1B">
          <w:rPr>
            <w:rStyle w:val="Hyperlink"/>
          </w:rPr>
          <w:t>42</w:t>
        </w:r>
      </w:hyperlink>
      <w:r w:rsidR="00B45EBC" w:rsidRPr="00C62D1B">
        <w:t xml:space="preserve"> </w:t>
      </w:r>
      <w:r w:rsidR="00F16A4D" w:rsidRPr="00C62D1B">
        <w:t xml:space="preserve">proposes to allocate part of the 2025 savings to </w:t>
      </w:r>
      <w:r w:rsidR="008438ED" w:rsidRPr="00C62D1B">
        <w:t>address this issue</w:t>
      </w:r>
      <w:r w:rsidR="008843A9" w:rsidRPr="00C62D1B">
        <w:t xml:space="preserve">. </w:t>
      </w:r>
    </w:p>
    <w:p w14:paraId="41F543E3" w14:textId="1B46AC56" w:rsidR="6D25B5F1" w:rsidRPr="00C62D1B" w:rsidRDefault="6D25B5F1" w:rsidP="486E1B78">
      <w:pPr>
        <w:spacing w:line="259" w:lineRule="auto"/>
        <w:jc w:val="both"/>
      </w:pPr>
      <w:r w:rsidRPr="00C62D1B">
        <w:t>11</w:t>
      </w:r>
      <w:r w:rsidRPr="00C62D1B">
        <w:tab/>
      </w:r>
      <w:r w:rsidR="172E517D" w:rsidRPr="00C62D1B">
        <w:t>Furthermore, since invoicing is carried out at the end of the first of the three phases of satellite filing processing, a processing backlog implies a delay in all these three phases and therefore a consequential delay in invoicing. As a result, over 190 coordination requests that were received in 2025 are still awaiting invoicing, for a total amount estimated at CHF</w:t>
      </w:r>
      <w:r w:rsidR="008E13FA" w:rsidRPr="00C62D1B">
        <w:t> </w:t>
      </w:r>
      <w:r w:rsidR="172E517D" w:rsidRPr="00C62D1B">
        <w:t>3 800</w:t>
      </w:r>
      <w:r w:rsidR="008E13FA" w:rsidRPr="00C62D1B">
        <w:t> </w:t>
      </w:r>
      <w:r w:rsidR="172E517D" w:rsidRPr="00C62D1B">
        <w:t>000 (based on a value of CHF 20 000 per coordination request).</w:t>
      </w:r>
    </w:p>
    <w:p w14:paraId="6510D487" w14:textId="142DDCE4" w:rsidR="00726346" w:rsidRPr="00C62D1B" w:rsidRDefault="00D41E54" w:rsidP="00726346">
      <w:pPr>
        <w:jc w:val="both"/>
      </w:pPr>
      <w:r w:rsidRPr="00C62D1B">
        <w:t>12</w:t>
      </w:r>
      <w:r w:rsidRPr="00C62D1B">
        <w:tab/>
      </w:r>
      <w:r w:rsidR="00726346" w:rsidRPr="00C62D1B">
        <w:t>Delays in processing coordination requests would also</w:t>
      </w:r>
      <w:r w:rsidR="00BD7E50" w:rsidRPr="00C62D1B">
        <w:t xml:space="preserve"> increase regulatory uncertainty and</w:t>
      </w:r>
      <w:r w:rsidR="00726346" w:rsidRPr="00C62D1B">
        <w:t xml:space="preserve"> impair the ability of administrations and satellite operators to progress with their satellite network deployment plans, which are required to be brought into use within seven years of submission.</w:t>
      </w:r>
    </w:p>
    <w:bookmarkEnd w:id="13"/>
    <w:p w14:paraId="55CE5759" w14:textId="5E6357D2" w:rsidR="00A14280" w:rsidRPr="00C62D1B" w:rsidRDefault="002C25D8" w:rsidP="00A14280">
      <w:pPr>
        <w:pStyle w:val="Headingb"/>
      </w:pPr>
      <w:r w:rsidRPr="00C62D1B">
        <w:lastRenderedPageBreak/>
        <w:t>Impact of Resolutions 35 (</w:t>
      </w:r>
      <w:r w:rsidR="00BD48F3" w:rsidRPr="00C62D1B">
        <w:t>R</w:t>
      </w:r>
      <w:r w:rsidR="00143D61" w:rsidRPr="00C62D1B">
        <w:t>ev</w:t>
      </w:r>
      <w:r w:rsidR="00BD48F3" w:rsidRPr="00C62D1B">
        <w:t>.WRC-23</w:t>
      </w:r>
      <w:r w:rsidRPr="00C62D1B">
        <w:t>) and 8 (WRC-23)</w:t>
      </w:r>
    </w:p>
    <w:p w14:paraId="0C40A348" w14:textId="06C5693F" w:rsidR="00A14280" w:rsidRPr="00C62D1B" w:rsidRDefault="00A14280" w:rsidP="00143D61">
      <w:pPr>
        <w:jc w:val="both"/>
      </w:pPr>
      <w:r w:rsidRPr="00C62D1B">
        <w:t>13</w:t>
      </w:r>
      <w:r w:rsidRPr="00C62D1B">
        <w:tab/>
      </w:r>
      <w:r w:rsidR="00D92983" w:rsidRPr="00C62D1B">
        <w:t>The implementation of Resolutions 35 (R</w:t>
      </w:r>
      <w:r w:rsidR="00143D61" w:rsidRPr="00C62D1B">
        <w:t>ev</w:t>
      </w:r>
      <w:r w:rsidR="00D92983" w:rsidRPr="00C62D1B">
        <w:t xml:space="preserve">.WRC-23) and 8 (WRC-23) requires the </w:t>
      </w:r>
      <w:r w:rsidR="003558C0" w:rsidRPr="00C62D1B">
        <w:t xml:space="preserve">examination of the deployment characteristics of each satellite of the non-geostationary satellite system under treatment. </w:t>
      </w:r>
    </w:p>
    <w:p w14:paraId="43747D6E" w14:textId="360FD1B4" w:rsidR="00A87460" w:rsidRPr="00C62D1B" w:rsidRDefault="00A87460" w:rsidP="00143D61">
      <w:pPr>
        <w:jc w:val="both"/>
      </w:pPr>
      <w:r w:rsidRPr="00C62D1B">
        <w:t>14</w:t>
      </w:r>
      <w:r w:rsidRPr="00C62D1B">
        <w:tab/>
      </w:r>
      <w:r w:rsidR="57DAE1E7" w:rsidRPr="00C62D1B">
        <w:t>T</w:t>
      </w:r>
      <w:r w:rsidRPr="00C62D1B">
        <w:t>his examination could be considered as part of the activities associated with</w:t>
      </w:r>
      <w:r w:rsidR="6BC52E59" w:rsidRPr="00C62D1B">
        <w:t xml:space="preserve">, and covered by the costs of, </w:t>
      </w:r>
      <w:r w:rsidRPr="00C62D1B">
        <w:t xml:space="preserve">the notification of the frequency assignments to the non-geostationary satellite system </w:t>
      </w:r>
      <w:r w:rsidR="211F25D0" w:rsidRPr="00C62D1B">
        <w:t xml:space="preserve">as long as </w:t>
      </w:r>
      <w:r w:rsidRPr="00C62D1B">
        <w:t xml:space="preserve">this system </w:t>
      </w:r>
      <w:r w:rsidR="5813C315" w:rsidRPr="00C62D1B">
        <w:t>involves only</w:t>
      </w:r>
      <w:r w:rsidRPr="00C62D1B">
        <w:t xml:space="preserve"> a limited number of satellites</w:t>
      </w:r>
      <w:r w:rsidR="3573CB17" w:rsidRPr="00C62D1B">
        <w:t>. However</w:t>
      </w:r>
      <w:r w:rsidR="000600AA" w:rsidRPr="00C62D1B">
        <w:t>,</w:t>
      </w:r>
      <w:r w:rsidRPr="00C62D1B">
        <w:t xml:space="preserve"> this assumption is no longer true with large non-geostationary satellite systems</w:t>
      </w:r>
      <w:r w:rsidR="616094BA" w:rsidRPr="00C62D1B">
        <w:t xml:space="preserve">, because the workload of examining compliance of each </w:t>
      </w:r>
      <w:r w:rsidR="14EC11B9" w:rsidRPr="00C62D1B">
        <w:t xml:space="preserve">individual </w:t>
      </w:r>
      <w:r w:rsidR="616094BA" w:rsidRPr="00C62D1B">
        <w:t xml:space="preserve">satellite with the conditions set forth in both Resolutions </w:t>
      </w:r>
      <w:r w:rsidR="206B1211" w:rsidRPr="00C62D1B">
        <w:t>is directly linked with the number of satellites that are actually deployed and which characteristics have to be checked</w:t>
      </w:r>
      <w:r w:rsidRPr="00C62D1B">
        <w:t xml:space="preserve">. </w:t>
      </w:r>
    </w:p>
    <w:p w14:paraId="16129C66" w14:textId="4D59FB08" w:rsidR="00A87460" w:rsidRPr="00C62D1B" w:rsidRDefault="00A87460" w:rsidP="00143D61">
      <w:pPr>
        <w:jc w:val="both"/>
      </w:pPr>
      <w:r w:rsidRPr="00C62D1B">
        <w:t>15</w:t>
      </w:r>
      <w:r w:rsidRPr="00C62D1B">
        <w:tab/>
      </w:r>
      <w:r w:rsidR="7020A57B" w:rsidRPr="00C62D1B">
        <w:t>Therefore st</w:t>
      </w:r>
      <w:r w:rsidRPr="00C62D1B">
        <w:t xml:space="preserve">udies should be undertaken to </w:t>
      </w:r>
      <w:r w:rsidR="00CB0FC4" w:rsidRPr="00C62D1B">
        <w:t xml:space="preserve">properly assess the costs of examination implied by these two Resolutions. </w:t>
      </w:r>
    </w:p>
    <w:p w14:paraId="523E83C3" w14:textId="77777777" w:rsidR="00726346" w:rsidRPr="00C62D1B" w:rsidRDefault="00726346" w:rsidP="00726346">
      <w:pPr>
        <w:pStyle w:val="Headingb"/>
      </w:pPr>
      <w:r w:rsidRPr="00C62D1B">
        <w:t>Conclusion</w:t>
      </w:r>
    </w:p>
    <w:p w14:paraId="4351C2EE" w14:textId="3C4C6F6E" w:rsidR="00726346" w:rsidRPr="00C62D1B" w:rsidRDefault="00D41E54" w:rsidP="00726346">
      <w:pPr>
        <w:jc w:val="both"/>
      </w:pPr>
      <w:r w:rsidRPr="00C62D1B">
        <w:t>1</w:t>
      </w:r>
      <w:r w:rsidR="008F1515" w:rsidRPr="00C62D1B">
        <w:t>6</w:t>
      </w:r>
      <w:r w:rsidRPr="00C62D1B">
        <w:tab/>
      </w:r>
      <w:r w:rsidR="00726346" w:rsidRPr="00C62D1B">
        <w:t xml:space="preserve">The </w:t>
      </w:r>
      <w:r w:rsidR="00726346" w:rsidRPr="00C62D1B">
        <w:rPr>
          <w:rFonts w:eastAsia="SimSun"/>
        </w:rPr>
        <w:t>Council</w:t>
      </w:r>
      <w:r w:rsidR="00726346" w:rsidRPr="00C62D1B">
        <w:t xml:space="preserve"> is invited </w:t>
      </w:r>
      <w:r w:rsidR="00726346" w:rsidRPr="00C62D1B">
        <w:rPr>
          <w:b/>
          <w:bCs/>
        </w:rPr>
        <w:t>to take note</w:t>
      </w:r>
      <w:r w:rsidR="00726346" w:rsidRPr="00C62D1B">
        <w:t xml:space="preserve"> of the status report on the implementation of cost recovery for satellite network filings</w:t>
      </w:r>
      <w:r w:rsidR="00CB0FC4" w:rsidRPr="00C62D1B">
        <w:t xml:space="preserve"> and </w:t>
      </w:r>
      <w:r w:rsidR="00CB0FC4" w:rsidRPr="00C62D1B">
        <w:rPr>
          <w:b/>
          <w:bCs/>
        </w:rPr>
        <w:t xml:space="preserve">to </w:t>
      </w:r>
      <w:r w:rsidR="005C4BAE" w:rsidRPr="00C62D1B">
        <w:rPr>
          <w:b/>
          <w:bCs/>
        </w:rPr>
        <w:t xml:space="preserve">task the Council Working Group on Financial and Human Resources to study </w:t>
      </w:r>
      <w:r w:rsidR="005C4BAE" w:rsidRPr="00C62D1B">
        <w:t xml:space="preserve">how to ensure a proper </w:t>
      </w:r>
      <w:r w:rsidR="008F1515" w:rsidRPr="00C62D1B">
        <w:t>cost assessment of the work implied by Resolutions 35 (R</w:t>
      </w:r>
      <w:r w:rsidR="00143D61" w:rsidRPr="00C62D1B">
        <w:t>ev</w:t>
      </w:r>
      <w:r w:rsidR="008F1515" w:rsidRPr="00C62D1B">
        <w:t>.WRC-23) and 8 (WRC-23).</w:t>
      </w:r>
    </w:p>
    <w:p w14:paraId="32AFFE4D" w14:textId="77777777" w:rsidR="00726346" w:rsidRPr="00C62D1B" w:rsidRDefault="00726346" w:rsidP="00726346">
      <w:pPr>
        <w:pStyle w:val="Reasons"/>
        <w:rPr>
          <w:rFonts w:asciiTheme="minorHAnsi" w:hAnsiTheme="minorHAnsi" w:cstheme="minorHAnsi"/>
          <w:lang w:val="en-GB"/>
        </w:rPr>
      </w:pPr>
    </w:p>
    <w:p w14:paraId="217A20CD" w14:textId="77777777" w:rsidR="007A3FCD" w:rsidRPr="00C62D1B" w:rsidRDefault="007A3FCD" w:rsidP="007A3FCD">
      <w:pPr>
        <w:jc w:val="center"/>
      </w:pPr>
      <w:r w:rsidRPr="00C62D1B">
        <w:t>______________</w:t>
      </w:r>
    </w:p>
    <w:sectPr w:rsidR="007A3FCD" w:rsidRPr="00C62D1B" w:rsidSect="00AD3606">
      <w:footerReference w:type="default" r:id="rId19"/>
      <w:headerReference w:type="first" r:id="rId20"/>
      <w:footerReference w:type="first" r:id="rId21"/>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F1D33" w14:textId="77777777" w:rsidR="00827C8B" w:rsidRDefault="00827C8B">
      <w:r>
        <w:separator/>
      </w:r>
    </w:p>
  </w:endnote>
  <w:endnote w:type="continuationSeparator" w:id="0">
    <w:p w14:paraId="7A72C6CA" w14:textId="77777777" w:rsidR="00827C8B" w:rsidRDefault="00827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3F43724F" w14:textId="77777777">
      <w:trPr>
        <w:jc w:val="center"/>
      </w:trPr>
      <w:tc>
        <w:tcPr>
          <w:tcW w:w="1803" w:type="dxa"/>
          <w:vAlign w:val="center"/>
        </w:tcPr>
        <w:p w14:paraId="6595CA0F" w14:textId="77777777" w:rsidR="00EE49E8" w:rsidRDefault="00C6520B" w:rsidP="00EE49E8">
          <w:pPr>
            <w:pStyle w:val="Header"/>
            <w:jc w:val="left"/>
            <w:rPr>
              <w:noProof/>
            </w:rPr>
          </w:pPr>
          <w:r>
            <w:rPr>
              <w:noProof/>
            </w:rPr>
            <w:t>gDoc #</w:t>
          </w:r>
        </w:p>
      </w:tc>
      <w:tc>
        <w:tcPr>
          <w:tcW w:w="8261" w:type="dxa"/>
        </w:tcPr>
        <w:p w14:paraId="3E7590DE" w14:textId="43A2A1AB"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BD6180">
            <w:rPr>
              <w:bCs/>
            </w:rPr>
            <w:t>16</w:t>
          </w:r>
          <w:r w:rsidRPr="00623AE3">
            <w:rPr>
              <w:bCs/>
            </w:rPr>
            <w:t>-E</w:t>
          </w:r>
          <w:r>
            <w:rPr>
              <w:bCs/>
            </w:rPr>
            <w:tab/>
          </w:r>
          <w:r>
            <w:fldChar w:fldCharType="begin"/>
          </w:r>
          <w:r>
            <w:instrText>PAGE</w:instrText>
          </w:r>
          <w:r>
            <w:fldChar w:fldCharType="separate"/>
          </w:r>
          <w:r>
            <w:t>1</w:t>
          </w:r>
          <w:r>
            <w:rPr>
              <w:noProof/>
            </w:rPr>
            <w:fldChar w:fldCharType="end"/>
          </w:r>
        </w:p>
      </w:tc>
    </w:tr>
  </w:tbl>
  <w:p w14:paraId="19851C7D"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26FC2068" w14:textId="77777777" w:rsidTr="006B77F1">
      <w:trPr>
        <w:jc w:val="center"/>
      </w:trPr>
      <w:tc>
        <w:tcPr>
          <w:tcW w:w="1803" w:type="dxa"/>
          <w:vAlign w:val="center"/>
        </w:tcPr>
        <w:p w14:paraId="7478A3BA" w14:textId="77777777" w:rsidR="00EE49E8" w:rsidRPr="006B77F1" w:rsidRDefault="00DE532B" w:rsidP="00EE49E8">
          <w:pPr>
            <w:pStyle w:val="Header"/>
            <w:jc w:val="left"/>
            <w:rPr>
              <w:noProof/>
            </w:rPr>
          </w:pPr>
          <w:hyperlink r:id="rId1" w:history="1">
            <w:r>
              <w:rPr>
                <w:rStyle w:val="Hyperlink"/>
                <w:u w:val="none"/>
              </w:rPr>
              <w:t>council.itu.int/2026</w:t>
            </w:r>
          </w:hyperlink>
        </w:p>
      </w:tc>
      <w:tc>
        <w:tcPr>
          <w:tcW w:w="8261" w:type="dxa"/>
        </w:tcPr>
        <w:p w14:paraId="532E017E" w14:textId="0D80889B"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BD6180">
            <w:rPr>
              <w:bCs/>
            </w:rPr>
            <w:t>16</w:t>
          </w:r>
          <w:r w:rsidRPr="00623AE3">
            <w:rPr>
              <w:bCs/>
            </w:rPr>
            <w:t>-E</w:t>
          </w:r>
          <w:r>
            <w:rPr>
              <w:bCs/>
            </w:rPr>
            <w:tab/>
          </w:r>
          <w:r>
            <w:fldChar w:fldCharType="begin"/>
          </w:r>
          <w:r>
            <w:instrText>PAGE</w:instrText>
          </w:r>
          <w:r>
            <w:fldChar w:fldCharType="separate"/>
          </w:r>
          <w:r>
            <w:t>1</w:t>
          </w:r>
          <w:r>
            <w:rPr>
              <w:noProof/>
            </w:rPr>
            <w:fldChar w:fldCharType="end"/>
          </w:r>
        </w:p>
      </w:tc>
    </w:tr>
  </w:tbl>
  <w:p w14:paraId="31740342"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4D396" w14:textId="77777777" w:rsidR="00827C8B" w:rsidRDefault="00827C8B">
      <w:r>
        <w:t>____________________</w:t>
      </w:r>
    </w:p>
  </w:footnote>
  <w:footnote w:type="continuationSeparator" w:id="0">
    <w:p w14:paraId="6079C5C5" w14:textId="77777777" w:rsidR="00827C8B" w:rsidRDefault="00827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468EF" w14:textId="24152C43" w:rsidR="00AD3606" w:rsidRPr="00512087" w:rsidRDefault="00512087" w:rsidP="0049369C">
    <w:pPr>
      <w:pStyle w:val="Header"/>
    </w:pPr>
    <w:r>
      <w:rPr>
        <w:noProof/>
      </w:rPr>
      <w:drawing>
        <wp:inline distT="0" distB="0" distL="0" distR="0" wp14:anchorId="5B4FCA86" wp14:editId="1FAECDCE">
          <wp:extent cx="5760085" cy="840740"/>
          <wp:effectExtent l="0" t="0" r="0" b="0"/>
          <wp:docPr id="998791133" name="Picture 1">
            <a:extLst xmlns:a="http://schemas.openxmlformats.org/drawingml/2006/main">
              <a:ext uri="{FF2B5EF4-FFF2-40B4-BE49-F238E27FC236}">
                <a16:creationId xmlns:a16="http://schemas.microsoft.com/office/drawing/2014/main" id="{DA1E5960-B69E-454D-8C84-A5E9BB02EB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91133" name="Picture 998791133"/>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374816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228"/>
    <w:rsid w:val="00000D90"/>
    <w:rsid w:val="000023A5"/>
    <w:rsid w:val="000106BD"/>
    <w:rsid w:val="000210D4"/>
    <w:rsid w:val="000264F9"/>
    <w:rsid w:val="0006007D"/>
    <w:rsid w:val="000600AA"/>
    <w:rsid w:val="00063016"/>
    <w:rsid w:val="00066795"/>
    <w:rsid w:val="00076AF6"/>
    <w:rsid w:val="0008077E"/>
    <w:rsid w:val="00085CF2"/>
    <w:rsid w:val="00092936"/>
    <w:rsid w:val="000B1301"/>
    <w:rsid w:val="000B1705"/>
    <w:rsid w:val="000D75B2"/>
    <w:rsid w:val="000E372C"/>
    <w:rsid w:val="000E5539"/>
    <w:rsid w:val="000E7438"/>
    <w:rsid w:val="000F5DDB"/>
    <w:rsid w:val="001121F5"/>
    <w:rsid w:val="0011406E"/>
    <w:rsid w:val="00122742"/>
    <w:rsid w:val="001400DC"/>
    <w:rsid w:val="00140CE1"/>
    <w:rsid w:val="001410BD"/>
    <w:rsid w:val="00143D61"/>
    <w:rsid w:val="0015189A"/>
    <w:rsid w:val="00152845"/>
    <w:rsid w:val="0017539C"/>
    <w:rsid w:val="00175AC2"/>
    <w:rsid w:val="0017609F"/>
    <w:rsid w:val="00176F47"/>
    <w:rsid w:val="001913F0"/>
    <w:rsid w:val="00192D54"/>
    <w:rsid w:val="001A3154"/>
    <w:rsid w:val="001A5E5B"/>
    <w:rsid w:val="001A7D1D"/>
    <w:rsid w:val="001B51DD"/>
    <w:rsid w:val="001B528C"/>
    <w:rsid w:val="001C1752"/>
    <w:rsid w:val="001C202D"/>
    <w:rsid w:val="001C2727"/>
    <w:rsid w:val="001C2EFA"/>
    <w:rsid w:val="001C6264"/>
    <w:rsid w:val="001C628E"/>
    <w:rsid w:val="001E0F7B"/>
    <w:rsid w:val="001E49B7"/>
    <w:rsid w:val="001F5569"/>
    <w:rsid w:val="001F61E4"/>
    <w:rsid w:val="001F732D"/>
    <w:rsid w:val="001F7D47"/>
    <w:rsid w:val="0020487B"/>
    <w:rsid w:val="002119FD"/>
    <w:rsid w:val="002130E0"/>
    <w:rsid w:val="002179C4"/>
    <w:rsid w:val="00221F46"/>
    <w:rsid w:val="00253E2D"/>
    <w:rsid w:val="00264425"/>
    <w:rsid w:val="00265875"/>
    <w:rsid w:val="00265CE2"/>
    <w:rsid w:val="0027303B"/>
    <w:rsid w:val="00277DEA"/>
    <w:rsid w:val="002808B2"/>
    <w:rsid w:val="0028109B"/>
    <w:rsid w:val="002866C2"/>
    <w:rsid w:val="002916B4"/>
    <w:rsid w:val="00293A4C"/>
    <w:rsid w:val="002A0615"/>
    <w:rsid w:val="002A133E"/>
    <w:rsid w:val="002A2188"/>
    <w:rsid w:val="002B1F58"/>
    <w:rsid w:val="002B2B9A"/>
    <w:rsid w:val="002B44C5"/>
    <w:rsid w:val="002C1C7A"/>
    <w:rsid w:val="002C25D8"/>
    <w:rsid w:val="002C3F32"/>
    <w:rsid w:val="002C54E2"/>
    <w:rsid w:val="002E24FC"/>
    <w:rsid w:val="0030160F"/>
    <w:rsid w:val="00307845"/>
    <w:rsid w:val="00307915"/>
    <w:rsid w:val="00312137"/>
    <w:rsid w:val="00320223"/>
    <w:rsid w:val="00322D0D"/>
    <w:rsid w:val="003558C0"/>
    <w:rsid w:val="00361465"/>
    <w:rsid w:val="0036493A"/>
    <w:rsid w:val="00367B60"/>
    <w:rsid w:val="003877F5"/>
    <w:rsid w:val="003936D3"/>
    <w:rsid w:val="003942D4"/>
    <w:rsid w:val="003958A8"/>
    <w:rsid w:val="003A774A"/>
    <w:rsid w:val="003B29C2"/>
    <w:rsid w:val="003B4FAF"/>
    <w:rsid w:val="003C0A20"/>
    <w:rsid w:val="003C2533"/>
    <w:rsid w:val="003D5A7F"/>
    <w:rsid w:val="003F0228"/>
    <w:rsid w:val="0040435A"/>
    <w:rsid w:val="00411A88"/>
    <w:rsid w:val="00416A24"/>
    <w:rsid w:val="00431D9E"/>
    <w:rsid w:val="00433CE8"/>
    <w:rsid w:val="00434A5C"/>
    <w:rsid w:val="00453079"/>
    <w:rsid w:val="0045439F"/>
    <w:rsid w:val="004544D9"/>
    <w:rsid w:val="00463DC2"/>
    <w:rsid w:val="00472BAD"/>
    <w:rsid w:val="0048241A"/>
    <w:rsid w:val="00484009"/>
    <w:rsid w:val="00490E72"/>
    <w:rsid w:val="00491157"/>
    <w:rsid w:val="00491BA9"/>
    <w:rsid w:val="004921C8"/>
    <w:rsid w:val="0049369C"/>
    <w:rsid w:val="00495615"/>
    <w:rsid w:val="00495B0B"/>
    <w:rsid w:val="004A1085"/>
    <w:rsid w:val="004A1B8B"/>
    <w:rsid w:val="004A1D46"/>
    <w:rsid w:val="004B7F99"/>
    <w:rsid w:val="004D1851"/>
    <w:rsid w:val="004D599D"/>
    <w:rsid w:val="004E2EA5"/>
    <w:rsid w:val="004E3AEB"/>
    <w:rsid w:val="004F07E0"/>
    <w:rsid w:val="004F6925"/>
    <w:rsid w:val="0050223C"/>
    <w:rsid w:val="00505027"/>
    <w:rsid w:val="00512087"/>
    <w:rsid w:val="005243FF"/>
    <w:rsid w:val="005427E1"/>
    <w:rsid w:val="00553A08"/>
    <w:rsid w:val="005555DE"/>
    <w:rsid w:val="005614A8"/>
    <w:rsid w:val="00564FBC"/>
    <w:rsid w:val="005800BC"/>
    <w:rsid w:val="00582442"/>
    <w:rsid w:val="00596D4E"/>
    <w:rsid w:val="005A192C"/>
    <w:rsid w:val="005B4853"/>
    <w:rsid w:val="005B4B8F"/>
    <w:rsid w:val="005C4BAE"/>
    <w:rsid w:val="005F3269"/>
    <w:rsid w:val="0061071E"/>
    <w:rsid w:val="0061695A"/>
    <w:rsid w:val="006239ED"/>
    <w:rsid w:val="00623AE3"/>
    <w:rsid w:val="00627615"/>
    <w:rsid w:val="00640507"/>
    <w:rsid w:val="0064737F"/>
    <w:rsid w:val="006535F1"/>
    <w:rsid w:val="0065534A"/>
    <w:rsid w:val="0065557D"/>
    <w:rsid w:val="00656DE2"/>
    <w:rsid w:val="00660D50"/>
    <w:rsid w:val="00661B7C"/>
    <w:rsid w:val="00662984"/>
    <w:rsid w:val="006716BB"/>
    <w:rsid w:val="00671E67"/>
    <w:rsid w:val="00693286"/>
    <w:rsid w:val="006A2F4B"/>
    <w:rsid w:val="006B1859"/>
    <w:rsid w:val="006B6680"/>
    <w:rsid w:val="006B6DCC"/>
    <w:rsid w:val="006B77F1"/>
    <w:rsid w:val="006C5AA3"/>
    <w:rsid w:val="006E232E"/>
    <w:rsid w:val="0070234A"/>
    <w:rsid w:val="00702DEF"/>
    <w:rsid w:val="00706861"/>
    <w:rsid w:val="00711C5B"/>
    <w:rsid w:val="00722551"/>
    <w:rsid w:val="00726346"/>
    <w:rsid w:val="0075051B"/>
    <w:rsid w:val="00765C89"/>
    <w:rsid w:val="0077110E"/>
    <w:rsid w:val="00772B1F"/>
    <w:rsid w:val="00776558"/>
    <w:rsid w:val="00793188"/>
    <w:rsid w:val="00793392"/>
    <w:rsid w:val="00794D34"/>
    <w:rsid w:val="007A3FCD"/>
    <w:rsid w:val="007B19CF"/>
    <w:rsid w:val="007B7005"/>
    <w:rsid w:val="007D01AF"/>
    <w:rsid w:val="007E4836"/>
    <w:rsid w:val="007E6E81"/>
    <w:rsid w:val="007F3C67"/>
    <w:rsid w:val="008045E3"/>
    <w:rsid w:val="008102B1"/>
    <w:rsid w:val="00810976"/>
    <w:rsid w:val="00813E5E"/>
    <w:rsid w:val="008151F4"/>
    <w:rsid w:val="008159F0"/>
    <w:rsid w:val="00816C45"/>
    <w:rsid w:val="00827C8B"/>
    <w:rsid w:val="0083581B"/>
    <w:rsid w:val="008438ED"/>
    <w:rsid w:val="0084546D"/>
    <w:rsid w:val="008510FF"/>
    <w:rsid w:val="00862687"/>
    <w:rsid w:val="00863874"/>
    <w:rsid w:val="00864AFF"/>
    <w:rsid w:val="00865925"/>
    <w:rsid w:val="008843A9"/>
    <w:rsid w:val="008A6A33"/>
    <w:rsid w:val="008B349B"/>
    <w:rsid w:val="008B4A6A"/>
    <w:rsid w:val="008B7698"/>
    <w:rsid w:val="008C7E27"/>
    <w:rsid w:val="008E13FA"/>
    <w:rsid w:val="008E5FFF"/>
    <w:rsid w:val="008F1515"/>
    <w:rsid w:val="008F45E0"/>
    <w:rsid w:val="008F7448"/>
    <w:rsid w:val="0090147A"/>
    <w:rsid w:val="009173EF"/>
    <w:rsid w:val="00932906"/>
    <w:rsid w:val="00954C49"/>
    <w:rsid w:val="0095703C"/>
    <w:rsid w:val="00961B0B"/>
    <w:rsid w:val="00962D33"/>
    <w:rsid w:val="009842A1"/>
    <w:rsid w:val="00995876"/>
    <w:rsid w:val="009A67FA"/>
    <w:rsid w:val="009A76A8"/>
    <w:rsid w:val="009B38C3"/>
    <w:rsid w:val="009C0AAD"/>
    <w:rsid w:val="009D7A41"/>
    <w:rsid w:val="009E17BD"/>
    <w:rsid w:val="009E485A"/>
    <w:rsid w:val="009F02B9"/>
    <w:rsid w:val="009F5D24"/>
    <w:rsid w:val="009F616D"/>
    <w:rsid w:val="009F7FF9"/>
    <w:rsid w:val="00A02784"/>
    <w:rsid w:val="00A04CEC"/>
    <w:rsid w:val="00A072ED"/>
    <w:rsid w:val="00A1082F"/>
    <w:rsid w:val="00A109AF"/>
    <w:rsid w:val="00A10F97"/>
    <w:rsid w:val="00A14280"/>
    <w:rsid w:val="00A20C42"/>
    <w:rsid w:val="00A2654F"/>
    <w:rsid w:val="00A26D5F"/>
    <w:rsid w:val="00A26F43"/>
    <w:rsid w:val="00A27F92"/>
    <w:rsid w:val="00A32257"/>
    <w:rsid w:val="00A36D20"/>
    <w:rsid w:val="00A4027A"/>
    <w:rsid w:val="00A45191"/>
    <w:rsid w:val="00A514A4"/>
    <w:rsid w:val="00A55622"/>
    <w:rsid w:val="00A63970"/>
    <w:rsid w:val="00A666A5"/>
    <w:rsid w:val="00A70AEB"/>
    <w:rsid w:val="00A8078B"/>
    <w:rsid w:val="00A81AC1"/>
    <w:rsid w:val="00A83502"/>
    <w:rsid w:val="00A87460"/>
    <w:rsid w:val="00A94BAB"/>
    <w:rsid w:val="00AA0D1B"/>
    <w:rsid w:val="00AA6CAC"/>
    <w:rsid w:val="00AB795F"/>
    <w:rsid w:val="00AC447E"/>
    <w:rsid w:val="00AD15B3"/>
    <w:rsid w:val="00AD2366"/>
    <w:rsid w:val="00AD3606"/>
    <w:rsid w:val="00AD4043"/>
    <w:rsid w:val="00AD4A3D"/>
    <w:rsid w:val="00AF6E49"/>
    <w:rsid w:val="00B03AFD"/>
    <w:rsid w:val="00B04A67"/>
    <w:rsid w:val="00B0583C"/>
    <w:rsid w:val="00B106C8"/>
    <w:rsid w:val="00B20CED"/>
    <w:rsid w:val="00B31C71"/>
    <w:rsid w:val="00B40A81"/>
    <w:rsid w:val="00B44910"/>
    <w:rsid w:val="00B45EBC"/>
    <w:rsid w:val="00B72267"/>
    <w:rsid w:val="00B76EB6"/>
    <w:rsid w:val="00B7737B"/>
    <w:rsid w:val="00B824C8"/>
    <w:rsid w:val="00B84B9D"/>
    <w:rsid w:val="00B9131F"/>
    <w:rsid w:val="00B97EFE"/>
    <w:rsid w:val="00BB0646"/>
    <w:rsid w:val="00BB6B39"/>
    <w:rsid w:val="00BC251A"/>
    <w:rsid w:val="00BC4A20"/>
    <w:rsid w:val="00BC581F"/>
    <w:rsid w:val="00BD032B"/>
    <w:rsid w:val="00BD48F3"/>
    <w:rsid w:val="00BD6180"/>
    <w:rsid w:val="00BD7E50"/>
    <w:rsid w:val="00BE01C6"/>
    <w:rsid w:val="00BE2640"/>
    <w:rsid w:val="00BF1FDE"/>
    <w:rsid w:val="00BF3D2F"/>
    <w:rsid w:val="00C01189"/>
    <w:rsid w:val="00C0458D"/>
    <w:rsid w:val="00C04D21"/>
    <w:rsid w:val="00C20AA3"/>
    <w:rsid w:val="00C374DE"/>
    <w:rsid w:val="00C47AD4"/>
    <w:rsid w:val="00C51AD6"/>
    <w:rsid w:val="00C52D81"/>
    <w:rsid w:val="00C55198"/>
    <w:rsid w:val="00C57798"/>
    <w:rsid w:val="00C62D1B"/>
    <w:rsid w:val="00C6520B"/>
    <w:rsid w:val="00C66F01"/>
    <w:rsid w:val="00C72A6B"/>
    <w:rsid w:val="00C871BD"/>
    <w:rsid w:val="00CA143D"/>
    <w:rsid w:val="00CA6393"/>
    <w:rsid w:val="00CA7995"/>
    <w:rsid w:val="00CB0FC4"/>
    <w:rsid w:val="00CB18FF"/>
    <w:rsid w:val="00CC5CBE"/>
    <w:rsid w:val="00CC74DB"/>
    <w:rsid w:val="00CD0C08"/>
    <w:rsid w:val="00CD2DB0"/>
    <w:rsid w:val="00CE03FB"/>
    <w:rsid w:val="00CE24EA"/>
    <w:rsid w:val="00CE433C"/>
    <w:rsid w:val="00CF0161"/>
    <w:rsid w:val="00CF33F3"/>
    <w:rsid w:val="00CF4A2B"/>
    <w:rsid w:val="00D024CA"/>
    <w:rsid w:val="00D06183"/>
    <w:rsid w:val="00D211C0"/>
    <w:rsid w:val="00D21794"/>
    <w:rsid w:val="00D2227E"/>
    <w:rsid w:val="00D22C42"/>
    <w:rsid w:val="00D238B2"/>
    <w:rsid w:val="00D305E8"/>
    <w:rsid w:val="00D366BB"/>
    <w:rsid w:val="00D41E54"/>
    <w:rsid w:val="00D4781F"/>
    <w:rsid w:val="00D65041"/>
    <w:rsid w:val="00D658C0"/>
    <w:rsid w:val="00D91179"/>
    <w:rsid w:val="00D92983"/>
    <w:rsid w:val="00DA6C53"/>
    <w:rsid w:val="00DB1936"/>
    <w:rsid w:val="00DB384B"/>
    <w:rsid w:val="00DE532B"/>
    <w:rsid w:val="00DE576B"/>
    <w:rsid w:val="00DE7ECF"/>
    <w:rsid w:val="00DF0189"/>
    <w:rsid w:val="00E06FD5"/>
    <w:rsid w:val="00E10E80"/>
    <w:rsid w:val="00E124F0"/>
    <w:rsid w:val="00E15875"/>
    <w:rsid w:val="00E227F3"/>
    <w:rsid w:val="00E31025"/>
    <w:rsid w:val="00E545C6"/>
    <w:rsid w:val="00E60F04"/>
    <w:rsid w:val="00E62298"/>
    <w:rsid w:val="00E65B24"/>
    <w:rsid w:val="00E84948"/>
    <w:rsid w:val="00E854E4"/>
    <w:rsid w:val="00E85F32"/>
    <w:rsid w:val="00E86562"/>
    <w:rsid w:val="00E86DBF"/>
    <w:rsid w:val="00E95795"/>
    <w:rsid w:val="00E969AF"/>
    <w:rsid w:val="00EB0D6F"/>
    <w:rsid w:val="00EB2232"/>
    <w:rsid w:val="00EC5337"/>
    <w:rsid w:val="00ED1F86"/>
    <w:rsid w:val="00EE49E8"/>
    <w:rsid w:val="00F16A4D"/>
    <w:rsid w:val="00F16BAB"/>
    <w:rsid w:val="00F2150A"/>
    <w:rsid w:val="00F231D8"/>
    <w:rsid w:val="00F44C00"/>
    <w:rsid w:val="00F45D2C"/>
    <w:rsid w:val="00F46C5F"/>
    <w:rsid w:val="00F632C0"/>
    <w:rsid w:val="00F641E1"/>
    <w:rsid w:val="00F71B8B"/>
    <w:rsid w:val="00F73430"/>
    <w:rsid w:val="00F8154E"/>
    <w:rsid w:val="00F8309E"/>
    <w:rsid w:val="00F93800"/>
    <w:rsid w:val="00F938F1"/>
    <w:rsid w:val="00F94A63"/>
    <w:rsid w:val="00FA1C28"/>
    <w:rsid w:val="00FB1279"/>
    <w:rsid w:val="00FB6064"/>
    <w:rsid w:val="00FB6B76"/>
    <w:rsid w:val="00FB7596"/>
    <w:rsid w:val="00FD5EB2"/>
    <w:rsid w:val="00FE4077"/>
    <w:rsid w:val="00FE500D"/>
    <w:rsid w:val="00FE77D2"/>
    <w:rsid w:val="00FF39B1"/>
    <w:rsid w:val="00FF4A05"/>
    <w:rsid w:val="024DF994"/>
    <w:rsid w:val="063925C1"/>
    <w:rsid w:val="07670DEC"/>
    <w:rsid w:val="07C1AB78"/>
    <w:rsid w:val="0A2D326B"/>
    <w:rsid w:val="0AE15538"/>
    <w:rsid w:val="14EC11B9"/>
    <w:rsid w:val="16B2A92F"/>
    <w:rsid w:val="172E517D"/>
    <w:rsid w:val="206B1211"/>
    <w:rsid w:val="211F25D0"/>
    <w:rsid w:val="213F6FD9"/>
    <w:rsid w:val="219B6FE4"/>
    <w:rsid w:val="28B6C576"/>
    <w:rsid w:val="2E2B91C4"/>
    <w:rsid w:val="2F180461"/>
    <w:rsid w:val="3529CDAE"/>
    <w:rsid w:val="3573CB17"/>
    <w:rsid w:val="37157739"/>
    <w:rsid w:val="3B0D0E7F"/>
    <w:rsid w:val="4497AD70"/>
    <w:rsid w:val="45CD494E"/>
    <w:rsid w:val="486E1B78"/>
    <w:rsid w:val="49294D93"/>
    <w:rsid w:val="4B1D93CE"/>
    <w:rsid w:val="4E4F4C5B"/>
    <w:rsid w:val="4F6615D3"/>
    <w:rsid w:val="56AC55CB"/>
    <w:rsid w:val="5720E2CA"/>
    <w:rsid w:val="57DAE1E7"/>
    <w:rsid w:val="5813C315"/>
    <w:rsid w:val="5F441EB1"/>
    <w:rsid w:val="616094BA"/>
    <w:rsid w:val="62C82E36"/>
    <w:rsid w:val="64E17416"/>
    <w:rsid w:val="662446F2"/>
    <w:rsid w:val="696650F6"/>
    <w:rsid w:val="6BC52E59"/>
    <w:rsid w:val="6D25B5F1"/>
    <w:rsid w:val="7020A57B"/>
    <w:rsid w:val="712917BD"/>
    <w:rsid w:val="7603858B"/>
    <w:rsid w:val="783D38B1"/>
    <w:rsid w:val="7880F47A"/>
    <w:rsid w:val="7B815751"/>
    <w:rsid w:val="7C5F7E60"/>
    <w:rsid w:val="7F4E5F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9DA2C7"/>
  <w15:docId w15:val="{8D82485D-A8CC-4405-8DC9-9E264E04C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B9131F"/>
    <w:pPr>
      <w:keepNext/>
      <w:keepLines/>
      <w:spacing w:before="360"/>
      <w:ind w:left="567" w:hanging="567"/>
      <w:outlineLvl w:val="0"/>
    </w:pPr>
    <w:rPr>
      <w:b/>
      <w:sz w:val="28"/>
    </w:rPr>
  </w:style>
  <w:style w:type="paragraph" w:styleId="Heading2">
    <w:name w:val="heading 2"/>
    <w:basedOn w:val="Heading1"/>
    <w:next w:val="Normal"/>
    <w:qFormat/>
    <w:rsid w:val="00B9131F"/>
    <w:pPr>
      <w:spacing w:before="240"/>
      <w:outlineLvl w:val="1"/>
    </w:pPr>
    <w:rPr>
      <w:sz w:val="24"/>
    </w:rPr>
  </w:style>
  <w:style w:type="paragraph" w:styleId="Heading3">
    <w:name w:val="heading 3"/>
    <w:basedOn w:val="Heading1"/>
    <w:next w:val="Normal"/>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2C54E2"/>
    <w:pPr>
      <w:framePr w:hSpace="180" w:wrap="around" w:vAnchor="page" w:hAnchor="margin" w:y="2101"/>
      <w:spacing w:before="840"/>
    </w:pPr>
    <w:rPr>
      <w:b/>
      <w:sz w:val="34"/>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176F47"/>
    <w:pPr>
      <w:framePr w:wrap="around" w:vAnchor="margin" w:hAnchor="page" w:x="1821" w:y="2317"/>
      <w:spacing w:before="120" w:after="120"/>
    </w:pPr>
    <w:rPr>
      <w:sz w:val="32"/>
      <w:szCs w:val="32"/>
    </w:r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152845"/>
    <w:pPr>
      <w:tabs>
        <w:tab w:val="clear" w:pos="567"/>
        <w:tab w:val="clear" w:pos="1134"/>
        <w:tab w:val="clear" w:pos="1701"/>
        <w:tab w:val="clear" w:pos="2268"/>
        <w:tab w:val="clear" w:pos="2835"/>
      </w:tabs>
      <w:spacing w:before="40" w:after="4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152845"/>
    <w:pPr>
      <w:spacing w:before="80" w:after="80"/>
      <w:jc w:val="center"/>
    </w:pPr>
    <w:rPr>
      <w:b/>
    </w:rPr>
  </w:style>
  <w:style w:type="paragraph" w:customStyle="1" w:styleId="Tablelegend">
    <w:name w:val="Table_legend"/>
    <w:basedOn w:val="Tabletext"/>
    <w:rsid w:val="000106BD"/>
    <w:pPr>
      <w:tabs>
        <w:tab w:val="left" w:pos="284"/>
      </w:tabs>
    </w:pPr>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paragraph" w:customStyle="1" w:styleId="Tablefin">
    <w:name w:val="Table_fin"/>
    <w:basedOn w:val="Tabletext"/>
    <w:rsid w:val="00726346"/>
    <w:pPr>
      <w:spacing w:before="0" w:after="0"/>
    </w:pPr>
  </w:style>
  <w:style w:type="character" w:styleId="CommentReference">
    <w:name w:val="annotation reference"/>
    <w:basedOn w:val="DefaultParagraphFont"/>
    <w:semiHidden/>
    <w:unhideWhenUsed/>
    <w:rsid w:val="00152845"/>
    <w:rPr>
      <w:sz w:val="16"/>
      <w:szCs w:val="16"/>
    </w:rPr>
  </w:style>
  <w:style w:type="paragraph" w:styleId="CommentText">
    <w:name w:val="annotation text"/>
    <w:basedOn w:val="Normal"/>
    <w:link w:val="CommentTextChar"/>
    <w:unhideWhenUsed/>
    <w:rsid w:val="00152845"/>
    <w:rPr>
      <w:sz w:val="20"/>
    </w:rPr>
  </w:style>
  <w:style w:type="character" w:customStyle="1" w:styleId="CommentTextChar">
    <w:name w:val="Comment Text Char"/>
    <w:basedOn w:val="DefaultParagraphFont"/>
    <w:link w:val="CommentText"/>
    <w:rsid w:val="00152845"/>
    <w:rPr>
      <w:rFonts w:ascii="Calibri" w:hAnsi="Calibri"/>
      <w:lang w:val="en-GB" w:eastAsia="en-US"/>
    </w:rPr>
  </w:style>
  <w:style w:type="paragraph" w:styleId="CommentSubject">
    <w:name w:val="annotation subject"/>
    <w:basedOn w:val="CommentText"/>
    <w:next w:val="CommentText"/>
    <w:link w:val="CommentSubjectChar"/>
    <w:semiHidden/>
    <w:unhideWhenUsed/>
    <w:rsid w:val="00152845"/>
    <w:rPr>
      <w:b/>
      <w:bCs/>
    </w:rPr>
  </w:style>
  <w:style w:type="character" w:customStyle="1" w:styleId="CommentSubjectChar">
    <w:name w:val="Comment Subject Char"/>
    <w:basedOn w:val="CommentTextChar"/>
    <w:link w:val="CommentSubject"/>
    <w:semiHidden/>
    <w:rsid w:val="00152845"/>
    <w:rPr>
      <w:rFonts w:ascii="Calibri" w:hAnsi="Calibri"/>
      <w:b/>
      <w:bCs/>
      <w:lang w:val="en-GB" w:eastAsia="en-US"/>
    </w:rPr>
  </w:style>
  <w:style w:type="paragraph" w:styleId="Revision">
    <w:name w:val="Revision"/>
    <w:hidden/>
    <w:uiPriority w:val="99"/>
    <w:semiHidden/>
    <w:rsid w:val="00E85F32"/>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S25-CL-C-0011/en" TargetMode="External"/><Relationship Id="rId18" Type="http://schemas.openxmlformats.org/officeDocument/2006/relationships/hyperlink" Target="https://www.itu.int/md/S26-CL-C-0042/en"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itu.int/md/S25-CL-C-0125/en" TargetMode="External"/><Relationship Id="rId17" Type="http://schemas.openxmlformats.org/officeDocument/2006/relationships/hyperlink" Target="https://www.itu.int/md/S25-CL-C-0125/en" TargetMode="External"/><Relationship Id="rId2" Type="http://schemas.openxmlformats.org/officeDocument/2006/relationships/customXml" Target="../customXml/item2.xml"/><Relationship Id="rId16" Type="http://schemas.openxmlformats.org/officeDocument/2006/relationships/hyperlink" Target="https://www.itu.int/md/S26-CL-C-0011/e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council/Documents/basic-texts-2023/RES-091-E.pdf" TargetMode="External"/><Relationship Id="rId5" Type="http://schemas.openxmlformats.org/officeDocument/2006/relationships/numbering" Target="numbering.xml"/><Relationship Id="rId15" Type="http://schemas.openxmlformats.org/officeDocument/2006/relationships/hyperlink" Target="https://www.itu.int/md/S25-CL-C-0125/e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S25-CL-C-0016/en"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14E447ED7B9DA4C9F10BB2808D9DCA9" ma:contentTypeVersion="3" ma:contentTypeDescription="Create a new document." ma:contentTypeScope="" ma:versionID="4afaeb79d6a2790373f49a79692783b2">
  <xsd:schema xmlns:xsd="http://www.w3.org/2001/XMLSchema" xmlns:xs="http://www.w3.org/2001/XMLSchema" xmlns:p="http://schemas.microsoft.com/office/2006/metadata/properties" xmlns:ns2="a4c22657-7647-457b-a399-8471255bb166" targetNamespace="http://schemas.microsoft.com/office/2006/metadata/properties" ma:root="true" ma:fieldsID="4a7ff88f8157323695e407bed448c3fb" ns2:_="">
    <xsd:import namespace="a4c22657-7647-457b-a399-8471255bb16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22657-7647-457b-a399-8471255bb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98F23A-63A6-4386-A898-AEB0FE77792A}">
  <ds:schemaRefs>
    <ds:schemaRef ds:uri="http://schemas.microsoft.com/sharepoint/v3/contenttype/forms"/>
  </ds:schemaRefs>
</ds:datastoreItem>
</file>

<file path=customXml/itemProps2.xml><?xml version="1.0" encoding="utf-8"?>
<ds:datastoreItem xmlns:ds="http://schemas.openxmlformats.org/officeDocument/2006/customXml" ds:itemID="{D3696426-187E-4D8F-B434-B4AF62EA6905}">
  <ds:schemaRefs>
    <ds:schemaRef ds:uri="http://schemas.openxmlformats.org/officeDocument/2006/bibliography"/>
  </ds:schemaRefs>
</ds:datastoreItem>
</file>

<file path=customXml/itemProps3.xml><?xml version="1.0" encoding="utf-8"?>
<ds:datastoreItem xmlns:ds="http://schemas.openxmlformats.org/officeDocument/2006/customXml" ds:itemID="{CBE66BEB-2016-4D0D-983F-CF770F1A7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22657-7647-457b-a399-8471255bb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CA2C9C-8ADA-420B-B73C-479384479E9E}">
  <ds:schemaRefs>
    <ds:schemaRef ds:uri="http://schemas.microsoft.com/office/2006/documentManagement/types"/>
    <ds:schemaRef ds:uri="http://schemas.microsoft.com/office/2006/metadata/properties"/>
    <ds:schemaRef ds:uri="http://purl.org/dc/dcmitype/"/>
    <ds:schemaRef ds:uri="http://schemas.openxmlformats.org/package/2006/metadata/core-properties"/>
    <ds:schemaRef ds:uri="a4c22657-7647-457b-a399-8471255bb166"/>
    <ds:schemaRef ds:uri="http://purl.org/dc/terms/"/>
    <ds:schemaRef ds:uri="http://purl.org/dc/elements/1.1/"/>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1329</Words>
  <Characters>7024</Characters>
  <Application>Microsoft Office Word</Application>
  <DocSecurity>0</DocSecurity>
  <Lines>164</Lines>
  <Paragraphs>81</Paragraphs>
  <ScaleCrop>false</ScaleCrop>
  <HeadingPairs>
    <vt:vector size="2" baseType="variant">
      <vt:variant>
        <vt:lpstr>Title</vt:lpstr>
      </vt:variant>
      <vt:variant>
        <vt:i4>1</vt:i4>
      </vt:variant>
    </vt:vector>
  </HeadingPairs>
  <TitlesOfParts>
    <vt:vector size="1" baseType="lpstr">
      <vt:lpstr>Cost recovery for the processing of satellite network filings</vt:lpstr>
    </vt:vector>
  </TitlesOfParts>
  <Manager>General Secretariat</Manager>
  <Company>International Telecommunication Union (ITU)</Company>
  <LinksUpToDate>false</LinksUpToDate>
  <CharactersWithSpaces>8287</CharactersWithSpaces>
  <SharedDoc>false</SharedDoc>
  <HLinks>
    <vt:vector size="48" baseType="variant">
      <vt:variant>
        <vt:i4>7536702</vt:i4>
      </vt:variant>
      <vt:variant>
        <vt:i4>18</vt:i4>
      </vt:variant>
      <vt:variant>
        <vt:i4>0</vt:i4>
      </vt:variant>
      <vt:variant>
        <vt:i4>5</vt:i4>
      </vt:variant>
      <vt:variant>
        <vt:lpwstr>https://www.itu.int/md/S25-CL-C-0125/en</vt:lpwstr>
      </vt:variant>
      <vt:variant>
        <vt:lpwstr/>
      </vt:variant>
      <vt:variant>
        <vt:i4>7667773</vt:i4>
      </vt:variant>
      <vt:variant>
        <vt:i4>15</vt:i4>
      </vt:variant>
      <vt:variant>
        <vt:i4>0</vt:i4>
      </vt:variant>
      <vt:variant>
        <vt:i4>5</vt:i4>
      </vt:variant>
      <vt:variant>
        <vt:lpwstr>https://www.itu.int/md/S26-CL-C-0011/en</vt:lpwstr>
      </vt:variant>
      <vt:variant>
        <vt:lpwstr/>
      </vt:variant>
      <vt:variant>
        <vt:i4>7536702</vt:i4>
      </vt:variant>
      <vt:variant>
        <vt:i4>12</vt:i4>
      </vt:variant>
      <vt:variant>
        <vt:i4>0</vt:i4>
      </vt:variant>
      <vt:variant>
        <vt:i4>5</vt:i4>
      </vt:variant>
      <vt:variant>
        <vt:lpwstr>https://www.itu.int/md/S25-CL-C-0125/en</vt:lpwstr>
      </vt:variant>
      <vt:variant>
        <vt:lpwstr/>
      </vt:variant>
      <vt:variant>
        <vt:i4>7405629</vt:i4>
      </vt:variant>
      <vt:variant>
        <vt:i4>9</vt:i4>
      </vt:variant>
      <vt:variant>
        <vt:i4>0</vt:i4>
      </vt:variant>
      <vt:variant>
        <vt:i4>5</vt:i4>
      </vt:variant>
      <vt:variant>
        <vt:lpwstr>https://www.itu.int/md/S25-CL-C-0016/en</vt:lpwstr>
      </vt:variant>
      <vt:variant>
        <vt:lpwstr/>
      </vt:variant>
      <vt:variant>
        <vt:i4>7733309</vt:i4>
      </vt:variant>
      <vt:variant>
        <vt:i4>6</vt:i4>
      </vt:variant>
      <vt:variant>
        <vt:i4>0</vt:i4>
      </vt:variant>
      <vt:variant>
        <vt:i4>5</vt:i4>
      </vt:variant>
      <vt:variant>
        <vt:lpwstr>https://www.itu.int/md/S25-CL-C-0011/en</vt:lpwstr>
      </vt:variant>
      <vt:variant>
        <vt:lpwstr/>
      </vt:variant>
      <vt:variant>
        <vt:i4>7536702</vt:i4>
      </vt:variant>
      <vt:variant>
        <vt:i4>3</vt:i4>
      </vt:variant>
      <vt:variant>
        <vt:i4>0</vt:i4>
      </vt:variant>
      <vt:variant>
        <vt:i4>5</vt:i4>
      </vt:variant>
      <vt:variant>
        <vt:lpwstr>https://www.itu.int/md/S25-CL-C-0125/en</vt:lpwstr>
      </vt:variant>
      <vt:variant>
        <vt:lpwstr/>
      </vt:variant>
      <vt:variant>
        <vt:i4>6750311</vt:i4>
      </vt:variant>
      <vt:variant>
        <vt:i4>0</vt:i4>
      </vt:variant>
      <vt:variant>
        <vt:i4>0</vt:i4>
      </vt:variant>
      <vt:variant>
        <vt:i4>5</vt:i4>
      </vt:variant>
      <vt:variant>
        <vt:lpwstr>https://www.itu.int/en/council/Documents/basic-texts-2023/RES-091-E.pdf</vt:lpwstr>
      </vt:variant>
      <vt:variant>
        <vt:lpwstr/>
      </vt:variant>
      <vt:variant>
        <vt:i4>25</vt:i4>
      </vt:variant>
      <vt:variant>
        <vt:i4>3</vt:i4>
      </vt:variant>
      <vt:variant>
        <vt:i4>0</vt:i4>
      </vt:variant>
      <vt:variant>
        <vt:i4>5</vt:i4>
      </vt:variant>
      <vt:variant>
        <vt:lpwstr>https://council.itu.int/2026/en/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Cost recovery for the processing of satellite network filings</dc:title>
  <dc:subject>ITU Council 2026</dc:subject>
  <cp:keywords>C26; C2026; Council 2026; PP26</cp:keywords>
  <dc:description/>
  <cp:lastPrinted>2000-07-20T01:30:00Z</cp:lastPrinted>
  <dcterms:created xsi:type="dcterms:W3CDTF">2026-03-03T14:41:00Z</dcterms:created>
  <dcterms:modified xsi:type="dcterms:W3CDTF">2026-03-03T15:08:00Z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y fmtid="{D5CDD505-2E9C-101B-9397-08002B2CF9AE}" pid="9" name="ContentTypeId">
    <vt:lpwstr>0x010100814E447ED7B9DA4C9F10BB2808D9DCA9</vt:lpwstr>
  </property>
  <property fmtid="{D5CDD505-2E9C-101B-9397-08002B2CF9AE}" pid="10" name="docLang">
    <vt:lpwstr>en</vt:lpwstr>
  </property>
</Properties>
</file>