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000D107" w14:textId="77777777" w:rsidTr="00F363FE">
        <w:tc>
          <w:tcPr>
            <w:tcW w:w="6512" w:type="dxa"/>
          </w:tcPr>
          <w:p w14:paraId="7CF070B9" w14:textId="5359EA24"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BA32BD">
              <w:rPr>
                <w:rFonts w:hint="cs"/>
                <w:b/>
                <w:bCs/>
                <w:rtl/>
                <w:lang w:bidi="ar-EG"/>
              </w:rPr>
              <w:t xml:space="preserve"> </w:t>
            </w:r>
            <w:r w:rsidR="00BA32BD">
              <w:rPr>
                <w:b/>
                <w:bCs/>
                <w:lang w:bidi="ar-EG"/>
              </w:rPr>
              <w:t>ADM 1</w:t>
            </w:r>
          </w:p>
        </w:tc>
        <w:tc>
          <w:tcPr>
            <w:tcW w:w="3117" w:type="dxa"/>
          </w:tcPr>
          <w:p w14:paraId="2F216A89" w14:textId="7107EC66"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BA32BD">
              <w:rPr>
                <w:b/>
                <w:bCs/>
                <w:lang w:bidi="ar-EG"/>
              </w:rPr>
              <w:t>16</w:t>
            </w:r>
            <w:r w:rsidRPr="007B0AA0">
              <w:rPr>
                <w:b/>
                <w:bCs/>
                <w:lang w:bidi="ar-EG"/>
              </w:rPr>
              <w:t>-A</w:t>
            </w:r>
          </w:p>
        </w:tc>
      </w:tr>
      <w:tr w:rsidR="007B0AA0" w14:paraId="2FA9DB5D" w14:textId="77777777" w:rsidTr="00F363FE">
        <w:tc>
          <w:tcPr>
            <w:tcW w:w="6512" w:type="dxa"/>
          </w:tcPr>
          <w:p w14:paraId="2A5FC96B" w14:textId="77777777" w:rsidR="007B0AA0" w:rsidRPr="007B0AA0" w:rsidRDefault="007B0AA0" w:rsidP="00F363FE">
            <w:pPr>
              <w:spacing w:before="60" w:after="60" w:line="260" w:lineRule="exact"/>
              <w:rPr>
                <w:b/>
                <w:bCs/>
                <w:rtl/>
                <w:lang w:bidi="ar-EG"/>
              </w:rPr>
            </w:pPr>
          </w:p>
        </w:tc>
        <w:tc>
          <w:tcPr>
            <w:tcW w:w="3117" w:type="dxa"/>
          </w:tcPr>
          <w:p w14:paraId="37BED979" w14:textId="34B6C503" w:rsidR="007B0AA0" w:rsidRPr="007B0AA0" w:rsidRDefault="00BA32BD" w:rsidP="00F363FE">
            <w:pPr>
              <w:spacing w:before="60" w:after="60" w:line="260" w:lineRule="exact"/>
              <w:rPr>
                <w:b/>
                <w:bCs/>
                <w:rtl/>
                <w:lang w:bidi="ar-EG"/>
              </w:rPr>
            </w:pPr>
            <w:r>
              <w:rPr>
                <w:rFonts w:hint="cs"/>
                <w:b/>
                <w:bCs/>
                <w:rtl/>
              </w:rPr>
              <w:t>‏3‏ مارس‏ 2026</w:t>
            </w:r>
          </w:p>
        </w:tc>
      </w:tr>
      <w:tr w:rsidR="007B0AA0" w14:paraId="68C9DC2C" w14:textId="77777777" w:rsidTr="00F363FE">
        <w:tc>
          <w:tcPr>
            <w:tcW w:w="6512" w:type="dxa"/>
          </w:tcPr>
          <w:p w14:paraId="2251418C" w14:textId="77777777" w:rsidR="007B0AA0" w:rsidRPr="007B0AA0" w:rsidRDefault="007B0AA0" w:rsidP="00F363FE">
            <w:pPr>
              <w:spacing w:before="60" w:after="60" w:line="260" w:lineRule="exact"/>
              <w:rPr>
                <w:b/>
                <w:bCs/>
                <w:rtl/>
                <w:lang w:bidi="ar-EG"/>
              </w:rPr>
            </w:pPr>
          </w:p>
        </w:tc>
        <w:tc>
          <w:tcPr>
            <w:tcW w:w="3117" w:type="dxa"/>
          </w:tcPr>
          <w:p w14:paraId="224C6BA2"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217801F3" w14:textId="77777777" w:rsidTr="00F363FE">
        <w:tc>
          <w:tcPr>
            <w:tcW w:w="6512" w:type="dxa"/>
          </w:tcPr>
          <w:p w14:paraId="23107846" w14:textId="77777777" w:rsidR="007B0AA0" w:rsidRDefault="007B0AA0" w:rsidP="00F363FE">
            <w:pPr>
              <w:spacing w:before="60" w:after="60" w:line="260" w:lineRule="exact"/>
              <w:rPr>
                <w:lang w:bidi="ar-EG"/>
              </w:rPr>
            </w:pPr>
          </w:p>
        </w:tc>
        <w:tc>
          <w:tcPr>
            <w:tcW w:w="3117" w:type="dxa"/>
          </w:tcPr>
          <w:p w14:paraId="49E2EBAC" w14:textId="77777777" w:rsidR="007B0AA0" w:rsidRDefault="007B0AA0" w:rsidP="00F363FE">
            <w:pPr>
              <w:spacing w:before="60" w:after="60" w:line="260" w:lineRule="exact"/>
              <w:rPr>
                <w:rtl/>
                <w:lang w:bidi="ar-EG"/>
              </w:rPr>
            </w:pPr>
          </w:p>
        </w:tc>
      </w:tr>
      <w:tr w:rsidR="007B0AA0" w14:paraId="6619C637" w14:textId="77777777" w:rsidTr="00EE7446">
        <w:tc>
          <w:tcPr>
            <w:tcW w:w="9629" w:type="dxa"/>
            <w:gridSpan w:val="2"/>
          </w:tcPr>
          <w:p w14:paraId="13EF804D" w14:textId="77777777" w:rsidR="007B0AA0" w:rsidRPr="0078387D" w:rsidRDefault="001D64C7" w:rsidP="0078387D">
            <w:pPr>
              <w:pStyle w:val="Source"/>
              <w:jc w:val="both"/>
            </w:pPr>
            <w:r w:rsidRPr="0078387D">
              <w:rPr>
                <w:rFonts w:hint="cs"/>
                <w:rtl/>
              </w:rPr>
              <w:t>تقرير من الأمينة العامة</w:t>
            </w:r>
          </w:p>
        </w:tc>
      </w:tr>
      <w:tr w:rsidR="007B0AA0" w14:paraId="7EE3985F" w14:textId="77777777" w:rsidTr="007B0AA0">
        <w:tc>
          <w:tcPr>
            <w:tcW w:w="9629" w:type="dxa"/>
            <w:gridSpan w:val="2"/>
            <w:tcBorders>
              <w:bottom w:val="single" w:sz="4" w:space="0" w:color="auto"/>
            </w:tcBorders>
          </w:tcPr>
          <w:p w14:paraId="05D60752" w14:textId="5FF29F41" w:rsidR="007B0AA0" w:rsidRPr="0078387D" w:rsidRDefault="00242C61" w:rsidP="0078387D">
            <w:pPr>
              <w:pStyle w:val="Subtitle0"/>
            </w:pPr>
            <w:r w:rsidRPr="0078387D">
              <w:rPr>
                <w:rtl/>
              </w:rPr>
              <w:t>استرداد تكاليف معالجة بطاقات التبليغ عن الشبكات الساتلية</w:t>
            </w:r>
          </w:p>
        </w:tc>
      </w:tr>
      <w:tr w:rsidR="007B0AA0" w14:paraId="221B7045" w14:textId="77777777" w:rsidTr="007B0AA0">
        <w:tc>
          <w:tcPr>
            <w:tcW w:w="9629" w:type="dxa"/>
            <w:gridSpan w:val="2"/>
            <w:tcBorders>
              <w:top w:val="single" w:sz="4" w:space="0" w:color="auto"/>
              <w:bottom w:val="single" w:sz="4" w:space="0" w:color="auto"/>
            </w:tcBorders>
          </w:tcPr>
          <w:p w14:paraId="7C596E91" w14:textId="77777777" w:rsidR="007B0AA0" w:rsidRPr="007B0AA0" w:rsidRDefault="007B0AA0" w:rsidP="007B0AA0">
            <w:pPr>
              <w:rPr>
                <w:b/>
                <w:bCs/>
                <w:rtl/>
              </w:rPr>
            </w:pPr>
            <w:r w:rsidRPr="00494119">
              <w:rPr>
                <w:rFonts w:hint="cs"/>
                <w:b/>
                <w:bCs/>
                <w:rtl/>
              </w:rPr>
              <w:t>الغرض</w:t>
            </w:r>
          </w:p>
          <w:p w14:paraId="0DF3ACD6" w14:textId="2F12B4AB" w:rsidR="007B0AA0" w:rsidRDefault="00242C61" w:rsidP="007B0AA0">
            <w:pPr>
              <w:rPr>
                <w:rtl/>
              </w:rPr>
            </w:pPr>
            <w:r w:rsidRPr="00242C61">
              <w:rPr>
                <w:rtl/>
              </w:rPr>
              <w:t>تعرض هذه الوثيقة التقرير السنوي عن تنفيذ استرداد تكاليف معالجة بطاقات التبليغ عن الشبكات الساتلية، عملاً بمقرر مجلس الاتحاد 482 (الصادر في دورة المجلس لعام 2001، والمعدَّل آخر مرة في دورة المجلس لعام 2025).</w:t>
            </w:r>
          </w:p>
          <w:p w14:paraId="583A4078" w14:textId="77777777" w:rsidR="007B0AA0" w:rsidRPr="007B0AA0" w:rsidRDefault="007B0AA0" w:rsidP="007B0AA0">
            <w:pPr>
              <w:rPr>
                <w:b/>
                <w:bCs/>
                <w:rtl/>
              </w:rPr>
            </w:pPr>
            <w:r w:rsidRPr="007B0AA0">
              <w:rPr>
                <w:rFonts w:hint="cs"/>
                <w:b/>
                <w:bCs/>
                <w:rtl/>
              </w:rPr>
              <w:t>الإجراء المطلوب من المجلس</w:t>
            </w:r>
          </w:p>
          <w:p w14:paraId="4DC8144F" w14:textId="1675F90A" w:rsidR="007B0AA0" w:rsidRPr="00242C61" w:rsidRDefault="00242C61" w:rsidP="00242C61">
            <w:pPr>
              <w:rPr>
                <w:rtl/>
              </w:rPr>
            </w:pPr>
            <w:r w:rsidRPr="00242C61">
              <w:rPr>
                <w:rFonts w:hint="cs"/>
                <w:rtl/>
              </w:rPr>
              <w:t xml:space="preserve">يُدعى المجلس إلى </w:t>
            </w:r>
            <w:r w:rsidRPr="00242C61">
              <w:rPr>
                <w:rFonts w:hint="cs"/>
                <w:b/>
                <w:bCs/>
                <w:rtl/>
              </w:rPr>
              <w:t>الإحاطة علماً</w:t>
            </w:r>
            <w:r w:rsidRPr="00242C61">
              <w:rPr>
                <w:rFonts w:hint="cs"/>
                <w:rtl/>
              </w:rPr>
              <w:t xml:space="preserve"> </w:t>
            </w:r>
            <w:r w:rsidRPr="00242C61">
              <w:rPr>
                <w:rFonts w:hint="cs"/>
                <w:rtl/>
                <w:lang w:bidi="ar-SY"/>
              </w:rPr>
              <w:t>بهذا التقرير عن</w:t>
            </w:r>
            <w:r w:rsidRPr="00242C61">
              <w:rPr>
                <w:rFonts w:hint="cs"/>
                <w:rtl/>
              </w:rPr>
              <w:t xml:space="preserve"> حالة تنفيذ استرداد تكاليف معالجة بطاقات التبليغ عن الشبكات الساتلية، </w:t>
            </w:r>
            <w:r w:rsidRPr="00930DF6">
              <w:rPr>
                <w:rFonts w:hint="cs"/>
                <w:rtl/>
              </w:rPr>
              <w:t>و</w:t>
            </w:r>
            <w:r w:rsidRPr="00242C61">
              <w:rPr>
                <w:rFonts w:hint="cs"/>
                <w:b/>
                <w:bCs/>
                <w:rtl/>
              </w:rPr>
              <w:t xml:space="preserve">تكليف فريق العمل التابع للمجلس والمعني </w:t>
            </w:r>
            <w:r w:rsidRPr="00242C61">
              <w:rPr>
                <w:rFonts w:hint="cs"/>
                <w:b/>
                <w:bCs/>
                <w:rtl/>
                <w:lang w:bidi="ar-SY"/>
              </w:rPr>
              <w:t>ب</w:t>
            </w:r>
            <w:r w:rsidRPr="00242C61">
              <w:rPr>
                <w:rFonts w:hint="cs"/>
                <w:b/>
                <w:bCs/>
                <w:rtl/>
              </w:rPr>
              <w:t>الموارد المالية والبشرية</w:t>
            </w:r>
            <w:r w:rsidRPr="00242C61">
              <w:rPr>
                <w:rFonts w:hint="cs"/>
                <w:rtl/>
              </w:rPr>
              <w:t xml:space="preserve"> </w:t>
            </w:r>
            <w:r w:rsidRPr="00242C61">
              <w:rPr>
                <w:rFonts w:hint="cs"/>
                <w:b/>
                <w:bCs/>
                <w:rtl/>
              </w:rPr>
              <w:t>بدراسة</w:t>
            </w:r>
            <w:r w:rsidRPr="00242C61">
              <w:rPr>
                <w:rFonts w:hint="cs"/>
                <w:rtl/>
              </w:rPr>
              <w:t xml:space="preserve"> سبل ضمان إجراء تقييم مناسب لتكاليف العمل المنصوص عليه في القرارين </w:t>
            </w:r>
            <w:r w:rsidR="00EF75F8">
              <w:t>35 </w:t>
            </w:r>
            <w:r w:rsidRPr="00242C61">
              <w:rPr>
                <w:rFonts w:hint="cs"/>
              </w:rPr>
              <w:t>(</w:t>
            </w:r>
            <w:r w:rsidRPr="00242C61">
              <w:t>Rev.WRC-23</w:t>
            </w:r>
            <w:r w:rsidRPr="00242C61">
              <w:rPr>
                <w:rFonts w:hint="cs"/>
              </w:rPr>
              <w:t>)</w:t>
            </w:r>
            <w:r w:rsidRPr="00242C61">
              <w:rPr>
                <w:rFonts w:hint="cs"/>
                <w:rtl/>
              </w:rPr>
              <w:t xml:space="preserve"> و</w:t>
            </w:r>
            <w:r w:rsidR="00EF75F8">
              <w:t>8 </w:t>
            </w:r>
            <w:r w:rsidRPr="00242C61">
              <w:rPr>
                <w:rFonts w:hint="cs"/>
              </w:rPr>
              <w:t>(</w:t>
            </w:r>
            <w:r w:rsidRPr="00242C61">
              <w:t>WRC-23</w:t>
            </w:r>
            <w:r w:rsidRPr="00242C61">
              <w:rPr>
                <w:rFonts w:hint="cs"/>
              </w:rPr>
              <w:t>)</w:t>
            </w:r>
            <w:r w:rsidRPr="00242C61">
              <w:rPr>
                <w:rFonts w:hint="cs"/>
                <w:rtl/>
              </w:rPr>
              <w:t>.</w:t>
            </w:r>
          </w:p>
          <w:p w14:paraId="0FBFF6F0"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52711FAA" w14:textId="0840243F" w:rsidR="007B0AA0" w:rsidRPr="00242C61" w:rsidRDefault="00242C61" w:rsidP="00242C61">
            <w:pPr>
              <w:rPr>
                <w:rtl/>
              </w:rPr>
            </w:pPr>
            <w:r w:rsidRPr="00242C61">
              <w:rPr>
                <w:rFonts w:hint="cs"/>
                <w:rtl/>
              </w:rPr>
              <w:t>استخدام الطيف من أجل الخدمات الفضائية وخدمات الأرض، وعروض المنتجات والخدمات، وتوزيع الموارد وإدارتها.</w:t>
            </w:r>
          </w:p>
          <w:p w14:paraId="58D8ABBA" w14:textId="77777777" w:rsidR="007B0AA0" w:rsidRDefault="007B0AA0" w:rsidP="00B97F32">
            <w:pPr>
              <w:rPr>
                <w:b/>
                <w:bCs/>
              </w:rPr>
            </w:pPr>
            <w:r w:rsidRPr="007B0AA0">
              <w:rPr>
                <w:rFonts w:hint="cs"/>
                <w:b/>
                <w:bCs/>
                <w:rtl/>
              </w:rPr>
              <w:t>الآثار المالية</w:t>
            </w:r>
          </w:p>
          <w:p w14:paraId="160EB160" w14:textId="47021FF1" w:rsidR="00242C61" w:rsidRPr="00242C61" w:rsidRDefault="004C10D3" w:rsidP="00242C61">
            <w:r>
              <w:t>8 031 590</w:t>
            </w:r>
            <w:r w:rsidR="00242C61" w:rsidRPr="00242C61">
              <w:rPr>
                <w:rFonts w:hint="cs"/>
                <w:rtl/>
                <w:lang w:bidi="ar-EG"/>
              </w:rPr>
              <w:t xml:space="preserve"> فرنكاً سويسرياً تمثل </w:t>
            </w:r>
            <w:r w:rsidR="00242C61" w:rsidRPr="00242C61">
              <w:rPr>
                <w:rFonts w:hint="cs"/>
                <w:rtl/>
                <w:lang w:bidi="ar-SY"/>
              </w:rPr>
              <w:t>إجمالي ال</w:t>
            </w:r>
            <w:r w:rsidR="00242C61" w:rsidRPr="00242C61">
              <w:rPr>
                <w:rFonts w:hint="cs"/>
                <w:rtl/>
              </w:rPr>
              <w:t>فواتير المرسلة في عام 2025.</w:t>
            </w:r>
          </w:p>
          <w:p w14:paraId="4CB764B3" w14:textId="6D58D142" w:rsidR="00242C61" w:rsidRPr="00242C61" w:rsidRDefault="004C10D3" w:rsidP="00242C61">
            <w:pPr>
              <w:rPr>
                <w:rtl/>
                <w:lang w:bidi="ar-EG"/>
              </w:rPr>
            </w:pPr>
            <w:r>
              <w:t>4 237 520</w:t>
            </w:r>
            <w:r w:rsidR="00242C61" w:rsidRPr="00242C61">
              <w:rPr>
                <w:rFonts w:hint="cs"/>
                <w:rtl/>
                <w:lang w:bidi="ar-SY"/>
              </w:rPr>
              <w:t xml:space="preserve"> فرنكاً سويسرياً تمثل إيرادات مؤجلة، وما يقارب </w:t>
            </w:r>
            <w:r w:rsidRPr="00CC29C3">
              <w:t>3 800</w:t>
            </w:r>
            <w:r w:rsidR="00CC29C3" w:rsidRPr="00CC29C3">
              <w:t> </w:t>
            </w:r>
            <w:r w:rsidRPr="00CC29C3">
              <w:t>000</w:t>
            </w:r>
            <w:r w:rsidR="00242C61" w:rsidRPr="00242C61">
              <w:rPr>
                <w:rFonts w:hint="cs"/>
                <w:rtl/>
                <w:lang w:bidi="ar-SY"/>
              </w:rPr>
              <w:t xml:space="preserve"> فرنك سويسري لا</w:t>
            </w:r>
            <w:r w:rsidR="00207D94">
              <w:rPr>
                <w:rFonts w:hint="eastAsia"/>
                <w:rtl/>
                <w:lang w:bidi="ar-SY"/>
              </w:rPr>
              <w:t> </w:t>
            </w:r>
            <w:r w:rsidR="00242C61" w:rsidRPr="00242C61">
              <w:rPr>
                <w:rFonts w:hint="cs"/>
                <w:rtl/>
                <w:lang w:bidi="ar-SY"/>
              </w:rPr>
              <w:t xml:space="preserve">تزال تنتظر الفوترة بسبب نقص موارد </w:t>
            </w:r>
            <w:r w:rsidR="00242C61" w:rsidRPr="00242C61">
              <w:rPr>
                <w:rFonts w:hint="cs"/>
                <w:rtl/>
              </w:rPr>
              <w:t>المعالجة</w:t>
            </w:r>
            <w:r w:rsidR="0006605E">
              <w:rPr>
                <w:rFonts w:hint="cs"/>
                <w:rtl/>
                <w:lang w:bidi="ar-EG"/>
              </w:rPr>
              <w:t>.</w:t>
            </w:r>
          </w:p>
          <w:p w14:paraId="0B40D8CA" w14:textId="0200337A" w:rsidR="006F363C" w:rsidRPr="005546CF" w:rsidRDefault="002D2FB7" w:rsidP="00242C61">
            <w:pPr>
              <w:rPr>
                <w:rtl/>
              </w:rPr>
            </w:pPr>
            <w:r>
              <w:t>23 233 090</w:t>
            </w:r>
            <w:r w:rsidR="00242C61" w:rsidRPr="00242C61">
              <w:rPr>
                <w:rFonts w:hint="cs"/>
                <w:rtl/>
                <w:lang w:bidi="ar-SY"/>
              </w:rPr>
              <w:t xml:space="preserve"> فرنكاً سويسرياً كإجمالي تكاليف معالجة جميع </w:t>
            </w:r>
            <w:r w:rsidR="00242C61" w:rsidRPr="00242C61">
              <w:rPr>
                <w:rFonts w:hint="cs"/>
                <w:rtl/>
              </w:rPr>
              <w:t>بطاقات التبليغ عن الشبكات الساتلية في عام </w:t>
            </w:r>
            <w:r w:rsidR="00242C61" w:rsidRPr="00242C61">
              <w:rPr>
                <w:rFonts w:hint="cs"/>
                <w:cs/>
              </w:rPr>
              <w:t>‎</w:t>
            </w:r>
            <w:r w:rsidR="00242C61" w:rsidRPr="00242C61">
              <w:rPr>
                <w:rFonts w:hint="cs"/>
                <w:rtl/>
              </w:rPr>
              <w:t>2025، علماً بأن الاتحاد يتحمل تكاليف إضافية لتطوير برمجيات فضائية محددة.</w:t>
            </w:r>
          </w:p>
          <w:p w14:paraId="51C9652B"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363B0DC5" w14:textId="77777777" w:rsidR="007B0AA0" w:rsidRPr="007B0AA0" w:rsidRDefault="007B0AA0" w:rsidP="007B0AA0">
            <w:pPr>
              <w:rPr>
                <w:b/>
                <w:bCs/>
                <w:rtl/>
              </w:rPr>
            </w:pPr>
            <w:r w:rsidRPr="007B0AA0">
              <w:rPr>
                <w:rFonts w:hint="cs"/>
                <w:b/>
                <w:bCs/>
                <w:rtl/>
              </w:rPr>
              <w:t>المراجع</w:t>
            </w:r>
          </w:p>
          <w:p w14:paraId="128C0EAB" w14:textId="084D92DC" w:rsidR="007B0AA0" w:rsidRPr="005546CF" w:rsidRDefault="00242C61" w:rsidP="00242C61">
            <w:pPr>
              <w:rPr>
                <w:i/>
                <w:iCs/>
                <w:rtl/>
              </w:rPr>
            </w:pPr>
            <w:hyperlink r:id="rId8" w:history="1">
              <w:r w:rsidRPr="00242C61">
                <w:rPr>
                  <w:rStyle w:val="Hyperlink"/>
                  <w:i/>
                  <w:iCs/>
                  <w:noProof w:val="0"/>
                  <w:rtl/>
                  <w:lang w:val="en-US" w:eastAsia="zh-CN"/>
                </w:rPr>
                <w:t xml:space="preserve">القرار 91 (المراجَع في غوادالاخارا، </w:t>
              </w:r>
              <w:r w:rsidRPr="00242C61">
                <w:rPr>
                  <w:rStyle w:val="Hyperlink"/>
                  <w:i/>
                  <w:iCs/>
                  <w:noProof w:val="0"/>
                  <w:lang w:eastAsia="zh-CN"/>
                </w:rPr>
                <w:t>2010</w:t>
              </w:r>
              <w:r w:rsidRPr="00242C61">
                <w:rPr>
                  <w:rStyle w:val="Hyperlink"/>
                  <w:i/>
                  <w:iCs/>
                  <w:noProof w:val="0"/>
                  <w:rtl/>
                  <w:lang w:val="en-US" w:eastAsia="zh-CN"/>
                </w:rPr>
                <w:t>)</w:t>
              </w:r>
            </w:hyperlink>
            <w:r w:rsidRPr="00242C61">
              <w:rPr>
                <w:i/>
                <w:iCs/>
                <w:rtl/>
              </w:rPr>
              <w:t xml:space="preserve"> لمؤتمر المندوبين المفوضين؛ </w:t>
            </w:r>
            <w:r w:rsidRPr="002A3A31">
              <w:rPr>
                <w:i/>
                <w:iCs/>
                <w:u w:color="5B9BD5"/>
                <w:rtl/>
                <w:lang w:bidi="ar-EG"/>
              </w:rPr>
              <w:t xml:space="preserve">مقرر المجلس </w:t>
            </w:r>
            <w:hyperlink r:id="rId9" w:history="1">
              <w:r w:rsidRPr="002A3A31">
                <w:rPr>
                  <w:rStyle w:val="Hyperlink"/>
                  <w:i/>
                  <w:iCs/>
                  <w:noProof w:val="0"/>
                  <w:lang w:eastAsia="zh-CN"/>
                </w:rPr>
                <w:t>482</w:t>
              </w:r>
              <w:r w:rsidRPr="002A3A31">
                <w:rPr>
                  <w:rStyle w:val="Hyperlink"/>
                  <w:i/>
                  <w:iCs/>
                  <w:noProof w:val="0"/>
                  <w:rtl/>
                  <w:lang w:val="en-US" w:eastAsia="zh-CN" w:bidi="ar-EG"/>
                </w:rPr>
                <w:t xml:space="preserve"> (</w:t>
              </w:r>
              <w:r w:rsidR="002A3A31" w:rsidRPr="002A3A31">
                <w:rPr>
                  <w:rStyle w:val="Hyperlink"/>
                  <w:i/>
                  <w:iCs/>
                  <w:noProof w:val="0"/>
                  <w:rtl/>
                  <w:lang w:val="en-US" w:eastAsia="zh-CN" w:bidi="ar-EG"/>
                </w:rPr>
                <w:t>الصادر في دورة المجلس لعام 2001، والمعدَّل آخر مرة في دورة المجلس لعام 2025</w:t>
              </w:r>
              <w:r w:rsidRPr="002A3A31">
                <w:rPr>
                  <w:rStyle w:val="Hyperlink"/>
                  <w:i/>
                  <w:iCs/>
                  <w:noProof w:val="0"/>
                  <w:rtl/>
                  <w:lang w:val="en-US" w:eastAsia="zh-CN" w:bidi="ar-EG"/>
                </w:rPr>
                <w:t>)</w:t>
              </w:r>
            </w:hyperlink>
            <w:r w:rsidRPr="00242C61">
              <w:rPr>
                <w:i/>
                <w:iCs/>
                <w:rtl/>
                <w:lang w:bidi="ar-EG"/>
              </w:rPr>
              <w:t>؛</w:t>
            </w:r>
            <w:r w:rsidRPr="00242C61">
              <w:rPr>
                <w:i/>
                <w:iCs/>
                <w:rtl/>
              </w:rPr>
              <w:t xml:space="preserve"> وثيقتا المجلس </w:t>
            </w:r>
            <w:hyperlink r:id="rId10" w:history="1">
              <w:r w:rsidRPr="00242C61">
                <w:rPr>
                  <w:rStyle w:val="Hyperlink"/>
                  <w:i/>
                  <w:iCs/>
                  <w:noProof w:val="0"/>
                  <w:lang w:eastAsia="zh-CN"/>
                </w:rPr>
                <w:t>C25/11</w:t>
              </w:r>
            </w:hyperlink>
            <w:r w:rsidRPr="00242C61">
              <w:rPr>
                <w:i/>
                <w:iCs/>
                <w:rtl/>
              </w:rPr>
              <w:t xml:space="preserve"> و</w:t>
            </w:r>
            <w:hyperlink r:id="rId11" w:history="1">
              <w:r w:rsidRPr="00242C61">
                <w:rPr>
                  <w:rStyle w:val="Hyperlink"/>
                  <w:i/>
                  <w:iCs/>
                  <w:noProof w:val="0"/>
                  <w:lang w:eastAsia="zh-CN"/>
                </w:rPr>
                <w:t>C25/16</w:t>
              </w:r>
            </w:hyperlink>
          </w:p>
        </w:tc>
      </w:tr>
    </w:tbl>
    <w:p w14:paraId="76F23B45" w14:textId="77777777" w:rsidR="00F50E3F" w:rsidRDefault="00F50E3F" w:rsidP="0043260A">
      <w:pPr>
        <w:rPr>
          <w:rtl/>
          <w:lang w:bidi="ar-EG"/>
        </w:rPr>
      </w:pPr>
      <w:r>
        <w:rPr>
          <w:rtl/>
          <w:lang w:bidi="ar-EG"/>
        </w:rPr>
        <w:br w:type="page"/>
      </w:r>
    </w:p>
    <w:p w14:paraId="55FEB83C" w14:textId="5FA9B55F" w:rsidR="008072AF" w:rsidRPr="008072AF" w:rsidRDefault="008072AF" w:rsidP="008072AF">
      <w:pPr>
        <w:rPr>
          <w:lang w:bidi="ar-EG"/>
        </w:rPr>
      </w:pPr>
      <w:r w:rsidRPr="008072AF">
        <w:rPr>
          <w:lang w:bidi="ar-EG"/>
        </w:rPr>
        <w:lastRenderedPageBreak/>
        <w:t>1</w:t>
      </w:r>
      <w:r w:rsidRPr="008072AF">
        <w:rPr>
          <w:rFonts w:hint="cs"/>
          <w:rtl/>
        </w:rPr>
        <w:tab/>
        <w:t xml:space="preserve">وافق المجلس في دورته لعام 2025 على صيغة معدلة </w:t>
      </w:r>
      <w:hyperlink r:id="rId12" w:history="1">
        <w:r w:rsidRPr="008072AF">
          <w:rPr>
            <w:rStyle w:val="Hyperlink"/>
            <w:noProof w:val="0"/>
            <w:rtl/>
            <w:lang w:val="en-US" w:eastAsia="zh-CN"/>
          </w:rPr>
          <w:t xml:space="preserve">للمقرر </w:t>
        </w:r>
        <w:r w:rsidRPr="008072AF">
          <w:rPr>
            <w:rStyle w:val="Hyperlink"/>
            <w:noProof w:val="0"/>
            <w:lang w:eastAsia="zh-CN" w:bidi="ar-EG"/>
          </w:rPr>
          <w:t>482</w:t>
        </w:r>
      </w:hyperlink>
      <w:r w:rsidRPr="008072AF">
        <w:rPr>
          <w:rFonts w:hint="cs"/>
          <w:rtl/>
        </w:rPr>
        <w:t xml:space="preserve">، دخلت حيز النفاذ في </w:t>
      </w:r>
      <w:r w:rsidRPr="008072AF">
        <w:rPr>
          <w:lang w:val="en-GB" w:bidi="ar-EG"/>
        </w:rPr>
        <w:t>1</w:t>
      </w:r>
      <w:r w:rsidRPr="008072AF">
        <w:rPr>
          <w:rtl/>
        </w:rPr>
        <w:t xml:space="preserve"> </w:t>
      </w:r>
      <w:r w:rsidRPr="008072AF">
        <w:rPr>
          <w:rFonts w:hint="cs"/>
          <w:rtl/>
        </w:rPr>
        <w:t>يناير</w:t>
      </w:r>
      <w:r w:rsidR="006C2FEB">
        <w:rPr>
          <w:rFonts w:hint="cs"/>
          <w:rtl/>
        </w:rPr>
        <w:t xml:space="preserve"> </w:t>
      </w:r>
      <w:r w:rsidRPr="008072AF">
        <w:rPr>
          <w:rFonts w:hint="cs"/>
          <w:rtl/>
        </w:rPr>
        <w:t>2026. وقام مكتب الاتصالات الراديوية بتحديث برمجياته لتمكين الإدارات من حساب تكاليف بطاقات التبليغ الخاصة بها قبل تقديمها. وأتيحت نسخة تجريبية من البرمجية في نوفمبر 2025 حتى تتمكن الإدارات من فهم عواقب التغييرات المدخلة على المقرر 482 فيما يخص بطاقات التبليغ التي تعتزم تقديمها في عام 2026 فصاعداً. وأصبحت البرمجية قيد التشغيل منذ بداية عام 2026.</w:t>
      </w:r>
    </w:p>
    <w:p w14:paraId="27EEB4A8" w14:textId="77777777" w:rsidR="008072AF" w:rsidRPr="008072AF" w:rsidRDefault="008072AF" w:rsidP="008072AF">
      <w:pPr>
        <w:pStyle w:val="Headingb"/>
        <w:rPr>
          <w:rtl/>
          <w:lang w:bidi="ar-EG"/>
        </w:rPr>
      </w:pPr>
      <w:r w:rsidRPr="008072AF">
        <w:rPr>
          <w:rFonts w:hint="cs"/>
          <w:rtl/>
        </w:rPr>
        <w:t xml:space="preserve">تقرير عن تنفيذ المقرر </w:t>
      </w:r>
      <w:r w:rsidRPr="008072AF">
        <w:rPr>
          <w:lang w:bidi="ar-EG"/>
        </w:rPr>
        <w:t>482</w:t>
      </w:r>
      <w:r w:rsidRPr="008072AF">
        <w:rPr>
          <w:rFonts w:hint="cs"/>
          <w:rtl/>
        </w:rPr>
        <w:t xml:space="preserve"> (الصادر في دورة المجلس لعام 2001، والمعدَّل آخر مرة في دورة المجلس لعام 2025) في عامي 2024 و2025</w:t>
      </w:r>
    </w:p>
    <w:p w14:paraId="0B95693A" w14:textId="77777777" w:rsidR="008072AF" w:rsidRPr="008072AF" w:rsidRDefault="008072AF" w:rsidP="008072AF">
      <w:pPr>
        <w:rPr>
          <w:lang w:bidi="ar-EG"/>
        </w:rPr>
      </w:pPr>
      <w:r w:rsidRPr="008072AF">
        <w:rPr>
          <w:rFonts w:hint="cs"/>
          <w:rtl/>
        </w:rPr>
        <w:t>2</w:t>
      </w:r>
      <w:r w:rsidRPr="008072AF">
        <w:rPr>
          <w:lang w:bidi="ar-EG"/>
        </w:rPr>
        <w:tab/>
      </w:r>
      <w:r w:rsidRPr="008072AF">
        <w:rPr>
          <w:rFonts w:hint="cs"/>
          <w:rtl/>
        </w:rPr>
        <w:t xml:space="preserve">يقدم الجدول </w:t>
      </w:r>
      <w:r w:rsidRPr="008072AF">
        <w:rPr>
          <w:lang w:bidi="ar-EG"/>
        </w:rPr>
        <w:t>1</w:t>
      </w:r>
      <w:r w:rsidRPr="008072AF">
        <w:rPr>
          <w:rFonts w:hint="cs"/>
          <w:rtl/>
        </w:rPr>
        <w:t xml:space="preserve"> أدناه معلومات ذات صلة بتطبيق المقرر </w:t>
      </w:r>
      <w:r w:rsidRPr="008072AF">
        <w:rPr>
          <w:lang w:bidi="ar-EG"/>
        </w:rPr>
        <w:t>482</w:t>
      </w:r>
      <w:r w:rsidRPr="008072AF">
        <w:rPr>
          <w:rtl/>
        </w:rPr>
        <w:t xml:space="preserve"> </w:t>
      </w:r>
      <w:r w:rsidRPr="008072AF">
        <w:rPr>
          <w:rFonts w:hint="cs"/>
          <w:rtl/>
        </w:rPr>
        <w:t xml:space="preserve">(الصادر في دورة المجلس لعام 2001، والمعدَّل آخر مرة في دورة المجلس لعام 2025) في عامي 2024 و2025، ولا سيما النسبة المئوية للفواتير الصادرة في عامي 2024 و2025 </w:t>
      </w:r>
      <w:r w:rsidRPr="008072AF">
        <w:rPr>
          <w:rFonts w:hint="cs"/>
          <w:rtl/>
          <w:lang w:bidi="ar-EG"/>
        </w:rPr>
        <w:t>التي سُددت</w:t>
      </w:r>
      <w:r w:rsidRPr="008072AF">
        <w:rPr>
          <w:rFonts w:hint="cs"/>
          <w:rtl/>
        </w:rPr>
        <w:t xml:space="preserve"> في الوقت المطلوب.</w:t>
      </w:r>
    </w:p>
    <w:p w14:paraId="7DF28186" w14:textId="77777777" w:rsidR="008072AF" w:rsidRPr="008072AF" w:rsidRDefault="008072AF" w:rsidP="008072AF">
      <w:pPr>
        <w:pStyle w:val="TableNo"/>
        <w:rPr>
          <w:rtl/>
          <w:lang w:bidi="ar-EG"/>
        </w:rPr>
      </w:pPr>
      <w:r w:rsidRPr="008072AF">
        <w:rPr>
          <w:rFonts w:hint="cs"/>
          <w:rtl/>
        </w:rPr>
        <w:t xml:space="preserve">الجدول </w:t>
      </w:r>
      <w:r w:rsidRPr="008072AF">
        <w:rPr>
          <w:lang w:bidi="ar-EG"/>
        </w:rPr>
        <w:t>1</w:t>
      </w:r>
    </w:p>
    <w:p w14:paraId="5B5FFF5E" w14:textId="77777777" w:rsidR="008072AF" w:rsidRPr="008072AF" w:rsidRDefault="008072AF" w:rsidP="008072AF">
      <w:pPr>
        <w:pStyle w:val="Tabletitle"/>
        <w:rPr>
          <w:rtl/>
        </w:rPr>
      </w:pPr>
      <w:r w:rsidRPr="008072AF">
        <w:rPr>
          <w:rFonts w:hint="cs"/>
          <w:rtl/>
        </w:rPr>
        <w:t xml:space="preserve">حالة تنفيذ المقرر </w:t>
      </w:r>
      <w:r w:rsidRPr="008072AF">
        <w:rPr>
          <w:lang w:bidi="ar-EG"/>
        </w:rPr>
        <w:t>482</w:t>
      </w:r>
      <w:r w:rsidRPr="008072AF">
        <w:rPr>
          <w:rtl/>
        </w:rPr>
        <w:t xml:space="preserve"> </w:t>
      </w:r>
      <w:r w:rsidRPr="008072AF">
        <w:rPr>
          <w:rFonts w:hint="cs"/>
          <w:rtl/>
        </w:rPr>
        <w:t>في عامي 2024 و2025</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1701"/>
        <w:gridCol w:w="2410"/>
        <w:gridCol w:w="2265"/>
      </w:tblGrid>
      <w:tr w:rsidR="008072AF" w:rsidRPr="008072AF" w14:paraId="22F4BDC3" w14:textId="77777777" w:rsidTr="008072AF">
        <w:trPr>
          <w:jc w:val="center"/>
        </w:trPr>
        <w:tc>
          <w:tcPr>
            <w:tcW w:w="2685" w:type="dxa"/>
            <w:tcBorders>
              <w:top w:val="single" w:sz="4" w:space="0" w:color="auto"/>
              <w:left w:val="single" w:sz="4" w:space="0" w:color="auto"/>
              <w:bottom w:val="single" w:sz="4" w:space="0" w:color="auto"/>
              <w:right w:val="single" w:sz="4" w:space="0" w:color="auto"/>
            </w:tcBorders>
            <w:vAlign w:val="center"/>
          </w:tcPr>
          <w:p w14:paraId="0CD4A593" w14:textId="77777777" w:rsidR="008072AF" w:rsidRPr="008072AF" w:rsidRDefault="008072AF" w:rsidP="008072AF">
            <w:pPr>
              <w:pStyle w:val="Tablehead"/>
              <w:rPr>
                <w:rtl/>
              </w:rPr>
            </w:pPr>
          </w:p>
        </w:tc>
        <w:tc>
          <w:tcPr>
            <w:tcW w:w="1701" w:type="dxa"/>
            <w:tcBorders>
              <w:top w:val="single" w:sz="4" w:space="0" w:color="auto"/>
              <w:left w:val="single" w:sz="4" w:space="0" w:color="auto"/>
              <w:bottom w:val="single" w:sz="4" w:space="0" w:color="auto"/>
              <w:right w:val="single" w:sz="4" w:space="0" w:color="auto"/>
            </w:tcBorders>
            <w:vAlign w:val="center"/>
          </w:tcPr>
          <w:p w14:paraId="54E0A582" w14:textId="77777777" w:rsidR="008072AF" w:rsidRPr="008072AF" w:rsidRDefault="008072AF" w:rsidP="008072AF">
            <w:pPr>
              <w:pStyle w:val="Tablehead"/>
              <w:rPr>
                <w:lang w:val="en-GB"/>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93A5367" w14:textId="77777777" w:rsidR="008072AF" w:rsidRPr="008072AF" w:rsidRDefault="008072AF" w:rsidP="008072AF">
            <w:pPr>
              <w:pStyle w:val="Tablehead"/>
              <w:rPr>
                <w:lang w:val="en-GB"/>
              </w:rPr>
            </w:pPr>
            <w:r w:rsidRPr="008072AF">
              <w:rPr>
                <w:rFonts w:hint="cs"/>
                <w:rtl/>
              </w:rPr>
              <w:t>2024</w:t>
            </w:r>
          </w:p>
        </w:tc>
        <w:tc>
          <w:tcPr>
            <w:tcW w:w="2265" w:type="dxa"/>
            <w:tcBorders>
              <w:top w:val="single" w:sz="4" w:space="0" w:color="auto"/>
              <w:left w:val="single" w:sz="4" w:space="0" w:color="auto"/>
              <w:bottom w:val="single" w:sz="4" w:space="0" w:color="auto"/>
              <w:right w:val="single" w:sz="4" w:space="0" w:color="auto"/>
            </w:tcBorders>
            <w:vAlign w:val="center"/>
            <w:hideMark/>
          </w:tcPr>
          <w:p w14:paraId="5D9E74D3" w14:textId="77777777" w:rsidR="008072AF" w:rsidRPr="008072AF" w:rsidRDefault="008072AF" w:rsidP="008072AF">
            <w:pPr>
              <w:pStyle w:val="Tablehead"/>
              <w:rPr>
                <w:lang w:val="en-GB"/>
              </w:rPr>
            </w:pPr>
            <w:r w:rsidRPr="008072AF">
              <w:rPr>
                <w:rFonts w:hint="cs"/>
                <w:rtl/>
              </w:rPr>
              <w:t>2025</w:t>
            </w:r>
          </w:p>
        </w:tc>
      </w:tr>
      <w:tr w:rsidR="008072AF" w:rsidRPr="008072AF" w14:paraId="49BD681D" w14:textId="77777777" w:rsidTr="008072AF">
        <w:trPr>
          <w:jc w:val="center"/>
        </w:trPr>
        <w:tc>
          <w:tcPr>
            <w:tcW w:w="2685" w:type="dxa"/>
            <w:tcBorders>
              <w:top w:val="single" w:sz="4" w:space="0" w:color="auto"/>
              <w:left w:val="single" w:sz="4" w:space="0" w:color="auto"/>
              <w:bottom w:val="single" w:sz="4" w:space="0" w:color="auto"/>
              <w:right w:val="single" w:sz="4" w:space="0" w:color="auto"/>
            </w:tcBorders>
            <w:hideMark/>
          </w:tcPr>
          <w:p w14:paraId="2220A607" w14:textId="77777777" w:rsidR="008072AF" w:rsidRPr="008072AF" w:rsidRDefault="008072AF" w:rsidP="008072AF">
            <w:pPr>
              <w:pStyle w:val="Tabletexte"/>
            </w:pPr>
            <w:r w:rsidRPr="008072AF">
              <w:rPr>
                <w:rFonts w:hint="cs"/>
                <w:rtl/>
              </w:rPr>
              <w:t>المبلغ المدرج في الميزانية</w:t>
            </w:r>
          </w:p>
        </w:tc>
        <w:tc>
          <w:tcPr>
            <w:tcW w:w="1701" w:type="dxa"/>
            <w:tcBorders>
              <w:top w:val="single" w:sz="4" w:space="0" w:color="auto"/>
              <w:left w:val="single" w:sz="4" w:space="0" w:color="auto"/>
              <w:bottom w:val="single" w:sz="4" w:space="0" w:color="auto"/>
              <w:right w:val="single" w:sz="4" w:space="0" w:color="auto"/>
            </w:tcBorders>
            <w:hideMark/>
          </w:tcPr>
          <w:p w14:paraId="598E1942" w14:textId="77777777" w:rsidR="008072AF" w:rsidRPr="008072AF" w:rsidRDefault="008072AF" w:rsidP="008072AF">
            <w:pPr>
              <w:pStyle w:val="Tabletexte"/>
              <w:jc w:val="center"/>
              <w:rPr>
                <w:rtl/>
              </w:rPr>
            </w:pPr>
            <w:r w:rsidRPr="008072AF">
              <w:rPr>
                <w:rFonts w:hint="cs"/>
                <w:rtl/>
              </w:rPr>
              <w:t>بالفرنك السويسري</w:t>
            </w:r>
          </w:p>
        </w:tc>
        <w:tc>
          <w:tcPr>
            <w:tcW w:w="2410" w:type="dxa"/>
            <w:tcBorders>
              <w:top w:val="single" w:sz="4" w:space="0" w:color="auto"/>
              <w:left w:val="single" w:sz="4" w:space="0" w:color="auto"/>
              <w:bottom w:val="single" w:sz="4" w:space="0" w:color="auto"/>
              <w:right w:val="single" w:sz="4" w:space="0" w:color="auto"/>
            </w:tcBorders>
            <w:hideMark/>
          </w:tcPr>
          <w:p w14:paraId="3B6BD417" w14:textId="311CDB1A" w:rsidR="008072AF" w:rsidRPr="008072AF" w:rsidRDefault="00072F01" w:rsidP="008072AF">
            <w:pPr>
              <w:pStyle w:val="Tabletexte"/>
              <w:jc w:val="center"/>
              <w:rPr>
                <w:rtl/>
              </w:rPr>
            </w:pPr>
            <w:r>
              <w:t>14</w:t>
            </w:r>
            <w:r w:rsidR="001C60EF">
              <w:t> </w:t>
            </w:r>
            <w:r>
              <w:t>000</w:t>
            </w:r>
            <w:r w:rsidR="001C60EF">
              <w:t> </w:t>
            </w:r>
            <w:r>
              <w:t>000</w:t>
            </w:r>
            <w:r w:rsidR="008072AF" w:rsidRPr="008072AF">
              <w:br/>
            </w:r>
            <w:r w:rsidR="008072AF" w:rsidRPr="00B723A4">
              <w:rPr>
                <w:rFonts w:hint="cs"/>
                <w:sz w:val="18"/>
                <w:szCs w:val="18"/>
                <w:rtl/>
              </w:rPr>
              <w:t xml:space="preserve">(قرار المجلس </w:t>
            </w:r>
            <w:r w:rsidR="008072AF" w:rsidRPr="00B723A4">
              <w:rPr>
                <w:sz w:val="18"/>
                <w:szCs w:val="18"/>
              </w:rPr>
              <w:t>1417</w:t>
            </w:r>
            <w:r w:rsidR="008072AF" w:rsidRPr="00B723A4">
              <w:rPr>
                <w:rFonts w:hint="cs"/>
                <w:sz w:val="18"/>
                <w:szCs w:val="18"/>
                <w:rtl/>
              </w:rPr>
              <w:t xml:space="preserve"> (دورة</w:t>
            </w:r>
            <w:r w:rsidR="008072AF" w:rsidRPr="00B723A4">
              <w:rPr>
                <w:rFonts w:hint="eastAsia"/>
                <w:sz w:val="18"/>
                <w:szCs w:val="18"/>
                <w:rtl/>
              </w:rPr>
              <w:t> </w:t>
            </w:r>
            <w:r w:rsidR="008072AF" w:rsidRPr="00B723A4">
              <w:rPr>
                <w:rFonts w:hint="cs"/>
                <w:sz w:val="18"/>
                <w:szCs w:val="18"/>
                <w:rtl/>
              </w:rPr>
              <w:t>المجلس لعام 2023))</w:t>
            </w:r>
          </w:p>
        </w:tc>
        <w:tc>
          <w:tcPr>
            <w:tcW w:w="2265" w:type="dxa"/>
            <w:tcBorders>
              <w:top w:val="single" w:sz="4" w:space="0" w:color="auto"/>
              <w:left w:val="single" w:sz="4" w:space="0" w:color="auto"/>
              <w:bottom w:val="single" w:sz="4" w:space="0" w:color="auto"/>
              <w:right w:val="single" w:sz="4" w:space="0" w:color="auto"/>
            </w:tcBorders>
            <w:hideMark/>
          </w:tcPr>
          <w:p w14:paraId="32B44B66" w14:textId="7E04C20C" w:rsidR="008072AF" w:rsidRPr="008072AF" w:rsidRDefault="00072F01" w:rsidP="008072AF">
            <w:pPr>
              <w:pStyle w:val="Tabletexte"/>
              <w:jc w:val="center"/>
            </w:pPr>
            <w:r>
              <w:t>14</w:t>
            </w:r>
            <w:r w:rsidR="001C60EF">
              <w:t> </w:t>
            </w:r>
            <w:r>
              <w:t>000</w:t>
            </w:r>
            <w:r w:rsidR="001C60EF">
              <w:t> </w:t>
            </w:r>
            <w:r>
              <w:t>000</w:t>
            </w:r>
            <w:r w:rsidR="008072AF" w:rsidRPr="008072AF">
              <w:br/>
            </w:r>
            <w:r w:rsidR="008072AF" w:rsidRPr="00B723A4">
              <w:rPr>
                <w:rFonts w:hint="cs"/>
                <w:sz w:val="18"/>
                <w:szCs w:val="18"/>
                <w:rtl/>
              </w:rPr>
              <w:t xml:space="preserve">(قرار المجلس </w:t>
            </w:r>
            <w:r w:rsidR="008072AF" w:rsidRPr="00B723A4">
              <w:rPr>
                <w:sz w:val="18"/>
                <w:szCs w:val="18"/>
              </w:rPr>
              <w:t>1417</w:t>
            </w:r>
            <w:r w:rsidR="008072AF" w:rsidRPr="00B723A4">
              <w:rPr>
                <w:sz w:val="18"/>
                <w:szCs w:val="18"/>
                <w:rtl/>
              </w:rPr>
              <w:t xml:space="preserve"> </w:t>
            </w:r>
            <w:r w:rsidR="008072AF" w:rsidRPr="00B723A4">
              <w:rPr>
                <w:rFonts w:hint="cs"/>
                <w:sz w:val="18"/>
                <w:szCs w:val="18"/>
                <w:rtl/>
              </w:rPr>
              <w:t>(دورة</w:t>
            </w:r>
            <w:r w:rsidR="008072AF" w:rsidRPr="00B723A4">
              <w:rPr>
                <w:rFonts w:hint="eastAsia"/>
                <w:sz w:val="18"/>
                <w:szCs w:val="18"/>
                <w:rtl/>
              </w:rPr>
              <w:t> </w:t>
            </w:r>
            <w:r w:rsidR="008072AF" w:rsidRPr="00B723A4">
              <w:rPr>
                <w:rFonts w:hint="cs"/>
                <w:sz w:val="18"/>
                <w:szCs w:val="18"/>
                <w:rtl/>
              </w:rPr>
              <w:t>المجلس لعام 2023))</w:t>
            </w:r>
          </w:p>
        </w:tc>
      </w:tr>
      <w:tr w:rsidR="00072F01" w:rsidRPr="008072AF" w14:paraId="60D3EB8A" w14:textId="77777777" w:rsidTr="008072AF">
        <w:trPr>
          <w:jc w:val="center"/>
        </w:trPr>
        <w:tc>
          <w:tcPr>
            <w:tcW w:w="2685" w:type="dxa"/>
            <w:tcBorders>
              <w:top w:val="single" w:sz="4" w:space="0" w:color="auto"/>
              <w:left w:val="single" w:sz="4" w:space="0" w:color="auto"/>
              <w:bottom w:val="single" w:sz="4" w:space="0" w:color="auto"/>
              <w:right w:val="single" w:sz="4" w:space="0" w:color="auto"/>
            </w:tcBorders>
            <w:hideMark/>
          </w:tcPr>
          <w:p w14:paraId="024FF522" w14:textId="2D1CFD13" w:rsidR="00072F01" w:rsidRPr="008072AF" w:rsidRDefault="00072F01" w:rsidP="00072F01">
            <w:pPr>
              <w:pStyle w:val="Tabletexte"/>
              <w:rPr>
                <w:rtl/>
              </w:rPr>
            </w:pPr>
            <w:r w:rsidRPr="008072AF">
              <w:rPr>
                <w:rFonts w:hint="cs"/>
                <w:rtl/>
              </w:rPr>
              <w:t>مجموع الفواتير الصادرة</w:t>
            </w:r>
            <w:r w:rsidRPr="008072AF">
              <w:t>*</w:t>
            </w:r>
            <w:r w:rsidRPr="008072AF">
              <w:rPr>
                <w:rFonts w:hint="cs"/>
                <w:rtl/>
              </w:rPr>
              <w:tab/>
            </w:r>
            <w:r w:rsidRPr="008072AF">
              <w:rPr>
                <w:rFonts w:hint="cs"/>
                <w:rtl/>
              </w:rPr>
              <w:br/>
            </w:r>
            <w:r w:rsidRPr="008072AF">
              <w:rPr>
                <w:rFonts w:hint="cs"/>
                <w:spacing w:val="-6"/>
                <w:rtl/>
              </w:rPr>
              <w:t>(مطروحةً منها الاستحقاقات المجانية)</w:t>
            </w:r>
          </w:p>
        </w:tc>
        <w:tc>
          <w:tcPr>
            <w:tcW w:w="1701" w:type="dxa"/>
            <w:tcBorders>
              <w:top w:val="single" w:sz="4" w:space="0" w:color="auto"/>
              <w:left w:val="single" w:sz="4" w:space="0" w:color="auto"/>
              <w:bottom w:val="single" w:sz="4" w:space="0" w:color="auto"/>
              <w:right w:val="single" w:sz="4" w:space="0" w:color="auto"/>
            </w:tcBorders>
            <w:hideMark/>
          </w:tcPr>
          <w:p w14:paraId="507BCF99" w14:textId="77777777" w:rsidR="00072F01" w:rsidRPr="008072AF" w:rsidRDefault="00072F01" w:rsidP="00072F01">
            <w:pPr>
              <w:pStyle w:val="Tabletexte"/>
              <w:jc w:val="center"/>
              <w:rPr>
                <w:lang w:val="en-GB"/>
              </w:rPr>
            </w:pPr>
            <w:r w:rsidRPr="008072AF">
              <w:rPr>
                <w:rFonts w:hint="cs"/>
                <w:rtl/>
              </w:rPr>
              <w:t>بالفرنك السويسري</w:t>
            </w:r>
          </w:p>
        </w:tc>
        <w:tc>
          <w:tcPr>
            <w:tcW w:w="2410" w:type="dxa"/>
            <w:tcBorders>
              <w:top w:val="single" w:sz="4" w:space="0" w:color="auto"/>
              <w:left w:val="single" w:sz="4" w:space="0" w:color="auto"/>
              <w:bottom w:val="single" w:sz="4" w:space="0" w:color="auto"/>
              <w:right w:val="single" w:sz="4" w:space="0" w:color="auto"/>
            </w:tcBorders>
            <w:hideMark/>
          </w:tcPr>
          <w:p w14:paraId="38D80DE8" w14:textId="7EB7BC32" w:rsidR="00072F01" w:rsidRPr="008072AF" w:rsidRDefault="00072F01" w:rsidP="00072F01">
            <w:pPr>
              <w:pStyle w:val="Tabletexte"/>
              <w:jc w:val="center"/>
            </w:pPr>
            <w:r w:rsidRPr="00C62D1B">
              <w:t>9</w:t>
            </w:r>
            <w:r w:rsidR="001C60EF" w:rsidRPr="001C60EF">
              <w:t> </w:t>
            </w:r>
            <w:r w:rsidRPr="00C62D1B">
              <w:t>679</w:t>
            </w:r>
            <w:r w:rsidR="001C60EF" w:rsidRPr="001C60EF">
              <w:t> </w:t>
            </w:r>
            <w:r w:rsidRPr="00C62D1B">
              <w:t>754</w:t>
            </w:r>
          </w:p>
        </w:tc>
        <w:tc>
          <w:tcPr>
            <w:tcW w:w="2265" w:type="dxa"/>
            <w:tcBorders>
              <w:top w:val="single" w:sz="4" w:space="0" w:color="auto"/>
              <w:left w:val="single" w:sz="4" w:space="0" w:color="auto"/>
              <w:bottom w:val="single" w:sz="4" w:space="0" w:color="auto"/>
              <w:right w:val="single" w:sz="4" w:space="0" w:color="auto"/>
            </w:tcBorders>
            <w:hideMark/>
          </w:tcPr>
          <w:p w14:paraId="539A4849" w14:textId="1B65AB0E" w:rsidR="00072F01" w:rsidRPr="008072AF" w:rsidRDefault="00072F01" w:rsidP="00072F01">
            <w:pPr>
              <w:pStyle w:val="Tabletexte"/>
              <w:jc w:val="center"/>
            </w:pPr>
            <w:r w:rsidRPr="00C62D1B">
              <w:t>8</w:t>
            </w:r>
            <w:r w:rsidR="001C60EF" w:rsidRPr="001C60EF">
              <w:t> </w:t>
            </w:r>
            <w:r w:rsidRPr="00C62D1B">
              <w:t>031</w:t>
            </w:r>
            <w:r w:rsidR="001C60EF" w:rsidRPr="001C60EF">
              <w:t> </w:t>
            </w:r>
            <w:r w:rsidRPr="00C62D1B">
              <w:t>590</w:t>
            </w:r>
          </w:p>
        </w:tc>
      </w:tr>
      <w:tr w:rsidR="00072F01" w:rsidRPr="008072AF" w14:paraId="01BD1BB2" w14:textId="77777777" w:rsidTr="008072AF">
        <w:trPr>
          <w:jc w:val="center"/>
        </w:trPr>
        <w:tc>
          <w:tcPr>
            <w:tcW w:w="2685" w:type="dxa"/>
            <w:tcBorders>
              <w:top w:val="single" w:sz="4" w:space="0" w:color="auto"/>
              <w:left w:val="single" w:sz="4" w:space="0" w:color="auto"/>
              <w:bottom w:val="single" w:sz="4" w:space="0" w:color="auto"/>
              <w:right w:val="single" w:sz="4" w:space="0" w:color="auto"/>
            </w:tcBorders>
            <w:hideMark/>
          </w:tcPr>
          <w:p w14:paraId="3CFFF0DD" w14:textId="77777777" w:rsidR="00072F01" w:rsidRPr="008072AF" w:rsidRDefault="00072F01" w:rsidP="00072F01">
            <w:pPr>
              <w:pStyle w:val="Tabletexte"/>
              <w:rPr>
                <w:lang w:val="en-GB"/>
              </w:rPr>
            </w:pPr>
            <w:r w:rsidRPr="008072AF">
              <w:rPr>
                <w:rFonts w:hint="cs"/>
                <w:rtl/>
              </w:rPr>
              <w:t>الاستحقاقات المجانية</w:t>
            </w:r>
          </w:p>
        </w:tc>
        <w:tc>
          <w:tcPr>
            <w:tcW w:w="1701" w:type="dxa"/>
            <w:tcBorders>
              <w:top w:val="single" w:sz="4" w:space="0" w:color="auto"/>
              <w:left w:val="single" w:sz="4" w:space="0" w:color="auto"/>
              <w:bottom w:val="single" w:sz="4" w:space="0" w:color="auto"/>
              <w:right w:val="single" w:sz="4" w:space="0" w:color="auto"/>
            </w:tcBorders>
            <w:hideMark/>
          </w:tcPr>
          <w:p w14:paraId="41C81F0F" w14:textId="77777777" w:rsidR="00072F01" w:rsidRPr="008072AF" w:rsidRDefault="00072F01" w:rsidP="00072F01">
            <w:pPr>
              <w:pStyle w:val="Tabletexte"/>
              <w:jc w:val="center"/>
              <w:rPr>
                <w:lang w:val="en-GB"/>
              </w:rPr>
            </w:pPr>
            <w:r w:rsidRPr="008072AF">
              <w:rPr>
                <w:rFonts w:hint="cs"/>
                <w:rtl/>
              </w:rPr>
              <w:t>بالفرنك السويسري</w:t>
            </w:r>
          </w:p>
        </w:tc>
        <w:tc>
          <w:tcPr>
            <w:tcW w:w="2410" w:type="dxa"/>
            <w:tcBorders>
              <w:top w:val="single" w:sz="4" w:space="0" w:color="auto"/>
              <w:left w:val="single" w:sz="4" w:space="0" w:color="auto"/>
              <w:bottom w:val="single" w:sz="4" w:space="0" w:color="auto"/>
              <w:right w:val="single" w:sz="4" w:space="0" w:color="auto"/>
            </w:tcBorders>
            <w:hideMark/>
          </w:tcPr>
          <w:p w14:paraId="355C54F2" w14:textId="784A7DED" w:rsidR="00072F01" w:rsidRPr="008072AF" w:rsidRDefault="00072F01" w:rsidP="00072F01">
            <w:pPr>
              <w:pStyle w:val="Tabletexte"/>
              <w:jc w:val="center"/>
            </w:pPr>
            <w:r w:rsidRPr="00C62D1B">
              <w:t>1</w:t>
            </w:r>
            <w:r w:rsidR="001C60EF" w:rsidRPr="001C60EF">
              <w:t> </w:t>
            </w:r>
            <w:r w:rsidRPr="00C62D1B">
              <w:t>209</w:t>
            </w:r>
            <w:r w:rsidR="001C60EF" w:rsidRPr="001C60EF">
              <w:t> </w:t>
            </w:r>
            <w:r w:rsidRPr="00C62D1B">
              <w:t>753</w:t>
            </w:r>
          </w:p>
        </w:tc>
        <w:tc>
          <w:tcPr>
            <w:tcW w:w="2265" w:type="dxa"/>
            <w:tcBorders>
              <w:top w:val="single" w:sz="4" w:space="0" w:color="auto"/>
              <w:left w:val="single" w:sz="4" w:space="0" w:color="auto"/>
              <w:bottom w:val="single" w:sz="4" w:space="0" w:color="auto"/>
              <w:right w:val="single" w:sz="4" w:space="0" w:color="auto"/>
            </w:tcBorders>
            <w:hideMark/>
          </w:tcPr>
          <w:p w14:paraId="3233A13B" w14:textId="36F15949" w:rsidR="00072F01" w:rsidRPr="008072AF" w:rsidRDefault="00072F01" w:rsidP="00072F01">
            <w:pPr>
              <w:pStyle w:val="Tabletexte"/>
              <w:jc w:val="center"/>
            </w:pPr>
            <w:r w:rsidRPr="00C62D1B">
              <w:t>1</w:t>
            </w:r>
            <w:r w:rsidR="001C60EF" w:rsidRPr="001C60EF">
              <w:t> </w:t>
            </w:r>
            <w:r w:rsidRPr="00C62D1B">
              <w:t>869</w:t>
            </w:r>
            <w:r w:rsidR="001C60EF" w:rsidRPr="001C60EF">
              <w:t> </w:t>
            </w:r>
            <w:r w:rsidRPr="00C62D1B">
              <w:t>666</w:t>
            </w:r>
          </w:p>
        </w:tc>
      </w:tr>
      <w:tr w:rsidR="00072F01" w:rsidRPr="008072AF" w14:paraId="3C723F51" w14:textId="77777777" w:rsidTr="008072AF">
        <w:trPr>
          <w:jc w:val="center"/>
        </w:trPr>
        <w:tc>
          <w:tcPr>
            <w:tcW w:w="2685" w:type="dxa"/>
            <w:tcBorders>
              <w:top w:val="single" w:sz="4" w:space="0" w:color="auto"/>
              <w:left w:val="single" w:sz="4" w:space="0" w:color="auto"/>
              <w:bottom w:val="single" w:sz="12" w:space="0" w:color="auto"/>
              <w:right w:val="single" w:sz="4" w:space="0" w:color="auto"/>
            </w:tcBorders>
            <w:hideMark/>
          </w:tcPr>
          <w:p w14:paraId="4EDC252C" w14:textId="77777777" w:rsidR="00072F01" w:rsidRPr="008072AF" w:rsidRDefault="00072F01" w:rsidP="00072F01">
            <w:pPr>
              <w:pStyle w:val="Tabletexte"/>
              <w:rPr>
                <w:lang w:val="en-GB"/>
              </w:rPr>
            </w:pPr>
            <w:r w:rsidRPr="008072AF">
              <w:rPr>
                <w:rFonts w:hint="cs"/>
                <w:rtl/>
              </w:rPr>
              <w:t>المدفوعات المستوفاة**</w:t>
            </w:r>
          </w:p>
        </w:tc>
        <w:tc>
          <w:tcPr>
            <w:tcW w:w="1701" w:type="dxa"/>
            <w:tcBorders>
              <w:top w:val="single" w:sz="4" w:space="0" w:color="auto"/>
              <w:left w:val="single" w:sz="4" w:space="0" w:color="auto"/>
              <w:bottom w:val="single" w:sz="12" w:space="0" w:color="auto"/>
              <w:right w:val="single" w:sz="4" w:space="0" w:color="auto"/>
            </w:tcBorders>
            <w:hideMark/>
          </w:tcPr>
          <w:p w14:paraId="6E8AFAF3" w14:textId="77777777" w:rsidR="00072F01" w:rsidRPr="008072AF" w:rsidRDefault="00072F01" w:rsidP="00072F01">
            <w:pPr>
              <w:pStyle w:val="Tabletexte"/>
              <w:jc w:val="center"/>
              <w:rPr>
                <w:lang w:val="en-GB"/>
              </w:rPr>
            </w:pPr>
            <w:r w:rsidRPr="008072AF">
              <w:rPr>
                <w:rFonts w:hint="cs"/>
                <w:rtl/>
              </w:rPr>
              <w:t>بالفرنك السويسري</w:t>
            </w:r>
          </w:p>
        </w:tc>
        <w:tc>
          <w:tcPr>
            <w:tcW w:w="2410" w:type="dxa"/>
            <w:tcBorders>
              <w:top w:val="single" w:sz="4" w:space="0" w:color="auto"/>
              <w:left w:val="single" w:sz="4" w:space="0" w:color="auto"/>
              <w:bottom w:val="single" w:sz="12" w:space="0" w:color="auto"/>
              <w:right w:val="single" w:sz="4" w:space="0" w:color="auto"/>
            </w:tcBorders>
            <w:hideMark/>
          </w:tcPr>
          <w:p w14:paraId="64CA37AF" w14:textId="22C8807E" w:rsidR="00072F01" w:rsidRPr="008072AF" w:rsidRDefault="00072F01" w:rsidP="00072F01">
            <w:pPr>
              <w:pStyle w:val="Tabletexte"/>
              <w:jc w:val="center"/>
            </w:pPr>
            <w:r w:rsidRPr="00C62D1B">
              <w:t>9</w:t>
            </w:r>
            <w:r w:rsidR="001C60EF" w:rsidRPr="001C60EF">
              <w:t> </w:t>
            </w:r>
            <w:r w:rsidRPr="00C62D1B">
              <w:t>707</w:t>
            </w:r>
            <w:r w:rsidR="001C60EF" w:rsidRPr="001C60EF">
              <w:t> </w:t>
            </w:r>
            <w:r w:rsidRPr="00C62D1B">
              <w:t>718</w:t>
            </w:r>
          </w:p>
        </w:tc>
        <w:tc>
          <w:tcPr>
            <w:tcW w:w="2265" w:type="dxa"/>
            <w:tcBorders>
              <w:top w:val="single" w:sz="4" w:space="0" w:color="auto"/>
              <w:left w:val="single" w:sz="4" w:space="0" w:color="auto"/>
              <w:bottom w:val="single" w:sz="12" w:space="0" w:color="auto"/>
              <w:right w:val="single" w:sz="4" w:space="0" w:color="auto"/>
            </w:tcBorders>
            <w:hideMark/>
          </w:tcPr>
          <w:p w14:paraId="3CC714B5" w14:textId="06D3D77F" w:rsidR="00072F01" w:rsidRPr="008072AF" w:rsidRDefault="00072F01" w:rsidP="00072F01">
            <w:pPr>
              <w:pStyle w:val="Tabletexte"/>
              <w:jc w:val="center"/>
            </w:pPr>
            <w:r w:rsidRPr="00C62D1B">
              <w:t>8</w:t>
            </w:r>
            <w:r w:rsidR="001C60EF" w:rsidRPr="001C60EF">
              <w:t> </w:t>
            </w:r>
            <w:r w:rsidRPr="00C62D1B">
              <w:t>189</w:t>
            </w:r>
            <w:r w:rsidR="001C60EF" w:rsidRPr="001C60EF">
              <w:t> </w:t>
            </w:r>
            <w:r w:rsidRPr="00C62D1B">
              <w:t>965</w:t>
            </w:r>
          </w:p>
        </w:tc>
      </w:tr>
      <w:tr w:rsidR="00072F01" w:rsidRPr="008072AF" w14:paraId="74AA643B" w14:textId="77777777" w:rsidTr="008072AF">
        <w:trPr>
          <w:jc w:val="center"/>
        </w:trPr>
        <w:tc>
          <w:tcPr>
            <w:tcW w:w="6796" w:type="dxa"/>
            <w:gridSpan w:val="3"/>
            <w:tcBorders>
              <w:top w:val="single" w:sz="12" w:space="0" w:color="auto"/>
              <w:left w:val="single" w:sz="2" w:space="0" w:color="auto"/>
              <w:bottom w:val="single" w:sz="6" w:space="0" w:color="auto"/>
              <w:right w:val="single" w:sz="2" w:space="0" w:color="auto"/>
            </w:tcBorders>
            <w:hideMark/>
          </w:tcPr>
          <w:p w14:paraId="05F3DEEC" w14:textId="77777777" w:rsidR="00072F01" w:rsidRPr="008072AF" w:rsidRDefault="00072F01" w:rsidP="00072F01">
            <w:pPr>
              <w:pStyle w:val="Tabletexte"/>
            </w:pPr>
            <w:r w:rsidRPr="008072AF">
              <w:rPr>
                <w:rFonts w:hint="cs"/>
                <w:rtl/>
              </w:rPr>
              <w:t>النسبة المئوية للفواتير الصادرة في عامي 2024 و2025 والمستحقة بحلول </w:t>
            </w:r>
            <w:r w:rsidRPr="008072AF">
              <w:rPr>
                <w:lang w:val="en-GB"/>
              </w:rPr>
              <w:t>31</w:t>
            </w:r>
            <w:r w:rsidRPr="008072AF">
              <w:rPr>
                <w:rFonts w:hint="cs"/>
                <w:rtl/>
              </w:rPr>
              <w:t> ديسمبر 2025، التي تم سدادها</w:t>
            </w:r>
          </w:p>
        </w:tc>
        <w:tc>
          <w:tcPr>
            <w:tcW w:w="2265" w:type="dxa"/>
            <w:tcBorders>
              <w:top w:val="single" w:sz="12" w:space="0" w:color="auto"/>
              <w:left w:val="single" w:sz="2" w:space="0" w:color="auto"/>
              <w:bottom w:val="single" w:sz="6" w:space="0" w:color="auto"/>
              <w:right w:val="single" w:sz="2" w:space="0" w:color="auto"/>
            </w:tcBorders>
            <w:hideMark/>
          </w:tcPr>
          <w:p w14:paraId="77BBA4B3" w14:textId="77777777" w:rsidR="00072F01" w:rsidRPr="008072AF" w:rsidRDefault="00072F01" w:rsidP="00072F01">
            <w:pPr>
              <w:pStyle w:val="Tabletexte"/>
              <w:rPr>
                <w:rtl/>
              </w:rPr>
            </w:pPr>
            <w:r w:rsidRPr="008072AF">
              <w:rPr>
                <w:lang w:val="en-GB"/>
              </w:rPr>
              <w:t>%99</w:t>
            </w:r>
            <w:r w:rsidRPr="008072AF">
              <w:t>&lt;</w:t>
            </w:r>
          </w:p>
        </w:tc>
      </w:tr>
      <w:tr w:rsidR="00072F01" w:rsidRPr="008072AF" w14:paraId="02251968" w14:textId="77777777" w:rsidTr="008072AF">
        <w:trPr>
          <w:jc w:val="center"/>
        </w:trPr>
        <w:tc>
          <w:tcPr>
            <w:tcW w:w="9061" w:type="dxa"/>
            <w:gridSpan w:val="4"/>
            <w:tcBorders>
              <w:top w:val="single" w:sz="6" w:space="0" w:color="auto"/>
              <w:left w:val="nil"/>
              <w:bottom w:val="nil"/>
              <w:right w:val="nil"/>
            </w:tcBorders>
            <w:hideMark/>
          </w:tcPr>
          <w:p w14:paraId="47D4195A" w14:textId="77777777" w:rsidR="00072F01" w:rsidRPr="008072AF" w:rsidRDefault="00072F01" w:rsidP="00B723A4">
            <w:pPr>
              <w:pStyle w:val="Tablelegend"/>
            </w:pPr>
            <w:r w:rsidRPr="008072AF">
              <w:t>*</w:t>
            </w:r>
            <w:r w:rsidRPr="008072AF">
              <w:rPr>
                <w:rFonts w:hint="cs"/>
                <w:rtl/>
              </w:rPr>
              <w:tab/>
              <w:t>فواتير يُستحق سدادها في غضون ستة أشهر من تاريخ إصدارها.</w:t>
            </w:r>
          </w:p>
          <w:p w14:paraId="2EDD7D85" w14:textId="77777777" w:rsidR="00072F01" w:rsidRPr="008072AF" w:rsidRDefault="00072F01" w:rsidP="00B723A4">
            <w:pPr>
              <w:pStyle w:val="Tablelegend"/>
              <w:rPr>
                <w:rtl/>
              </w:rPr>
            </w:pPr>
            <w:r w:rsidRPr="008072AF">
              <w:t>**</w:t>
            </w:r>
            <w:r w:rsidRPr="008072AF">
              <w:rPr>
                <w:rFonts w:hint="cs"/>
                <w:rtl/>
              </w:rPr>
              <w:tab/>
              <w:t xml:space="preserve">تشمل المدفوعات المستوفاة الفواتير الصادرة في السنوات السابقة. ‏ويمثل هذا المبلغ مجموع جميع المدفوعات التي تلقاها الاتحاد الدولي للاتصالات خلال السنة التقويمية </w:t>
            </w:r>
            <w:r w:rsidRPr="008072AF">
              <w:rPr>
                <w:rFonts w:hint="cs"/>
                <w:cs/>
              </w:rPr>
              <w:t>‎</w:t>
            </w:r>
            <w:r w:rsidRPr="008072AF">
              <w:rPr>
                <w:rFonts w:hint="cs"/>
                <w:rtl/>
              </w:rPr>
              <w:t>2025‏. وهو يختلف عن الإيرادات المحاسبية في عام 2025 لأن هذه المدفوعات تُحسب في إيرادات السنة التي نشرت فيها بطاقات التبليغ ذات الصلة.</w:t>
            </w:r>
          </w:p>
        </w:tc>
      </w:tr>
    </w:tbl>
    <w:p w14:paraId="644C6633" w14:textId="607EACE9" w:rsidR="008072AF" w:rsidRPr="008072AF" w:rsidRDefault="008072AF" w:rsidP="008072AF">
      <w:pPr>
        <w:rPr>
          <w:lang w:val="en-GB" w:bidi="ar-EG"/>
        </w:rPr>
      </w:pPr>
      <w:r w:rsidRPr="008072AF">
        <w:rPr>
          <w:lang w:bidi="ar-EG"/>
        </w:rPr>
        <w:t>3</w:t>
      </w:r>
      <w:r w:rsidRPr="008072AF">
        <w:rPr>
          <w:rFonts w:hint="cs"/>
          <w:rtl/>
        </w:rPr>
        <w:tab/>
        <w:t>وتقدم وثيقة</w:t>
      </w:r>
      <w:r w:rsidR="00B71B92">
        <w:rPr>
          <w:rFonts w:hint="cs"/>
          <w:rtl/>
        </w:rPr>
        <w:t xml:space="preserve"> المجلس </w:t>
      </w:r>
      <w:hyperlink r:id="rId13" w:history="1">
        <w:r w:rsidRPr="008072AF">
          <w:rPr>
            <w:rStyle w:val="Hyperlink"/>
            <w:noProof w:val="0"/>
            <w:lang w:eastAsia="zh-CN" w:bidi="ar-EG"/>
          </w:rPr>
          <w:t>C2</w:t>
        </w:r>
        <w:r w:rsidRPr="008072AF">
          <w:rPr>
            <w:rStyle w:val="Hyperlink"/>
            <w:noProof w:val="0"/>
            <w:lang w:val="fr-CH" w:eastAsia="zh-CN" w:bidi="ar-EG"/>
          </w:rPr>
          <w:t>6</w:t>
        </w:r>
        <w:r w:rsidRPr="008072AF">
          <w:rPr>
            <w:rStyle w:val="Hyperlink"/>
            <w:noProof w:val="0"/>
            <w:lang w:eastAsia="zh-CN" w:bidi="ar-EG"/>
          </w:rPr>
          <w:t>/11</w:t>
        </w:r>
      </w:hyperlink>
      <w:r w:rsidRPr="008072AF">
        <w:rPr>
          <w:rtl/>
        </w:rPr>
        <w:t xml:space="preserve"> </w:t>
      </w:r>
      <w:r w:rsidRPr="008072AF">
        <w:rPr>
          <w:rFonts w:hint="cs"/>
          <w:rtl/>
        </w:rPr>
        <w:t>معلومات عن حالة المتأخرات والحسابات الخاصة بالمتأخرات في </w:t>
      </w:r>
      <w:r w:rsidRPr="008072AF">
        <w:rPr>
          <w:lang w:bidi="ar-EG"/>
        </w:rPr>
        <w:t>31</w:t>
      </w:r>
      <w:r w:rsidR="00B71B92">
        <w:rPr>
          <w:rFonts w:hint="eastAsia"/>
          <w:rtl/>
        </w:rPr>
        <w:t> </w:t>
      </w:r>
      <w:r w:rsidRPr="008072AF">
        <w:rPr>
          <w:rFonts w:hint="cs"/>
          <w:rtl/>
        </w:rPr>
        <w:t>ديسمبر </w:t>
      </w:r>
      <w:r w:rsidRPr="008072AF">
        <w:rPr>
          <w:lang w:bidi="ar-EG"/>
        </w:rPr>
        <w:t>2025</w:t>
      </w:r>
      <w:r w:rsidRPr="008072AF">
        <w:rPr>
          <w:rtl/>
        </w:rPr>
        <w:t xml:space="preserve"> </w:t>
      </w:r>
      <w:r w:rsidRPr="008072AF">
        <w:rPr>
          <w:rFonts w:hint="cs"/>
          <w:rtl/>
        </w:rPr>
        <w:t>تشمل بنوداً تتعلق بمعالجة بطاقات التبليغ عن الشبكات الساتلية.</w:t>
      </w:r>
    </w:p>
    <w:p w14:paraId="61F98DF1" w14:textId="3D323FF8" w:rsidR="008072AF" w:rsidRPr="00B71B92" w:rsidRDefault="008072AF" w:rsidP="008072AF">
      <w:pPr>
        <w:rPr>
          <w:spacing w:val="-2"/>
          <w:lang w:bidi="ar-EG"/>
        </w:rPr>
      </w:pPr>
      <w:r w:rsidRPr="00B71B92">
        <w:rPr>
          <w:spacing w:val="-2"/>
          <w:lang w:bidi="ar-EG"/>
        </w:rPr>
        <w:t>4</w:t>
      </w:r>
      <w:r w:rsidRPr="00B71B92">
        <w:rPr>
          <w:rFonts w:hint="cs"/>
          <w:spacing w:val="-2"/>
          <w:rtl/>
        </w:rPr>
        <w:tab/>
        <w:t>ويُعزى الفرق بين المبالغ المدرجة في الميزانية</w:t>
      </w:r>
      <w:r w:rsidRPr="00B71B92">
        <w:rPr>
          <w:rFonts w:hint="cs"/>
          <w:spacing w:val="-2"/>
          <w:rtl/>
          <w:lang w:bidi="ar-EG"/>
        </w:rPr>
        <w:t xml:space="preserve"> لاسترداد التكاليف والمبالغ المفوترة الفعلية إلى تحول في التوازن بين التبليغات عن الشبكات الساتلية المستقرة بالنسبة إلى الأرض والأنظمة الساتلية غير المستقرة بالنسبة إلى الأرض. فالتبليغات عن الشبكات الساتلية المستقرة بالنسبة إلى الأرض تخضع عموماً لرسوم أعلى من الرسوم التي تخضع لها الأنظمة الساتلية غير المستقرة بالنسبة إلى الأرض. ولمعالجة هذا الفرق، </w:t>
      </w:r>
      <w:r w:rsidRPr="00B71B92">
        <w:rPr>
          <w:rFonts w:hint="cs"/>
          <w:spacing w:val="-2"/>
          <w:rtl/>
        </w:rPr>
        <w:t>قام المجلس</w:t>
      </w:r>
      <w:r w:rsidRPr="00B71B92">
        <w:rPr>
          <w:rFonts w:hint="cs"/>
          <w:spacing w:val="-2"/>
          <w:rtl/>
          <w:lang w:bidi="ar-SY"/>
        </w:rPr>
        <w:t xml:space="preserve"> في دورته</w:t>
      </w:r>
      <w:r w:rsidRPr="00B71B92">
        <w:rPr>
          <w:rFonts w:hint="cs"/>
          <w:spacing w:val="-2"/>
          <w:rtl/>
        </w:rPr>
        <w:t xml:space="preserve"> لعام 2025 بتعديل </w:t>
      </w:r>
      <w:hyperlink r:id="rId14" w:history="1">
        <w:r w:rsidRPr="00B71B92">
          <w:rPr>
            <w:rStyle w:val="Hyperlink"/>
            <w:noProof w:val="0"/>
            <w:spacing w:val="-2"/>
            <w:rtl/>
            <w:lang w:val="en-US" w:eastAsia="zh-CN"/>
          </w:rPr>
          <w:t>المقرر</w:t>
        </w:r>
        <w:r w:rsidR="00B71B92">
          <w:rPr>
            <w:rStyle w:val="Hyperlink"/>
            <w:rFonts w:hint="cs"/>
            <w:noProof w:val="0"/>
            <w:spacing w:val="-2"/>
            <w:rtl/>
            <w:lang w:val="en-US" w:eastAsia="zh-CN"/>
          </w:rPr>
          <w:t> </w:t>
        </w:r>
        <w:r w:rsidRPr="00B71B92">
          <w:rPr>
            <w:rStyle w:val="Hyperlink"/>
            <w:noProof w:val="0"/>
            <w:spacing w:val="-2"/>
            <w:rtl/>
            <w:lang w:val="en-US" w:eastAsia="zh-CN"/>
          </w:rPr>
          <w:t>482</w:t>
        </w:r>
      </w:hyperlink>
      <w:r w:rsidRPr="00B71B92">
        <w:rPr>
          <w:rFonts w:hint="cs"/>
          <w:spacing w:val="-2"/>
          <w:rtl/>
        </w:rPr>
        <w:t>، إلا أن آثار هذه التعديلات لن تظهر حتى عام 2026، إذ دخلت هذه المراج</w:t>
      </w:r>
      <w:r w:rsidR="00AC7D50">
        <w:rPr>
          <w:rFonts w:hint="cs"/>
          <w:spacing w:val="-2"/>
          <w:rtl/>
        </w:rPr>
        <w:t>َ</w:t>
      </w:r>
      <w:r w:rsidRPr="00B71B92">
        <w:rPr>
          <w:rFonts w:hint="cs"/>
          <w:spacing w:val="-2"/>
          <w:rtl/>
        </w:rPr>
        <w:t>عة حيز النفاذ في 1 يناير 2026 (وجدير</w:t>
      </w:r>
      <w:r w:rsidR="00B71B92">
        <w:rPr>
          <w:rFonts w:hint="eastAsia"/>
          <w:spacing w:val="-2"/>
          <w:rtl/>
        </w:rPr>
        <w:t> </w:t>
      </w:r>
      <w:r w:rsidRPr="00B71B92">
        <w:rPr>
          <w:rFonts w:hint="cs"/>
          <w:spacing w:val="-2"/>
          <w:rtl/>
        </w:rPr>
        <w:t>بالذكر أن عدد بطاقات التبليغ المتعلقة بالنطاقات غير المخططة قد بلغ ذروته في ديسمبر 2025 متجاوزاً ضعف متوسط عدد التبليغات في الأشهر الأخرى من عام 2025)</w:t>
      </w:r>
      <w:r w:rsidR="00B71B92">
        <w:rPr>
          <w:rFonts w:hint="cs"/>
          <w:spacing w:val="-2"/>
          <w:rtl/>
        </w:rPr>
        <w:t>.</w:t>
      </w:r>
    </w:p>
    <w:p w14:paraId="3DC7381C" w14:textId="6EF493E3" w:rsidR="008072AF" w:rsidRPr="008072AF" w:rsidRDefault="008072AF" w:rsidP="008072AF">
      <w:pPr>
        <w:rPr>
          <w:rtl/>
        </w:rPr>
      </w:pPr>
      <w:r w:rsidRPr="008072AF">
        <w:rPr>
          <w:lang w:bidi="ar-EG"/>
        </w:rPr>
        <w:t>5</w:t>
      </w:r>
      <w:r w:rsidRPr="008072AF">
        <w:rPr>
          <w:rFonts w:hint="cs"/>
          <w:rtl/>
        </w:rPr>
        <w:tab/>
        <w:t xml:space="preserve">ووفقاً للفقرة </w:t>
      </w:r>
      <w:r w:rsidRPr="008072AF">
        <w:rPr>
          <w:rFonts w:hint="cs"/>
          <w:cs/>
        </w:rPr>
        <w:t>‎</w:t>
      </w:r>
      <w:r w:rsidRPr="008072AF">
        <w:rPr>
          <w:lang w:bidi="ar-EG"/>
        </w:rPr>
        <w:t>2</w:t>
      </w:r>
      <w:r w:rsidRPr="008072AF">
        <w:rPr>
          <w:rFonts w:hint="cs"/>
          <w:rtl/>
        </w:rPr>
        <w:t xml:space="preserve"> ‏أ) من </w:t>
      </w:r>
      <w:r w:rsidRPr="00901E92">
        <w:rPr>
          <w:rFonts w:hint="cs"/>
          <w:rtl/>
        </w:rPr>
        <w:t>"</w:t>
      </w:r>
      <w:r w:rsidRPr="008072AF">
        <w:rPr>
          <w:rFonts w:hint="cs"/>
          <w:i/>
          <w:iCs/>
          <w:rtl/>
        </w:rPr>
        <w:t>يكلف مدير مكتب الاتصالات الراديوية</w:t>
      </w:r>
      <w:r w:rsidRPr="00901E92">
        <w:rPr>
          <w:rFonts w:hint="cs"/>
          <w:rtl/>
        </w:rPr>
        <w:t>"</w:t>
      </w:r>
      <w:r w:rsidRPr="008072AF">
        <w:rPr>
          <w:rFonts w:hint="cs"/>
          <w:rtl/>
        </w:rPr>
        <w:t xml:space="preserve"> في المقرر </w:t>
      </w:r>
      <w:r w:rsidRPr="008072AF">
        <w:rPr>
          <w:rFonts w:hint="cs"/>
          <w:cs/>
        </w:rPr>
        <w:t>‎</w:t>
      </w:r>
      <w:r w:rsidRPr="008072AF">
        <w:rPr>
          <w:lang w:bidi="ar-EG"/>
        </w:rPr>
        <w:t>482</w:t>
      </w:r>
      <w:r w:rsidRPr="008072AF">
        <w:rPr>
          <w:rFonts w:hint="cs"/>
          <w:rtl/>
        </w:rPr>
        <w:t xml:space="preserve">‏، يعرض الجدول </w:t>
      </w:r>
      <w:r w:rsidRPr="008072AF">
        <w:rPr>
          <w:rFonts w:hint="cs"/>
          <w:cs/>
        </w:rPr>
        <w:t>‎</w:t>
      </w:r>
      <w:r w:rsidRPr="008072AF">
        <w:rPr>
          <w:lang w:bidi="ar-EG"/>
        </w:rPr>
        <w:t>2</w:t>
      </w:r>
      <w:r w:rsidRPr="008072AF">
        <w:rPr>
          <w:rFonts w:hint="cs"/>
          <w:rtl/>
        </w:rPr>
        <w:t xml:space="preserve"> ‏أدناه التكاليف المرتبطة بمعالجة بطاقات التبليغ عن الشبكات الساتلية في عامي </w:t>
      </w:r>
      <w:r w:rsidRPr="008072AF">
        <w:rPr>
          <w:rFonts w:hint="cs"/>
          <w:cs/>
        </w:rPr>
        <w:t>‎</w:t>
      </w:r>
      <w:r w:rsidRPr="008072AF">
        <w:rPr>
          <w:lang w:bidi="ar-EG"/>
        </w:rPr>
        <w:t>2024</w:t>
      </w:r>
      <w:r w:rsidRPr="008072AF">
        <w:rPr>
          <w:rFonts w:hint="cs"/>
          <w:rtl/>
        </w:rPr>
        <w:t xml:space="preserve"> ‏و</w:t>
      </w:r>
      <w:r w:rsidRPr="008072AF">
        <w:rPr>
          <w:rFonts w:hint="cs"/>
          <w:rtl/>
          <w:lang w:bidi="ar-SY"/>
        </w:rPr>
        <w:t>2025</w:t>
      </w:r>
      <w:r w:rsidRPr="008072AF">
        <w:rPr>
          <w:rFonts w:hint="cs"/>
          <w:rtl/>
        </w:rPr>
        <w:t>.</w:t>
      </w:r>
    </w:p>
    <w:p w14:paraId="1EC050AF" w14:textId="77777777" w:rsidR="008072AF" w:rsidRPr="008072AF" w:rsidRDefault="008072AF" w:rsidP="00555F94">
      <w:pPr>
        <w:pStyle w:val="TableNo"/>
        <w:rPr>
          <w:rtl/>
        </w:rPr>
      </w:pPr>
      <w:r w:rsidRPr="008072AF">
        <w:rPr>
          <w:rFonts w:hint="cs"/>
          <w:rtl/>
        </w:rPr>
        <w:lastRenderedPageBreak/>
        <w:t xml:space="preserve">الجدول </w:t>
      </w:r>
      <w:r w:rsidRPr="008072AF">
        <w:rPr>
          <w:lang w:bidi="ar-EG"/>
        </w:rPr>
        <w:t>2</w:t>
      </w:r>
    </w:p>
    <w:p w14:paraId="52E3FA20" w14:textId="77777777" w:rsidR="008072AF" w:rsidRPr="008072AF" w:rsidRDefault="008072AF" w:rsidP="00555F94">
      <w:pPr>
        <w:pStyle w:val="Tabletitle"/>
        <w:rPr>
          <w:rtl/>
        </w:rPr>
      </w:pPr>
      <w:r w:rsidRPr="008072AF">
        <w:rPr>
          <w:rFonts w:hint="cs"/>
          <w:rtl/>
        </w:rPr>
        <w:t xml:space="preserve">التكاليف المرتبطة بمعالجة بطاقات التبليغ عن الشبكات الساتلية في عامي </w:t>
      </w:r>
      <w:r w:rsidRPr="008072AF">
        <w:rPr>
          <w:rFonts w:hint="cs"/>
          <w:cs/>
        </w:rPr>
        <w:t>‎</w:t>
      </w:r>
      <w:r w:rsidRPr="008072AF">
        <w:rPr>
          <w:rFonts w:hint="cs"/>
          <w:rtl/>
        </w:rPr>
        <w:t>2024 ‏و</w:t>
      </w:r>
      <w:r w:rsidRPr="008072AF">
        <w:rPr>
          <w:rFonts w:hint="cs"/>
          <w:cs/>
        </w:rPr>
        <w:t>‎</w:t>
      </w:r>
      <w:r w:rsidRPr="008072AF">
        <w:rPr>
          <w:rFonts w:hint="cs"/>
          <w:rtl/>
        </w:rPr>
        <w:t>2025</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1559"/>
        <w:gridCol w:w="1418"/>
        <w:gridCol w:w="1274"/>
      </w:tblGrid>
      <w:tr w:rsidR="008072AF" w:rsidRPr="008072AF" w14:paraId="4C87748F" w14:textId="77777777" w:rsidTr="00901E92">
        <w:trPr>
          <w:trHeight w:val="300"/>
          <w:jc w:val="center"/>
        </w:trPr>
        <w:tc>
          <w:tcPr>
            <w:tcW w:w="4810" w:type="dxa"/>
            <w:tcBorders>
              <w:top w:val="single" w:sz="4" w:space="0" w:color="auto"/>
              <w:left w:val="single" w:sz="4" w:space="0" w:color="auto"/>
              <w:bottom w:val="single" w:sz="4" w:space="0" w:color="auto"/>
              <w:right w:val="single" w:sz="4" w:space="0" w:color="auto"/>
            </w:tcBorders>
            <w:noWrap/>
          </w:tcPr>
          <w:p w14:paraId="0EFF9271" w14:textId="77777777" w:rsidR="008072AF" w:rsidRPr="008072AF" w:rsidRDefault="008072AF" w:rsidP="00555F94">
            <w:pPr>
              <w:pStyle w:val="Tablehead"/>
              <w:rPr>
                <w:rtl/>
              </w:rPr>
            </w:pPr>
          </w:p>
        </w:tc>
        <w:tc>
          <w:tcPr>
            <w:tcW w:w="1559" w:type="dxa"/>
            <w:tcBorders>
              <w:top w:val="single" w:sz="4" w:space="0" w:color="auto"/>
              <w:left w:val="single" w:sz="4" w:space="0" w:color="auto"/>
              <w:bottom w:val="single" w:sz="4" w:space="0" w:color="auto"/>
              <w:right w:val="single" w:sz="4" w:space="0" w:color="auto"/>
            </w:tcBorders>
          </w:tcPr>
          <w:p w14:paraId="7DA1B357" w14:textId="77777777" w:rsidR="008072AF" w:rsidRPr="008072AF" w:rsidRDefault="008072AF" w:rsidP="00555F94">
            <w:pPr>
              <w:pStyle w:val="Tablehead"/>
            </w:pPr>
          </w:p>
        </w:tc>
        <w:tc>
          <w:tcPr>
            <w:tcW w:w="1418" w:type="dxa"/>
            <w:tcBorders>
              <w:top w:val="single" w:sz="4" w:space="0" w:color="auto"/>
              <w:left w:val="single" w:sz="4" w:space="0" w:color="auto"/>
              <w:bottom w:val="single" w:sz="4" w:space="0" w:color="auto"/>
              <w:right w:val="single" w:sz="4" w:space="0" w:color="auto"/>
            </w:tcBorders>
            <w:noWrap/>
            <w:hideMark/>
          </w:tcPr>
          <w:p w14:paraId="3F6A1CF2" w14:textId="77777777" w:rsidR="008072AF" w:rsidRPr="008072AF" w:rsidRDefault="008072AF" w:rsidP="00555F94">
            <w:pPr>
              <w:pStyle w:val="Tablehead"/>
            </w:pPr>
            <w:r w:rsidRPr="008072AF">
              <w:rPr>
                <w:rFonts w:hint="cs"/>
                <w:rtl/>
              </w:rPr>
              <w:t>2024</w:t>
            </w:r>
          </w:p>
        </w:tc>
        <w:tc>
          <w:tcPr>
            <w:tcW w:w="1274" w:type="dxa"/>
            <w:tcBorders>
              <w:top w:val="single" w:sz="4" w:space="0" w:color="auto"/>
              <w:left w:val="single" w:sz="4" w:space="0" w:color="auto"/>
              <w:bottom w:val="single" w:sz="4" w:space="0" w:color="auto"/>
              <w:right w:val="single" w:sz="4" w:space="0" w:color="auto"/>
            </w:tcBorders>
            <w:hideMark/>
          </w:tcPr>
          <w:p w14:paraId="64E551FE" w14:textId="77777777" w:rsidR="008072AF" w:rsidRPr="008072AF" w:rsidRDefault="008072AF" w:rsidP="00555F94">
            <w:pPr>
              <w:pStyle w:val="Tablehead"/>
            </w:pPr>
            <w:r w:rsidRPr="008072AF">
              <w:rPr>
                <w:rFonts w:hint="cs"/>
                <w:rtl/>
              </w:rPr>
              <w:t>2025</w:t>
            </w:r>
          </w:p>
        </w:tc>
      </w:tr>
      <w:tr w:rsidR="00555F94" w:rsidRPr="008072AF" w14:paraId="52539D15" w14:textId="77777777" w:rsidTr="00901E92">
        <w:trPr>
          <w:trHeight w:val="300"/>
          <w:jc w:val="center"/>
        </w:trPr>
        <w:tc>
          <w:tcPr>
            <w:tcW w:w="4810" w:type="dxa"/>
            <w:tcBorders>
              <w:top w:val="single" w:sz="4" w:space="0" w:color="auto"/>
              <w:left w:val="single" w:sz="4" w:space="0" w:color="auto"/>
              <w:bottom w:val="single" w:sz="4" w:space="0" w:color="auto"/>
              <w:right w:val="single" w:sz="4" w:space="0" w:color="auto"/>
            </w:tcBorders>
            <w:noWrap/>
            <w:hideMark/>
          </w:tcPr>
          <w:p w14:paraId="038F7263" w14:textId="37DA69CB" w:rsidR="00555F94" w:rsidRPr="008072AF" w:rsidRDefault="00555F94" w:rsidP="00555F94">
            <w:pPr>
              <w:pStyle w:val="Tabletexte"/>
            </w:pPr>
            <w:r w:rsidRPr="008072AF">
              <w:rPr>
                <w:rFonts w:hint="cs"/>
                <w:rtl/>
              </w:rPr>
              <w:t>تكاليف مكتب الاتصالات الراديوية على أساس استقصاء زمني</w:t>
            </w:r>
          </w:p>
        </w:tc>
        <w:tc>
          <w:tcPr>
            <w:tcW w:w="1559" w:type="dxa"/>
            <w:tcBorders>
              <w:top w:val="single" w:sz="4" w:space="0" w:color="auto"/>
              <w:left w:val="single" w:sz="4" w:space="0" w:color="auto"/>
              <w:bottom w:val="single" w:sz="4" w:space="0" w:color="auto"/>
              <w:right w:val="single" w:sz="4" w:space="0" w:color="auto"/>
            </w:tcBorders>
            <w:hideMark/>
          </w:tcPr>
          <w:p w14:paraId="3123EAAD" w14:textId="77777777" w:rsidR="00555F94" w:rsidRPr="00901E92" w:rsidRDefault="00555F94" w:rsidP="00555F94">
            <w:pPr>
              <w:pStyle w:val="Tabletexte"/>
              <w:rPr>
                <w:spacing w:val="-2"/>
              </w:rPr>
            </w:pPr>
            <w:r w:rsidRPr="00901E92">
              <w:rPr>
                <w:rFonts w:hint="cs"/>
                <w:spacing w:val="-2"/>
                <w:rtl/>
              </w:rPr>
              <w:t>بالفرنك السويسري</w:t>
            </w:r>
          </w:p>
        </w:tc>
        <w:tc>
          <w:tcPr>
            <w:tcW w:w="1418" w:type="dxa"/>
            <w:tcBorders>
              <w:top w:val="single" w:sz="4" w:space="0" w:color="auto"/>
              <w:left w:val="single" w:sz="4" w:space="0" w:color="auto"/>
              <w:bottom w:val="single" w:sz="4" w:space="0" w:color="auto"/>
              <w:right w:val="single" w:sz="4" w:space="0" w:color="auto"/>
            </w:tcBorders>
            <w:noWrap/>
            <w:hideMark/>
          </w:tcPr>
          <w:p w14:paraId="49EEB6DA" w14:textId="3BC2909B" w:rsidR="00555F94" w:rsidRPr="008072AF" w:rsidRDefault="00555F94" w:rsidP="00555F94">
            <w:pPr>
              <w:pStyle w:val="Tabletexte"/>
            </w:pPr>
            <w:r w:rsidRPr="00C62D1B">
              <w:t>12</w:t>
            </w:r>
            <w:r w:rsidR="001C60EF" w:rsidRPr="001C60EF">
              <w:t> </w:t>
            </w:r>
            <w:r w:rsidRPr="00C62D1B">
              <w:t>144</w:t>
            </w:r>
            <w:r w:rsidR="001C60EF" w:rsidRPr="001C60EF">
              <w:t> </w:t>
            </w:r>
            <w:r w:rsidRPr="00C62D1B">
              <w:t>478</w:t>
            </w:r>
          </w:p>
        </w:tc>
        <w:tc>
          <w:tcPr>
            <w:tcW w:w="1274" w:type="dxa"/>
            <w:tcBorders>
              <w:top w:val="single" w:sz="4" w:space="0" w:color="auto"/>
              <w:left w:val="single" w:sz="4" w:space="0" w:color="auto"/>
              <w:bottom w:val="single" w:sz="4" w:space="0" w:color="auto"/>
              <w:right w:val="single" w:sz="4" w:space="0" w:color="auto"/>
            </w:tcBorders>
            <w:hideMark/>
          </w:tcPr>
          <w:p w14:paraId="65E9B863" w14:textId="1819A2B4" w:rsidR="00555F94" w:rsidRPr="008072AF" w:rsidRDefault="00555F94" w:rsidP="00555F94">
            <w:pPr>
              <w:pStyle w:val="Tabletexte"/>
            </w:pPr>
            <w:r w:rsidRPr="00C62D1B">
              <w:t>12</w:t>
            </w:r>
            <w:r w:rsidR="001C60EF" w:rsidRPr="001C60EF">
              <w:t> </w:t>
            </w:r>
            <w:r w:rsidRPr="00C62D1B">
              <w:t>567</w:t>
            </w:r>
            <w:r w:rsidR="001C60EF" w:rsidRPr="001C60EF">
              <w:t> </w:t>
            </w:r>
            <w:r w:rsidRPr="00C62D1B">
              <w:t>090</w:t>
            </w:r>
          </w:p>
        </w:tc>
      </w:tr>
      <w:tr w:rsidR="00555F94" w:rsidRPr="008072AF" w14:paraId="48289A09" w14:textId="77777777" w:rsidTr="00901E92">
        <w:trPr>
          <w:trHeight w:val="300"/>
          <w:jc w:val="center"/>
        </w:trPr>
        <w:tc>
          <w:tcPr>
            <w:tcW w:w="4810" w:type="dxa"/>
            <w:tcBorders>
              <w:top w:val="single" w:sz="4" w:space="0" w:color="auto"/>
              <w:left w:val="single" w:sz="4" w:space="0" w:color="auto"/>
              <w:bottom w:val="single" w:sz="4" w:space="0" w:color="auto"/>
              <w:right w:val="single" w:sz="4" w:space="0" w:color="auto"/>
            </w:tcBorders>
            <w:noWrap/>
            <w:hideMark/>
          </w:tcPr>
          <w:p w14:paraId="6CBE16C7" w14:textId="5119742D" w:rsidR="00555F94" w:rsidRPr="00901E92" w:rsidRDefault="00555F94" w:rsidP="00555F94">
            <w:pPr>
              <w:pStyle w:val="Tabletexte"/>
              <w:rPr>
                <w:spacing w:val="-4"/>
              </w:rPr>
            </w:pPr>
            <w:r w:rsidRPr="00901E92">
              <w:rPr>
                <w:rFonts w:hint="cs"/>
                <w:spacing w:val="-4"/>
                <w:rtl/>
              </w:rPr>
              <w:t>تكاليف الخدمات الإدارية وخدمات الدعم المقدمة من الأمانة العامة</w:t>
            </w:r>
          </w:p>
        </w:tc>
        <w:tc>
          <w:tcPr>
            <w:tcW w:w="1559" w:type="dxa"/>
            <w:tcBorders>
              <w:top w:val="single" w:sz="4" w:space="0" w:color="auto"/>
              <w:left w:val="single" w:sz="4" w:space="0" w:color="auto"/>
              <w:bottom w:val="single" w:sz="4" w:space="0" w:color="auto"/>
              <w:right w:val="single" w:sz="4" w:space="0" w:color="auto"/>
            </w:tcBorders>
            <w:hideMark/>
          </w:tcPr>
          <w:p w14:paraId="537CBC90" w14:textId="77777777" w:rsidR="00555F94" w:rsidRPr="00901E92" w:rsidRDefault="00555F94" w:rsidP="00555F94">
            <w:pPr>
              <w:pStyle w:val="Tabletexte"/>
              <w:rPr>
                <w:spacing w:val="-2"/>
              </w:rPr>
            </w:pPr>
            <w:r w:rsidRPr="00901E92">
              <w:rPr>
                <w:rFonts w:hint="cs"/>
                <w:spacing w:val="-2"/>
                <w:rtl/>
              </w:rPr>
              <w:t>بالفرنك السويسري</w:t>
            </w:r>
          </w:p>
        </w:tc>
        <w:tc>
          <w:tcPr>
            <w:tcW w:w="1418" w:type="dxa"/>
            <w:tcBorders>
              <w:top w:val="single" w:sz="4" w:space="0" w:color="auto"/>
              <w:left w:val="single" w:sz="4" w:space="0" w:color="auto"/>
              <w:bottom w:val="single" w:sz="4" w:space="0" w:color="auto"/>
              <w:right w:val="single" w:sz="4" w:space="0" w:color="auto"/>
            </w:tcBorders>
            <w:noWrap/>
            <w:hideMark/>
          </w:tcPr>
          <w:p w14:paraId="735ACC48" w14:textId="0B5CC5E7" w:rsidR="00555F94" w:rsidRPr="008072AF" w:rsidRDefault="00555F94" w:rsidP="00555F94">
            <w:pPr>
              <w:pStyle w:val="Tabletexte"/>
            </w:pPr>
            <w:r w:rsidRPr="00C62D1B">
              <w:t>10</w:t>
            </w:r>
            <w:r w:rsidR="001C60EF" w:rsidRPr="001C60EF">
              <w:t> </w:t>
            </w:r>
            <w:r w:rsidRPr="00C62D1B">
              <w:t>666</w:t>
            </w:r>
            <w:r w:rsidR="001C60EF" w:rsidRPr="001C60EF">
              <w:t> </w:t>
            </w:r>
            <w:r w:rsidRPr="00C62D1B">
              <w:t>000</w:t>
            </w:r>
          </w:p>
        </w:tc>
        <w:tc>
          <w:tcPr>
            <w:tcW w:w="1274" w:type="dxa"/>
            <w:tcBorders>
              <w:top w:val="single" w:sz="4" w:space="0" w:color="auto"/>
              <w:left w:val="single" w:sz="4" w:space="0" w:color="auto"/>
              <w:bottom w:val="single" w:sz="4" w:space="0" w:color="auto"/>
              <w:right w:val="single" w:sz="4" w:space="0" w:color="auto"/>
            </w:tcBorders>
            <w:hideMark/>
          </w:tcPr>
          <w:p w14:paraId="7D5BDC8A" w14:textId="573F39DB" w:rsidR="00555F94" w:rsidRPr="008072AF" w:rsidRDefault="00555F94" w:rsidP="00555F94">
            <w:pPr>
              <w:pStyle w:val="Tabletexte"/>
            </w:pPr>
            <w:r w:rsidRPr="00C62D1B">
              <w:t>10</w:t>
            </w:r>
            <w:r w:rsidR="001C60EF" w:rsidRPr="001C60EF">
              <w:t> </w:t>
            </w:r>
            <w:r w:rsidRPr="00C62D1B">
              <w:t>666</w:t>
            </w:r>
            <w:r w:rsidR="001C60EF" w:rsidRPr="001C60EF">
              <w:t> </w:t>
            </w:r>
            <w:r w:rsidRPr="00C62D1B">
              <w:t>000</w:t>
            </w:r>
          </w:p>
        </w:tc>
      </w:tr>
      <w:tr w:rsidR="00555F94" w:rsidRPr="008072AF" w14:paraId="1DC5CA5E" w14:textId="77777777" w:rsidTr="00901E92">
        <w:trPr>
          <w:trHeight w:val="300"/>
          <w:jc w:val="center"/>
        </w:trPr>
        <w:tc>
          <w:tcPr>
            <w:tcW w:w="4810" w:type="dxa"/>
            <w:tcBorders>
              <w:top w:val="single" w:sz="4" w:space="0" w:color="auto"/>
              <w:left w:val="single" w:sz="4" w:space="0" w:color="auto"/>
              <w:bottom w:val="single" w:sz="4" w:space="0" w:color="auto"/>
              <w:right w:val="single" w:sz="4" w:space="0" w:color="auto"/>
            </w:tcBorders>
            <w:noWrap/>
            <w:hideMark/>
          </w:tcPr>
          <w:p w14:paraId="58AA2781" w14:textId="77777777" w:rsidR="00555F94" w:rsidRPr="008072AF" w:rsidRDefault="00555F94" w:rsidP="00555F94">
            <w:pPr>
              <w:pStyle w:val="Tabletexte"/>
            </w:pPr>
            <w:r w:rsidRPr="008072AF">
              <w:rPr>
                <w:rFonts w:hint="cs"/>
                <w:rtl/>
              </w:rPr>
              <w:t>مجموع التكاليف</w:t>
            </w:r>
          </w:p>
        </w:tc>
        <w:tc>
          <w:tcPr>
            <w:tcW w:w="1559" w:type="dxa"/>
            <w:tcBorders>
              <w:top w:val="single" w:sz="4" w:space="0" w:color="auto"/>
              <w:left w:val="single" w:sz="4" w:space="0" w:color="auto"/>
              <w:bottom w:val="single" w:sz="4" w:space="0" w:color="auto"/>
              <w:right w:val="single" w:sz="4" w:space="0" w:color="auto"/>
            </w:tcBorders>
            <w:hideMark/>
          </w:tcPr>
          <w:p w14:paraId="12BA70B5" w14:textId="77777777" w:rsidR="00555F94" w:rsidRPr="00901E92" w:rsidRDefault="00555F94" w:rsidP="00555F94">
            <w:pPr>
              <w:pStyle w:val="Tabletexte"/>
              <w:rPr>
                <w:spacing w:val="-2"/>
              </w:rPr>
            </w:pPr>
            <w:r w:rsidRPr="00901E92">
              <w:rPr>
                <w:rFonts w:hint="cs"/>
                <w:spacing w:val="-2"/>
                <w:rtl/>
              </w:rPr>
              <w:t>بالفرنك السويسري</w:t>
            </w:r>
          </w:p>
        </w:tc>
        <w:tc>
          <w:tcPr>
            <w:tcW w:w="1418" w:type="dxa"/>
            <w:tcBorders>
              <w:top w:val="single" w:sz="4" w:space="0" w:color="auto"/>
              <w:left w:val="single" w:sz="4" w:space="0" w:color="auto"/>
              <w:bottom w:val="single" w:sz="4" w:space="0" w:color="auto"/>
              <w:right w:val="single" w:sz="4" w:space="0" w:color="auto"/>
            </w:tcBorders>
            <w:noWrap/>
            <w:hideMark/>
          </w:tcPr>
          <w:p w14:paraId="1582985D" w14:textId="7E6F4E9B" w:rsidR="00555F94" w:rsidRPr="008072AF" w:rsidRDefault="00555F94" w:rsidP="00555F94">
            <w:pPr>
              <w:pStyle w:val="Tabletexte"/>
            </w:pPr>
            <w:r w:rsidRPr="00C62D1B">
              <w:t>22</w:t>
            </w:r>
            <w:r w:rsidR="001C60EF" w:rsidRPr="001C60EF">
              <w:t> </w:t>
            </w:r>
            <w:r w:rsidRPr="00C62D1B">
              <w:t>810</w:t>
            </w:r>
            <w:r w:rsidR="001C60EF" w:rsidRPr="001C60EF">
              <w:t> </w:t>
            </w:r>
            <w:r w:rsidRPr="00C62D1B">
              <w:t>478</w:t>
            </w:r>
          </w:p>
        </w:tc>
        <w:tc>
          <w:tcPr>
            <w:tcW w:w="1274" w:type="dxa"/>
            <w:tcBorders>
              <w:top w:val="single" w:sz="4" w:space="0" w:color="auto"/>
              <w:left w:val="single" w:sz="4" w:space="0" w:color="auto"/>
              <w:bottom w:val="single" w:sz="4" w:space="0" w:color="auto"/>
              <w:right w:val="single" w:sz="4" w:space="0" w:color="auto"/>
            </w:tcBorders>
            <w:hideMark/>
          </w:tcPr>
          <w:p w14:paraId="4E1BDBA3" w14:textId="50FEDCE9" w:rsidR="00555F94" w:rsidRPr="008072AF" w:rsidRDefault="00555F94" w:rsidP="00555F94">
            <w:pPr>
              <w:pStyle w:val="Tabletexte"/>
            </w:pPr>
            <w:r w:rsidRPr="00C62D1B">
              <w:t>23</w:t>
            </w:r>
            <w:r w:rsidR="001C60EF" w:rsidRPr="001C60EF">
              <w:t> </w:t>
            </w:r>
            <w:r w:rsidRPr="00C62D1B">
              <w:t>233</w:t>
            </w:r>
            <w:r w:rsidR="001C60EF" w:rsidRPr="001C60EF">
              <w:t> </w:t>
            </w:r>
            <w:r w:rsidRPr="00C62D1B">
              <w:t>090</w:t>
            </w:r>
          </w:p>
        </w:tc>
      </w:tr>
      <w:tr w:rsidR="00555F94" w:rsidRPr="008072AF" w14:paraId="0CBB6CED" w14:textId="77777777" w:rsidTr="008072AF">
        <w:trPr>
          <w:trHeight w:val="300"/>
          <w:jc w:val="center"/>
        </w:trPr>
        <w:tc>
          <w:tcPr>
            <w:tcW w:w="9061" w:type="dxa"/>
            <w:gridSpan w:val="4"/>
            <w:tcBorders>
              <w:top w:val="single" w:sz="4" w:space="0" w:color="auto"/>
              <w:left w:val="nil"/>
              <w:bottom w:val="nil"/>
              <w:right w:val="nil"/>
            </w:tcBorders>
            <w:noWrap/>
            <w:hideMark/>
          </w:tcPr>
          <w:p w14:paraId="47F13CEF" w14:textId="77777777" w:rsidR="00555F94" w:rsidRPr="008072AF" w:rsidRDefault="00555F94" w:rsidP="00555F94">
            <w:pPr>
              <w:pStyle w:val="Tablelegend"/>
            </w:pPr>
            <w:r w:rsidRPr="008072AF">
              <w:rPr>
                <w:rFonts w:hint="cs"/>
                <w:rtl/>
              </w:rPr>
              <w:t>ملاحظة: يتحمل الاتحاد تكاليف إضافية لتطوير برمجيات فضائية محددة.</w:t>
            </w:r>
          </w:p>
        </w:tc>
      </w:tr>
    </w:tbl>
    <w:p w14:paraId="0D4E7A3F" w14:textId="77777777" w:rsidR="008072AF" w:rsidRPr="008072AF" w:rsidRDefault="008072AF" w:rsidP="008072AF">
      <w:pPr>
        <w:rPr>
          <w:lang w:bidi="ar-EG"/>
        </w:rPr>
      </w:pPr>
      <w:r w:rsidRPr="008072AF">
        <w:rPr>
          <w:lang w:bidi="ar-EG"/>
        </w:rPr>
        <w:t>6</w:t>
      </w:r>
      <w:r w:rsidRPr="008072AF">
        <w:rPr>
          <w:rFonts w:hint="cs"/>
          <w:rtl/>
        </w:rPr>
        <w:tab/>
        <w:t xml:space="preserve">ولم يواجه مكتب الاتصالات الراديوية عند تنفيذه للمقرر </w:t>
      </w:r>
      <w:r w:rsidRPr="008072AF">
        <w:rPr>
          <w:lang w:bidi="ar-EG"/>
        </w:rPr>
        <w:t>482</w:t>
      </w:r>
      <w:r w:rsidRPr="008072AF">
        <w:rPr>
          <w:rFonts w:hint="cs"/>
          <w:rtl/>
        </w:rPr>
        <w:t xml:space="preserve"> أي صعوبات إدارية أو تشغيلية كبيرة، سواء داخلياً أو مع الإدارات المبلِّغة عن الشبكات الساتلية.</w:t>
      </w:r>
    </w:p>
    <w:p w14:paraId="16B47491" w14:textId="77777777" w:rsidR="008072AF" w:rsidRPr="008072AF" w:rsidRDefault="008072AF" w:rsidP="00555F94">
      <w:pPr>
        <w:pStyle w:val="Headingb"/>
        <w:rPr>
          <w:rtl/>
        </w:rPr>
      </w:pPr>
      <w:r w:rsidRPr="008072AF">
        <w:rPr>
          <w:rFonts w:hint="cs"/>
          <w:rtl/>
        </w:rPr>
        <w:t>الإيرادات المؤجلة بسبب نقص موارد المعالجة</w:t>
      </w:r>
    </w:p>
    <w:p w14:paraId="23E8A290" w14:textId="00EB7D6C" w:rsidR="008072AF" w:rsidRPr="008072AF" w:rsidRDefault="008072AF" w:rsidP="008072AF">
      <w:pPr>
        <w:rPr>
          <w:lang w:bidi="ar-EG"/>
        </w:rPr>
      </w:pPr>
      <w:r w:rsidRPr="008072AF">
        <w:rPr>
          <w:rFonts w:hint="cs"/>
          <w:rtl/>
        </w:rPr>
        <w:t>7</w:t>
      </w:r>
      <w:r w:rsidRPr="008072AF">
        <w:rPr>
          <w:rFonts w:hint="cs"/>
          <w:rtl/>
        </w:rPr>
        <w:tab/>
        <w:t>نظراً للقواعد الحالية لمراجعة الحسابات، لا تُراعى مدفوعات الفواتير المتصلة باسترداد تكاليف السواتل في</w:t>
      </w:r>
      <w:r w:rsidR="00305097">
        <w:rPr>
          <w:rFonts w:hint="eastAsia"/>
          <w:rtl/>
          <w:lang w:bidi="ar-EG"/>
        </w:rPr>
        <w:t> </w:t>
      </w:r>
      <w:r w:rsidRPr="008072AF">
        <w:rPr>
          <w:rFonts w:hint="cs"/>
          <w:rtl/>
        </w:rPr>
        <w:t>الإيرادات المحسوبة إلا بعد نشر الأقسام الخاصة المقابلة.</w:t>
      </w:r>
    </w:p>
    <w:p w14:paraId="2EB13785" w14:textId="40199313" w:rsidR="008072AF" w:rsidRPr="008072AF" w:rsidRDefault="008072AF" w:rsidP="008072AF">
      <w:pPr>
        <w:rPr>
          <w:lang w:bidi="ar-EG"/>
        </w:rPr>
      </w:pPr>
      <w:r w:rsidRPr="008072AF">
        <w:rPr>
          <w:rFonts w:hint="cs"/>
          <w:rtl/>
        </w:rPr>
        <w:t>8</w:t>
      </w:r>
      <w:r w:rsidRPr="008072AF">
        <w:rPr>
          <w:rFonts w:hint="cs"/>
          <w:rtl/>
        </w:rPr>
        <w:tab/>
        <w:t xml:space="preserve">وفي نهاية عام 2025، بلغت الإيرادات المؤجلة </w:t>
      </w:r>
      <w:r w:rsidRPr="008072AF">
        <w:rPr>
          <w:lang w:bidi="ar-EG"/>
        </w:rPr>
        <w:t>4</w:t>
      </w:r>
      <w:r w:rsidR="00305097">
        <w:rPr>
          <w:lang w:bidi="ar-EG"/>
        </w:rPr>
        <w:t> </w:t>
      </w:r>
      <w:r w:rsidRPr="008072AF">
        <w:rPr>
          <w:lang w:bidi="ar-EG"/>
        </w:rPr>
        <w:t>237</w:t>
      </w:r>
      <w:r w:rsidR="00305097">
        <w:rPr>
          <w:lang w:bidi="ar-EG"/>
        </w:rPr>
        <w:t> </w:t>
      </w:r>
      <w:r w:rsidRPr="008072AF">
        <w:rPr>
          <w:lang w:bidi="ar-EG"/>
        </w:rPr>
        <w:t>520</w:t>
      </w:r>
      <w:r w:rsidRPr="008072AF">
        <w:rPr>
          <w:rFonts w:hint="cs"/>
          <w:rtl/>
        </w:rPr>
        <w:t xml:space="preserve"> فرنكاً سويسرياً (أي الحالات التي أصدرت فيها فواتير للجهة المقدمة لبطاقة التبليغ، ولكن القسم الخاص المقابل لم يُنشر بعد)</w:t>
      </w:r>
      <w:r w:rsidR="00305097">
        <w:rPr>
          <w:rFonts w:hint="cs"/>
          <w:rtl/>
          <w:lang w:bidi="ar-EG"/>
        </w:rPr>
        <w:t>.</w:t>
      </w:r>
    </w:p>
    <w:p w14:paraId="5FABAE8C" w14:textId="4EE84B2B" w:rsidR="008072AF" w:rsidRPr="008072AF" w:rsidRDefault="008072AF" w:rsidP="008072AF">
      <w:pPr>
        <w:rPr>
          <w:lang w:bidi="ar-EG"/>
        </w:rPr>
      </w:pPr>
      <w:r w:rsidRPr="008072AF">
        <w:rPr>
          <w:rFonts w:hint="cs"/>
          <w:rtl/>
        </w:rPr>
        <w:t>9</w:t>
      </w:r>
      <w:r w:rsidRPr="008072AF">
        <w:rPr>
          <w:rFonts w:hint="cs"/>
          <w:rtl/>
        </w:rPr>
        <w:tab/>
        <w:t>وتكون أوقات معالجة جميع الأقسام الخاصة، باستثناء طلبات التنسيق، ضمن الفترات المحددة إما في لوائح الراديو أو في الخطة التشغيلية لقطاع الاتصالات الراديوية في الحالات التي لا توجد فيها فترة تنظيمية. وفيما يتعلق بطلبات التنسيق، فإن عدد الشبكات قيد المعالجة يشهد تراجعاً منذ يونيو 2025، مما يدل على جهود مكتب الاتصالات الراديوية الرامية إلى معالجة الأعمال المتأخرة (بعد أن بلغت ذروتها 17 شهراً في يونيو 2025، أصبحت مدة المعالجة الحالية 14 شهراً مقارنة</w:t>
      </w:r>
      <w:r w:rsidR="005F346C">
        <w:rPr>
          <w:rFonts w:hint="cs"/>
          <w:rtl/>
        </w:rPr>
        <w:t>ً</w:t>
      </w:r>
      <w:r w:rsidRPr="008072AF">
        <w:rPr>
          <w:rFonts w:hint="cs"/>
          <w:rtl/>
        </w:rPr>
        <w:t xml:space="preserve"> بالمتطلبات التنظيمية البالغة 4 أشهر).</w:t>
      </w:r>
    </w:p>
    <w:p w14:paraId="58542AC4" w14:textId="1D90327F" w:rsidR="008072AF" w:rsidRPr="00555F94" w:rsidRDefault="008072AF" w:rsidP="008072AF">
      <w:pPr>
        <w:rPr>
          <w:spacing w:val="-2"/>
          <w:lang w:bidi="ar-EG"/>
        </w:rPr>
      </w:pPr>
      <w:r w:rsidRPr="00555F94">
        <w:rPr>
          <w:rFonts w:hint="cs"/>
          <w:spacing w:val="-2"/>
          <w:rtl/>
        </w:rPr>
        <w:t>10</w:t>
      </w:r>
      <w:r w:rsidRPr="00555F94">
        <w:rPr>
          <w:rFonts w:hint="cs"/>
          <w:spacing w:val="-2"/>
          <w:rtl/>
        </w:rPr>
        <w:tab/>
        <w:t>ومع ذلك، فإن القيود الحالية المفروضة على ميزانية الاتحاد، قد أدت إلى تجميد فعلي للتوظيف، وإبقاء الكثير من الوظائف الشاغرة في المكتب شاغرة. وفي ظل عدم كفاية عدد الموظفين في الوقت الحالي لمعالجة طلبات التنسيق، لا يملك المكتب الموارد اللازمة لإنهاء الأعمال المتراكمة وبالتالي خفض مبلغ الإيرادات المؤجلة. وتقترح وثيقة المجلس</w:t>
      </w:r>
      <w:hyperlink r:id="rId15" w:history="1">
        <w:r w:rsidR="00555F94" w:rsidRPr="00555F94">
          <w:rPr>
            <w:rStyle w:val="Hyperlink"/>
            <w:rFonts w:hint="eastAsia"/>
            <w:noProof w:val="0"/>
            <w:spacing w:val="-2"/>
            <w:u w:val="none"/>
            <w:rtl/>
            <w:lang w:val="en-US" w:eastAsia="zh-CN" w:bidi="ar-EG"/>
          </w:rPr>
          <w:t> </w:t>
        </w:r>
        <w:r w:rsidRPr="00555F94">
          <w:rPr>
            <w:rStyle w:val="Hyperlink"/>
            <w:noProof w:val="0"/>
            <w:spacing w:val="-2"/>
            <w:lang w:eastAsia="zh-CN" w:bidi="ar-EG"/>
          </w:rPr>
          <w:t>C26/42</w:t>
        </w:r>
      </w:hyperlink>
      <w:r w:rsidRPr="00555F94">
        <w:rPr>
          <w:rFonts w:hint="cs"/>
          <w:spacing w:val="-2"/>
          <w:rtl/>
        </w:rPr>
        <w:t xml:space="preserve"> تخصيص جزء من وفورات عام 2025 لمعالجة هذه المسألة.</w:t>
      </w:r>
    </w:p>
    <w:p w14:paraId="2FF98F59" w14:textId="59446DD3" w:rsidR="008072AF" w:rsidRPr="00DC1093" w:rsidRDefault="008072AF" w:rsidP="008072AF">
      <w:pPr>
        <w:rPr>
          <w:spacing w:val="-2"/>
          <w:lang w:bidi="ar-EG"/>
        </w:rPr>
      </w:pPr>
      <w:r w:rsidRPr="00DC1093">
        <w:rPr>
          <w:rFonts w:hint="cs"/>
          <w:spacing w:val="-2"/>
          <w:rtl/>
        </w:rPr>
        <w:t>11</w:t>
      </w:r>
      <w:r w:rsidRPr="00DC1093">
        <w:rPr>
          <w:rFonts w:hint="cs"/>
          <w:spacing w:val="-2"/>
          <w:rtl/>
        </w:rPr>
        <w:tab/>
        <w:t>وعلاوة</w:t>
      </w:r>
      <w:r w:rsidR="00DC1093" w:rsidRPr="00DC1093">
        <w:rPr>
          <w:rFonts w:hint="cs"/>
          <w:spacing w:val="-2"/>
          <w:rtl/>
        </w:rPr>
        <w:t>ً</w:t>
      </w:r>
      <w:r w:rsidRPr="00DC1093">
        <w:rPr>
          <w:rFonts w:hint="cs"/>
          <w:spacing w:val="-2"/>
          <w:rtl/>
        </w:rPr>
        <w:t xml:space="preserve"> على ذلك، بما أن الفوترة تتم في نهاية المرحلة الأولى من المراحل الثلاث لمعالجة بطاقات التبليغ عن الشبكات الساتلية، فإن التأخير في معالجة بطاقات التبليغ يؤدي إلى تأخير جميع هذه المراحل، وبالتالي تأخير في الفوترة. ونتيجة</w:t>
      </w:r>
      <w:r w:rsidR="005F346C">
        <w:rPr>
          <w:rFonts w:hint="cs"/>
          <w:spacing w:val="-2"/>
          <w:rtl/>
        </w:rPr>
        <w:t>ً</w:t>
      </w:r>
      <w:r w:rsidRPr="00DC1093">
        <w:rPr>
          <w:rFonts w:hint="cs"/>
          <w:spacing w:val="-2"/>
          <w:rtl/>
        </w:rPr>
        <w:t xml:space="preserve"> لذلك، لا يزال أكثر من 190 طلب تنسيق ورد في عام 2025 في انتظار الفوترة، بقيمة إجمالية تقدّر بمبلغ</w:t>
      </w:r>
      <w:r w:rsidR="00DC1093" w:rsidRPr="00DC1093">
        <w:rPr>
          <w:rFonts w:hint="eastAsia"/>
          <w:spacing w:val="-2"/>
          <w:rtl/>
        </w:rPr>
        <w:t> </w:t>
      </w:r>
      <w:r w:rsidRPr="00DC1093">
        <w:rPr>
          <w:spacing w:val="-2"/>
          <w:lang w:bidi="ar-EG"/>
        </w:rPr>
        <w:t>3</w:t>
      </w:r>
      <w:r w:rsidR="005F346C">
        <w:rPr>
          <w:spacing w:val="-2"/>
          <w:lang w:bidi="ar-EG"/>
        </w:rPr>
        <w:t> </w:t>
      </w:r>
      <w:r w:rsidRPr="00DC1093">
        <w:rPr>
          <w:spacing w:val="-2"/>
          <w:lang w:bidi="ar-EG"/>
        </w:rPr>
        <w:t>800</w:t>
      </w:r>
      <w:r w:rsidR="005F346C">
        <w:rPr>
          <w:spacing w:val="-2"/>
          <w:lang w:bidi="ar-EG"/>
        </w:rPr>
        <w:t> </w:t>
      </w:r>
      <w:r w:rsidRPr="00DC1093">
        <w:rPr>
          <w:spacing w:val="-2"/>
          <w:lang w:bidi="ar-EG"/>
        </w:rPr>
        <w:t>000</w:t>
      </w:r>
      <w:r w:rsidRPr="00DC1093">
        <w:rPr>
          <w:spacing w:val="-2"/>
          <w:rtl/>
        </w:rPr>
        <w:t xml:space="preserve"> </w:t>
      </w:r>
      <w:r w:rsidRPr="00DC1093">
        <w:rPr>
          <w:rFonts w:hint="cs"/>
          <w:spacing w:val="-2"/>
          <w:rtl/>
        </w:rPr>
        <w:t>فرنك سويسري (بناء</w:t>
      </w:r>
      <w:r w:rsidR="00555F94" w:rsidRPr="00DC1093">
        <w:rPr>
          <w:rFonts w:hint="cs"/>
          <w:spacing w:val="-2"/>
          <w:rtl/>
        </w:rPr>
        <w:t>ً</w:t>
      </w:r>
      <w:r w:rsidRPr="00DC1093">
        <w:rPr>
          <w:rFonts w:hint="cs"/>
          <w:spacing w:val="-2"/>
          <w:rtl/>
        </w:rPr>
        <w:t xml:space="preserve"> على قيمة </w:t>
      </w:r>
      <w:r w:rsidR="00555F94" w:rsidRPr="00DC1093">
        <w:rPr>
          <w:spacing w:val="-2"/>
        </w:rPr>
        <w:t>20 000</w:t>
      </w:r>
      <w:r w:rsidRPr="00DC1093">
        <w:rPr>
          <w:rFonts w:hint="cs"/>
          <w:spacing w:val="-2"/>
          <w:rtl/>
        </w:rPr>
        <w:t xml:space="preserve"> فرنك سويسري لكل طلب تنسيق).</w:t>
      </w:r>
    </w:p>
    <w:p w14:paraId="13FD23A0" w14:textId="77777777" w:rsidR="008072AF" w:rsidRPr="008072AF" w:rsidRDefault="008072AF" w:rsidP="008072AF">
      <w:pPr>
        <w:rPr>
          <w:lang w:bidi="ar-EG"/>
        </w:rPr>
      </w:pPr>
      <w:r w:rsidRPr="008072AF">
        <w:rPr>
          <w:rFonts w:hint="cs"/>
          <w:rtl/>
        </w:rPr>
        <w:t>12</w:t>
      </w:r>
      <w:r w:rsidRPr="008072AF">
        <w:rPr>
          <w:rFonts w:hint="cs"/>
          <w:rtl/>
        </w:rPr>
        <w:tab/>
      </w:r>
      <w:r w:rsidRPr="008072AF">
        <w:rPr>
          <w:rFonts w:hint="cs"/>
          <w:rtl/>
          <w:lang w:bidi="ar-SY"/>
        </w:rPr>
        <w:t>وبالإضافة إلى ذلك، فإن</w:t>
      </w:r>
      <w:r w:rsidRPr="008072AF">
        <w:rPr>
          <w:rFonts w:hint="cs"/>
          <w:rtl/>
        </w:rPr>
        <w:t xml:space="preserve"> التأخير في معالجة طلبات التنسيق سيزيد من عدم اليقين التنظيمي ويضعف قدرة الإدارات ومشغلي السواتل على إحراز تقدم في خططهم الخاصة بنشر الشبكات الساتلية، والتي يتعين وضعها في الخدمة في غضون سبع سنوات من التبليغ.</w:t>
      </w:r>
    </w:p>
    <w:p w14:paraId="714C5FE1" w14:textId="37213873" w:rsidR="008072AF" w:rsidRPr="008072AF" w:rsidRDefault="008072AF" w:rsidP="00555F94">
      <w:pPr>
        <w:pStyle w:val="Headingb"/>
      </w:pPr>
      <w:r w:rsidRPr="008072AF">
        <w:rPr>
          <w:rFonts w:hint="cs"/>
          <w:rtl/>
        </w:rPr>
        <w:t xml:space="preserve">تأثير القرارين </w:t>
      </w:r>
      <w:r w:rsidR="00555F94">
        <w:t xml:space="preserve">35 </w:t>
      </w:r>
      <w:r w:rsidRPr="008072AF">
        <w:rPr>
          <w:rFonts w:hint="cs"/>
        </w:rPr>
        <w:t>(</w:t>
      </w:r>
      <w:r w:rsidRPr="008072AF">
        <w:t>Rev.WRC-23</w:t>
      </w:r>
      <w:r w:rsidRPr="008072AF">
        <w:rPr>
          <w:rFonts w:hint="cs"/>
        </w:rPr>
        <w:t>)</w:t>
      </w:r>
      <w:r w:rsidRPr="008072AF">
        <w:rPr>
          <w:rFonts w:hint="cs"/>
          <w:rtl/>
        </w:rPr>
        <w:t xml:space="preserve"> و</w:t>
      </w:r>
      <w:r w:rsidR="00555F94">
        <w:t>8 </w:t>
      </w:r>
      <w:r w:rsidRPr="008072AF">
        <w:rPr>
          <w:rFonts w:hint="cs"/>
        </w:rPr>
        <w:t>(</w:t>
      </w:r>
      <w:r w:rsidRPr="008072AF">
        <w:t>WRC-23</w:t>
      </w:r>
      <w:r w:rsidRPr="008072AF">
        <w:rPr>
          <w:rFonts w:hint="cs"/>
        </w:rPr>
        <w:t>)</w:t>
      </w:r>
    </w:p>
    <w:p w14:paraId="1A0721C4" w14:textId="3136262C" w:rsidR="008072AF" w:rsidRPr="00555F94" w:rsidRDefault="008072AF" w:rsidP="008072AF">
      <w:pPr>
        <w:rPr>
          <w:lang w:bidi="ar-EG"/>
        </w:rPr>
      </w:pPr>
      <w:r w:rsidRPr="00555F94">
        <w:rPr>
          <w:rFonts w:hint="cs"/>
          <w:rtl/>
        </w:rPr>
        <w:t>13</w:t>
      </w:r>
      <w:r w:rsidRPr="00555F94">
        <w:rPr>
          <w:rFonts w:hint="cs"/>
          <w:rtl/>
        </w:rPr>
        <w:tab/>
        <w:t xml:space="preserve">يتطلب تنفيذ القرارين </w:t>
      </w:r>
      <w:r w:rsidR="00555F94" w:rsidRPr="00555F94">
        <w:t xml:space="preserve">35 </w:t>
      </w:r>
      <w:r w:rsidR="00555F94" w:rsidRPr="00555F94">
        <w:rPr>
          <w:rFonts w:hint="cs"/>
        </w:rPr>
        <w:t>(</w:t>
      </w:r>
      <w:r w:rsidR="00555F94" w:rsidRPr="00555F94">
        <w:t>Rev.WRC-23</w:t>
      </w:r>
      <w:r w:rsidR="00555F94" w:rsidRPr="00555F94">
        <w:rPr>
          <w:rFonts w:hint="cs"/>
        </w:rPr>
        <w:t>)</w:t>
      </w:r>
      <w:r w:rsidR="00555F94" w:rsidRPr="00555F94">
        <w:rPr>
          <w:rFonts w:hint="cs"/>
          <w:rtl/>
        </w:rPr>
        <w:t xml:space="preserve"> و</w:t>
      </w:r>
      <w:r w:rsidR="00555F94" w:rsidRPr="00555F94">
        <w:t>8 </w:t>
      </w:r>
      <w:r w:rsidR="00555F94" w:rsidRPr="00555F94">
        <w:rPr>
          <w:rFonts w:hint="cs"/>
        </w:rPr>
        <w:t>(</w:t>
      </w:r>
      <w:r w:rsidR="00555F94" w:rsidRPr="00555F94">
        <w:t>WRC-23</w:t>
      </w:r>
      <w:r w:rsidR="00555F94" w:rsidRPr="00555F94">
        <w:rPr>
          <w:rFonts w:hint="cs"/>
        </w:rPr>
        <w:t>)</w:t>
      </w:r>
      <w:r w:rsidRPr="00555F94">
        <w:rPr>
          <w:rFonts w:hint="cs"/>
          <w:rtl/>
        </w:rPr>
        <w:t xml:space="preserve"> فحص خصائص نشر كل ساتل في النظام الساتلي غير المستقر بالنسبة إلى الأرض قيد المعالجة.</w:t>
      </w:r>
    </w:p>
    <w:p w14:paraId="1EA72CC1" w14:textId="5AF53747" w:rsidR="008072AF" w:rsidRPr="008072AF" w:rsidRDefault="008072AF" w:rsidP="00555F94">
      <w:pPr>
        <w:keepLines/>
        <w:rPr>
          <w:lang w:bidi="ar-EG"/>
        </w:rPr>
      </w:pPr>
      <w:r w:rsidRPr="008072AF">
        <w:rPr>
          <w:rFonts w:hint="cs"/>
          <w:rtl/>
        </w:rPr>
        <w:t>14</w:t>
      </w:r>
      <w:r w:rsidRPr="008072AF">
        <w:rPr>
          <w:rFonts w:hint="cs"/>
          <w:rtl/>
        </w:rPr>
        <w:tab/>
        <w:t>ويمكن اعتبار هذا الفحص جزءاً من الأنشطة المرتبطة بالتبليغ عن تخصيصات التردد للنظام الساتلي غير المستقر بالنسبة إلى الأرض وتغطية تكاليفه، ما دام هذا النظام يقتصر على عدد محدود من السواتل. بيد أن هذا الافتراض لم يعد صالحاً بالنسبة للأنظمة الساتلية الكبيرة غير المستقرة بالنسبة إلى الأرض، لأن عبء العمل المتمثل في فحص امتثال كل ساتل على حدة للشروط المنصوص عليها في كلا القرارين، يرتبط مباشرة</w:t>
      </w:r>
      <w:r w:rsidR="005F346C">
        <w:rPr>
          <w:rFonts w:hint="cs"/>
          <w:rtl/>
        </w:rPr>
        <w:t>ً</w:t>
      </w:r>
      <w:r w:rsidRPr="008072AF">
        <w:rPr>
          <w:rFonts w:hint="cs"/>
          <w:rtl/>
        </w:rPr>
        <w:t xml:space="preserve"> بعدد السواتل المنشورة فعلياً والخصائص التي يتعين التحقق منها.</w:t>
      </w:r>
    </w:p>
    <w:p w14:paraId="0E6CA5B5" w14:textId="659E217C" w:rsidR="008072AF" w:rsidRPr="008072AF" w:rsidRDefault="008072AF" w:rsidP="008072AF">
      <w:pPr>
        <w:rPr>
          <w:lang w:bidi="ar-EG"/>
        </w:rPr>
      </w:pPr>
      <w:r w:rsidRPr="008072AF">
        <w:rPr>
          <w:rFonts w:hint="cs"/>
          <w:rtl/>
        </w:rPr>
        <w:t>15</w:t>
      </w:r>
      <w:r w:rsidRPr="008072AF">
        <w:rPr>
          <w:rFonts w:hint="cs"/>
          <w:rtl/>
        </w:rPr>
        <w:tab/>
        <w:t>وبناءً على ذلك، ينبغي إجراء دراسات لتقييم تكاليف الفحص التي ينطوي عليها هذان القراران تقييماً مناسباً</w:t>
      </w:r>
      <w:r w:rsidR="005F346C">
        <w:rPr>
          <w:rFonts w:hint="cs"/>
          <w:rtl/>
        </w:rPr>
        <w:t>.</w:t>
      </w:r>
    </w:p>
    <w:p w14:paraId="791DD011" w14:textId="77777777" w:rsidR="008072AF" w:rsidRPr="008072AF" w:rsidRDefault="008072AF" w:rsidP="00555F94">
      <w:pPr>
        <w:pStyle w:val="Headingb"/>
        <w:rPr>
          <w:rtl/>
        </w:rPr>
      </w:pPr>
      <w:r w:rsidRPr="008072AF">
        <w:rPr>
          <w:rFonts w:hint="cs"/>
          <w:rtl/>
        </w:rPr>
        <w:t>الخلاصة</w:t>
      </w:r>
    </w:p>
    <w:p w14:paraId="07C408AD" w14:textId="1660E453" w:rsidR="008072AF" w:rsidRPr="00DC1093" w:rsidRDefault="008072AF" w:rsidP="008072AF">
      <w:pPr>
        <w:rPr>
          <w:rtl/>
        </w:rPr>
      </w:pPr>
      <w:r w:rsidRPr="008072AF">
        <w:rPr>
          <w:rFonts w:hint="cs"/>
          <w:rtl/>
          <w:lang w:bidi="ar-EG"/>
        </w:rPr>
        <w:t>16</w:t>
      </w:r>
      <w:r w:rsidRPr="008072AF">
        <w:rPr>
          <w:rFonts w:hint="cs"/>
          <w:rtl/>
        </w:rPr>
        <w:tab/>
        <w:t xml:space="preserve">يُدعى المجلس إلى </w:t>
      </w:r>
      <w:r w:rsidRPr="008072AF">
        <w:rPr>
          <w:rFonts w:hint="cs"/>
          <w:b/>
          <w:bCs/>
          <w:rtl/>
        </w:rPr>
        <w:t>الإحاطة علماً</w:t>
      </w:r>
      <w:r w:rsidRPr="008072AF">
        <w:rPr>
          <w:rFonts w:hint="cs"/>
          <w:rtl/>
        </w:rPr>
        <w:t xml:space="preserve"> بهذا التقرير عن حالة تنفيذ استرداد تكاليف معالجة بطاقات التبليغ عن الشبكات الساتلية و</w:t>
      </w:r>
      <w:r w:rsidRPr="008072AF">
        <w:rPr>
          <w:rFonts w:hint="cs"/>
          <w:b/>
          <w:bCs/>
          <w:rtl/>
        </w:rPr>
        <w:t xml:space="preserve">تكليف فريق العمل التابع للمجلس والمعني بالموارد المالية والبشرية بدراسة </w:t>
      </w:r>
      <w:r w:rsidRPr="008072AF">
        <w:rPr>
          <w:rFonts w:hint="cs"/>
          <w:rtl/>
        </w:rPr>
        <w:t xml:space="preserve">سبل ضمان إجراء تقييم مناسب لتكاليف العمل المنصوص عليه في </w:t>
      </w:r>
      <w:r w:rsidRPr="00DC1093">
        <w:rPr>
          <w:rFonts w:hint="cs"/>
          <w:rtl/>
        </w:rPr>
        <w:t xml:space="preserve">القرارين </w:t>
      </w:r>
      <w:r w:rsidR="00DC1093" w:rsidRPr="00DC1093">
        <w:t xml:space="preserve">35 </w:t>
      </w:r>
      <w:r w:rsidR="00DC1093" w:rsidRPr="00DC1093">
        <w:rPr>
          <w:rFonts w:hint="cs"/>
        </w:rPr>
        <w:t>(</w:t>
      </w:r>
      <w:r w:rsidR="00DC1093" w:rsidRPr="00DC1093">
        <w:t>Rev.WRC-23</w:t>
      </w:r>
      <w:r w:rsidR="00DC1093" w:rsidRPr="00DC1093">
        <w:rPr>
          <w:rFonts w:hint="cs"/>
        </w:rPr>
        <w:t>)</w:t>
      </w:r>
      <w:r w:rsidR="00DC1093" w:rsidRPr="00DC1093">
        <w:rPr>
          <w:rFonts w:hint="cs"/>
          <w:rtl/>
        </w:rPr>
        <w:t xml:space="preserve"> و</w:t>
      </w:r>
      <w:r w:rsidR="00DC1093" w:rsidRPr="00DC1093">
        <w:t>8 </w:t>
      </w:r>
      <w:r w:rsidR="00DC1093" w:rsidRPr="00DC1093">
        <w:rPr>
          <w:rFonts w:hint="cs"/>
        </w:rPr>
        <w:t>(</w:t>
      </w:r>
      <w:r w:rsidR="00DC1093" w:rsidRPr="00DC1093">
        <w:t>WRC-23</w:t>
      </w:r>
      <w:r w:rsidR="00DC1093" w:rsidRPr="00DC1093">
        <w:rPr>
          <w:rFonts w:hint="cs"/>
        </w:rPr>
        <w:t>)</w:t>
      </w:r>
      <w:r w:rsidRPr="00DC1093">
        <w:rPr>
          <w:rFonts w:hint="cs"/>
          <w:rtl/>
        </w:rPr>
        <w:t>.</w:t>
      </w:r>
    </w:p>
    <w:p w14:paraId="4746DFD3"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6"/>
      <w:headerReference w:type="first" r:id="rId17"/>
      <w:footerReference w:type="first" r:id="rId18"/>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FBEA" w14:textId="77777777" w:rsidR="000B3FAF" w:rsidRDefault="000B3FAF" w:rsidP="006C3242">
      <w:pPr>
        <w:spacing w:before="0" w:line="240" w:lineRule="auto"/>
      </w:pPr>
      <w:r>
        <w:separator/>
      </w:r>
    </w:p>
  </w:endnote>
  <w:endnote w:type="continuationSeparator" w:id="0">
    <w:p w14:paraId="173DC381" w14:textId="77777777" w:rsidR="000B3FAF" w:rsidRDefault="000B3FA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C2B74FF" w14:textId="77777777" w:rsidTr="00A67F05">
      <w:trPr>
        <w:jc w:val="center"/>
      </w:trPr>
      <w:tc>
        <w:tcPr>
          <w:tcW w:w="868" w:type="pct"/>
          <w:vAlign w:val="center"/>
        </w:tcPr>
        <w:p w14:paraId="737B9E84" w14:textId="0529D59F" w:rsidR="00F50E3F" w:rsidRPr="007B0AA0" w:rsidRDefault="008072AF"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8072AF">
            <w:rPr>
              <w:rFonts w:ascii="Calibri" w:hAnsi="Calibri" w:cs="Arial"/>
              <w:sz w:val="18"/>
              <w:szCs w:val="14"/>
            </w:rPr>
            <w:t>2600511</w:t>
          </w:r>
        </w:p>
      </w:tc>
      <w:tc>
        <w:tcPr>
          <w:tcW w:w="3912" w:type="pct"/>
        </w:tcPr>
        <w:p w14:paraId="687D1A4C" w14:textId="39C73CF3"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8072AF">
            <w:rPr>
              <w:rFonts w:ascii="Calibri" w:hAnsi="Calibri" w:cs="Arial"/>
              <w:bCs/>
              <w:color w:val="7F7F7F"/>
              <w:sz w:val="18"/>
            </w:rPr>
            <w:t>16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266C8A0"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A34306F"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3E1BA791" w14:textId="77777777" w:rsidTr="00A67F05">
      <w:trPr>
        <w:jc w:val="center"/>
      </w:trPr>
      <w:tc>
        <w:tcPr>
          <w:tcW w:w="1013" w:type="pct"/>
          <w:vAlign w:val="center"/>
        </w:tcPr>
        <w:p w14:paraId="4C62CE60"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05940502" w14:textId="440666CB"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8072AF">
            <w:rPr>
              <w:rFonts w:ascii="Calibri" w:hAnsi="Calibri" w:cs="Arial"/>
              <w:bCs/>
              <w:color w:val="7F7F7F"/>
              <w:sz w:val="18"/>
            </w:rPr>
            <w:t>16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A90BFD2"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5F83C11"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F333" w14:textId="77777777" w:rsidR="000B3FAF" w:rsidRDefault="000B3FAF" w:rsidP="006C3242">
      <w:pPr>
        <w:spacing w:before="0" w:line="240" w:lineRule="auto"/>
      </w:pPr>
      <w:r>
        <w:separator/>
      </w:r>
    </w:p>
  </w:footnote>
  <w:footnote w:type="continuationSeparator" w:id="0">
    <w:p w14:paraId="21EB1555" w14:textId="77777777" w:rsidR="000B3FAF" w:rsidRDefault="000B3FAF"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7C92" w14:textId="77777777" w:rsidR="001A3E13" w:rsidRPr="00057769" w:rsidRDefault="001A3E13" w:rsidP="001A3E13">
    <w:pPr>
      <w:pStyle w:val="Header"/>
    </w:pPr>
    <w:r>
      <w:rPr>
        <w:noProof/>
      </w:rPr>
      <w:drawing>
        <wp:inline distT="0" distB="0" distL="0" distR="0" wp14:anchorId="17BB2FDB" wp14:editId="0327927E">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0E"/>
    <w:rsid w:val="000116AF"/>
    <w:rsid w:val="0006468A"/>
    <w:rsid w:val="0006605E"/>
    <w:rsid w:val="00072F01"/>
    <w:rsid w:val="00077A58"/>
    <w:rsid w:val="00090574"/>
    <w:rsid w:val="000B3FAF"/>
    <w:rsid w:val="000C1C0E"/>
    <w:rsid w:val="000C548A"/>
    <w:rsid w:val="00191059"/>
    <w:rsid w:val="001A3E13"/>
    <w:rsid w:val="001B6E2B"/>
    <w:rsid w:val="001C0169"/>
    <w:rsid w:val="001C0C21"/>
    <w:rsid w:val="001C60EF"/>
    <w:rsid w:val="001D1D50"/>
    <w:rsid w:val="001D64C7"/>
    <w:rsid w:val="001D6745"/>
    <w:rsid w:val="001E446E"/>
    <w:rsid w:val="00207D94"/>
    <w:rsid w:val="002154EE"/>
    <w:rsid w:val="002276D2"/>
    <w:rsid w:val="0023283D"/>
    <w:rsid w:val="00242C61"/>
    <w:rsid w:val="00254393"/>
    <w:rsid w:val="0026373E"/>
    <w:rsid w:val="00271C43"/>
    <w:rsid w:val="00284673"/>
    <w:rsid w:val="00290728"/>
    <w:rsid w:val="002978F4"/>
    <w:rsid w:val="002A3A31"/>
    <w:rsid w:val="002B028D"/>
    <w:rsid w:val="002C3F32"/>
    <w:rsid w:val="002D2FB7"/>
    <w:rsid w:val="002E5626"/>
    <w:rsid w:val="002E6541"/>
    <w:rsid w:val="00305097"/>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97F0E"/>
    <w:rsid w:val="004A4701"/>
    <w:rsid w:val="004B7334"/>
    <w:rsid w:val="004C10D3"/>
    <w:rsid w:val="004E11DC"/>
    <w:rsid w:val="00511148"/>
    <w:rsid w:val="005130DE"/>
    <w:rsid w:val="00513157"/>
    <w:rsid w:val="00525DDD"/>
    <w:rsid w:val="005409AC"/>
    <w:rsid w:val="005434E0"/>
    <w:rsid w:val="005546CF"/>
    <w:rsid w:val="0055516A"/>
    <w:rsid w:val="00555F94"/>
    <w:rsid w:val="0058491B"/>
    <w:rsid w:val="00592EA5"/>
    <w:rsid w:val="005A3170"/>
    <w:rsid w:val="005F346C"/>
    <w:rsid w:val="005F466D"/>
    <w:rsid w:val="00657019"/>
    <w:rsid w:val="00660DEA"/>
    <w:rsid w:val="00677396"/>
    <w:rsid w:val="00683F16"/>
    <w:rsid w:val="0069200F"/>
    <w:rsid w:val="006A65CB"/>
    <w:rsid w:val="006B12E5"/>
    <w:rsid w:val="006C2FEB"/>
    <w:rsid w:val="006C3242"/>
    <w:rsid w:val="006C7CC0"/>
    <w:rsid w:val="006F363C"/>
    <w:rsid w:val="006F63F7"/>
    <w:rsid w:val="007025C7"/>
    <w:rsid w:val="00706D7A"/>
    <w:rsid w:val="00722F0D"/>
    <w:rsid w:val="00735081"/>
    <w:rsid w:val="0074420E"/>
    <w:rsid w:val="007648A6"/>
    <w:rsid w:val="0077110E"/>
    <w:rsid w:val="0078387D"/>
    <w:rsid w:val="00783E26"/>
    <w:rsid w:val="007A6684"/>
    <w:rsid w:val="007B0AA0"/>
    <w:rsid w:val="007C3BC7"/>
    <w:rsid w:val="007C3BCD"/>
    <w:rsid w:val="007D4ACF"/>
    <w:rsid w:val="007F0787"/>
    <w:rsid w:val="008072AF"/>
    <w:rsid w:val="00810B7B"/>
    <w:rsid w:val="0082358A"/>
    <w:rsid w:val="008235CD"/>
    <w:rsid w:val="008247DE"/>
    <w:rsid w:val="008339C0"/>
    <w:rsid w:val="00837627"/>
    <w:rsid w:val="00840B10"/>
    <w:rsid w:val="008513CB"/>
    <w:rsid w:val="008555CE"/>
    <w:rsid w:val="00874E9F"/>
    <w:rsid w:val="008A7F84"/>
    <w:rsid w:val="008C47FA"/>
    <w:rsid w:val="00901E92"/>
    <w:rsid w:val="0091702E"/>
    <w:rsid w:val="00923B0C"/>
    <w:rsid w:val="00924F46"/>
    <w:rsid w:val="00930DF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AC7D50"/>
    <w:rsid w:val="00B03099"/>
    <w:rsid w:val="00B05BC8"/>
    <w:rsid w:val="00B30F5E"/>
    <w:rsid w:val="00B64B47"/>
    <w:rsid w:val="00B71B92"/>
    <w:rsid w:val="00B723A4"/>
    <w:rsid w:val="00B95654"/>
    <w:rsid w:val="00B97F32"/>
    <w:rsid w:val="00BA04B2"/>
    <w:rsid w:val="00BA32BD"/>
    <w:rsid w:val="00C002DE"/>
    <w:rsid w:val="00C0602B"/>
    <w:rsid w:val="00C224DA"/>
    <w:rsid w:val="00C53BF8"/>
    <w:rsid w:val="00C66157"/>
    <w:rsid w:val="00C674FE"/>
    <w:rsid w:val="00C67501"/>
    <w:rsid w:val="00C75633"/>
    <w:rsid w:val="00CC29C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093"/>
    <w:rsid w:val="00DC1E02"/>
    <w:rsid w:val="00DC24B4"/>
    <w:rsid w:val="00DC5FB0"/>
    <w:rsid w:val="00DF16DC"/>
    <w:rsid w:val="00E45211"/>
    <w:rsid w:val="00E473C5"/>
    <w:rsid w:val="00E61BE8"/>
    <w:rsid w:val="00E83FF1"/>
    <w:rsid w:val="00E92863"/>
    <w:rsid w:val="00E979B2"/>
    <w:rsid w:val="00EB796D"/>
    <w:rsid w:val="00EF75F8"/>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 w:val="00FF6A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5F509"/>
  <w15:chartTrackingRefBased/>
  <w15:docId w15:val="{BEBF6398-8860-480F-B39C-D653767A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2A3A31"/>
    <w:pPr>
      <w:tabs>
        <w:tab w:val="clear" w:pos="794"/>
        <w:tab w:val="left" w:pos="397"/>
      </w:tabs>
      <w:spacing w:before="60" w:after="60"/>
      <w:ind w:left="397" w:hanging="397"/>
    </w:pPr>
    <w:rPr>
      <w:sz w:val="18"/>
      <w:szCs w:val="18"/>
      <w:lang w:bidi="ar-SY"/>
    </w:rPr>
  </w:style>
  <w:style w:type="paragraph" w:customStyle="1" w:styleId="Headingb">
    <w:name w:val="Heading_b"/>
    <w:basedOn w:val="Normal"/>
    <w:qFormat/>
    <w:rsid w:val="008072AF"/>
    <w:pPr>
      <w:keepNext/>
      <w:spacing w:before="240"/>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35822">
      <w:bodyDiv w:val="1"/>
      <w:marLeft w:val="0"/>
      <w:marRight w:val="0"/>
      <w:marTop w:val="0"/>
      <w:marBottom w:val="0"/>
      <w:divBdr>
        <w:top w:val="none" w:sz="0" w:space="0" w:color="auto"/>
        <w:left w:val="none" w:sz="0" w:space="0" w:color="auto"/>
        <w:bottom w:val="none" w:sz="0" w:space="0" w:color="auto"/>
        <w:right w:val="none" w:sz="0" w:space="0" w:color="auto"/>
      </w:divBdr>
    </w:div>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1377001424">
      <w:bodyDiv w:val="1"/>
      <w:marLeft w:val="0"/>
      <w:marRight w:val="0"/>
      <w:marTop w:val="0"/>
      <w:marBottom w:val="0"/>
      <w:divBdr>
        <w:top w:val="none" w:sz="0" w:space="0" w:color="auto"/>
        <w:left w:val="none" w:sz="0" w:space="0" w:color="auto"/>
        <w:bottom w:val="none" w:sz="0" w:space="0" w:color="auto"/>
        <w:right w:val="none" w:sz="0" w:space="0" w:color="auto"/>
      </w:divBdr>
    </w:div>
    <w:div w:id="1784418177">
      <w:bodyDiv w:val="1"/>
      <w:marLeft w:val="0"/>
      <w:marRight w:val="0"/>
      <w:marTop w:val="0"/>
      <w:marBottom w:val="0"/>
      <w:divBdr>
        <w:top w:val="none" w:sz="0" w:space="0" w:color="auto"/>
        <w:left w:val="none" w:sz="0" w:space="0" w:color="auto"/>
        <w:bottom w:val="none" w:sz="0" w:space="0" w:color="auto"/>
        <w:right w:val="none" w:sz="0" w:space="0" w:color="auto"/>
      </w:divBdr>
    </w:div>
    <w:div w:id="183772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91-A.pdf" TargetMode="External"/><Relationship Id="rId13" Type="http://schemas.openxmlformats.org/officeDocument/2006/relationships/hyperlink" Target="https://www.itu.int/md/S26-CL-C-0011/e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4-CL-C-0135/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16/en" TargetMode="External"/><Relationship Id="rId5" Type="http://schemas.openxmlformats.org/officeDocument/2006/relationships/webSettings" Target="webSettings.xml"/><Relationship Id="rId15" Type="http://schemas.openxmlformats.org/officeDocument/2006/relationships/hyperlink" Target="https://www.itu.int/md/S26-CL-C-0042/en" TargetMode="External"/><Relationship Id="rId10" Type="http://schemas.openxmlformats.org/officeDocument/2006/relationships/hyperlink" Target="https://www.itu.int/md/S25-CL-C-0011/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24-CL-C-0135/en" TargetMode="External"/><Relationship Id="rId14" Type="http://schemas.openxmlformats.org/officeDocument/2006/relationships/hyperlink" Target="https://www.itu.int/md/S25-CL-C-0125/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6460</Characters>
  <Application>Microsoft Office Word</Application>
  <DocSecurity>0</DocSecurity>
  <Lines>141</Lines>
  <Paragraphs>81</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for the processing of satellite network filings</dc:title>
  <dc:subject>ITU Council 2026</dc:subject>
  <dc:creator>GBS</dc:creator>
  <cp:keywords>C26; C2026; Council 2026; PP26</cp:keywords>
  <dc:description/>
  <cp:lastModifiedBy>GBS</cp:lastModifiedBy>
  <cp:revision>4</cp:revision>
  <dcterms:created xsi:type="dcterms:W3CDTF">2026-04-26T13:31:00Z</dcterms:created>
  <dcterms:modified xsi:type="dcterms:W3CDTF">2026-04-26T13:31:00Z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