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D523C1" w14:paraId="0C5BA805" w14:textId="77777777" w:rsidTr="00C4421B">
        <w:trPr>
          <w:cantSplit/>
          <w:trHeight w:val="23"/>
        </w:trPr>
        <w:tc>
          <w:tcPr>
            <w:tcW w:w="3969" w:type="dxa"/>
            <w:vMerge w:val="restart"/>
            <w:tcMar>
              <w:left w:w="0" w:type="dxa"/>
            </w:tcMar>
          </w:tcPr>
          <w:p w14:paraId="150F92A8" w14:textId="14C67E3D" w:rsidR="00FE57F6" w:rsidRPr="00D523C1" w:rsidRDefault="003120EC" w:rsidP="00C4421B">
            <w:pPr>
              <w:tabs>
                <w:tab w:val="left" w:pos="851"/>
              </w:tabs>
              <w:spacing w:before="0" w:line="240" w:lineRule="atLeast"/>
              <w:rPr>
                <w:b/>
                <w:lang w:val="es-ES_tradnl"/>
              </w:rPr>
            </w:pPr>
            <w:bookmarkStart w:id="0" w:name="_Hlk133421839"/>
            <w:r w:rsidRPr="00D523C1">
              <w:rPr>
                <w:b/>
                <w:lang w:val="es-ES_tradnl"/>
              </w:rPr>
              <w:t>Punto del o</w:t>
            </w:r>
            <w:r w:rsidR="00BB6FD8" w:rsidRPr="00D523C1">
              <w:rPr>
                <w:b/>
                <w:lang w:val="es-ES_tradnl"/>
              </w:rPr>
              <w:t>rden del día</w:t>
            </w:r>
            <w:r w:rsidR="00FE57F6" w:rsidRPr="00D523C1">
              <w:rPr>
                <w:b/>
                <w:lang w:val="es-ES_tradnl"/>
              </w:rPr>
              <w:t xml:space="preserve">: </w:t>
            </w:r>
            <w:r w:rsidRPr="00D523C1">
              <w:rPr>
                <w:b/>
                <w:lang w:val="es-ES_tradnl"/>
              </w:rPr>
              <w:t>PL-2</w:t>
            </w:r>
          </w:p>
        </w:tc>
        <w:tc>
          <w:tcPr>
            <w:tcW w:w="5245" w:type="dxa"/>
          </w:tcPr>
          <w:p w14:paraId="1179E53A" w14:textId="0A065374" w:rsidR="00FE57F6" w:rsidRPr="00D523C1" w:rsidRDefault="00FE57F6" w:rsidP="00C4421B">
            <w:pPr>
              <w:tabs>
                <w:tab w:val="left" w:pos="851"/>
              </w:tabs>
              <w:spacing w:before="0" w:line="240" w:lineRule="atLeast"/>
              <w:jc w:val="right"/>
              <w:rPr>
                <w:b/>
                <w:lang w:val="es-ES_tradnl"/>
              </w:rPr>
            </w:pPr>
            <w:r w:rsidRPr="00D523C1">
              <w:rPr>
                <w:b/>
                <w:lang w:val="es-ES_tradnl"/>
              </w:rPr>
              <w:t>Document</w:t>
            </w:r>
            <w:r w:rsidR="00F24B71" w:rsidRPr="00D523C1">
              <w:rPr>
                <w:b/>
                <w:lang w:val="es-ES_tradnl"/>
              </w:rPr>
              <w:t>o</w:t>
            </w:r>
            <w:r w:rsidRPr="00D523C1">
              <w:rPr>
                <w:b/>
                <w:lang w:val="es-ES_tradnl"/>
              </w:rPr>
              <w:t xml:space="preserve"> C2</w:t>
            </w:r>
            <w:r w:rsidR="00F85E5C" w:rsidRPr="00D523C1">
              <w:rPr>
                <w:b/>
                <w:lang w:val="es-ES_tradnl"/>
              </w:rPr>
              <w:t>6</w:t>
            </w:r>
            <w:r w:rsidRPr="00D523C1">
              <w:rPr>
                <w:b/>
                <w:lang w:val="es-ES_tradnl"/>
              </w:rPr>
              <w:t>/</w:t>
            </w:r>
            <w:r w:rsidR="003120EC" w:rsidRPr="00D523C1">
              <w:rPr>
                <w:b/>
                <w:lang w:val="es-ES_tradnl"/>
              </w:rPr>
              <w:t>15</w:t>
            </w:r>
            <w:r w:rsidRPr="00D523C1">
              <w:rPr>
                <w:b/>
                <w:lang w:val="es-ES_tradnl"/>
              </w:rPr>
              <w:t>-</w:t>
            </w:r>
            <w:r w:rsidR="00F24B71" w:rsidRPr="00D523C1">
              <w:rPr>
                <w:b/>
                <w:lang w:val="es-ES_tradnl"/>
              </w:rPr>
              <w:t>S</w:t>
            </w:r>
          </w:p>
        </w:tc>
      </w:tr>
      <w:tr w:rsidR="00FE57F6" w:rsidRPr="00D523C1" w14:paraId="602BC151" w14:textId="77777777" w:rsidTr="00C4421B">
        <w:trPr>
          <w:cantSplit/>
        </w:trPr>
        <w:tc>
          <w:tcPr>
            <w:tcW w:w="3969" w:type="dxa"/>
            <w:vMerge/>
          </w:tcPr>
          <w:p w14:paraId="33497DA7" w14:textId="77777777" w:rsidR="00FE57F6" w:rsidRPr="00D523C1" w:rsidRDefault="00FE57F6" w:rsidP="00C4421B">
            <w:pPr>
              <w:tabs>
                <w:tab w:val="left" w:pos="851"/>
              </w:tabs>
              <w:spacing w:line="240" w:lineRule="atLeast"/>
              <w:rPr>
                <w:b/>
                <w:lang w:val="es-ES_tradnl"/>
              </w:rPr>
            </w:pPr>
          </w:p>
        </w:tc>
        <w:tc>
          <w:tcPr>
            <w:tcW w:w="5245" w:type="dxa"/>
          </w:tcPr>
          <w:p w14:paraId="256649D9" w14:textId="363BBDB8" w:rsidR="00FE57F6" w:rsidRPr="00D523C1" w:rsidRDefault="003120EC" w:rsidP="00C4421B">
            <w:pPr>
              <w:tabs>
                <w:tab w:val="left" w:pos="851"/>
              </w:tabs>
              <w:spacing w:before="0"/>
              <w:jc w:val="right"/>
              <w:rPr>
                <w:b/>
                <w:lang w:val="es-ES_tradnl"/>
              </w:rPr>
            </w:pPr>
            <w:r w:rsidRPr="00D523C1">
              <w:rPr>
                <w:b/>
                <w:lang w:val="es-ES_tradnl"/>
              </w:rPr>
              <w:t>6 de marzo de 2026</w:t>
            </w:r>
          </w:p>
        </w:tc>
      </w:tr>
      <w:tr w:rsidR="00FE57F6" w:rsidRPr="00D523C1" w14:paraId="0F7BF90F" w14:textId="77777777" w:rsidTr="00C4421B">
        <w:trPr>
          <w:cantSplit/>
          <w:trHeight w:val="23"/>
        </w:trPr>
        <w:tc>
          <w:tcPr>
            <w:tcW w:w="3969" w:type="dxa"/>
            <w:vMerge/>
          </w:tcPr>
          <w:p w14:paraId="09A41A75" w14:textId="77777777" w:rsidR="00FE57F6" w:rsidRPr="00D523C1" w:rsidRDefault="00FE57F6" w:rsidP="00C4421B">
            <w:pPr>
              <w:tabs>
                <w:tab w:val="left" w:pos="851"/>
              </w:tabs>
              <w:spacing w:line="240" w:lineRule="atLeast"/>
              <w:rPr>
                <w:b/>
                <w:lang w:val="es-ES_tradnl"/>
              </w:rPr>
            </w:pPr>
          </w:p>
        </w:tc>
        <w:tc>
          <w:tcPr>
            <w:tcW w:w="5245" w:type="dxa"/>
          </w:tcPr>
          <w:p w14:paraId="7797A403" w14:textId="77777777" w:rsidR="00FE57F6" w:rsidRPr="00D523C1" w:rsidRDefault="00F24B71" w:rsidP="00C4421B">
            <w:pPr>
              <w:tabs>
                <w:tab w:val="left" w:pos="851"/>
              </w:tabs>
              <w:spacing w:before="0" w:line="240" w:lineRule="atLeast"/>
              <w:jc w:val="right"/>
              <w:rPr>
                <w:b/>
                <w:bCs/>
                <w:lang w:val="es-ES_tradnl"/>
              </w:rPr>
            </w:pPr>
            <w:r w:rsidRPr="00D523C1">
              <w:rPr>
                <w:rFonts w:cstheme="minorHAnsi"/>
                <w:b/>
                <w:bCs/>
                <w:lang w:val="es-ES_tradnl"/>
              </w:rPr>
              <w:t>Original: inglés</w:t>
            </w:r>
          </w:p>
        </w:tc>
      </w:tr>
      <w:tr w:rsidR="00FE57F6" w:rsidRPr="00D523C1" w14:paraId="0BBFDB6F" w14:textId="77777777" w:rsidTr="00C4421B">
        <w:trPr>
          <w:cantSplit/>
          <w:trHeight w:val="23"/>
        </w:trPr>
        <w:tc>
          <w:tcPr>
            <w:tcW w:w="3969" w:type="dxa"/>
          </w:tcPr>
          <w:p w14:paraId="220E7291" w14:textId="77777777" w:rsidR="00FE57F6" w:rsidRPr="00D523C1" w:rsidRDefault="00FE57F6" w:rsidP="00C4421B">
            <w:pPr>
              <w:tabs>
                <w:tab w:val="left" w:pos="851"/>
              </w:tabs>
              <w:spacing w:line="240" w:lineRule="atLeast"/>
              <w:rPr>
                <w:b/>
                <w:lang w:val="es-ES_tradnl"/>
              </w:rPr>
            </w:pPr>
          </w:p>
        </w:tc>
        <w:tc>
          <w:tcPr>
            <w:tcW w:w="5245" w:type="dxa"/>
          </w:tcPr>
          <w:p w14:paraId="1F4DEE68" w14:textId="77777777" w:rsidR="00FE57F6" w:rsidRPr="00D523C1" w:rsidRDefault="00FE57F6" w:rsidP="00C4421B">
            <w:pPr>
              <w:tabs>
                <w:tab w:val="left" w:pos="851"/>
              </w:tabs>
              <w:spacing w:before="0" w:line="240" w:lineRule="atLeast"/>
              <w:jc w:val="right"/>
              <w:rPr>
                <w:b/>
                <w:lang w:val="es-ES_tradnl"/>
              </w:rPr>
            </w:pPr>
          </w:p>
        </w:tc>
      </w:tr>
      <w:tr w:rsidR="00FE57F6" w:rsidRPr="00D523C1" w14:paraId="133EF896" w14:textId="77777777" w:rsidTr="00C4421B">
        <w:trPr>
          <w:cantSplit/>
        </w:trPr>
        <w:tc>
          <w:tcPr>
            <w:tcW w:w="9214" w:type="dxa"/>
            <w:gridSpan w:val="2"/>
            <w:tcMar>
              <w:left w:w="0" w:type="dxa"/>
            </w:tcMar>
          </w:tcPr>
          <w:p w14:paraId="5A51E805" w14:textId="5D45F22B" w:rsidR="00FE57F6" w:rsidRPr="00BB41AD" w:rsidRDefault="00157AC4" w:rsidP="00BB41AD">
            <w:pPr>
              <w:pStyle w:val="Source"/>
              <w:framePr w:hSpace="0" w:wrap="auto" w:vAnchor="margin" w:hAnchor="text" w:xAlign="left" w:yAlign="inline"/>
            </w:pPr>
            <w:r w:rsidRPr="00BB41AD">
              <w:t>Informe</w:t>
            </w:r>
            <w:r w:rsidR="003120EC" w:rsidRPr="00BB41AD">
              <w:t xml:space="preserve"> del Presidente del GTC-PIeL</w:t>
            </w:r>
          </w:p>
        </w:tc>
      </w:tr>
      <w:tr w:rsidR="00FE57F6" w:rsidRPr="00D523C1" w14:paraId="534F5452" w14:textId="77777777" w:rsidTr="00C4421B">
        <w:trPr>
          <w:cantSplit/>
        </w:trPr>
        <w:tc>
          <w:tcPr>
            <w:tcW w:w="9214" w:type="dxa"/>
            <w:gridSpan w:val="2"/>
            <w:tcMar>
              <w:left w:w="0" w:type="dxa"/>
            </w:tcMar>
          </w:tcPr>
          <w:p w14:paraId="71D35420" w14:textId="2802B971" w:rsidR="00FE57F6" w:rsidRPr="00D523C1" w:rsidRDefault="00BB41AD" w:rsidP="00C4421B">
            <w:pPr>
              <w:pStyle w:val="Subtitle"/>
              <w:framePr w:hSpace="0" w:wrap="auto" w:hAnchor="text" w:xAlign="left" w:yAlign="inline"/>
              <w:rPr>
                <w:lang w:val="es-ES_tradnl"/>
              </w:rPr>
            </w:pPr>
            <w:bookmarkStart w:id="1" w:name="_Hlk221124372"/>
            <w:r w:rsidRPr="00D523C1">
              <w:rPr>
                <w:lang w:val="es-ES_tradnl"/>
              </w:rPr>
              <w:t xml:space="preserve">INFORME SOBRE LOS RESULTADOS DE LAS VIGESIMOTERCERA Y VIGESIMOCUARTA REUNIONES DEL GRUPO DE TRABAJO DEL CONSEJO SOBRE PROTECCIÓN DE LA INFANCIA EN </w:t>
            </w:r>
            <w:bookmarkEnd w:id="1"/>
            <w:r w:rsidRPr="00D523C1">
              <w:rPr>
                <w:lang w:val="es-ES_tradnl"/>
              </w:rPr>
              <w:t>LÍNEA</w:t>
            </w:r>
          </w:p>
        </w:tc>
      </w:tr>
      <w:tr w:rsidR="00FE57F6" w:rsidRPr="00D523C1" w14:paraId="7353800A" w14:textId="77777777" w:rsidTr="00C4421B">
        <w:trPr>
          <w:cantSplit/>
        </w:trPr>
        <w:tc>
          <w:tcPr>
            <w:tcW w:w="9214" w:type="dxa"/>
            <w:gridSpan w:val="2"/>
            <w:tcBorders>
              <w:top w:val="single" w:sz="4" w:space="0" w:color="auto"/>
              <w:bottom w:val="single" w:sz="4" w:space="0" w:color="auto"/>
            </w:tcBorders>
            <w:tcMar>
              <w:left w:w="0" w:type="dxa"/>
            </w:tcMar>
          </w:tcPr>
          <w:p w14:paraId="2562C201" w14:textId="77777777" w:rsidR="00FE57F6" w:rsidRPr="00D523C1" w:rsidRDefault="00F24B71" w:rsidP="00C4421B">
            <w:pPr>
              <w:spacing w:before="160"/>
              <w:rPr>
                <w:b/>
                <w:bCs/>
                <w:sz w:val="26"/>
                <w:szCs w:val="26"/>
                <w:lang w:val="es-ES_tradnl"/>
              </w:rPr>
            </w:pPr>
            <w:r w:rsidRPr="00D523C1">
              <w:rPr>
                <w:b/>
                <w:bCs/>
                <w:sz w:val="26"/>
                <w:szCs w:val="26"/>
                <w:lang w:val="es-ES_tradnl"/>
              </w:rPr>
              <w:t>Finalidad</w:t>
            </w:r>
          </w:p>
          <w:p w14:paraId="58B96FA3" w14:textId="0A89E254" w:rsidR="00FE57F6" w:rsidRPr="00D523C1" w:rsidRDefault="003120EC" w:rsidP="00BB41AD">
            <w:pPr>
              <w:jc w:val="both"/>
              <w:rPr>
                <w:lang w:val="es-ES_tradnl"/>
              </w:rPr>
            </w:pPr>
            <w:r w:rsidRPr="00D523C1">
              <w:rPr>
                <w:lang w:val="es-ES_tradnl"/>
              </w:rPr>
              <w:t>En el presente informe se sintetizan los principales resultados de las vigesimotercera y vigesimocuarta reuniones del Grupo de Trabajo del Consejo sobre Protección de la Infancia en Línea (GTC-PIeL), celebradas el 16 de septiembre de 2025 y el 19 de enero de 2026, respectivamente, en el marco de la labor del Grupo desde la reunión de 2025 del Consejo.</w:t>
            </w:r>
          </w:p>
          <w:p w14:paraId="5CFCA0CC" w14:textId="77777777" w:rsidR="00FE57F6" w:rsidRPr="00D523C1" w:rsidRDefault="00F24B71" w:rsidP="00C4421B">
            <w:pPr>
              <w:spacing w:before="160"/>
              <w:rPr>
                <w:b/>
                <w:bCs/>
                <w:sz w:val="26"/>
                <w:szCs w:val="26"/>
                <w:lang w:val="es-ES_tradnl"/>
              </w:rPr>
            </w:pPr>
            <w:r w:rsidRPr="00D523C1">
              <w:rPr>
                <w:b/>
                <w:bCs/>
                <w:sz w:val="26"/>
                <w:szCs w:val="26"/>
                <w:lang w:val="es-ES_tradnl"/>
              </w:rPr>
              <w:t xml:space="preserve">Acción solicitada </w:t>
            </w:r>
            <w:r w:rsidR="00677A97" w:rsidRPr="00D523C1">
              <w:rPr>
                <w:b/>
                <w:bCs/>
                <w:sz w:val="26"/>
                <w:szCs w:val="26"/>
                <w:lang w:val="es-ES_tradnl"/>
              </w:rPr>
              <w:t>al</w:t>
            </w:r>
            <w:r w:rsidRPr="00D523C1">
              <w:rPr>
                <w:b/>
                <w:bCs/>
                <w:sz w:val="26"/>
                <w:szCs w:val="26"/>
                <w:lang w:val="es-ES_tradnl"/>
              </w:rPr>
              <w:t xml:space="preserve"> Consejo</w:t>
            </w:r>
          </w:p>
          <w:p w14:paraId="62B1911E" w14:textId="1C4B9054" w:rsidR="00F92BED" w:rsidRPr="00D523C1" w:rsidRDefault="003120EC" w:rsidP="00C4421B">
            <w:pPr>
              <w:spacing w:before="160"/>
              <w:rPr>
                <w:szCs w:val="24"/>
                <w:lang w:val="es-ES_tradnl"/>
              </w:rPr>
            </w:pPr>
            <w:r w:rsidRPr="00D523C1">
              <w:rPr>
                <w:lang w:val="es-ES_tradnl"/>
              </w:rPr>
              <w:t xml:space="preserve">Se invita al Consejo </w:t>
            </w:r>
            <w:r w:rsidRPr="00D523C1">
              <w:rPr>
                <w:b/>
                <w:bCs/>
                <w:lang w:val="es-ES_tradnl"/>
              </w:rPr>
              <w:t xml:space="preserve">a tomar nota </w:t>
            </w:r>
            <w:r w:rsidRPr="00D523C1">
              <w:rPr>
                <w:lang w:val="es-ES_tradnl"/>
              </w:rPr>
              <w:t>del informe.</w:t>
            </w:r>
          </w:p>
          <w:p w14:paraId="51191206" w14:textId="77777777" w:rsidR="00F92BED" w:rsidRPr="00D523C1" w:rsidRDefault="00F92BED" w:rsidP="00C4421B">
            <w:pPr>
              <w:spacing w:before="160"/>
              <w:rPr>
                <w:b/>
                <w:bCs/>
                <w:sz w:val="26"/>
                <w:szCs w:val="26"/>
                <w:lang w:val="es-ES_tradnl"/>
              </w:rPr>
            </w:pPr>
            <w:r w:rsidRPr="00D523C1">
              <w:rPr>
                <w:b/>
                <w:bCs/>
                <w:sz w:val="26"/>
                <w:szCs w:val="26"/>
                <w:lang w:val="es-ES_tradnl"/>
              </w:rPr>
              <w:t>Vínculo(s) pertinente(s) con el Plan Estratégico</w:t>
            </w:r>
          </w:p>
          <w:p w14:paraId="49D5601F" w14:textId="2E48E81C" w:rsidR="00F92BED" w:rsidRPr="00D523C1" w:rsidRDefault="003120EC" w:rsidP="00BB41AD">
            <w:pPr>
              <w:jc w:val="both"/>
              <w:rPr>
                <w:lang w:val="es-ES_tradnl"/>
              </w:rPr>
            </w:pPr>
            <w:r w:rsidRPr="00D523C1">
              <w:rPr>
                <w:lang w:val="es-ES_tradnl"/>
              </w:rPr>
              <w:t>Transformación digital sostenible: fomentar la utilización equitativa e inclusiva de las telecomunicaciones y TIC, para empoderar a las personas y las sociedades en favor del desarrollo sostenible.</w:t>
            </w:r>
          </w:p>
          <w:p w14:paraId="19D56D57" w14:textId="77777777" w:rsidR="00F92BED" w:rsidRPr="00D523C1" w:rsidRDefault="00F92BED" w:rsidP="00C4421B">
            <w:pPr>
              <w:spacing w:before="160"/>
              <w:rPr>
                <w:b/>
                <w:bCs/>
                <w:sz w:val="26"/>
                <w:szCs w:val="26"/>
                <w:lang w:val="es-ES_tradnl"/>
              </w:rPr>
            </w:pPr>
            <w:r w:rsidRPr="00D523C1">
              <w:rPr>
                <w:b/>
                <w:bCs/>
                <w:sz w:val="26"/>
                <w:szCs w:val="26"/>
                <w:lang w:val="es-ES_tradnl"/>
              </w:rPr>
              <w:t>Repercusiones financieras</w:t>
            </w:r>
          </w:p>
          <w:p w14:paraId="2BD0618C" w14:textId="0434D0DE" w:rsidR="00F92BED" w:rsidRPr="00D523C1" w:rsidRDefault="003120EC" w:rsidP="00C4421B">
            <w:pPr>
              <w:rPr>
                <w:lang w:val="es-ES_tradnl"/>
              </w:rPr>
            </w:pPr>
            <w:r w:rsidRPr="00D523C1">
              <w:rPr>
                <w:szCs w:val="24"/>
                <w:lang w:val="es-ES_tradnl"/>
              </w:rPr>
              <w:t>Dentro del presupuesto asignado para 2025-2026.</w:t>
            </w:r>
          </w:p>
          <w:p w14:paraId="743B0183" w14:textId="77777777" w:rsidR="00FE57F6" w:rsidRPr="00D523C1" w:rsidRDefault="00FE57F6" w:rsidP="00C4421B">
            <w:pPr>
              <w:spacing w:before="160"/>
              <w:rPr>
                <w:caps/>
                <w:sz w:val="22"/>
                <w:lang w:val="es-ES_tradnl"/>
              </w:rPr>
            </w:pPr>
            <w:r w:rsidRPr="00D523C1">
              <w:rPr>
                <w:sz w:val="22"/>
                <w:lang w:val="es-ES_tradnl"/>
              </w:rPr>
              <w:t>__________________</w:t>
            </w:r>
          </w:p>
          <w:p w14:paraId="16B5EDA3" w14:textId="77777777" w:rsidR="00FE57F6" w:rsidRPr="00D523C1" w:rsidRDefault="00F24B71" w:rsidP="00C4421B">
            <w:pPr>
              <w:spacing w:before="160"/>
              <w:rPr>
                <w:b/>
                <w:bCs/>
                <w:sz w:val="26"/>
                <w:szCs w:val="26"/>
                <w:lang w:val="es-ES_tradnl"/>
              </w:rPr>
            </w:pPr>
            <w:r w:rsidRPr="00D523C1">
              <w:rPr>
                <w:b/>
                <w:bCs/>
                <w:sz w:val="26"/>
                <w:szCs w:val="26"/>
                <w:lang w:val="es-ES_tradnl"/>
              </w:rPr>
              <w:t>Referencia</w:t>
            </w:r>
            <w:r w:rsidR="00F92BED" w:rsidRPr="00D523C1">
              <w:rPr>
                <w:b/>
                <w:bCs/>
                <w:sz w:val="26"/>
                <w:szCs w:val="26"/>
                <w:lang w:val="es-ES_tradnl"/>
              </w:rPr>
              <w:t>s</w:t>
            </w:r>
            <w:r w:rsidR="00D375E0" w:rsidRPr="00D523C1">
              <w:rPr>
                <w:sz w:val="26"/>
                <w:szCs w:val="26"/>
                <w:lang w:val="es-ES_tradnl"/>
              </w:rPr>
              <w:t xml:space="preserve"> </w:t>
            </w:r>
          </w:p>
          <w:p w14:paraId="5C6A412F" w14:textId="53E31E39" w:rsidR="00FE57F6" w:rsidRPr="00BB41AD" w:rsidRDefault="00BB41AD" w:rsidP="00C4421B">
            <w:pPr>
              <w:spacing w:after="160"/>
              <w:rPr>
                <w:i/>
                <w:iCs/>
                <w:sz w:val="22"/>
                <w:szCs w:val="22"/>
                <w:lang w:val="es-ES_tradnl"/>
              </w:rPr>
            </w:pPr>
            <w:r w:rsidRPr="00BB41AD">
              <w:rPr>
                <w:rFonts w:eastAsiaTheme="minorHAnsi" w:cs="Calibri"/>
                <w:i/>
                <w:iCs/>
                <w:sz w:val="22"/>
                <w:szCs w:val="22"/>
                <w:lang w:val="es-ES_tradnl"/>
              </w:rPr>
              <w:t xml:space="preserve">Resolución </w:t>
            </w:r>
            <w:hyperlink r:id="rId6" w:history="1">
              <w:r w:rsidR="003120EC" w:rsidRPr="00BB41AD">
                <w:rPr>
                  <w:rStyle w:val="Hyperlink"/>
                  <w:rFonts w:cs="Calibri"/>
                  <w:i/>
                  <w:iCs/>
                  <w:sz w:val="22"/>
                  <w:lang w:val="es-ES_tradnl"/>
                </w:rPr>
                <w:t>179</w:t>
              </w:r>
              <w:r w:rsidR="003120EC" w:rsidRPr="00BB41AD">
                <w:rPr>
                  <w:rStyle w:val="Hyperlink"/>
                  <w:rFonts w:eastAsia="Times New Roman" w:cs="Calibri"/>
                  <w:i/>
                  <w:iCs/>
                  <w:sz w:val="22"/>
                  <w:lang w:val="es-ES_tradnl"/>
                </w:rPr>
                <w:t xml:space="preserve"> (Rev. Bucarest 2022)</w:t>
              </w:r>
            </w:hyperlink>
            <w:r w:rsidR="003120EC" w:rsidRPr="00BB41AD">
              <w:rPr>
                <w:rFonts w:cs="Calibri"/>
                <w:i/>
                <w:iCs/>
                <w:sz w:val="22"/>
                <w:szCs w:val="22"/>
                <w:lang w:val="es-ES_tradnl"/>
              </w:rPr>
              <w:t xml:space="preserve"> de la Conferencia de Plenipotenciarios; </w:t>
            </w:r>
            <w:hyperlink r:id="rId7" w:history="1">
              <w:r w:rsidR="003120EC" w:rsidRPr="00BB41AD">
                <w:rPr>
                  <w:rStyle w:val="Hyperlink"/>
                  <w:rFonts w:cs="Calibri"/>
                  <w:i/>
                  <w:iCs/>
                  <w:sz w:val="22"/>
                  <w:lang w:val="es-ES_tradnl"/>
                </w:rPr>
                <w:t>sitio web del GTC-PIeL</w:t>
              </w:r>
            </w:hyperlink>
            <w:r w:rsidR="003120EC" w:rsidRPr="00BB41AD">
              <w:rPr>
                <w:rFonts w:cs="Calibri"/>
                <w:i/>
                <w:iCs/>
                <w:color w:val="000000"/>
                <w:sz w:val="22"/>
                <w:szCs w:val="22"/>
                <w:lang w:val="es-ES_tradnl"/>
              </w:rPr>
              <w:t xml:space="preserve"> e </w:t>
            </w:r>
            <w:r w:rsidR="003120EC" w:rsidRPr="00BB41AD">
              <w:rPr>
                <w:rFonts w:cs="Calibri"/>
                <w:i/>
                <w:iCs/>
                <w:sz w:val="22"/>
                <w:szCs w:val="22"/>
                <w:lang w:val="es-ES_tradnl"/>
              </w:rPr>
              <w:t xml:space="preserve">informes resumidos de las </w:t>
            </w:r>
            <w:hyperlink r:id="rId8" w:history="1">
              <w:r w:rsidR="003120EC" w:rsidRPr="00BB41AD">
                <w:rPr>
                  <w:rStyle w:val="Hyperlink"/>
                  <w:rFonts w:cs="Calibri"/>
                  <w:i/>
                  <w:iCs/>
                  <w:sz w:val="22"/>
                  <w:lang w:val="es-ES_tradnl"/>
                </w:rPr>
                <w:t>vigesimotercera</w:t>
              </w:r>
            </w:hyperlink>
            <w:r w:rsidR="003120EC" w:rsidRPr="00BB41AD">
              <w:rPr>
                <w:rFonts w:cs="Calibri"/>
                <w:i/>
                <w:iCs/>
                <w:sz w:val="22"/>
                <w:szCs w:val="22"/>
                <w:lang w:val="es-ES_tradnl"/>
              </w:rPr>
              <w:t xml:space="preserve"> y </w:t>
            </w:r>
            <w:hyperlink r:id="rId9" w:history="1">
              <w:r w:rsidR="003120EC" w:rsidRPr="00BB41AD">
                <w:rPr>
                  <w:rStyle w:val="Hyperlink"/>
                  <w:rFonts w:cs="Calibri"/>
                  <w:i/>
                  <w:iCs/>
                  <w:sz w:val="22"/>
                  <w:lang w:val="es-ES_tradnl"/>
                </w:rPr>
                <w:t>vigesimocuarta</w:t>
              </w:r>
            </w:hyperlink>
            <w:r w:rsidR="003120EC" w:rsidRPr="00BB41AD">
              <w:rPr>
                <w:rFonts w:cs="Calibri"/>
                <w:i/>
                <w:iCs/>
                <w:sz w:val="22"/>
                <w:szCs w:val="22"/>
                <w:lang w:val="es-ES_tradnl"/>
              </w:rPr>
              <w:t xml:space="preserve"> reuniones.</w:t>
            </w:r>
          </w:p>
        </w:tc>
      </w:tr>
      <w:bookmarkEnd w:id="0"/>
    </w:tbl>
    <w:p w14:paraId="6563E2E9" w14:textId="77777777" w:rsidR="00093EEB" w:rsidRPr="00D523C1" w:rsidRDefault="00093EEB">
      <w:pPr>
        <w:rPr>
          <w:lang w:val="es-ES_tradnl"/>
        </w:rPr>
      </w:pPr>
    </w:p>
    <w:p w14:paraId="4404F869" w14:textId="77777777" w:rsidR="001559F5" w:rsidRPr="00D523C1" w:rsidRDefault="001559F5">
      <w:pPr>
        <w:tabs>
          <w:tab w:val="clear" w:pos="567"/>
          <w:tab w:val="clear" w:pos="1134"/>
          <w:tab w:val="clear" w:pos="1701"/>
          <w:tab w:val="clear" w:pos="2268"/>
          <w:tab w:val="clear" w:pos="2835"/>
        </w:tabs>
        <w:overflowPunct/>
        <w:autoSpaceDE/>
        <w:autoSpaceDN/>
        <w:adjustRightInd/>
        <w:spacing w:before="0"/>
        <w:textAlignment w:val="auto"/>
        <w:rPr>
          <w:lang w:val="es-ES_tradnl"/>
        </w:rPr>
      </w:pPr>
      <w:r w:rsidRPr="00D523C1">
        <w:rPr>
          <w:lang w:val="es-ES_tradnl"/>
        </w:rPr>
        <w:br w:type="page"/>
      </w:r>
    </w:p>
    <w:p w14:paraId="6CE272FA" w14:textId="2DA381B8" w:rsidR="003120EC" w:rsidRPr="00D523C1" w:rsidRDefault="003120EC" w:rsidP="003120EC">
      <w:pPr>
        <w:pStyle w:val="Heading1"/>
        <w:rPr>
          <w:lang w:val="es-ES_tradnl"/>
        </w:rPr>
      </w:pPr>
      <w:r w:rsidRPr="00D523C1">
        <w:rPr>
          <w:lang w:val="es-ES_tradnl"/>
        </w:rPr>
        <w:lastRenderedPageBreak/>
        <w:t>1</w:t>
      </w:r>
      <w:r w:rsidRPr="00D523C1">
        <w:rPr>
          <w:lang w:val="es-ES_tradnl"/>
        </w:rPr>
        <w:tab/>
        <w:t>Introducción</w:t>
      </w:r>
    </w:p>
    <w:p w14:paraId="4661CF7D" w14:textId="3777C393" w:rsidR="003120EC" w:rsidRPr="00D523C1" w:rsidRDefault="003120EC" w:rsidP="009F3FBA">
      <w:pPr>
        <w:jc w:val="both"/>
        <w:rPr>
          <w:rFonts w:cs="Calibri"/>
          <w:lang w:val="es-ES_tradnl"/>
        </w:rPr>
      </w:pPr>
      <w:r w:rsidRPr="00D523C1">
        <w:rPr>
          <w:rFonts w:cs="Calibri"/>
          <w:lang w:val="es-ES_tradnl"/>
        </w:rPr>
        <w:t>1.1</w:t>
      </w:r>
      <w:r w:rsidRPr="00D523C1">
        <w:rPr>
          <w:rFonts w:cs="Calibri"/>
          <w:lang w:val="es-ES_tradnl"/>
        </w:rPr>
        <w:tab/>
      </w:r>
      <w:hyperlink r:id="rId10" w:history="1">
        <w:r w:rsidRPr="00D523C1">
          <w:rPr>
            <w:rFonts w:cs="Calibri"/>
            <w:color w:val="0563C1"/>
            <w:u w:val="single"/>
            <w:lang w:val="es-ES_tradnl"/>
          </w:rPr>
          <w:t>El Grupo de Trabajo del Consejo de la UIT sobre Protección de la Infancia en Línea</w:t>
        </w:r>
      </w:hyperlink>
      <w:r w:rsidRPr="00D523C1">
        <w:rPr>
          <w:rFonts w:cs="Calibri"/>
          <w:lang w:val="es-ES_tradnl"/>
        </w:rPr>
        <w:t xml:space="preserve"> </w:t>
      </w:r>
      <w:r w:rsidR="00A14A0C">
        <w:rPr>
          <w:rFonts w:cs="Calibri"/>
          <w:lang w:val="es-ES_tradnl"/>
        </w:rPr>
        <w:t>(</w:t>
      </w:r>
      <w:r w:rsidR="00A14A0C" w:rsidRPr="00D523C1">
        <w:rPr>
          <w:rFonts w:cs="Calibri"/>
          <w:lang w:val="es-ES_tradnl"/>
        </w:rPr>
        <w:t>GTC</w:t>
      </w:r>
      <w:r w:rsidR="00A14A0C">
        <w:rPr>
          <w:rFonts w:cs="Calibri"/>
          <w:lang w:val="es-ES_tradnl"/>
        </w:rPr>
        <w:noBreakHyphen/>
      </w:r>
      <w:r w:rsidR="00A14A0C" w:rsidRPr="00D523C1">
        <w:rPr>
          <w:rFonts w:cs="Calibri"/>
          <w:lang w:val="es-ES_tradnl"/>
        </w:rPr>
        <w:t>PIeL</w:t>
      </w:r>
      <w:r w:rsidR="00A14A0C">
        <w:rPr>
          <w:rFonts w:cs="Calibri"/>
          <w:lang w:val="es-ES_tradnl"/>
        </w:rPr>
        <w:t xml:space="preserve">) </w:t>
      </w:r>
      <w:r w:rsidRPr="00D523C1">
        <w:rPr>
          <w:rFonts w:cs="Calibri"/>
          <w:lang w:val="es-ES_tradnl"/>
        </w:rPr>
        <w:t>se constituyó a raíz de la</w:t>
      </w:r>
      <w:r w:rsidR="00BB41AD" w:rsidRPr="00BB41AD">
        <w:rPr>
          <w:lang w:val="es-ES_tradnl"/>
        </w:rPr>
        <w:t xml:space="preserve"> </w:t>
      </w:r>
      <w:r w:rsidR="00BB41AD" w:rsidRPr="00BB41AD">
        <w:rPr>
          <w:rFonts w:cs="Calibri"/>
          <w:lang w:val="es-ES_tradnl"/>
        </w:rPr>
        <w:t xml:space="preserve">Resolución </w:t>
      </w:r>
      <w:hyperlink r:id="rId11" w:history="1">
        <w:r w:rsidRPr="00BB41AD">
          <w:rPr>
            <w:rStyle w:val="Hyperlink"/>
            <w:rFonts w:eastAsia="Times New Roman" w:cs="Calibri"/>
            <w:szCs w:val="20"/>
            <w:lang w:val="es-ES_tradnl"/>
          </w:rPr>
          <w:t>1306 (Mod. 2015)</w:t>
        </w:r>
      </w:hyperlink>
      <w:r w:rsidRPr="00D523C1">
        <w:rPr>
          <w:rFonts w:cs="Calibri"/>
          <w:lang w:val="es-ES_tradnl"/>
        </w:rPr>
        <w:t xml:space="preserve"> del Consejo, de conformidad con la </w:t>
      </w:r>
      <w:r w:rsidR="00BB41AD" w:rsidRPr="00BB41AD">
        <w:rPr>
          <w:rFonts w:cs="Calibri"/>
          <w:lang w:val="es-ES_tradnl"/>
        </w:rPr>
        <w:t xml:space="preserve">Resolución </w:t>
      </w:r>
      <w:hyperlink r:id="rId12" w:history="1">
        <w:r w:rsidRPr="00BB41AD">
          <w:rPr>
            <w:rStyle w:val="Hyperlink"/>
            <w:rFonts w:eastAsia="Times New Roman" w:cs="Calibri"/>
            <w:szCs w:val="20"/>
            <w:lang w:val="es-ES_tradnl"/>
          </w:rPr>
          <w:t>179 (Rev. Bucarest, 2022)</w:t>
        </w:r>
      </w:hyperlink>
      <w:r w:rsidR="00BB41AD" w:rsidRPr="00BB41AD">
        <w:rPr>
          <w:rFonts w:cs="Calibri"/>
          <w:lang w:val="es-ES_tradnl"/>
        </w:rPr>
        <w:t xml:space="preserve"> </w:t>
      </w:r>
      <w:r w:rsidR="00BB41AD" w:rsidRPr="00D523C1">
        <w:rPr>
          <w:rFonts w:cs="Calibri"/>
          <w:lang w:val="es-ES_tradnl"/>
        </w:rPr>
        <w:t>de la Conferencia de Plenipotenciarios de la UIT</w:t>
      </w:r>
      <w:r w:rsidRPr="00D523C1">
        <w:rPr>
          <w:rFonts w:cs="Calibri"/>
          <w:lang w:val="es-ES_tradnl"/>
        </w:rPr>
        <w:t>. El</w:t>
      </w:r>
      <w:r w:rsidR="006D3666">
        <w:rPr>
          <w:rFonts w:cs="Calibri"/>
          <w:lang w:val="es-ES_tradnl"/>
        </w:rPr>
        <w:t> </w:t>
      </w:r>
      <w:r w:rsidRPr="00D523C1">
        <w:rPr>
          <w:rFonts w:cs="Calibri"/>
          <w:lang w:val="es-ES_tradnl"/>
        </w:rPr>
        <w:t>GTC</w:t>
      </w:r>
      <w:r w:rsidR="00DD3CD8">
        <w:rPr>
          <w:rFonts w:cs="Calibri"/>
          <w:lang w:val="es-ES_tradnl"/>
        </w:rPr>
        <w:noBreakHyphen/>
      </w:r>
      <w:r w:rsidRPr="00D523C1">
        <w:rPr>
          <w:rFonts w:cs="Calibri"/>
          <w:lang w:val="es-ES_tradnl"/>
        </w:rPr>
        <w:t>PIeL está abierto a todas las partes interesadas pertinentes.</w:t>
      </w:r>
    </w:p>
    <w:p w14:paraId="3161D331" w14:textId="2BC41D6A" w:rsidR="003120EC" w:rsidRPr="00D523C1" w:rsidRDefault="003120EC" w:rsidP="009F3FBA">
      <w:pPr>
        <w:jc w:val="both"/>
        <w:rPr>
          <w:rFonts w:cs="Calibri"/>
          <w:lang w:val="es-ES_tradnl"/>
        </w:rPr>
      </w:pPr>
      <w:r w:rsidRPr="00D523C1">
        <w:rPr>
          <w:rFonts w:cs="Calibri"/>
          <w:lang w:val="es-ES_tradnl"/>
        </w:rPr>
        <w:t>1.2</w:t>
      </w:r>
      <w:r w:rsidRPr="00D523C1">
        <w:rPr>
          <w:rFonts w:cs="Calibri"/>
          <w:lang w:val="es-ES_tradnl"/>
        </w:rPr>
        <w:tab/>
        <w:t xml:space="preserve">El mandato del </w:t>
      </w:r>
      <w:r w:rsidR="00A14A0C" w:rsidRPr="00D523C1">
        <w:rPr>
          <w:rFonts w:cs="Calibri"/>
          <w:lang w:val="es-ES_tradnl"/>
        </w:rPr>
        <w:t>GTC</w:t>
      </w:r>
      <w:r w:rsidR="00A14A0C">
        <w:rPr>
          <w:rFonts w:cs="Calibri"/>
          <w:lang w:val="es-ES_tradnl"/>
        </w:rPr>
        <w:noBreakHyphen/>
      </w:r>
      <w:r w:rsidR="00A14A0C" w:rsidRPr="00D523C1">
        <w:rPr>
          <w:rFonts w:cs="Calibri"/>
          <w:lang w:val="es-ES_tradnl"/>
        </w:rPr>
        <w:t xml:space="preserve">PIeL </w:t>
      </w:r>
      <w:r w:rsidRPr="00D523C1">
        <w:rPr>
          <w:rFonts w:cs="Calibri"/>
          <w:lang w:val="es-ES_tradnl"/>
        </w:rPr>
        <w:t xml:space="preserve">se especifica en el </w:t>
      </w:r>
      <w:hyperlink r:id="rId13" w:history="1">
        <w:r w:rsidRPr="00D523C1">
          <w:rPr>
            <w:rFonts w:cs="Calibri"/>
            <w:color w:val="0563C1"/>
            <w:u w:val="single"/>
            <w:lang w:val="es-ES_tradnl"/>
          </w:rPr>
          <w:t>Anexo 1 de los resultados de la 1.</w:t>
        </w:r>
        <w:r w:rsidRPr="00D523C1">
          <w:rPr>
            <w:rFonts w:cs="Calibri"/>
            <w:color w:val="0563C1"/>
            <w:u w:val="single"/>
            <w:vertAlign w:val="superscript"/>
            <w:lang w:val="es-ES_tradnl"/>
          </w:rPr>
          <w:t>ª</w:t>
        </w:r>
        <w:r w:rsidRPr="00D523C1">
          <w:rPr>
            <w:rFonts w:cs="Calibri"/>
            <w:color w:val="0563C1"/>
            <w:u w:val="single"/>
            <w:lang w:val="es-ES_tradnl"/>
          </w:rPr>
          <w:t> reunión</w:t>
        </w:r>
      </w:hyperlink>
      <w:r w:rsidRPr="00D523C1">
        <w:rPr>
          <w:rFonts w:cs="Calibri"/>
          <w:lang w:val="es-ES_tradnl"/>
        </w:rPr>
        <w:t>.</w:t>
      </w:r>
    </w:p>
    <w:p w14:paraId="10EFBE0B" w14:textId="5D6BD7E2" w:rsidR="003120EC" w:rsidRPr="00D523C1" w:rsidRDefault="003120EC" w:rsidP="009F3FBA">
      <w:pPr>
        <w:jc w:val="both"/>
        <w:rPr>
          <w:rFonts w:cs="Calibri"/>
          <w:lang w:val="es-ES_tradnl"/>
        </w:rPr>
      </w:pPr>
      <w:r w:rsidRPr="00D523C1">
        <w:rPr>
          <w:rFonts w:cs="Calibri"/>
          <w:lang w:val="es-ES_tradnl"/>
        </w:rPr>
        <w:t>1.3</w:t>
      </w:r>
      <w:r w:rsidRPr="00D523C1">
        <w:rPr>
          <w:rFonts w:cs="Calibri"/>
          <w:lang w:val="es-ES_tradnl"/>
        </w:rPr>
        <w:tab/>
        <w:t>En el marco de la Resolución 179 de la Conferencia de Plenipotenciarios (Rev. Bucarest, 2022) se pidió al Consejo:</w:t>
      </w:r>
    </w:p>
    <w:p w14:paraId="585A6B29" w14:textId="1A2F58F9" w:rsidR="003120EC" w:rsidRPr="00D523C1" w:rsidRDefault="003120EC" w:rsidP="009F3FBA">
      <w:pPr>
        <w:pStyle w:val="enumlev1"/>
        <w:jc w:val="both"/>
        <w:rPr>
          <w:lang w:val="es-ES_tradnl"/>
        </w:rPr>
      </w:pPr>
      <w:r w:rsidRPr="00D523C1">
        <w:rPr>
          <w:lang w:val="es-ES_tradnl"/>
        </w:rPr>
        <w:t>–</w:t>
      </w:r>
      <w:r w:rsidRPr="00D523C1">
        <w:rPr>
          <w:lang w:val="es-ES_tradnl"/>
        </w:rPr>
        <w:tab/>
        <w:t>que prosiguiera la labor del GTC-PIeL, con el fin de facilitar las aportaciones y orientaciones de los Miembros sobre la función de la UIT en la protección de la infancia en línea, y sirviera de plataforma para el debate y el intercambio de prácticas idóneas;</w:t>
      </w:r>
    </w:p>
    <w:p w14:paraId="1FCDE275" w14:textId="2575126A" w:rsidR="003120EC" w:rsidRPr="00D523C1" w:rsidRDefault="003120EC" w:rsidP="009F3FBA">
      <w:pPr>
        <w:pStyle w:val="enumlev1"/>
        <w:jc w:val="both"/>
        <w:rPr>
          <w:lang w:val="es-ES_tradnl"/>
        </w:rPr>
      </w:pPr>
      <w:r w:rsidRPr="00D523C1">
        <w:rPr>
          <w:lang w:val="es-ES_tradnl"/>
        </w:rPr>
        <w:t>–</w:t>
      </w:r>
      <w:r w:rsidRPr="00D523C1">
        <w:rPr>
          <w:lang w:val="es-ES_tradnl"/>
        </w:rPr>
        <w:tab/>
        <w:t>que facilitara la contribución y la participación de todas las partes interesadas pertinentes en la labor del GTC-PIeL para garantizar la máxima colaboración en la aplicación de la presente Resolución;</w:t>
      </w:r>
    </w:p>
    <w:p w14:paraId="38755ED2" w14:textId="17502AB3" w:rsidR="003120EC" w:rsidRPr="00D523C1" w:rsidRDefault="003120EC" w:rsidP="009F3FBA">
      <w:pPr>
        <w:pStyle w:val="enumlev1"/>
        <w:jc w:val="both"/>
        <w:rPr>
          <w:lang w:val="es-ES_tradnl"/>
        </w:rPr>
      </w:pPr>
      <w:r w:rsidRPr="00D523C1">
        <w:rPr>
          <w:lang w:val="es-ES_tradnl"/>
        </w:rPr>
        <w:t>–</w:t>
      </w:r>
      <w:r w:rsidRPr="00D523C1">
        <w:rPr>
          <w:lang w:val="es-ES_tradnl"/>
        </w:rPr>
        <w:tab/>
        <w:t>que alentara al GTC-PIeL a que, en su caso, colaborara con el Grupo de Trabajo del Consejo sobre Cuestiones de Política Pública Internacional relacionadas con Internet (GTC-Internet), con el fin de contribuir de forma mutuamente beneficiosa al cumplimiento del mandato de estos Grupos de trabajo del Consejo en relación con las cuestiones pertinentes;</w:t>
      </w:r>
    </w:p>
    <w:p w14:paraId="09C38099" w14:textId="7982E5B9" w:rsidR="003120EC" w:rsidRPr="00D523C1" w:rsidRDefault="003120EC" w:rsidP="009F3FBA">
      <w:pPr>
        <w:pStyle w:val="enumlev1"/>
        <w:jc w:val="both"/>
        <w:rPr>
          <w:lang w:val="es-ES_tradnl"/>
        </w:rPr>
      </w:pPr>
      <w:r w:rsidRPr="00D523C1">
        <w:rPr>
          <w:lang w:val="es-ES_tradnl"/>
        </w:rPr>
        <w:t>–</w:t>
      </w:r>
      <w:r w:rsidRPr="00D523C1">
        <w:rPr>
          <w:lang w:val="es-ES_tradnl"/>
        </w:rPr>
        <w:tab/>
        <w:t>que alentara al GTC-PIeL a que colaborara con la Comisión de Estudio 2 del UIT-D, y compartiera los resultados de las reuniones del GTC-PIeL en el marco de los debates sobre la cuestión de estudio pertinente;</w:t>
      </w:r>
    </w:p>
    <w:p w14:paraId="2C292D0C" w14:textId="2DB3DC19" w:rsidR="003120EC" w:rsidRPr="00D523C1" w:rsidRDefault="003120EC" w:rsidP="009F3FBA">
      <w:pPr>
        <w:pStyle w:val="enumlev1"/>
        <w:jc w:val="both"/>
        <w:rPr>
          <w:lang w:val="es-ES_tradnl"/>
        </w:rPr>
      </w:pPr>
      <w:r w:rsidRPr="00D523C1">
        <w:rPr>
          <w:lang w:val="es-ES_tradnl"/>
        </w:rPr>
        <w:t>–</w:t>
      </w:r>
      <w:r w:rsidRPr="00D523C1">
        <w:rPr>
          <w:lang w:val="es-ES_tradnl"/>
        </w:rPr>
        <w:tab/>
        <w:t>que alentara al GTC-PIeL a que efectuara consultas en línea con los jóvenes para conocer sus puntos de vista y opiniones sobre diversos aspectos relacionadas con la protección de la infancia en línea, antes y durante su reunión;</w:t>
      </w:r>
    </w:p>
    <w:p w14:paraId="42B1F96E" w14:textId="77777777" w:rsidR="003120EC" w:rsidRPr="00D523C1" w:rsidRDefault="003120EC" w:rsidP="009F3FBA">
      <w:pPr>
        <w:pStyle w:val="enumlev1"/>
        <w:jc w:val="both"/>
        <w:rPr>
          <w:lang w:val="es-ES_tradnl"/>
        </w:rPr>
      </w:pPr>
      <w:r w:rsidRPr="00D523C1">
        <w:rPr>
          <w:lang w:val="es-ES_tradnl"/>
        </w:rPr>
        <w:t>–</w:t>
      </w:r>
      <w:r w:rsidRPr="00D523C1">
        <w:rPr>
          <w:lang w:val="es-ES_tradnl"/>
        </w:rPr>
        <w:tab/>
        <w:t>que siguiera facilitando que los documentos sobre resultados relacionados con cuestiones de la protección de la infancia en línea fueran accesibles para el público sin protección mediante contraseña.</w:t>
      </w:r>
    </w:p>
    <w:p w14:paraId="40BAC328" w14:textId="77777777" w:rsidR="003120EC" w:rsidRPr="00D523C1" w:rsidRDefault="003120EC" w:rsidP="003120EC">
      <w:pPr>
        <w:pStyle w:val="Heading1"/>
        <w:rPr>
          <w:lang w:val="es-ES_tradnl"/>
        </w:rPr>
      </w:pPr>
      <w:r w:rsidRPr="00D523C1">
        <w:rPr>
          <w:lang w:val="es-ES_tradnl"/>
        </w:rPr>
        <w:t>2</w:t>
      </w:r>
      <w:r w:rsidRPr="00D523C1">
        <w:rPr>
          <w:lang w:val="es-ES_tradnl"/>
        </w:rPr>
        <w:tab/>
        <w:t>Actividades del GTC-PIeL</w:t>
      </w:r>
    </w:p>
    <w:p w14:paraId="57DDB956" w14:textId="59430469" w:rsidR="003120EC" w:rsidRPr="00D523C1" w:rsidRDefault="003120EC" w:rsidP="009F3FBA">
      <w:pPr>
        <w:jc w:val="both"/>
        <w:rPr>
          <w:lang w:val="es-ES_tradnl"/>
        </w:rPr>
      </w:pPr>
      <w:r w:rsidRPr="00D523C1">
        <w:rPr>
          <w:lang w:val="es-ES_tradnl"/>
        </w:rPr>
        <w:t>2.1</w:t>
      </w:r>
      <w:r w:rsidRPr="00D523C1">
        <w:rPr>
          <w:lang w:val="es-ES_tradnl"/>
        </w:rPr>
        <w:tab/>
        <w:t>En el presente documento figura el resumen del presidente sobre las actividades y los resultados de las vigesimotercera y vigesimocuarta reuniones del Grupo de Trabajo del Consejo sobre protección de la infancia en línea (</w:t>
      </w:r>
      <w:r w:rsidR="007410AF" w:rsidRPr="00D523C1">
        <w:rPr>
          <w:lang w:val="es-ES_tradnl"/>
        </w:rPr>
        <w:t>GTC-PIeL</w:t>
      </w:r>
      <w:r w:rsidRPr="00D523C1">
        <w:rPr>
          <w:lang w:val="es-ES_tradnl"/>
        </w:rPr>
        <w:t>), celebradas el 16 de septiembre de 2025 y el 19 de enero de 2026, respectivamente, en el marco de la labor del Grupo desde la reunión de 2025 del Consejo.</w:t>
      </w:r>
    </w:p>
    <w:p w14:paraId="701BEFFB" w14:textId="60E9924A" w:rsidR="003120EC" w:rsidRPr="00D523C1" w:rsidRDefault="003120EC" w:rsidP="009F3FBA">
      <w:pPr>
        <w:jc w:val="both"/>
        <w:rPr>
          <w:lang w:val="es-ES_tradnl"/>
        </w:rPr>
      </w:pPr>
      <w:r w:rsidRPr="00D523C1">
        <w:rPr>
          <w:lang w:val="es-ES_tradnl"/>
        </w:rPr>
        <w:t>Durante este per</w:t>
      </w:r>
      <w:r w:rsidR="00E960E9" w:rsidRPr="00D523C1">
        <w:rPr>
          <w:lang w:val="es-ES_tradnl"/>
        </w:rPr>
        <w:t>i</w:t>
      </w:r>
      <w:r w:rsidRPr="00D523C1">
        <w:rPr>
          <w:lang w:val="es-ES_tradnl"/>
        </w:rPr>
        <w:t>odo, la labor del Grupo hizo hincapié en:</w:t>
      </w:r>
    </w:p>
    <w:p w14:paraId="7AD264EB" w14:textId="36F51D33" w:rsidR="003120EC" w:rsidRPr="00D523C1" w:rsidRDefault="003120EC" w:rsidP="009F3FBA">
      <w:pPr>
        <w:pStyle w:val="enumlev1"/>
        <w:jc w:val="both"/>
        <w:rPr>
          <w:lang w:val="es-ES_tradnl"/>
        </w:rPr>
      </w:pPr>
      <w:r w:rsidRPr="00D523C1">
        <w:rPr>
          <w:lang w:val="es-ES_tradnl"/>
        </w:rPr>
        <w:t>a)</w:t>
      </w:r>
      <w:r w:rsidRPr="00D523C1">
        <w:rPr>
          <w:lang w:val="es-ES_tradnl"/>
        </w:rPr>
        <w:tab/>
        <w:t>el fomento de debates estratégicos sobre protección de la infancia en línea en relación con las tecnologías incipientes, en particular la inteligencia artificial</w:t>
      </w:r>
      <w:r w:rsidR="00314A0C" w:rsidRPr="00D523C1">
        <w:rPr>
          <w:lang w:val="es-ES_tradnl"/>
        </w:rPr>
        <w:t>;</w:t>
      </w:r>
    </w:p>
    <w:p w14:paraId="74768B92" w14:textId="3B263DF1" w:rsidR="003120EC" w:rsidRPr="00D523C1" w:rsidRDefault="003120EC" w:rsidP="009F3FBA">
      <w:pPr>
        <w:pStyle w:val="enumlev1"/>
        <w:jc w:val="both"/>
        <w:rPr>
          <w:lang w:val="es-ES_tradnl"/>
        </w:rPr>
      </w:pPr>
      <w:r w:rsidRPr="00D523C1">
        <w:rPr>
          <w:lang w:val="es-ES_tradnl"/>
        </w:rPr>
        <w:t>b)</w:t>
      </w:r>
      <w:r w:rsidRPr="00D523C1">
        <w:rPr>
          <w:lang w:val="es-ES_tradnl"/>
        </w:rPr>
        <w:tab/>
        <w:t>la difusión de iniciativas a escalas nacional, regional y sectorial que abordan los riesgos y oportunidades relacionados con la seguridad de la infancia en Internet</w:t>
      </w:r>
      <w:r w:rsidR="00314A0C" w:rsidRPr="00D523C1">
        <w:rPr>
          <w:lang w:val="es-ES_tradnl"/>
        </w:rPr>
        <w:t>;</w:t>
      </w:r>
    </w:p>
    <w:p w14:paraId="02D55827" w14:textId="70EBDEFF" w:rsidR="003120EC" w:rsidRPr="00D523C1" w:rsidRDefault="003120EC" w:rsidP="006952DF">
      <w:pPr>
        <w:pStyle w:val="enumlev1"/>
        <w:jc w:val="both"/>
        <w:rPr>
          <w:lang w:val="es-ES_tradnl"/>
        </w:rPr>
      </w:pPr>
      <w:r w:rsidRPr="00D523C1">
        <w:rPr>
          <w:lang w:val="es-ES_tradnl"/>
        </w:rPr>
        <w:t>c)</w:t>
      </w:r>
      <w:r w:rsidRPr="00D523C1">
        <w:rPr>
          <w:lang w:val="es-ES_tradnl"/>
        </w:rPr>
        <w:tab/>
        <w:t>el fortalecimiento de la coordinación entre las iniciativas de normalización política, operacional y técnica en la UIT</w:t>
      </w:r>
      <w:r w:rsidR="00314A0C" w:rsidRPr="00D523C1">
        <w:rPr>
          <w:lang w:val="es-ES_tradnl"/>
        </w:rPr>
        <w:t>;</w:t>
      </w:r>
    </w:p>
    <w:p w14:paraId="4DA38A3D" w14:textId="022B5527" w:rsidR="003120EC" w:rsidRPr="00D523C1" w:rsidRDefault="003120EC" w:rsidP="006952DF">
      <w:pPr>
        <w:pStyle w:val="enumlev1"/>
        <w:jc w:val="both"/>
        <w:rPr>
          <w:lang w:val="es-ES_tradnl"/>
        </w:rPr>
      </w:pPr>
      <w:r w:rsidRPr="00D523C1">
        <w:rPr>
          <w:lang w:val="es-ES_tradnl"/>
        </w:rPr>
        <w:lastRenderedPageBreak/>
        <w:t>d)</w:t>
      </w:r>
      <w:r w:rsidRPr="00D523C1">
        <w:rPr>
          <w:lang w:val="es-ES_tradnl"/>
        </w:rPr>
        <w:tab/>
        <w:t>la promoción de la participación de varias partes interesadas, incluidos el sector industrial, la sociedad civil y las organizaciones internacionales</w:t>
      </w:r>
      <w:r w:rsidR="00314A0C" w:rsidRPr="00D523C1">
        <w:rPr>
          <w:lang w:val="es-ES_tradnl"/>
        </w:rPr>
        <w:t>;</w:t>
      </w:r>
    </w:p>
    <w:p w14:paraId="15FB173D" w14:textId="77777777" w:rsidR="003120EC" w:rsidRPr="00D523C1" w:rsidRDefault="003120EC" w:rsidP="006952DF">
      <w:pPr>
        <w:pStyle w:val="enumlev1"/>
        <w:jc w:val="both"/>
        <w:rPr>
          <w:lang w:val="es-ES_tradnl"/>
        </w:rPr>
      </w:pPr>
      <w:r w:rsidRPr="00D523C1">
        <w:rPr>
          <w:lang w:val="es-ES_tradnl"/>
        </w:rPr>
        <w:t>e)</w:t>
      </w:r>
      <w:r w:rsidRPr="00D523C1">
        <w:rPr>
          <w:lang w:val="es-ES_tradnl"/>
        </w:rPr>
        <w:tab/>
        <w:t>el fortalecimiento de la transparencia, el intercambio de información y la colaboración entre los miembros y los asociados del GTC-PIeL.</w:t>
      </w:r>
    </w:p>
    <w:p w14:paraId="5CB737CE" w14:textId="4339EB22" w:rsidR="003120EC" w:rsidRPr="00D523C1" w:rsidRDefault="003120EC" w:rsidP="006952DF">
      <w:pPr>
        <w:jc w:val="both"/>
        <w:rPr>
          <w:lang w:val="es-ES_tradnl"/>
        </w:rPr>
      </w:pPr>
      <w:r w:rsidRPr="00D523C1">
        <w:rPr>
          <w:lang w:val="es-ES_tradnl"/>
        </w:rPr>
        <w:t>2.2</w:t>
      </w:r>
      <w:r w:rsidRPr="00D523C1">
        <w:rPr>
          <w:lang w:val="es-ES_tradnl"/>
        </w:rPr>
        <w:tab/>
        <w:t>En ambas reuniones, el GTC-PIeL proporcionó una plataforma para el intercambio de experiencias a escala nacional, prácticas idóneas y enfoques de políticas relacionados con la protección de la infancia en línea. Los Estados Miembros y los asociados compartieron iniciativas para abordar casos de abuso o de explotación sexual de niños en línea, per</w:t>
      </w:r>
      <w:r w:rsidR="00314A0C" w:rsidRPr="00D523C1">
        <w:rPr>
          <w:lang w:val="es-ES_tradnl"/>
        </w:rPr>
        <w:t>i</w:t>
      </w:r>
      <w:r w:rsidRPr="00D523C1">
        <w:rPr>
          <w:lang w:val="es-ES_tradnl"/>
        </w:rPr>
        <w:t>odos de tiempo excesivos frente a la pantalla, la alfabetización digital, el empoderamiento de los padres, la protección de datos y los riesgos incipientes relacionados con la inteligencia artificial y los sistemas algorítmicos. En las reuniones se subrayó la importancia de los enfoques gubernamentales y de múltiples partes interesadas, que conjugan las actividades de sensibilización, la adopción de medidas reglamentarias y las soluciones técnicas, así como la capacitación y la cooperación internacional.</w:t>
      </w:r>
    </w:p>
    <w:p w14:paraId="7BE4BFF6" w14:textId="77777777" w:rsidR="003120EC" w:rsidRPr="00D523C1" w:rsidRDefault="003120EC" w:rsidP="006952DF">
      <w:pPr>
        <w:jc w:val="both"/>
        <w:rPr>
          <w:lang w:val="es-ES_tradnl"/>
        </w:rPr>
      </w:pPr>
      <w:r w:rsidRPr="00D523C1">
        <w:rPr>
          <w:lang w:val="es-ES_tradnl"/>
        </w:rPr>
        <w:t>Se hizo hincapié en los mecanismos operacionales, en particular las líneas de atención a escala nacional, los sistemas de denuncia, las intervenciones escolares y las herramientas de control parental, así como en la necesidad de formular políticas basadas en datos empíricos y en la investigación.</w:t>
      </w:r>
    </w:p>
    <w:p w14:paraId="11A53050" w14:textId="7C29E333" w:rsidR="003120EC" w:rsidRPr="00D523C1" w:rsidRDefault="003120EC" w:rsidP="006952DF">
      <w:pPr>
        <w:jc w:val="both"/>
        <w:rPr>
          <w:lang w:val="es-ES_tradnl"/>
        </w:rPr>
      </w:pPr>
      <w:r w:rsidRPr="00D523C1">
        <w:rPr>
          <w:lang w:val="es-ES_tradnl"/>
        </w:rPr>
        <w:t>2.3</w:t>
      </w:r>
      <w:r w:rsidRPr="00D523C1">
        <w:rPr>
          <w:lang w:val="es-ES_tradnl"/>
        </w:rPr>
        <w:tab/>
        <w:t>Durante el per</w:t>
      </w:r>
      <w:r w:rsidR="00314A0C" w:rsidRPr="00D523C1">
        <w:rPr>
          <w:lang w:val="es-ES_tradnl"/>
        </w:rPr>
        <w:t>i</w:t>
      </w:r>
      <w:r w:rsidRPr="00D523C1">
        <w:rPr>
          <w:lang w:val="es-ES_tradnl"/>
        </w:rPr>
        <w:t>odo que abarca el informe, los debates se centraron especialmente en las repercusiones de la inteligencia artificial con respecto a la protección de la infancia en línea. Las contribuciones abordaron los riesgos que plantea la IA, entre ellos la generación de contenido, la moderación automatizada, los sistemas conversacionales y la participación basada en algoritmos, al tiempo que se destacó la posibilidad de incorporar a los servicios digitales salvaguardias sobre seguridad desde el diseño orientadas a la infancia.</w:t>
      </w:r>
    </w:p>
    <w:p w14:paraId="093B2EEE" w14:textId="4860C7EB" w:rsidR="003120EC" w:rsidRPr="00D523C1" w:rsidRDefault="003120EC" w:rsidP="006952DF">
      <w:pPr>
        <w:jc w:val="both"/>
        <w:rPr>
          <w:lang w:val="es-ES_tradnl"/>
        </w:rPr>
      </w:pPr>
      <w:r w:rsidRPr="00D523C1">
        <w:rPr>
          <w:lang w:val="es-ES_tradnl"/>
        </w:rPr>
        <w:t>La Secretaría proporcionó información actualizada sobre las principales iniciativas mundiales puestas en marcha durante este per</w:t>
      </w:r>
      <w:r w:rsidR="00314A0C" w:rsidRPr="00D523C1">
        <w:rPr>
          <w:lang w:val="es-ES_tradnl"/>
        </w:rPr>
        <w:t>i</w:t>
      </w:r>
      <w:r w:rsidRPr="00D523C1">
        <w:rPr>
          <w:lang w:val="es-ES_tradnl"/>
        </w:rPr>
        <w:t xml:space="preserve">odo, entre ellas la Declaración conjunta sobre la inteligencia artificial y los derechos infantiles y los Principios de protección mediante la participación en línea, así como el diálogo en curso con el sector industrial en el marco de la serie </w:t>
      </w:r>
      <w:r w:rsidRPr="00D523C1">
        <w:rPr>
          <w:i/>
          <w:iCs/>
          <w:lang w:val="es-ES_tradnl"/>
        </w:rPr>
        <w:t>ITU Industry Connect</w:t>
      </w:r>
      <w:r w:rsidRPr="00D523C1">
        <w:rPr>
          <w:lang w:val="es-ES_tradnl"/>
        </w:rPr>
        <w:t>.</w:t>
      </w:r>
    </w:p>
    <w:p w14:paraId="3E8406F9" w14:textId="35D9D7A7" w:rsidR="003120EC" w:rsidRPr="00D523C1" w:rsidRDefault="003120EC" w:rsidP="006952DF">
      <w:pPr>
        <w:jc w:val="both"/>
        <w:rPr>
          <w:lang w:val="es-ES_tradnl"/>
        </w:rPr>
      </w:pPr>
      <w:r w:rsidRPr="00D523C1">
        <w:rPr>
          <w:lang w:val="es-ES_tradnl"/>
        </w:rPr>
        <w:t>2.4</w:t>
      </w:r>
      <w:r w:rsidRPr="00D523C1">
        <w:rPr>
          <w:lang w:val="es-ES_tradnl"/>
        </w:rPr>
        <w:tab/>
        <w:t>El Grupo de Trabajo siguió mejorando su coordinación con la Comisión de Estudio</w:t>
      </w:r>
      <w:r w:rsidR="00314A0C" w:rsidRPr="00D523C1">
        <w:rPr>
          <w:lang w:val="es-ES_tradnl"/>
        </w:rPr>
        <w:t> </w:t>
      </w:r>
      <w:r w:rsidRPr="00D523C1">
        <w:rPr>
          <w:lang w:val="es-ES_tradnl"/>
        </w:rPr>
        <w:t>17 del UIT</w:t>
      </w:r>
      <w:r w:rsidR="00314A0C" w:rsidRPr="00D523C1">
        <w:rPr>
          <w:lang w:val="es-ES_tradnl"/>
        </w:rPr>
        <w:noBreakHyphen/>
      </w:r>
      <w:r w:rsidRPr="00D523C1">
        <w:rPr>
          <w:lang w:val="es-ES_tradnl"/>
        </w:rPr>
        <w:t>T, entre otras cosas mediante el intercambio de declaraciones de coordinación y la presentación del análisis de deficiencias de la normativa sobre protección de la infancia en línea elaborado por el Grupo por Correspondencia sobre la protección de la infancia en línea (GC</w:t>
      </w:r>
      <w:r w:rsidR="00314A0C" w:rsidRPr="00D523C1">
        <w:rPr>
          <w:lang w:val="es-ES_tradnl"/>
        </w:rPr>
        <w:noBreakHyphen/>
      </w:r>
      <w:r w:rsidRPr="00D523C1">
        <w:rPr>
          <w:lang w:val="es-ES_tradnl"/>
        </w:rPr>
        <w:t>PIeL).</w:t>
      </w:r>
    </w:p>
    <w:p w14:paraId="6A0C663B" w14:textId="4FA28AD4" w:rsidR="003120EC" w:rsidRPr="00CA2190" w:rsidRDefault="003120EC" w:rsidP="006952DF">
      <w:pPr>
        <w:jc w:val="both"/>
        <w:rPr>
          <w:spacing w:val="-2"/>
          <w:lang w:val="es-ES_tradnl"/>
        </w:rPr>
      </w:pPr>
      <w:r w:rsidRPr="00CA2190">
        <w:rPr>
          <w:spacing w:val="-2"/>
          <w:lang w:val="es-ES_tradnl"/>
        </w:rPr>
        <w:t>Los debates pusieron de relieve las funciones complementarias del GTC-PIeL y del UIT</w:t>
      </w:r>
      <w:r w:rsidR="00314A0C" w:rsidRPr="00CA2190">
        <w:rPr>
          <w:spacing w:val="-2"/>
          <w:lang w:val="es-ES_tradnl"/>
        </w:rPr>
        <w:noBreakHyphen/>
      </w:r>
      <w:r w:rsidRPr="00CA2190">
        <w:rPr>
          <w:spacing w:val="-2"/>
          <w:lang w:val="es-ES_tradnl"/>
        </w:rPr>
        <w:t>T al abordar los factores de políticas, operacionales y técnicos relativos a la protección de la infancia en línea, en particular en lo que se refiere a la verificación de edad, la moderación automatizada de contenido y la interoperabilidad de herramientas de control parental. El</w:t>
      </w:r>
      <w:r w:rsidR="007410AF" w:rsidRPr="00CA2190">
        <w:rPr>
          <w:spacing w:val="-2"/>
          <w:lang w:val="es-ES_tradnl"/>
        </w:rPr>
        <w:t> </w:t>
      </w:r>
      <w:r w:rsidRPr="00CA2190">
        <w:rPr>
          <w:spacing w:val="-2"/>
          <w:lang w:val="es-ES_tradnl"/>
        </w:rPr>
        <w:t>Grupo acogió con satisfacción la colaboración y el intercambio de información continuados para facilitar la armonización entre los esfuerzos de normalización y los debates sobre políticas.</w:t>
      </w:r>
    </w:p>
    <w:p w14:paraId="78BAD539" w14:textId="77777777" w:rsidR="003120EC" w:rsidRPr="00D523C1" w:rsidRDefault="003120EC" w:rsidP="006952DF">
      <w:pPr>
        <w:jc w:val="both"/>
        <w:rPr>
          <w:lang w:val="es-ES_tradnl"/>
        </w:rPr>
      </w:pPr>
      <w:r w:rsidRPr="00D523C1">
        <w:rPr>
          <w:lang w:val="es-ES_tradnl"/>
        </w:rPr>
        <w:t>2.5</w:t>
      </w:r>
      <w:r w:rsidRPr="00D523C1">
        <w:rPr>
          <w:lang w:val="es-ES_tradnl"/>
        </w:rPr>
        <w:tab/>
        <w:t xml:space="preserve">En ambas reuniones se subrayó la importancia de la participación inclusiva de múltiples partes interesadas para promover la protección de la infancia en línea. Las contribuciones del sector industrial, la sociedad civil, el sector académico y las organizaciones internacionales </w:t>
      </w:r>
      <w:r w:rsidRPr="00D523C1">
        <w:rPr>
          <w:lang w:val="es-ES_tradnl"/>
        </w:rPr>
        <w:lastRenderedPageBreak/>
        <w:t>pusieron de relieve herramientas innovadoras, iniciativas de sensibilización, actividades de investigación y programas de capacitación.</w:t>
      </w:r>
    </w:p>
    <w:p w14:paraId="3292EC36" w14:textId="77777777" w:rsidR="003120EC" w:rsidRPr="00D523C1" w:rsidRDefault="003120EC" w:rsidP="006952DF">
      <w:pPr>
        <w:jc w:val="both"/>
        <w:rPr>
          <w:lang w:val="es-ES_tradnl"/>
        </w:rPr>
      </w:pPr>
      <w:r w:rsidRPr="00D523C1">
        <w:rPr>
          <w:lang w:val="es-ES_tradnl"/>
        </w:rPr>
        <w:t>El Grupo de Trabajo también acogió con satisfacción la información actualizada sobre las iniciativas a escalas regional y mundial, en particular los esfuerzos de colaboración liderados por organismos de las Naciones Unidas y asociados internacionales, y destacó la utilidad de compartir recursos y conocimientos a través de las plataformas de la UIT para dar lugar a resultados sostenibles y ampliables.</w:t>
      </w:r>
    </w:p>
    <w:p w14:paraId="497C9AE0" w14:textId="77777777" w:rsidR="003120EC" w:rsidRPr="00D523C1" w:rsidRDefault="003120EC" w:rsidP="006952DF">
      <w:pPr>
        <w:jc w:val="both"/>
        <w:rPr>
          <w:lang w:val="es-ES_tradnl"/>
        </w:rPr>
      </w:pPr>
      <w:r w:rsidRPr="00D523C1">
        <w:rPr>
          <w:lang w:val="es-ES_tradnl"/>
        </w:rPr>
        <w:t>2.6</w:t>
      </w:r>
      <w:r w:rsidRPr="00D523C1">
        <w:rPr>
          <w:lang w:val="es-ES_tradnl"/>
        </w:rPr>
        <w:tab/>
        <w:t>Los principales resultados de las vigesimotercera y vigesimocuarta reuniones, entre otros, fueron los siguientes:</w:t>
      </w:r>
    </w:p>
    <w:p w14:paraId="4C4E5340" w14:textId="4825ECC9" w:rsidR="003120EC" w:rsidRPr="00D523C1" w:rsidRDefault="003120EC" w:rsidP="006952DF">
      <w:pPr>
        <w:pStyle w:val="enumlev1"/>
        <w:jc w:val="both"/>
        <w:rPr>
          <w:lang w:val="es-ES_tradnl" w:eastAsia="en-GB"/>
        </w:rPr>
      </w:pPr>
      <w:r w:rsidRPr="00D523C1">
        <w:rPr>
          <w:lang w:val="es-ES_tradnl"/>
        </w:rPr>
        <w:t>–</w:t>
      </w:r>
      <w:r w:rsidRPr="00D523C1">
        <w:rPr>
          <w:lang w:val="es-ES_tradnl"/>
        </w:rPr>
        <w:tab/>
      </w:r>
      <w:r w:rsidR="0050087C" w:rsidRPr="00D523C1">
        <w:rPr>
          <w:lang w:val="es-ES_tradnl" w:eastAsia="en-GB"/>
        </w:rPr>
        <w:t>L</w:t>
      </w:r>
      <w:r w:rsidRPr="00D523C1">
        <w:rPr>
          <w:lang w:val="es-ES_tradnl" w:eastAsia="en-GB"/>
        </w:rPr>
        <w:t>a mejora de las prácticas de transparencia y de intercambio de información en el GTC</w:t>
      </w:r>
      <w:r w:rsidR="00314A0C" w:rsidRPr="00D523C1">
        <w:rPr>
          <w:lang w:val="es-ES_tradnl" w:eastAsia="en-GB"/>
        </w:rPr>
        <w:noBreakHyphen/>
      </w:r>
      <w:r w:rsidRPr="00D523C1">
        <w:rPr>
          <w:lang w:val="es-ES_tradnl" w:eastAsia="en-GB"/>
        </w:rPr>
        <w:t>PIeL, incluida la publicación de documentos informativos y recursos en el sitio web del GTC</w:t>
      </w:r>
      <w:r w:rsidR="00314A0C" w:rsidRPr="00D523C1">
        <w:rPr>
          <w:lang w:val="es-ES_tradnl" w:eastAsia="en-GB"/>
        </w:rPr>
        <w:t>.</w:t>
      </w:r>
    </w:p>
    <w:p w14:paraId="73DC89DA" w14:textId="12883A03" w:rsidR="003120EC" w:rsidRPr="00D523C1" w:rsidRDefault="003120EC" w:rsidP="006952DF">
      <w:pPr>
        <w:pStyle w:val="enumlev1"/>
        <w:jc w:val="both"/>
        <w:rPr>
          <w:lang w:val="es-ES_tradnl" w:eastAsia="en-GB"/>
        </w:rPr>
      </w:pPr>
      <w:r w:rsidRPr="00D523C1">
        <w:rPr>
          <w:lang w:val="es-ES_tradnl"/>
        </w:rPr>
        <w:t>–</w:t>
      </w:r>
      <w:r w:rsidRPr="00D523C1">
        <w:rPr>
          <w:lang w:val="es-ES_tradnl"/>
        </w:rPr>
        <w:tab/>
      </w:r>
      <w:r w:rsidRPr="00D523C1">
        <w:rPr>
          <w:lang w:val="es-ES_tradnl" w:eastAsia="en-GB"/>
        </w:rPr>
        <w:t>El reconocimiento continuado del valor de las experiencias y prácticas a escala nacional para facilitar información sobre los esfuerzos desplegados a escala mundial en materia de protección de la infancia en línea</w:t>
      </w:r>
      <w:r w:rsidR="0050087C" w:rsidRPr="00D523C1">
        <w:rPr>
          <w:lang w:val="es-ES_tradnl" w:eastAsia="en-GB"/>
        </w:rPr>
        <w:t>.</w:t>
      </w:r>
    </w:p>
    <w:p w14:paraId="6EA15499" w14:textId="77777777" w:rsidR="003120EC" w:rsidRPr="00D523C1" w:rsidRDefault="003120EC" w:rsidP="006952DF">
      <w:pPr>
        <w:pStyle w:val="enumlev1"/>
        <w:jc w:val="both"/>
        <w:rPr>
          <w:lang w:val="es-ES_tradnl" w:eastAsia="en-GB"/>
        </w:rPr>
      </w:pPr>
      <w:r w:rsidRPr="00D523C1">
        <w:rPr>
          <w:lang w:val="es-ES_tradnl"/>
        </w:rPr>
        <w:t>–</w:t>
      </w:r>
      <w:r w:rsidRPr="00D523C1">
        <w:rPr>
          <w:lang w:val="es-ES_tradnl"/>
        </w:rPr>
        <w:tab/>
      </w:r>
      <w:r w:rsidRPr="00D523C1">
        <w:rPr>
          <w:lang w:val="es-ES_tradnl" w:eastAsia="en-GB"/>
        </w:rPr>
        <w:t>Fortalecimiento de la coordinación con la Comisión de Estudio 17 del UIT-T mediante declaraciones de coordinación y colaboración técnica.</w:t>
      </w:r>
    </w:p>
    <w:p w14:paraId="3E375AB5" w14:textId="77777777" w:rsidR="003120EC" w:rsidRPr="00CA2190" w:rsidRDefault="003120EC" w:rsidP="006952DF">
      <w:pPr>
        <w:pStyle w:val="enumlev1"/>
        <w:jc w:val="both"/>
        <w:rPr>
          <w:spacing w:val="-2"/>
          <w:lang w:val="es-ES_tradnl" w:eastAsia="en-GB"/>
        </w:rPr>
      </w:pPr>
      <w:r w:rsidRPr="00CA2190">
        <w:rPr>
          <w:spacing w:val="-2"/>
          <w:lang w:val="es-ES_tradnl"/>
        </w:rPr>
        <w:t>–</w:t>
      </w:r>
      <w:r w:rsidRPr="00CA2190">
        <w:rPr>
          <w:spacing w:val="-2"/>
          <w:lang w:val="es-ES_tradnl"/>
        </w:rPr>
        <w:tab/>
      </w:r>
      <w:r w:rsidRPr="00CA2190">
        <w:rPr>
          <w:spacing w:val="-2"/>
          <w:lang w:val="es-ES_tradnl" w:eastAsia="en-GB"/>
        </w:rPr>
        <w:t>Reconocimiento de la pertinencia cada vez mayor de la inteligencia artificial y las tecnologías incipientes en el marco de los debates sobre protección de la infancia en línea.</w:t>
      </w:r>
    </w:p>
    <w:p w14:paraId="6C9FA599" w14:textId="77777777" w:rsidR="003120EC" w:rsidRPr="00D523C1" w:rsidRDefault="003120EC" w:rsidP="006952DF">
      <w:pPr>
        <w:pStyle w:val="enumlev1"/>
        <w:jc w:val="both"/>
        <w:rPr>
          <w:lang w:val="es-ES_tradnl" w:eastAsia="en-GB"/>
        </w:rPr>
      </w:pPr>
      <w:r w:rsidRPr="00D523C1">
        <w:rPr>
          <w:lang w:val="es-ES_tradnl"/>
        </w:rPr>
        <w:t>–</w:t>
      </w:r>
      <w:r w:rsidRPr="00D523C1">
        <w:rPr>
          <w:lang w:val="es-ES_tradnl"/>
        </w:rPr>
        <w:tab/>
      </w:r>
      <w:r w:rsidRPr="00D523C1">
        <w:rPr>
          <w:lang w:val="es-ES_tradnl" w:eastAsia="en-GB"/>
        </w:rPr>
        <w:t>Fomento del diálogo, la colaboración y la participación de forma ininterrumpida entre los Estados Miembros, la Secretaría y los asociados.</w:t>
      </w:r>
    </w:p>
    <w:p w14:paraId="43A0C23D" w14:textId="6C217E10" w:rsidR="003120EC" w:rsidRPr="00D523C1" w:rsidRDefault="003120EC" w:rsidP="006952DF">
      <w:pPr>
        <w:pStyle w:val="enumlev1"/>
        <w:jc w:val="both"/>
        <w:rPr>
          <w:lang w:val="es-ES_tradnl" w:eastAsia="en-GB"/>
        </w:rPr>
      </w:pPr>
      <w:r w:rsidRPr="00D523C1">
        <w:rPr>
          <w:lang w:val="es-ES_tradnl"/>
        </w:rPr>
        <w:t>–</w:t>
      </w:r>
      <w:r w:rsidRPr="00D523C1">
        <w:rPr>
          <w:lang w:val="es-ES_tradnl"/>
        </w:rPr>
        <w:tab/>
      </w:r>
      <w:r w:rsidRPr="00D523C1">
        <w:rPr>
          <w:rFonts w:eastAsia="Calibri"/>
          <w:lang w:val="es-ES_tradnl"/>
        </w:rPr>
        <w:t>Mejora de la presentación de informes por las Oficinas Regionales de la UIT al GTC</w:t>
      </w:r>
      <w:r w:rsidR="0050087C" w:rsidRPr="00D523C1">
        <w:rPr>
          <w:rFonts w:eastAsia="Calibri"/>
          <w:lang w:val="es-ES_tradnl"/>
        </w:rPr>
        <w:noBreakHyphen/>
      </w:r>
      <w:r w:rsidRPr="00D523C1">
        <w:rPr>
          <w:rFonts w:eastAsia="Calibri"/>
          <w:lang w:val="es-ES_tradnl"/>
        </w:rPr>
        <w:t>PIeL sobre las actividades de protección de la infancia en línea realizadas a lo largo del per</w:t>
      </w:r>
      <w:r w:rsidR="0050087C" w:rsidRPr="00D523C1">
        <w:rPr>
          <w:rFonts w:eastAsia="Calibri"/>
          <w:lang w:val="es-ES_tradnl"/>
        </w:rPr>
        <w:t>i</w:t>
      </w:r>
      <w:r w:rsidRPr="00D523C1">
        <w:rPr>
          <w:rFonts w:eastAsia="Calibri"/>
          <w:lang w:val="es-ES_tradnl"/>
        </w:rPr>
        <w:t>odo de referencia, con miras a reflejar mejor y fortalecer la participación regional en la labor del GTC-PIeL</w:t>
      </w:r>
      <w:r w:rsidRPr="00D523C1">
        <w:rPr>
          <w:lang w:val="es-ES_tradnl" w:eastAsia="en-GB"/>
        </w:rPr>
        <w:t>.</w:t>
      </w:r>
    </w:p>
    <w:p w14:paraId="0948681E" w14:textId="77777777" w:rsidR="003120EC" w:rsidRPr="00D523C1" w:rsidRDefault="003120EC" w:rsidP="006952DF">
      <w:pPr>
        <w:jc w:val="both"/>
        <w:rPr>
          <w:lang w:val="es-ES_tradnl"/>
        </w:rPr>
      </w:pPr>
      <w:r w:rsidRPr="00D523C1">
        <w:rPr>
          <w:lang w:val="es-ES_tradnl"/>
        </w:rPr>
        <w:t>2.7</w:t>
      </w:r>
      <w:r w:rsidRPr="00D523C1">
        <w:rPr>
          <w:lang w:val="es-ES_tradnl"/>
        </w:rPr>
        <w:tab/>
        <w:t>En la vigesimotercera reunión del GTC-PIeL, los Estados Miembros, los Miembros de Sector y los asociados debatieron una gran variedad de contribuciones sobre aspectos de políticas, técnicos y operacionales de la protección de la infancia en línea. Los debates abarcaron medidas sobre concienciación y reglamentación, esfuerzos de normalización, herramientas de empoderamiento de los padres y cuestiones incipientes relacionadas con la inteligencia artificial, el cifrado y la interoperabilidad. La reunión subrayó la importancia de la participación inclusiva de varias partes interesadas y la coordinación continuada entre los debates sobre políticas y la labor de normalización técnica en la UIT.</w:t>
      </w:r>
    </w:p>
    <w:p w14:paraId="39CF0517" w14:textId="77777777" w:rsidR="003120EC" w:rsidRPr="00D523C1" w:rsidRDefault="003120EC" w:rsidP="006952DF">
      <w:pPr>
        <w:jc w:val="both"/>
        <w:rPr>
          <w:lang w:val="es-ES_tradnl"/>
        </w:rPr>
      </w:pPr>
      <w:r w:rsidRPr="00D523C1">
        <w:rPr>
          <w:rFonts w:eastAsia="SimSun"/>
          <w:lang w:val="es-ES_tradnl"/>
        </w:rPr>
        <w:t>2.8</w:t>
      </w:r>
      <w:r w:rsidRPr="00D523C1">
        <w:rPr>
          <w:rFonts w:eastAsia="SimSun"/>
          <w:lang w:val="es-ES_tradnl"/>
        </w:rPr>
        <w:tab/>
      </w:r>
      <w:r w:rsidRPr="00D523C1">
        <w:rPr>
          <w:rFonts w:eastAsia="SimSun"/>
          <w:kern w:val="2"/>
          <w:lang w:val="es-ES_tradnl"/>
          <w14:ligatures w14:val="standardContextual"/>
        </w:rPr>
        <w:t xml:space="preserve">Los </w:t>
      </w:r>
      <w:r w:rsidRPr="00D523C1">
        <w:rPr>
          <w:lang w:val="es-ES_tradnl"/>
        </w:rPr>
        <w:t>resultados principales de la reunión fueron los siguientes:</w:t>
      </w:r>
    </w:p>
    <w:p w14:paraId="5603140D" w14:textId="5BEE11A4" w:rsidR="003120EC" w:rsidRPr="00D523C1" w:rsidRDefault="003120EC" w:rsidP="006952DF">
      <w:pPr>
        <w:pStyle w:val="enumlev1"/>
        <w:jc w:val="both"/>
        <w:rPr>
          <w:rFonts w:eastAsia="Calibri"/>
          <w:lang w:val="es-ES_tradnl"/>
        </w:rPr>
      </w:pPr>
      <w:r w:rsidRPr="00D523C1">
        <w:rPr>
          <w:lang w:val="es-ES_tradnl"/>
        </w:rPr>
        <w:t>–</w:t>
      </w:r>
      <w:r w:rsidRPr="00D523C1">
        <w:rPr>
          <w:lang w:val="es-ES_tradnl"/>
        </w:rPr>
        <w:tab/>
      </w:r>
      <w:r w:rsidRPr="00D523C1">
        <w:rPr>
          <w:rFonts w:eastAsia="Calibri"/>
          <w:lang w:val="es-ES_tradnl"/>
        </w:rPr>
        <w:t xml:space="preserve">La reunión tomó nota de las propuestas para ampliar aún más la participación en las reuniones de </w:t>
      </w:r>
      <w:r w:rsidRPr="00D523C1">
        <w:rPr>
          <w:rFonts w:eastAsia="Calibri"/>
          <w:i/>
          <w:iCs/>
          <w:lang w:val="es-ES_tradnl"/>
        </w:rPr>
        <w:t>ITU Industry Connect</w:t>
      </w:r>
      <w:r w:rsidRPr="00D523C1">
        <w:rPr>
          <w:rFonts w:eastAsia="Calibri"/>
          <w:lang w:val="es-ES_tradnl"/>
        </w:rPr>
        <w:t>, en particular la participación de fabricantes y operadores de red, y alentó a una mayor participación de las oficinas regionales de la UIT en futuras reuniones del GTC-PIeL.</w:t>
      </w:r>
    </w:p>
    <w:p w14:paraId="4F25289D" w14:textId="43CAA12C" w:rsidR="003120EC" w:rsidRPr="00D523C1" w:rsidRDefault="003120EC" w:rsidP="006952DF">
      <w:pPr>
        <w:pStyle w:val="enumlev1"/>
        <w:jc w:val="both"/>
        <w:rPr>
          <w:rFonts w:eastAsia="Calibri"/>
          <w:lang w:val="es-ES_tradnl"/>
        </w:rPr>
      </w:pPr>
      <w:r w:rsidRPr="00D523C1">
        <w:rPr>
          <w:lang w:val="es-ES_tradnl"/>
        </w:rPr>
        <w:t>–</w:t>
      </w:r>
      <w:r w:rsidRPr="00D523C1">
        <w:rPr>
          <w:lang w:val="es-ES_tradnl"/>
        </w:rPr>
        <w:tab/>
      </w:r>
      <w:r w:rsidRPr="00D523C1">
        <w:rPr>
          <w:rFonts w:eastAsia="Calibri"/>
          <w:lang w:val="es-ES_tradnl"/>
        </w:rPr>
        <w:t>La reunión tomó nota de una propuesta para ampliar el alcance de los debates del GTC</w:t>
      </w:r>
      <w:r w:rsidR="0050087C" w:rsidRPr="00D523C1">
        <w:rPr>
          <w:rFonts w:eastAsia="Calibri"/>
          <w:lang w:val="es-ES_tradnl"/>
        </w:rPr>
        <w:noBreakHyphen/>
      </w:r>
      <w:r w:rsidRPr="00D523C1">
        <w:rPr>
          <w:rFonts w:eastAsia="Calibri"/>
          <w:lang w:val="es-ES_tradnl"/>
        </w:rPr>
        <w:t xml:space="preserve">PIeL a fin de incluir a los jóvenes. El presidente invitó a la delegación que formuló la propuesta a que la presentara a través de los procesos de toma de decisiones pertinentes de la UIT, al tiempo que señaló que la Secretaría seguirá apoyando las </w:t>
      </w:r>
      <w:r w:rsidRPr="00D523C1">
        <w:rPr>
          <w:rFonts w:eastAsia="Calibri"/>
          <w:lang w:val="es-ES_tradnl"/>
        </w:rPr>
        <w:lastRenderedPageBreak/>
        <w:t>actividades de concienciación y capacitación digital orientadas a los jóvenes en el marco de los programas en vigor de protección de la infancia en línea.</w:t>
      </w:r>
    </w:p>
    <w:p w14:paraId="5F93EC78" w14:textId="7DA241B3" w:rsidR="003120EC" w:rsidRPr="00D523C1" w:rsidRDefault="003120EC" w:rsidP="006952DF">
      <w:pPr>
        <w:pStyle w:val="enumlev1"/>
        <w:jc w:val="both"/>
        <w:rPr>
          <w:rFonts w:eastAsia="Calibri"/>
          <w:lang w:val="es-ES_tradnl"/>
        </w:rPr>
      </w:pPr>
      <w:r w:rsidRPr="00D523C1">
        <w:rPr>
          <w:lang w:val="es-ES_tradnl"/>
        </w:rPr>
        <w:t>–</w:t>
      </w:r>
      <w:r w:rsidRPr="00D523C1">
        <w:rPr>
          <w:lang w:val="es-ES_tradnl"/>
        </w:rPr>
        <w:tab/>
      </w:r>
      <w:r w:rsidRPr="00D523C1">
        <w:rPr>
          <w:rFonts w:eastAsia="Calibri"/>
          <w:lang w:val="es-ES_tradnl"/>
        </w:rPr>
        <w:t>El Grupo de Trabajo tomó nota de la declaración de coordinación de la Comisión de Estudio</w:t>
      </w:r>
      <w:r w:rsidR="0050087C" w:rsidRPr="00D523C1">
        <w:rPr>
          <w:rFonts w:eastAsia="Calibri"/>
          <w:lang w:val="es-ES_tradnl"/>
        </w:rPr>
        <w:t> </w:t>
      </w:r>
      <w:r w:rsidRPr="00D523C1">
        <w:rPr>
          <w:rFonts w:eastAsia="Calibri"/>
          <w:lang w:val="es-ES_tradnl"/>
        </w:rPr>
        <w:t>17 del UIT-T y acogió con satisfacción la continuación de la colaboración. La reunión respaldó la labor en curso de la CE 17 sobre verificación de edad y la moderación automatizada de contenidos como esferas prioritarias y alentó a los Estados Miembros y a las partes interesadas a participar en el Grupo por Correspondencia sobre protección de la infancia en línea (GC-PIeL)</w:t>
      </w:r>
      <w:r w:rsidR="0050087C" w:rsidRPr="00D523C1">
        <w:rPr>
          <w:rFonts w:eastAsia="Calibri"/>
          <w:lang w:val="es-ES_tradnl"/>
        </w:rPr>
        <w:t>.</w:t>
      </w:r>
    </w:p>
    <w:p w14:paraId="48E3A4D7" w14:textId="0E339295" w:rsidR="003120EC" w:rsidRPr="00D523C1" w:rsidRDefault="003120EC" w:rsidP="006952DF">
      <w:pPr>
        <w:pStyle w:val="enumlev1"/>
        <w:jc w:val="both"/>
        <w:rPr>
          <w:rFonts w:eastAsia="Calibri"/>
          <w:lang w:val="es-ES_tradnl"/>
        </w:rPr>
      </w:pPr>
      <w:r w:rsidRPr="00D523C1">
        <w:rPr>
          <w:lang w:val="es-ES_tradnl"/>
        </w:rPr>
        <w:t>–</w:t>
      </w:r>
      <w:r w:rsidRPr="00D523C1">
        <w:rPr>
          <w:lang w:val="es-ES_tradnl"/>
        </w:rPr>
        <w:tab/>
      </w:r>
      <w:r w:rsidRPr="00D523C1">
        <w:rPr>
          <w:rFonts w:eastAsia="Calibri"/>
          <w:lang w:val="es-ES_tradnl"/>
        </w:rPr>
        <w:t xml:space="preserve">La reunión acogió con satisfacción asimismo la contribución de </w:t>
      </w:r>
      <w:r w:rsidRPr="00D523C1">
        <w:rPr>
          <w:rFonts w:eastAsia="Calibri"/>
          <w:i/>
          <w:iCs/>
          <w:lang w:val="es-ES_tradnl"/>
        </w:rPr>
        <w:t>SouthWest Grid for Learning</w:t>
      </w:r>
      <w:r w:rsidRPr="00D523C1">
        <w:rPr>
          <w:rFonts w:eastAsia="Calibri"/>
          <w:lang w:val="es-ES_tradnl"/>
        </w:rPr>
        <w:t xml:space="preserve"> (SWGfL) sobre el Protocolo de aplicación del control parental (PARCEP) y promovió la colaboración ininterrumpida entre el GTC-PIeL y el GC-PIeL de la CE</w:t>
      </w:r>
      <w:r w:rsidR="0050087C" w:rsidRPr="00D523C1">
        <w:rPr>
          <w:rFonts w:eastAsia="Calibri"/>
          <w:lang w:val="es-ES_tradnl"/>
        </w:rPr>
        <w:t> </w:t>
      </w:r>
      <w:r w:rsidRPr="00D523C1">
        <w:rPr>
          <w:rFonts w:eastAsia="Calibri"/>
          <w:lang w:val="es-ES_tradnl"/>
        </w:rPr>
        <w:t>17. El</w:t>
      </w:r>
      <w:r w:rsidR="007410AF">
        <w:rPr>
          <w:rFonts w:eastAsia="Calibri"/>
          <w:lang w:val="es-ES_tradnl"/>
        </w:rPr>
        <w:t> </w:t>
      </w:r>
      <w:r w:rsidRPr="00D523C1">
        <w:rPr>
          <w:rFonts w:eastAsia="Calibri"/>
          <w:lang w:val="es-ES_tradnl"/>
        </w:rPr>
        <w:t>presidente invitó a la Secretaría a enviar una declaración de coordinación a la CE</w:t>
      </w:r>
      <w:r w:rsidR="0050087C" w:rsidRPr="00D523C1">
        <w:rPr>
          <w:rFonts w:eastAsia="Calibri"/>
          <w:lang w:val="es-ES_tradnl"/>
        </w:rPr>
        <w:t> </w:t>
      </w:r>
      <w:r w:rsidRPr="00D523C1">
        <w:rPr>
          <w:rFonts w:eastAsia="Calibri"/>
          <w:lang w:val="es-ES_tradnl"/>
        </w:rPr>
        <w:t>17 en la que se reflejara el apoyo del GTC-PIeL al PARCEP y sus recomendaciones sobre controles parentales interoperables, la colaboración con los organismos de normalización pertinentes y la continuación del diálogo técnico y normativo.</w:t>
      </w:r>
    </w:p>
    <w:p w14:paraId="60379F80" w14:textId="77777777" w:rsidR="003120EC" w:rsidRPr="00D523C1" w:rsidRDefault="003120EC" w:rsidP="006952DF">
      <w:pPr>
        <w:pStyle w:val="enumlev1"/>
        <w:jc w:val="both"/>
        <w:rPr>
          <w:rFonts w:eastAsia="Calibri"/>
          <w:lang w:val="es-ES_tradnl"/>
        </w:rPr>
      </w:pPr>
      <w:r w:rsidRPr="00D523C1">
        <w:rPr>
          <w:lang w:val="es-ES_tradnl"/>
        </w:rPr>
        <w:t>–</w:t>
      </w:r>
      <w:r w:rsidRPr="00D523C1">
        <w:rPr>
          <w:lang w:val="es-ES_tradnl"/>
        </w:rPr>
        <w:tab/>
      </w:r>
      <w:r w:rsidRPr="00D523C1">
        <w:rPr>
          <w:rFonts w:eastAsia="Calibri"/>
          <w:lang w:val="es-ES_tradnl"/>
        </w:rPr>
        <w:t>La reunión subrayó la importancia de la participación inclusiva y la colaboración intercomunitaria de organismos de normalización y acogió con satisfacción las intervenciones que destacaron el valor de la cooperación entre la UIT, diversas organizaciones de normalización y las comunidades de partes interesadas.</w:t>
      </w:r>
    </w:p>
    <w:p w14:paraId="50EED1B5" w14:textId="3CBEC542" w:rsidR="003120EC" w:rsidRPr="00D523C1" w:rsidRDefault="003120EC" w:rsidP="006952DF">
      <w:pPr>
        <w:pStyle w:val="enumlev1"/>
        <w:jc w:val="both"/>
        <w:rPr>
          <w:rFonts w:eastAsia="Calibri"/>
          <w:lang w:val="es-ES_tradnl"/>
        </w:rPr>
      </w:pPr>
      <w:r w:rsidRPr="00D523C1">
        <w:rPr>
          <w:lang w:val="es-ES_tradnl"/>
        </w:rPr>
        <w:t>–</w:t>
      </w:r>
      <w:r w:rsidRPr="00D523C1">
        <w:rPr>
          <w:lang w:val="es-ES_tradnl"/>
        </w:rPr>
        <w:tab/>
      </w:r>
      <w:r w:rsidRPr="00D523C1">
        <w:rPr>
          <w:rFonts w:eastAsia="Calibri"/>
          <w:lang w:val="es-ES_tradnl"/>
        </w:rPr>
        <w:t>La reunión apoyó las propuestas de analizar modalidades de participación segura y eficaz de niños y jóvenes en futuras reuniones del GTC-PIeL y reconoció las propuestas de examen de los aspectos intergeneracionales de la protección en línea, incluidos los riesgos conexos</w:t>
      </w:r>
      <w:r w:rsidR="0050087C" w:rsidRPr="00D523C1">
        <w:rPr>
          <w:rFonts w:eastAsia="Calibri"/>
          <w:lang w:val="es-ES_tradnl"/>
        </w:rPr>
        <w:t>.</w:t>
      </w:r>
    </w:p>
    <w:p w14:paraId="74EFEF48" w14:textId="06F2FC13" w:rsidR="003120EC" w:rsidRPr="00D523C1" w:rsidRDefault="003120EC" w:rsidP="006952DF">
      <w:pPr>
        <w:pStyle w:val="enumlev1"/>
        <w:jc w:val="both"/>
        <w:rPr>
          <w:rFonts w:eastAsia="Calibri"/>
          <w:lang w:val="es-ES_tradnl"/>
        </w:rPr>
      </w:pPr>
      <w:r w:rsidRPr="00D523C1">
        <w:rPr>
          <w:lang w:val="es-ES_tradnl"/>
        </w:rPr>
        <w:t>–</w:t>
      </w:r>
      <w:r w:rsidRPr="00D523C1">
        <w:rPr>
          <w:lang w:val="es-ES_tradnl"/>
        </w:rPr>
        <w:tab/>
      </w:r>
      <w:r w:rsidRPr="00D523C1">
        <w:rPr>
          <w:rFonts w:eastAsia="Calibri"/>
          <w:lang w:val="es-ES_tradnl"/>
        </w:rPr>
        <w:t>La reunión tomó nota de la información actualizada de UNICEF y manifestó su agradecimiento por la cooperación ininterrumpida entre la UIT, UNICEF y otros organismos de las Naciones Unidas para promover los esfuerzos de protección de la infancia en línea a escala mundial.</w:t>
      </w:r>
    </w:p>
    <w:p w14:paraId="33BB97E4" w14:textId="77777777" w:rsidR="003120EC" w:rsidRPr="00D523C1" w:rsidRDefault="003120EC" w:rsidP="006952DF">
      <w:pPr>
        <w:jc w:val="both"/>
        <w:rPr>
          <w:lang w:val="es-ES_tradnl"/>
        </w:rPr>
      </w:pPr>
      <w:r w:rsidRPr="00D523C1">
        <w:rPr>
          <w:lang w:val="es-ES_tradnl"/>
        </w:rPr>
        <w:t>2.9</w:t>
      </w:r>
      <w:r w:rsidRPr="00D523C1">
        <w:rPr>
          <w:lang w:val="es-ES_tradnl"/>
        </w:rPr>
        <w:tab/>
        <w:t>En la vigesimocuarta reunión del GTC-PIeL, el Grupo de Trabajo prosiguió sus debates sustantivos sobre la protección de la infancia en línea en un entorno digital en constante evolución, en particular con respecto a las tecnologías incipientes, las experiencias nacionales en materia de aplicación y la coordinación entre las actividades de índole política, operacional y técnica. Los Estados Miembros y los asociados compartieron sus contribuciones sobre casos de abuso y explotación sexual de niños en línea, la alfabetización digital, la protección de datos, el empoderamiento de los padres y las repercusiones de la inteligencia artificial para la seguridad infantil.</w:t>
      </w:r>
    </w:p>
    <w:p w14:paraId="3EBECDAF" w14:textId="77777777" w:rsidR="003120EC" w:rsidRPr="00D523C1" w:rsidRDefault="003120EC" w:rsidP="003120EC">
      <w:pPr>
        <w:rPr>
          <w:lang w:val="es-ES_tradnl"/>
        </w:rPr>
      </w:pPr>
      <w:r w:rsidRPr="00D523C1">
        <w:rPr>
          <w:rFonts w:eastAsia="SimSun"/>
          <w:lang w:val="es-ES_tradnl"/>
        </w:rPr>
        <w:t>2.10</w:t>
      </w:r>
      <w:r w:rsidRPr="00D523C1">
        <w:rPr>
          <w:rFonts w:eastAsia="SimSun"/>
          <w:lang w:val="es-ES_tradnl"/>
        </w:rPr>
        <w:tab/>
      </w:r>
      <w:r w:rsidRPr="00D523C1">
        <w:rPr>
          <w:rFonts w:eastAsia="SimSun"/>
          <w:kern w:val="2"/>
          <w:lang w:val="es-ES_tradnl"/>
          <w14:ligatures w14:val="standardContextual"/>
        </w:rPr>
        <w:t xml:space="preserve">Los </w:t>
      </w:r>
      <w:r w:rsidRPr="00D523C1">
        <w:rPr>
          <w:lang w:val="es-ES_tradnl"/>
        </w:rPr>
        <w:t>principales resultados de la reunión fueron los siguientes:</w:t>
      </w:r>
    </w:p>
    <w:p w14:paraId="38E593D5" w14:textId="764F40E3" w:rsidR="003120EC" w:rsidRPr="00D523C1" w:rsidRDefault="003120EC" w:rsidP="006952DF">
      <w:pPr>
        <w:pStyle w:val="enumlev1"/>
        <w:jc w:val="both"/>
        <w:rPr>
          <w:rFonts w:eastAsia="Calibri"/>
          <w:lang w:val="es-ES_tradnl"/>
        </w:rPr>
      </w:pPr>
      <w:r w:rsidRPr="00D523C1">
        <w:rPr>
          <w:lang w:val="es-ES_tradnl"/>
        </w:rPr>
        <w:t>–</w:t>
      </w:r>
      <w:r w:rsidRPr="00D523C1">
        <w:rPr>
          <w:lang w:val="es-ES_tradnl"/>
        </w:rPr>
        <w:tab/>
      </w:r>
      <w:r w:rsidRPr="00D523C1">
        <w:rPr>
          <w:rFonts w:eastAsia="Calibri"/>
          <w:lang w:val="es-ES_tradnl"/>
        </w:rPr>
        <w:t>La reunión acogió con satisfacción la información actualizada de la Secretaría sobre las actividades en curso en materia de protección de la infancia en línea, incluidas las iniciativas de capacitación, el fomento de su aplicación a escala nacional y los resultados obtenidos a escala internacional a lo largo del per</w:t>
      </w:r>
      <w:r w:rsidR="00E960E9" w:rsidRPr="00D523C1">
        <w:rPr>
          <w:rFonts w:eastAsia="Calibri"/>
          <w:lang w:val="es-ES_tradnl"/>
        </w:rPr>
        <w:t>i</w:t>
      </w:r>
      <w:r w:rsidRPr="00D523C1">
        <w:rPr>
          <w:rFonts w:eastAsia="Calibri"/>
          <w:lang w:val="es-ES_tradnl"/>
        </w:rPr>
        <w:t>odo que abarca el informe, en particular los Principios Rectores sobre Protección mediante la Participación en Línea y la Declaración Conjunta sobre la Inteligencia Artificial y los Derechos Infantiles.</w:t>
      </w:r>
    </w:p>
    <w:p w14:paraId="5A652360" w14:textId="77777777" w:rsidR="003120EC" w:rsidRPr="00D523C1" w:rsidRDefault="003120EC" w:rsidP="006952DF">
      <w:pPr>
        <w:pStyle w:val="enumlev1"/>
        <w:jc w:val="both"/>
        <w:rPr>
          <w:rFonts w:eastAsia="Calibri"/>
          <w:lang w:val="es-ES_tradnl"/>
        </w:rPr>
      </w:pPr>
      <w:r w:rsidRPr="00D523C1">
        <w:rPr>
          <w:lang w:val="es-ES_tradnl"/>
        </w:rPr>
        <w:t>–</w:t>
      </w:r>
      <w:r w:rsidRPr="00D523C1">
        <w:rPr>
          <w:lang w:val="es-ES_tradnl"/>
        </w:rPr>
        <w:tab/>
      </w:r>
      <w:r w:rsidRPr="00D523C1">
        <w:rPr>
          <w:rFonts w:eastAsia="Calibri"/>
          <w:lang w:val="es-ES_tradnl"/>
        </w:rPr>
        <w:t xml:space="preserve">El Grupo de Trabajo tomó nota de una gran variedad de experiencias a escala nacional y de documentos informativos presentados por los Estados Miembros, en los que se destacaban enfoques gubernamentales y de varias partes interesadas que conjugaban </w:t>
      </w:r>
      <w:r w:rsidRPr="00D523C1">
        <w:rPr>
          <w:rFonts w:eastAsia="Calibri"/>
          <w:lang w:val="es-ES_tradnl"/>
        </w:rPr>
        <w:lastRenderedPageBreak/>
        <w:t>medidas de concienciación, actividades reglamentarias, mecanismos operacionales y establecimiento de asociaciones para abordar los riesgos para la seguridad de la infancia en línea.</w:t>
      </w:r>
    </w:p>
    <w:p w14:paraId="750B0146" w14:textId="77777777" w:rsidR="003120EC" w:rsidRPr="00D523C1" w:rsidRDefault="003120EC" w:rsidP="006952DF">
      <w:pPr>
        <w:pStyle w:val="enumlev1"/>
        <w:jc w:val="both"/>
        <w:rPr>
          <w:rFonts w:eastAsia="Calibri"/>
          <w:lang w:val="es-ES_tradnl"/>
        </w:rPr>
      </w:pPr>
      <w:r w:rsidRPr="00D523C1">
        <w:rPr>
          <w:lang w:val="es-ES_tradnl"/>
        </w:rPr>
        <w:t>–</w:t>
      </w:r>
      <w:r w:rsidRPr="00D523C1">
        <w:rPr>
          <w:lang w:val="es-ES_tradnl"/>
        </w:rPr>
        <w:tab/>
      </w:r>
      <w:r w:rsidRPr="00D523C1">
        <w:rPr>
          <w:rFonts w:eastAsia="Calibri"/>
          <w:lang w:val="es-ES_tradnl"/>
        </w:rPr>
        <w:t>La reunión reconoció las contribuciones que ponían de relieve la pertinencia cada vez mayor de la inteligencia artificial y los sistemas algorítmicos para determinar la experiencia en línea de los niños, en particular los riesgos y las oportunidades, y subrayó la importancia de incorporar salvaguardias orientadas a la infancia y enfoques de seguridad desde el diseño en los servicios digitales.</w:t>
      </w:r>
    </w:p>
    <w:p w14:paraId="423CCDBF" w14:textId="77777777" w:rsidR="003120EC" w:rsidRPr="00D523C1" w:rsidRDefault="003120EC" w:rsidP="006952DF">
      <w:pPr>
        <w:pStyle w:val="enumlev1"/>
        <w:jc w:val="both"/>
        <w:rPr>
          <w:rFonts w:eastAsia="Calibri"/>
          <w:lang w:val="es-ES_tradnl"/>
        </w:rPr>
      </w:pPr>
      <w:r w:rsidRPr="00D523C1">
        <w:rPr>
          <w:lang w:val="es-ES_tradnl"/>
        </w:rPr>
        <w:t>–</w:t>
      </w:r>
      <w:r w:rsidRPr="00D523C1">
        <w:rPr>
          <w:lang w:val="es-ES_tradnl"/>
        </w:rPr>
        <w:tab/>
      </w:r>
      <w:r w:rsidRPr="00D523C1">
        <w:rPr>
          <w:rFonts w:eastAsia="Calibri"/>
          <w:lang w:val="es-ES_tradnl"/>
        </w:rPr>
        <w:t>El Grupo de Trabajo acogió con satisfacción la coordinación continuada con la Comisión de Estudio 17 del UIT-T, incluida la presentación de una declaración de coordinación y la información actualizada sobre los trabajos técnicos relacionados con la inteligencia artificial, la ciberseguridad y la confianza. La reunión destacó la utilidad del intercambio ininterrumpido de información entre el GTC-PIeL y el UIT-T para mantener la coherencia entre los debates sobre políticas y las actividades de normalización.</w:t>
      </w:r>
    </w:p>
    <w:p w14:paraId="31ADE0D8" w14:textId="77777777" w:rsidR="003120EC" w:rsidRPr="00D523C1" w:rsidRDefault="003120EC" w:rsidP="006952DF">
      <w:pPr>
        <w:pStyle w:val="enumlev1"/>
        <w:jc w:val="both"/>
        <w:rPr>
          <w:rFonts w:eastAsia="Calibri"/>
          <w:lang w:val="es-ES_tradnl"/>
        </w:rPr>
      </w:pPr>
      <w:r w:rsidRPr="00D523C1">
        <w:rPr>
          <w:lang w:val="es-ES_tradnl"/>
        </w:rPr>
        <w:t>–</w:t>
      </w:r>
      <w:r w:rsidRPr="00D523C1">
        <w:rPr>
          <w:lang w:val="es-ES_tradnl"/>
        </w:rPr>
        <w:tab/>
      </w:r>
      <w:r w:rsidRPr="00D523C1">
        <w:rPr>
          <w:rFonts w:eastAsia="Calibri"/>
          <w:lang w:val="es-ES_tradnl"/>
        </w:rPr>
        <w:t>La reunión reiteró la importancia de la participación inclusiva y de varias partes interesadas en la promoción de las actividades de protección de la infancia en línea, incluida la participación del sector industrial, la sociedad civil, el sector académico y las organizaciones internacionales, y acogió con satisfacción la colaboración continuada con los organismos y asociados de las Naciones Unidas.</w:t>
      </w:r>
    </w:p>
    <w:p w14:paraId="76978ABE" w14:textId="77777777" w:rsidR="003120EC" w:rsidRPr="00D523C1" w:rsidRDefault="003120EC" w:rsidP="006952DF">
      <w:pPr>
        <w:pStyle w:val="enumlev1"/>
        <w:jc w:val="both"/>
        <w:rPr>
          <w:rFonts w:eastAsia="Calibri"/>
          <w:lang w:val="es-ES_tradnl"/>
        </w:rPr>
      </w:pPr>
      <w:r w:rsidRPr="00D523C1">
        <w:rPr>
          <w:lang w:val="es-ES_tradnl"/>
        </w:rPr>
        <w:t>–</w:t>
      </w:r>
      <w:r w:rsidRPr="00D523C1">
        <w:rPr>
          <w:lang w:val="es-ES_tradnl"/>
        </w:rPr>
        <w:tab/>
      </w:r>
      <w:r w:rsidRPr="00D523C1">
        <w:rPr>
          <w:rFonts w:eastAsia="Calibri"/>
          <w:lang w:val="es-ES_tradnl"/>
        </w:rPr>
        <w:t>El presidente subrayó la utilidad de la transparencia, el intercambio de información y el diálogo continuado en el Grupo de Trabajo, y subrayó la importancia que reviste mantener informados a los Estados Miembros sobre los trabajos en curso y los futuros con el fin de fomentar una participación efectiva.</w:t>
      </w:r>
    </w:p>
    <w:p w14:paraId="67B2F9D1" w14:textId="77777777" w:rsidR="0050087C" w:rsidRPr="00D523C1" w:rsidRDefault="003120EC" w:rsidP="007410AF">
      <w:pPr>
        <w:pStyle w:val="Signature"/>
      </w:pPr>
      <w:r w:rsidRPr="00D523C1">
        <w:tab/>
      </w:r>
      <w:r w:rsidRPr="007410AF">
        <w:t>Abdelaziz</w:t>
      </w:r>
      <w:r w:rsidRPr="00D523C1">
        <w:t xml:space="preserve"> Alzarooni, presidente</w:t>
      </w:r>
      <w:r w:rsidRPr="00D523C1">
        <w:br/>
      </w:r>
      <w:r w:rsidRPr="00D523C1">
        <w:tab/>
        <w:t>(EAU)</w:t>
      </w:r>
    </w:p>
    <w:p w14:paraId="40B4EB9B" w14:textId="6CBF232E" w:rsidR="00F92BED" w:rsidRPr="00D523C1" w:rsidRDefault="003120EC" w:rsidP="007410AF">
      <w:pPr>
        <w:pStyle w:val="Signature"/>
      </w:pPr>
      <w:r w:rsidRPr="00D523C1">
        <w:tab/>
        <w:t>Stella C. Erebor, vicepresidenta</w:t>
      </w:r>
      <w:r w:rsidRPr="00D523C1">
        <w:br/>
      </w:r>
      <w:r w:rsidRPr="00D523C1">
        <w:tab/>
        <w:t>(Nigeria)</w:t>
      </w:r>
    </w:p>
    <w:sectPr w:rsidR="00F92BED" w:rsidRPr="00D523C1" w:rsidSect="00C538FC">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55DC2" w14:textId="77777777" w:rsidR="003120EC" w:rsidRDefault="003120EC">
      <w:r>
        <w:separator/>
      </w:r>
    </w:p>
  </w:endnote>
  <w:endnote w:type="continuationSeparator" w:id="0">
    <w:p w14:paraId="63A68232" w14:textId="77777777" w:rsidR="003120EC" w:rsidRDefault="0031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BB41AD" w:rsidRPr="00BB41AD" w14:paraId="05E42DE7" w14:textId="77777777" w:rsidTr="00E31DCE">
      <w:trPr>
        <w:jc w:val="center"/>
      </w:trPr>
      <w:tc>
        <w:tcPr>
          <w:tcW w:w="1803" w:type="dxa"/>
          <w:vAlign w:val="center"/>
        </w:tcPr>
        <w:p w14:paraId="23C6390A" w14:textId="1D1A29AE" w:rsidR="003273A4" w:rsidRPr="00BB41AD" w:rsidRDefault="003120EC" w:rsidP="003273A4">
          <w:pPr>
            <w:pStyle w:val="Header"/>
            <w:jc w:val="left"/>
            <w:rPr>
              <w:noProof/>
              <w:color w:val="7F7F7F" w:themeColor="text1" w:themeTint="80"/>
            </w:rPr>
          </w:pPr>
          <w:r w:rsidRPr="00BB41AD">
            <w:rPr>
              <w:noProof/>
              <w:color w:val="7F7F7F" w:themeColor="text1" w:themeTint="80"/>
            </w:rPr>
            <w:t>2600453</w:t>
          </w:r>
        </w:p>
      </w:tc>
      <w:tc>
        <w:tcPr>
          <w:tcW w:w="8261" w:type="dxa"/>
        </w:tcPr>
        <w:p w14:paraId="06870C01" w14:textId="437BB14A" w:rsidR="003273A4" w:rsidRPr="00BB41AD" w:rsidRDefault="003273A4" w:rsidP="00B060DF">
          <w:pPr>
            <w:pStyle w:val="Header"/>
            <w:tabs>
              <w:tab w:val="left" w:pos="6731"/>
              <w:tab w:val="right" w:pos="8505"/>
              <w:tab w:val="right" w:pos="9639"/>
            </w:tabs>
            <w:jc w:val="left"/>
            <w:rPr>
              <w:rFonts w:ascii="Arial" w:hAnsi="Arial" w:cs="Arial"/>
              <w:b/>
              <w:bCs/>
              <w:color w:val="7F7F7F" w:themeColor="text1" w:themeTint="80"/>
              <w:szCs w:val="18"/>
            </w:rPr>
          </w:pPr>
          <w:r w:rsidRPr="00BB41AD">
            <w:rPr>
              <w:bCs/>
              <w:color w:val="7F7F7F" w:themeColor="text1" w:themeTint="80"/>
            </w:rPr>
            <w:tab/>
            <w:t>C2</w:t>
          </w:r>
          <w:r w:rsidR="00F85E5C" w:rsidRPr="00BB41AD">
            <w:rPr>
              <w:bCs/>
              <w:color w:val="7F7F7F" w:themeColor="text1" w:themeTint="80"/>
            </w:rPr>
            <w:t>6</w:t>
          </w:r>
          <w:r w:rsidRPr="00BB41AD">
            <w:rPr>
              <w:bCs/>
              <w:color w:val="7F7F7F" w:themeColor="text1" w:themeTint="80"/>
            </w:rPr>
            <w:t>/</w:t>
          </w:r>
          <w:r w:rsidR="003120EC" w:rsidRPr="00BB41AD">
            <w:rPr>
              <w:bCs/>
              <w:color w:val="7F7F7F" w:themeColor="text1" w:themeTint="80"/>
            </w:rPr>
            <w:t>15</w:t>
          </w:r>
          <w:r w:rsidRPr="00BB41AD">
            <w:rPr>
              <w:bCs/>
              <w:color w:val="7F7F7F" w:themeColor="text1" w:themeTint="80"/>
            </w:rPr>
            <w:t>-S</w:t>
          </w:r>
          <w:r w:rsidRPr="00BB41AD">
            <w:rPr>
              <w:bCs/>
              <w:color w:val="7F7F7F" w:themeColor="text1" w:themeTint="80"/>
            </w:rPr>
            <w:tab/>
          </w:r>
          <w:r w:rsidRPr="00BB41AD">
            <w:rPr>
              <w:color w:val="7F7F7F" w:themeColor="text1" w:themeTint="80"/>
            </w:rPr>
            <w:fldChar w:fldCharType="begin"/>
          </w:r>
          <w:r w:rsidRPr="00BB41AD">
            <w:rPr>
              <w:color w:val="7F7F7F" w:themeColor="text1" w:themeTint="80"/>
            </w:rPr>
            <w:instrText>PAGE</w:instrText>
          </w:r>
          <w:r w:rsidRPr="00BB41AD">
            <w:rPr>
              <w:color w:val="7F7F7F" w:themeColor="text1" w:themeTint="80"/>
            </w:rPr>
            <w:fldChar w:fldCharType="separate"/>
          </w:r>
          <w:r w:rsidRPr="00BB41AD">
            <w:rPr>
              <w:color w:val="7F7F7F" w:themeColor="text1" w:themeTint="80"/>
            </w:rPr>
            <w:t>1</w:t>
          </w:r>
          <w:r w:rsidRPr="00BB41AD">
            <w:rPr>
              <w:noProof/>
              <w:color w:val="7F7F7F" w:themeColor="text1" w:themeTint="80"/>
            </w:rPr>
            <w:fldChar w:fldCharType="end"/>
          </w:r>
        </w:p>
      </w:tc>
    </w:tr>
  </w:tbl>
  <w:p w14:paraId="1DC1987D"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08485733" w14:textId="77777777" w:rsidTr="00E31DCE">
      <w:trPr>
        <w:jc w:val="center"/>
      </w:trPr>
      <w:tc>
        <w:tcPr>
          <w:tcW w:w="1803" w:type="dxa"/>
          <w:vAlign w:val="center"/>
        </w:tcPr>
        <w:p w14:paraId="1DF5FCF8"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00F669E0" w14:textId="1DDFDDB7" w:rsidR="00F24B71" w:rsidRPr="00E06FD5" w:rsidRDefault="00F24B71" w:rsidP="00B060DF">
          <w:pPr>
            <w:pStyle w:val="Header"/>
            <w:tabs>
              <w:tab w:val="left" w:pos="6731"/>
              <w:tab w:val="right" w:pos="8505"/>
              <w:tab w:val="right" w:pos="9639"/>
            </w:tabs>
            <w:jc w:val="left"/>
            <w:rPr>
              <w:rFonts w:ascii="Arial" w:hAnsi="Arial" w:cs="Arial"/>
              <w:b/>
              <w:bCs/>
              <w:szCs w:val="18"/>
            </w:rPr>
          </w:pPr>
          <w:r w:rsidRPr="00BB41AD">
            <w:rPr>
              <w:bCs/>
              <w:color w:val="7F7F7F" w:themeColor="text1" w:themeTint="80"/>
            </w:rPr>
            <w:tab/>
            <w:t>C2</w:t>
          </w:r>
          <w:r w:rsidR="00F85E5C" w:rsidRPr="00BB41AD">
            <w:rPr>
              <w:bCs/>
              <w:color w:val="7F7F7F" w:themeColor="text1" w:themeTint="80"/>
            </w:rPr>
            <w:t>6</w:t>
          </w:r>
          <w:r w:rsidRPr="00BB41AD">
            <w:rPr>
              <w:bCs/>
              <w:color w:val="7F7F7F" w:themeColor="text1" w:themeTint="80"/>
            </w:rPr>
            <w:t>/</w:t>
          </w:r>
          <w:r w:rsidR="003120EC" w:rsidRPr="00BB41AD">
            <w:rPr>
              <w:bCs/>
              <w:color w:val="7F7F7F" w:themeColor="text1" w:themeTint="80"/>
            </w:rPr>
            <w:t>15</w:t>
          </w:r>
          <w:r w:rsidRPr="00BB41AD">
            <w:rPr>
              <w:bCs/>
              <w:color w:val="7F7F7F" w:themeColor="text1" w:themeTint="80"/>
            </w:rPr>
            <w:t>-</w:t>
          </w:r>
          <w:r w:rsidR="003273A4" w:rsidRPr="00BB41AD">
            <w:rPr>
              <w:bCs/>
              <w:color w:val="7F7F7F" w:themeColor="text1" w:themeTint="80"/>
            </w:rPr>
            <w:t>S</w:t>
          </w:r>
          <w:r w:rsidRPr="00BB41AD">
            <w:rPr>
              <w:bCs/>
              <w:color w:val="7F7F7F" w:themeColor="text1" w:themeTint="80"/>
            </w:rPr>
            <w:tab/>
          </w:r>
          <w:r w:rsidRPr="00BB41AD">
            <w:rPr>
              <w:color w:val="7F7F7F" w:themeColor="text1" w:themeTint="80"/>
            </w:rPr>
            <w:fldChar w:fldCharType="begin"/>
          </w:r>
          <w:r w:rsidRPr="00BB41AD">
            <w:rPr>
              <w:color w:val="7F7F7F" w:themeColor="text1" w:themeTint="80"/>
            </w:rPr>
            <w:instrText>PAGE</w:instrText>
          </w:r>
          <w:r w:rsidRPr="00BB41AD">
            <w:rPr>
              <w:color w:val="7F7F7F" w:themeColor="text1" w:themeTint="80"/>
            </w:rPr>
            <w:fldChar w:fldCharType="separate"/>
          </w:r>
          <w:r w:rsidRPr="00BB41AD">
            <w:rPr>
              <w:color w:val="7F7F7F" w:themeColor="text1" w:themeTint="80"/>
            </w:rPr>
            <w:t>1</w:t>
          </w:r>
          <w:r w:rsidRPr="00BB41AD">
            <w:rPr>
              <w:noProof/>
              <w:color w:val="7F7F7F" w:themeColor="text1" w:themeTint="80"/>
            </w:rPr>
            <w:fldChar w:fldCharType="end"/>
          </w:r>
        </w:p>
      </w:tc>
    </w:tr>
  </w:tbl>
  <w:p w14:paraId="5A45E212"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F6B6D" w14:textId="77777777" w:rsidR="003120EC" w:rsidRDefault="003120EC">
      <w:r>
        <w:t>____________________</w:t>
      </w:r>
    </w:p>
  </w:footnote>
  <w:footnote w:type="continuationSeparator" w:id="0">
    <w:p w14:paraId="7C2E690B" w14:textId="77777777" w:rsidR="003120EC" w:rsidRDefault="00312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0B4E" w14:textId="77777777" w:rsidR="001559F5" w:rsidRPr="00B1560D" w:rsidRDefault="00B1560D" w:rsidP="00B1560D">
    <w:pPr>
      <w:pStyle w:val="Header"/>
    </w:pPr>
    <w:r>
      <w:rPr>
        <w:noProof/>
      </w:rPr>
      <w:drawing>
        <wp:inline distT="0" distB="0" distL="0" distR="0" wp14:anchorId="4B0F0313" wp14:editId="19F5DA4E">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EC"/>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251644"/>
    <w:rsid w:val="00277DEA"/>
    <w:rsid w:val="002801AA"/>
    <w:rsid w:val="002946E2"/>
    <w:rsid w:val="002C3F32"/>
    <w:rsid w:val="002C4676"/>
    <w:rsid w:val="002C70B0"/>
    <w:rsid w:val="002F3CC4"/>
    <w:rsid w:val="003032E2"/>
    <w:rsid w:val="003120EC"/>
    <w:rsid w:val="0031300A"/>
    <w:rsid w:val="00314A0C"/>
    <w:rsid w:val="003273A4"/>
    <w:rsid w:val="0034796E"/>
    <w:rsid w:val="004571B0"/>
    <w:rsid w:val="00465C35"/>
    <w:rsid w:val="00473962"/>
    <w:rsid w:val="004B5D49"/>
    <w:rsid w:val="004D3A3C"/>
    <w:rsid w:val="0050087C"/>
    <w:rsid w:val="00513630"/>
    <w:rsid w:val="00560125"/>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952DF"/>
    <w:rsid w:val="006C1B56"/>
    <w:rsid w:val="006D3666"/>
    <w:rsid w:val="006D4761"/>
    <w:rsid w:val="00726872"/>
    <w:rsid w:val="007410AF"/>
    <w:rsid w:val="00760F1C"/>
    <w:rsid w:val="007657F0"/>
    <w:rsid w:val="0077110E"/>
    <w:rsid w:val="0077252D"/>
    <w:rsid w:val="007955DA"/>
    <w:rsid w:val="007E5DD3"/>
    <w:rsid w:val="007F350B"/>
    <w:rsid w:val="00820BE4"/>
    <w:rsid w:val="008451E8"/>
    <w:rsid w:val="0084546D"/>
    <w:rsid w:val="008F6ABC"/>
    <w:rsid w:val="00913B9C"/>
    <w:rsid w:val="00927F93"/>
    <w:rsid w:val="00943FAF"/>
    <w:rsid w:val="00944067"/>
    <w:rsid w:val="00956E77"/>
    <w:rsid w:val="009A338E"/>
    <w:rsid w:val="009A76A8"/>
    <w:rsid w:val="009D62AA"/>
    <w:rsid w:val="009F3FBA"/>
    <w:rsid w:val="009F4811"/>
    <w:rsid w:val="00A01F4F"/>
    <w:rsid w:val="00A109AF"/>
    <w:rsid w:val="00A14A0C"/>
    <w:rsid w:val="00A94438"/>
    <w:rsid w:val="00AA390C"/>
    <w:rsid w:val="00AD5A4D"/>
    <w:rsid w:val="00AF0EAC"/>
    <w:rsid w:val="00B0200A"/>
    <w:rsid w:val="00B060DF"/>
    <w:rsid w:val="00B1560D"/>
    <w:rsid w:val="00B574DB"/>
    <w:rsid w:val="00B826C2"/>
    <w:rsid w:val="00B8298E"/>
    <w:rsid w:val="00BB41AD"/>
    <w:rsid w:val="00BB6FD8"/>
    <w:rsid w:val="00BD0723"/>
    <w:rsid w:val="00BD2518"/>
    <w:rsid w:val="00BE31F8"/>
    <w:rsid w:val="00BF1D1C"/>
    <w:rsid w:val="00C20C59"/>
    <w:rsid w:val="00C2727F"/>
    <w:rsid w:val="00C4421B"/>
    <w:rsid w:val="00C538FC"/>
    <w:rsid w:val="00C55B1F"/>
    <w:rsid w:val="00CA2190"/>
    <w:rsid w:val="00CF1A67"/>
    <w:rsid w:val="00D2750E"/>
    <w:rsid w:val="00D375E0"/>
    <w:rsid w:val="00D50A36"/>
    <w:rsid w:val="00D523C1"/>
    <w:rsid w:val="00D62446"/>
    <w:rsid w:val="00DA4EA2"/>
    <w:rsid w:val="00DC3D3E"/>
    <w:rsid w:val="00DD3CD8"/>
    <w:rsid w:val="00DE2C90"/>
    <w:rsid w:val="00DE3B24"/>
    <w:rsid w:val="00DE7376"/>
    <w:rsid w:val="00E06947"/>
    <w:rsid w:val="00E11319"/>
    <w:rsid w:val="00E21444"/>
    <w:rsid w:val="00E34072"/>
    <w:rsid w:val="00E3592D"/>
    <w:rsid w:val="00E50D76"/>
    <w:rsid w:val="00E8018B"/>
    <w:rsid w:val="00E92DE8"/>
    <w:rsid w:val="00E960E9"/>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CA2E5"/>
  <w15:docId w15:val="{388F15C4-E9FA-4951-A5F8-ACD29A2F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BB41AD"/>
    <w:pPr>
      <w:framePr w:hSpace="181" w:wrap="around" w:vAnchor="page" w:hAnchor="page" w:x="1589" w:y="2314"/>
      <w:spacing w:before="840"/>
    </w:pPr>
    <w:rPr>
      <w:rFonts w:cstheme="minorHAnsi"/>
      <w:b/>
      <w:sz w:val="32"/>
      <w:szCs w:val="32"/>
      <w:lang w:val="es-ES_tradnl"/>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styleId="Signature">
    <w:name w:val="Signature"/>
    <w:basedOn w:val="Normal"/>
    <w:link w:val="SignatureChar"/>
    <w:unhideWhenUsed/>
    <w:rsid w:val="007410AF"/>
    <w:pPr>
      <w:tabs>
        <w:tab w:val="clear" w:pos="567"/>
        <w:tab w:val="clear" w:pos="1134"/>
        <w:tab w:val="clear" w:pos="1701"/>
        <w:tab w:val="clear" w:pos="2268"/>
        <w:tab w:val="clear" w:pos="2835"/>
        <w:tab w:val="center" w:pos="7371"/>
      </w:tabs>
      <w:spacing w:before="600"/>
    </w:pPr>
    <w:rPr>
      <w:rFonts w:eastAsia="Calibri"/>
      <w:lang w:val="es-ES_tradnl"/>
    </w:rPr>
  </w:style>
  <w:style w:type="character" w:customStyle="1" w:styleId="SignatureChar">
    <w:name w:val="Signature Char"/>
    <w:basedOn w:val="DefaultParagraphFont"/>
    <w:link w:val="Signature"/>
    <w:rsid w:val="007410AF"/>
    <w:rPr>
      <w:rFonts w:ascii="Calibri" w:eastAsia="Calibri" w:hAnsi="Calibri"/>
      <w:sz w:val="24"/>
      <w:lang w:val="es-ES_tradnl" w:eastAsia="en-US"/>
    </w:rPr>
  </w:style>
  <w:style w:type="paragraph" w:styleId="CommentText">
    <w:name w:val="annotation text"/>
    <w:basedOn w:val="Normal"/>
    <w:link w:val="CommentTextChar"/>
    <w:semiHidden/>
    <w:unhideWhenUsed/>
    <w:rsid w:val="003120EC"/>
    <w:rPr>
      <w:sz w:val="20"/>
      <w:lang w:val="en-GB"/>
    </w:rPr>
  </w:style>
  <w:style w:type="character" w:customStyle="1" w:styleId="CommentTextChar">
    <w:name w:val="Comment Text Char"/>
    <w:basedOn w:val="DefaultParagraphFont"/>
    <w:link w:val="CommentText"/>
    <w:semiHidden/>
    <w:rsid w:val="003120EC"/>
    <w:rPr>
      <w:rFonts w:ascii="Calibri" w:hAnsi="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cwg-cop/Pages/default.aspx" TargetMode="External"/><Relationship Id="rId13" Type="http://schemas.openxmlformats.org/officeDocument/2006/relationships/hyperlink" Target="https://www.itu.int/council/groups/wg-cop/first-meeting-march-2010/COP%20WG%20Doc%201-16%20Summary-1-WG-CP-revised%20draft-23-March-2010-final-revised-to%20be-published.doc"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tu.int/en/council/cwg-cop/Pages/default.aspx" TargetMode="External"/><Relationship Id="rId12" Type="http://schemas.openxmlformats.org/officeDocument/2006/relationships/hyperlink" Target="https://www.itu.int/en/council/Documents/basic-texts-2023/RES-179-E.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itu.int/en/council/Documents/basic-texts-2023/RES-179-E.pdf" TargetMode="External"/><Relationship Id="rId11" Type="http://schemas.openxmlformats.org/officeDocument/2006/relationships/hyperlink" Target="https://www.itu.int/md/meetingdoc.asp?lang=en&amp;parent=S09-CL-C-0108"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itu.int/en/council/cwg-cop/Pages/default.aspx" TargetMode="External"/><Relationship Id="rId4" Type="http://schemas.openxmlformats.org/officeDocument/2006/relationships/footnotes" Target="footnotes.xml"/><Relationship Id="rId9" Type="http://schemas.openxmlformats.org/officeDocument/2006/relationships/hyperlink" Target="https://www.itu.int/en/council/cwg-cop/Pages/default.aspx"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13</TotalTime>
  <Pages>6</Pages>
  <Words>2490</Words>
  <Characters>14753</Characters>
  <Application>Microsoft Office Word</Application>
  <DocSecurity>0</DocSecurity>
  <Lines>237</Lines>
  <Paragraphs>85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Informe sobre los resultados de las vigesimotercera y vigesimocuarta reuniones del Grupo de Trabajo del Consejo sobre protección de la infancia en línea</vt:lpstr>
    </vt:vector>
  </TitlesOfParts>
  <Manager>Secretaría General - Pool</Manager>
  <Company>International Telecommunication Union</Company>
  <LinksUpToDate>false</LinksUpToDate>
  <CharactersWithSpaces>17158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los resultados de las vigesimotercera y vigesimocuarta reuniones del Grupo de Trabajo del Consejo sobre protección de la infancia en línea</dc:title>
  <dc:subject>Consejo 2026 de la UIT</dc:subject>
  <cp:keywords>C26; C2026; Council 2026; PP26</cp:keywords>
  <dc:description/>
  <cp:lastPrinted>2006-03-24T09:51:00Z</cp:lastPrinted>
  <dcterms:created xsi:type="dcterms:W3CDTF">2026-03-20T14:01:00Z</dcterms:created>
  <dcterms:modified xsi:type="dcterms:W3CDTF">2026-03-20T14:17:00Z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