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9F319C" w14:paraId="3559127C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06034C5" w14:textId="1113C31D" w:rsidR="00796BD3" w:rsidRPr="009F319C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9F319C">
              <w:rPr>
                <w:b/>
                <w:lang w:val="ru-RU"/>
              </w:rPr>
              <w:t>Пункт повестки дня:</w:t>
            </w:r>
            <w:r w:rsidR="000B27C7" w:rsidRPr="009F319C">
              <w:rPr>
                <w:b/>
                <w:bCs/>
                <w:color w:val="000000"/>
                <w:lang w:val="ru-RU"/>
              </w:rPr>
              <w:t xml:space="preserve"> PL</w:t>
            </w:r>
            <w:r w:rsidR="00A3733A">
              <w:rPr>
                <w:b/>
                <w:bCs/>
                <w:color w:val="000000"/>
                <w:lang w:val="en-US"/>
              </w:rPr>
              <w:t xml:space="preserve"> </w:t>
            </w:r>
            <w:r w:rsidR="000B27C7" w:rsidRPr="009F319C"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245" w:type="dxa"/>
          </w:tcPr>
          <w:p w14:paraId="15D55CE2" w14:textId="1C878284" w:rsidR="00796BD3" w:rsidRPr="009F319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F319C">
              <w:rPr>
                <w:b/>
                <w:lang w:val="ru-RU"/>
              </w:rPr>
              <w:t xml:space="preserve">Документ </w:t>
            </w:r>
            <w:r w:rsidR="00796BD3" w:rsidRPr="009F319C">
              <w:rPr>
                <w:b/>
                <w:lang w:val="ru-RU"/>
              </w:rPr>
              <w:t>C2</w:t>
            </w:r>
            <w:r w:rsidR="00BE00DD" w:rsidRPr="009F319C">
              <w:rPr>
                <w:b/>
                <w:lang w:val="ru-RU"/>
              </w:rPr>
              <w:t>6</w:t>
            </w:r>
            <w:r w:rsidR="00796BD3" w:rsidRPr="009F319C">
              <w:rPr>
                <w:b/>
                <w:lang w:val="ru-RU"/>
              </w:rPr>
              <w:t>/</w:t>
            </w:r>
            <w:r w:rsidR="00EE1AE3" w:rsidRPr="009F319C">
              <w:rPr>
                <w:b/>
                <w:lang w:val="ru-RU"/>
              </w:rPr>
              <w:t>15</w:t>
            </w:r>
            <w:r w:rsidR="00796BD3" w:rsidRPr="009F319C">
              <w:rPr>
                <w:b/>
                <w:lang w:val="ru-RU"/>
              </w:rPr>
              <w:t>-R</w:t>
            </w:r>
          </w:p>
        </w:tc>
      </w:tr>
      <w:tr w:rsidR="00796BD3" w:rsidRPr="009F319C" w14:paraId="702D380F" w14:textId="77777777" w:rsidTr="00D17718">
        <w:trPr>
          <w:cantSplit/>
        </w:trPr>
        <w:tc>
          <w:tcPr>
            <w:tcW w:w="3969" w:type="dxa"/>
            <w:vMerge/>
          </w:tcPr>
          <w:p w14:paraId="3526E45B" w14:textId="77777777" w:rsidR="00796BD3" w:rsidRPr="009F319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0135193" w14:textId="7CDE4B08" w:rsidR="00796BD3" w:rsidRPr="009F319C" w:rsidRDefault="00EE1AE3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9F319C">
              <w:rPr>
                <w:b/>
                <w:bCs/>
                <w:color w:val="000000"/>
                <w:lang w:val="ru-RU"/>
              </w:rPr>
              <w:t>6</w:t>
            </w:r>
            <w:r w:rsidR="000B27C7" w:rsidRPr="009F319C">
              <w:rPr>
                <w:b/>
                <w:bCs/>
                <w:color w:val="000000"/>
                <w:lang w:val="ru-RU"/>
              </w:rPr>
              <w:t xml:space="preserve"> марта 2026 года</w:t>
            </w:r>
          </w:p>
        </w:tc>
      </w:tr>
      <w:tr w:rsidR="00796BD3" w:rsidRPr="009F319C" w14:paraId="0113368A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1CC987B" w14:textId="77777777" w:rsidR="00796BD3" w:rsidRPr="009F319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1025210" w14:textId="77777777" w:rsidR="00796BD3" w:rsidRPr="009F319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F319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9F319C" w14:paraId="17D86C91" w14:textId="77777777" w:rsidTr="00D17718">
        <w:trPr>
          <w:cantSplit/>
          <w:trHeight w:val="23"/>
        </w:trPr>
        <w:tc>
          <w:tcPr>
            <w:tcW w:w="3969" w:type="dxa"/>
          </w:tcPr>
          <w:p w14:paraId="591FF006" w14:textId="77777777" w:rsidR="00796BD3" w:rsidRPr="009F319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947F03F" w14:textId="77777777" w:rsidR="00796BD3" w:rsidRPr="009F319C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9F319C" w14:paraId="2A320D9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4C9BBAF" w14:textId="60034693" w:rsidR="00796BD3" w:rsidRPr="009F319C" w:rsidRDefault="00EE1AE3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9F319C">
              <w:t>Отчет Председателя РГС-COP</w:t>
            </w:r>
          </w:p>
        </w:tc>
      </w:tr>
      <w:tr w:rsidR="00796BD3" w:rsidRPr="004027FE" w14:paraId="70F255CE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D3FBAE9" w14:textId="1DBE37D5" w:rsidR="00796BD3" w:rsidRPr="009F319C" w:rsidRDefault="00EE1AE3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9F319C">
              <w:rPr>
                <w:sz w:val="32"/>
                <w:szCs w:val="28"/>
              </w:rPr>
              <w:t>ОТЧЕТ ОБ ИТОГАХ ДВАДЦАТЬ ТРЕТЬЕГО И ДВАДЦАТЬ ЧЕТВЕРТОГО СОБРАНИЙ РАБОЧЕЙ ГРУППЫ СОВЕТА ПО ЗАЩИТЕ РЕБЕНКА В</w:t>
            </w:r>
            <w:r w:rsidR="00AC5C61">
              <w:rPr>
                <w:sz w:val="32"/>
                <w:szCs w:val="28"/>
                <w:lang w:val="en-US"/>
              </w:rPr>
              <w:t> </w:t>
            </w:r>
            <w:r w:rsidRPr="009F319C">
              <w:rPr>
                <w:sz w:val="32"/>
                <w:szCs w:val="28"/>
              </w:rPr>
              <w:t>ОНЛАЙНОВОЙ СРЕДЕ</w:t>
            </w:r>
          </w:p>
        </w:tc>
      </w:tr>
      <w:tr w:rsidR="00796BD3" w:rsidRPr="004027FE" w14:paraId="72DD327E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BD2C5E3" w14:textId="77777777" w:rsidR="00796BD3" w:rsidRPr="009F319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F319C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7FFE474A" w14:textId="145E6F8F" w:rsidR="00796BD3" w:rsidRPr="009F319C" w:rsidRDefault="00EE1AE3" w:rsidP="00D17718">
            <w:pPr>
              <w:rPr>
                <w:lang w:val="ru-RU"/>
              </w:rPr>
            </w:pPr>
            <w:r w:rsidRPr="009F319C">
              <w:rPr>
                <w:lang w:val="ru-RU"/>
              </w:rPr>
              <w:t>В настоящем отчете в кратком виде представлены основные результаты двадцать третьего и двадцать четвертого собраний Рабочей группы Совета по защите ребенка в онлайновой среде (РГС-COP), состоявшихся 16 сентября 2025 года и 19 января 2026 года, соответственно, в рамках работы Группы после сессии Совета 2025 года.</w:t>
            </w:r>
          </w:p>
          <w:p w14:paraId="5901DA11" w14:textId="77777777" w:rsidR="00796BD3" w:rsidRPr="009F319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F319C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717A581" w14:textId="31ACEE73" w:rsidR="00796BD3" w:rsidRPr="009F319C" w:rsidRDefault="00EE1AE3" w:rsidP="00D17718">
            <w:pPr>
              <w:rPr>
                <w:lang w:val="ru-RU"/>
              </w:rPr>
            </w:pPr>
            <w:r w:rsidRPr="009F319C">
              <w:rPr>
                <w:lang w:val="ru-RU"/>
              </w:rPr>
              <w:t xml:space="preserve">Совету предлагается </w:t>
            </w:r>
            <w:r w:rsidRPr="009F319C">
              <w:rPr>
                <w:b/>
                <w:bCs/>
                <w:lang w:val="ru-RU"/>
              </w:rPr>
              <w:t>принять к сведению</w:t>
            </w:r>
            <w:r w:rsidRPr="009F319C">
              <w:rPr>
                <w:lang w:val="ru-RU"/>
              </w:rPr>
              <w:t xml:space="preserve"> настоящий отчет.</w:t>
            </w:r>
          </w:p>
          <w:p w14:paraId="21350BD9" w14:textId="77777777" w:rsidR="00796BD3" w:rsidRPr="009F319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F319C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0B145056" w14:textId="626E9C88" w:rsidR="00796BD3" w:rsidRPr="009F319C" w:rsidRDefault="00EE1AE3" w:rsidP="00D17718">
            <w:pPr>
              <w:rPr>
                <w:lang w:val="ru-RU"/>
              </w:rPr>
            </w:pPr>
            <w:r w:rsidRPr="009F319C">
              <w:rPr>
                <w:lang w:val="ru-RU"/>
              </w:rPr>
              <w:t>Устойчивая цифровая трансформация: содействие справедливому и открытому для всех использованию электросвязи/ИКТ с целью расширения возможностей людей и общества для устойчивого развития</w:t>
            </w:r>
            <w:r w:rsidR="000B27C7" w:rsidRPr="009F319C">
              <w:rPr>
                <w:lang w:val="ru-RU"/>
              </w:rPr>
              <w:t>.</w:t>
            </w:r>
          </w:p>
          <w:p w14:paraId="255AB82E" w14:textId="77777777" w:rsidR="00796BD3" w:rsidRPr="009F319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F319C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24587462" w14:textId="20C99151" w:rsidR="00345D2A" w:rsidRPr="009F319C" w:rsidRDefault="000B27C7" w:rsidP="00A3733A">
            <w:pPr>
              <w:rPr>
                <w:szCs w:val="22"/>
                <w:lang w:val="ru-RU"/>
              </w:rPr>
            </w:pPr>
            <w:r w:rsidRPr="009F319C">
              <w:rPr>
                <w:szCs w:val="22"/>
                <w:lang w:val="ru-RU"/>
              </w:rPr>
              <w:t xml:space="preserve">В рамках </w:t>
            </w:r>
            <w:r w:rsidRPr="00A3733A">
              <w:rPr>
                <w:lang w:val="ru-RU"/>
              </w:rPr>
              <w:t>выделенного</w:t>
            </w:r>
            <w:r w:rsidRPr="009F319C">
              <w:rPr>
                <w:szCs w:val="22"/>
                <w:lang w:val="ru-RU"/>
              </w:rPr>
              <w:t xml:space="preserve"> бюджета на 202</w:t>
            </w:r>
            <w:r w:rsidR="00EE1AE3" w:rsidRPr="009F319C">
              <w:rPr>
                <w:szCs w:val="22"/>
                <w:lang w:val="ru-RU"/>
              </w:rPr>
              <w:t>5</w:t>
            </w:r>
            <w:r w:rsidRPr="009F319C">
              <w:rPr>
                <w:szCs w:val="22"/>
                <w:lang w:val="ru-RU"/>
              </w:rPr>
              <w:t>–202</w:t>
            </w:r>
            <w:r w:rsidR="00EE1AE3" w:rsidRPr="009F319C">
              <w:rPr>
                <w:szCs w:val="22"/>
                <w:lang w:val="ru-RU"/>
              </w:rPr>
              <w:t>6</w:t>
            </w:r>
            <w:r w:rsidRPr="009F319C">
              <w:rPr>
                <w:szCs w:val="22"/>
                <w:lang w:val="ru-RU"/>
              </w:rPr>
              <w:t xml:space="preserve"> годы.</w:t>
            </w:r>
          </w:p>
          <w:p w14:paraId="7075ABDD" w14:textId="77777777" w:rsidR="00796BD3" w:rsidRPr="009F319C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9F319C">
              <w:rPr>
                <w:sz w:val="20"/>
                <w:szCs w:val="18"/>
                <w:lang w:val="ru-RU"/>
              </w:rPr>
              <w:t>__________________</w:t>
            </w:r>
          </w:p>
          <w:p w14:paraId="6D4F3C70" w14:textId="77777777" w:rsidR="00796BD3" w:rsidRPr="009F319C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9F319C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3CE77F8" w14:textId="7695C3D4" w:rsidR="00796BD3" w:rsidRPr="009F319C" w:rsidRDefault="00EE1AE3" w:rsidP="00EE1AE3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9F319C">
                <w:rPr>
                  <w:rStyle w:val="Hyperlink"/>
                  <w:i/>
                  <w:iCs/>
                  <w:lang w:val="ru-RU"/>
                </w:rPr>
                <w:t>Резолюция 179</w:t>
              </w:r>
            </w:hyperlink>
            <w:r w:rsidRPr="009F319C">
              <w:rPr>
                <w:i/>
                <w:iCs/>
                <w:color w:val="000000"/>
                <w:lang w:val="ru-RU"/>
              </w:rPr>
              <w:t xml:space="preserve"> (Пересм. Бухарест, 2022 г.) Полномочной конференции; </w:t>
            </w:r>
            <w:hyperlink r:id="rId8" w:anchor="/ru" w:history="1">
              <w:r w:rsidRPr="009F319C">
                <w:rPr>
                  <w:rStyle w:val="Hyperlink"/>
                  <w:i/>
                  <w:iCs/>
                  <w:lang w:val="ru-RU"/>
                </w:rPr>
                <w:t>веб-сайт РГС-COP</w:t>
              </w:r>
            </w:hyperlink>
            <w:r w:rsidRPr="009F319C">
              <w:rPr>
                <w:i/>
                <w:iCs/>
                <w:color w:val="000000"/>
                <w:lang w:val="ru-RU"/>
              </w:rPr>
              <w:t xml:space="preserve"> и краткие отчеты о </w:t>
            </w:r>
            <w:hyperlink r:id="rId9" w:anchor="/ru" w:history="1">
              <w:r w:rsidRPr="009F319C">
                <w:rPr>
                  <w:rStyle w:val="Hyperlink"/>
                  <w:i/>
                  <w:iCs/>
                  <w:lang w:val="ru-RU"/>
                </w:rPr>
                <w:t>двадцать третьем</w:t>
              </w:r>
            </w:hyperlink>
            <w:r w:rsidRPr="009F319C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10" w:anchor="/ru" w:history="1">
              <w:r w:rsidRPr="009F319C">
                <w:rPr>
                  <w:rStyle w:val="Hyperlink"/>
                  <w:i/>
                  <w:iCs/>
                  <w:lang w:val="ru-RU"/>
                </w:rPr>
                <w:t>двадцать четвертом</w:t>
              </w:r>
            </w:hyperlink>
            <w:r w:rsidRPr="009F319C">
              <w:rPr>
                <w:i/>
                <w:iCs/>
                <w:color w:val="000000"/>
                <w:lang w:val="ru-RU"/>
              </w:rPr>
              <w:t xml:space="preserve"> собраниях.</w:t>
            </w:r>
          </w:p>
        </w:tc>
      </w:tr>
      <w:bookmarkEnd w:id="2"/>
      <w:bookmarkEnd w:id="6"/>
    </w:tbl>
    <w:p w14:paraId="2AE6FDF7" w14:textId="77777777" w:rsidR="00796BD3" w:rsidRPr="009F319C" w:rsidRDefault="00796BD3" w:rsidP="00796BD3">
      <w:pPr>
        <w:rPr>
          <w:lang w:val="ru-RU"/>
        </w:rPr>
      </w:pPr>
    </w:p>
    <w:p w14:paraId="7AA9BFAC" w14:textId="77777777" w:rsidR="00D17718" w:rsidRPr="009F319C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5D2B2C9C" w14:textId="77777777" w:rsidR="00165D06" w:rsidRPr="009F319C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9F319C">
        <w:rPr>
          <w:lang w:val="ru-RU"/>
        </w:rPr>
        <w:br w:type="page"/>
      </w:r>
    </w:p>
    <w:p w14:paraId="3DE0ED32" w14:textId="77777777" w:rsidR="000B27C7" w:rsidRPr="009F319C" w:rsidRDefault="000B27C7" w:rsidP="00CB136A">
      <w:pPr>
        <w:pStyle w:val="Heading1"/>
        <w:rPr>
          <w:rFonts w:eastAsia="Calibri"/>
          <w:lang w:val="ru-RU"/>
        </w:rPr>
      </w:pPr>
      <w:r w:rsidRPr="009F319C">
        <w:rPr>
          <w:lang w:val="ru-RU"/>
        </w:rPr>
        <w:lastRenderedPageBreak/>
        <w:t>1</w:t>
      </w:r>
      <w:r w:rsidRPr="009F319C">
        <w:rPr>
          <w:lang w:val="ru-RU"/>
        </w:rPr>
        <w:tab/>
        <w:t>Введение</w:t>
      </w:r>
    </w:p>
    <w:p w14:paraId="4077A760" w14:textId="4DD4ACF8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1.1</w:t>
      </w:r>
      <w:r w:rsidRPr="009F319C">
        <w:rPr>
          <w:lang w:val="ru-RU"/>
        </w:rPr>
        <w:tab/>
      </w:r>
      <w:hyperlink r:id="rId11" w:anchor="/ru" w:history="1">
        <w:r w:rsidRPr="00AC5C61">
          <w:rPr>
            <w:rStyle w:val="Hyperlink"/>
            <w:lang w:val="ru-RU"/>
          </w:rPr>
          <w:t>Рабочая группа Совета МСЭ по защите ребенка в онлайновой среде</w:t>
        </w:r>
      </w:hyperlink>
      <w:r w:rsidRPr="009F319C">
        <w:rPr>
          <w:lang w:val="ru-RU"/>
        </w:rPr>
        <w:t xml:space="preserve"> (РГС-COP) была создана </w:t>
      </w:r>
      <w:hyperlink r:id="rId12" w:history="1">
        <w:r w:rsidRPr="00AC5C61">
          <w:rPr>
            <w:rStyle w:val="Hyperlink"/>
            <w:lang w:val="ru-RU"/>
          </w:rPr>
          <w:t>Резолюцией 1306</w:t>
        </w:r>
      </w:hyperlink>
      <w:r w:rsidRPr="009F319C">
        <w:rPr>
          <w:lang w:val="ru-RU"/>
        </w:rPr>
        <w:t xml:space="preserve"> (Изм. 2015 г.) Совета в соответствии с </w:t>
      </w:r>
      <w:hyperlink r:id="rId13" w:history="1">
        <w:r w:rsidRPr="00AC5C61">
          <w:rPr>
            <w:rStyle w:val="Hyperlink"/>
            <w:lang w:val="ru-RU"/>
          </w:rPr>
          <w:t>Резолюцией 179</w:t>
        </w:r>
      </w:hyperlink>
      <w:r w:rsidRPr="009F319C">
        <w:rPr>
          <w:lang w:val="ru-RU"/>
        </w:rPr>
        <w:t xml:space="preserve"> (Пересм. Бухарест, 2022 г.) Полномочной конференции МСЭ. РГС-COP открыта для всех соответствующих заинтересованных сторон.</w:t>
      </w:r>
    </w:p>
    <w:p w14:paraId="495CD236" w14:textId="1A7FAFE7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1.2</w:t>
      </w:r>
      <w:r w:rsidRPr="009F319C">
        <w:rPr>
          <w:lang w:val="ru-RU"/>
        </w:rPr>
        <w:tab/>
        <w:t xml:space="preserve">Круг ведения РГС-COP изложен в </w:t>
      </w:r>
      <w:hyperlink r:id="rId14" w:history="1">
        <w:r w:rsidRPr="00D64FF9">
          <w:rPr>
            <w:rStyle w:val="Hyperlink"/>
            <w:lang w:val="ru-RU"/>
          </w:rPr>
          <w:t>Приложении 1 к итоговому документу 1-го собрания</w:t>
        </w:r>
      </w:hyperlink>
      <w:r w:rsidRPr="009F319C">
        <w:rPr>
          <w:lang w:val="ru-RU"/>
        </w:rPr>
        <w:t>.</w:t>
      </w:r>
    </w:p>
    <w:p w14:paraId="08F92E46" w14:textId="77777777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1.3</w:t>
      </w:r>
      <w:r w:rsidRPr="009F319C">
        <w:rPr>
          <w:lang w:val="ru-RU"/>
        </w:rPr>
        <w:tab/>
        <w:t>В Резолюции 179 (Пересм. Бухарест, 2022 г.) Полномочная конференция просила Совет:</w:t>
      </w:r>
    </w:p>
    <w:p w14:paraId="5A70DFF0" w14:textId="2964132E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  <w:t>продолжать работу РГС-COP для содействия представлению членами Союза вкладов и</w:t>
      </w:r>
      <w:r w:rsidR="00F37FEE">
        <w:rPr>
          <w:lang w:val="en-US"/>
        </w:rPr>
        <w:t> </w:t>
      </w:r>
      <w:r w:rsidRPr="009F319C">
        <w:rPr>
          <w:lang w:val="ru-RU"/>
        </w:rPr>
        <w:t>предоставления им руководства, касающихся роли МСЭ в защите ребенка в</w:t>
      </w:r>
      <w:r w:rsidR="00F37FEE">
        <w:rPr>
          <w:lang w:val="en-US"/>
        </w:rPr>
        <w:t> </w:t>
      </w:r>
      <w:r w:rsidRPr="009F319C">
        <w:rPr>
          <w:lang w:val="ru-RU"/>
        </w:rPr>
        <w:t>онлайновой среде, а также выступать в качестве платформы для обсуждений и обмена передовыми практическими методами;</w:t>
      </w:r>
    </w:p>
    <w:p w14:paraId="374BCFFB" w14:textId="77777777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  <w:t>способствовать тому, чтобы все соответствующие заинтересованные стороны вносили вклад в работу РГС-COP и участвовали в ней с целью обеспечения максимального сотрудничества при выполнении настоящей Резолюции;</w:t>
      </w:r>
    </w:p>
    <w:p w14:paraId="7276A932" w14:textId="47D560D3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  <w:t>настоятельно рекомендовать РГС-COP в надлежащих случаях взаимодействовать с</w:t>
      </w:r>
      <w:r w:rsidR="00F37FEE">
        <w:rPr>
          <w:lang w:val="en-US"/>
        </w:rPr>
        <w:t> </w:t>
      </w:r>
      <w:r w:rsidRPr="009F319C">
        <w:rPr>
          <w:lang w:val="ru-RU"/>
        </w:rPr>
        <w:t>Рабочей группой Совета по вопросам международной государственной политики, касающимся интернета (РГС</w:t>
      </w:r>
      <w:r w:rsidRPr="009F319C">
        <w:rPr>
          <w:rFonts w:ascii="Cambria Math" w:hAnsi="Cambria Math" w:cs="Cambria Math"/>
          <w:lang w:val="ru-RU"/>
        </w:rPr>
        <w:t>‑</w:t>
      </w:r>
      <w:r w:rsidRPr="009F319C">
        <w:rPr>
          <w:rFonts w:cs="Calibri"/>
          <w:lang w:val="ru-RU"/>
        </w:rPr>
        <w:t>Интернет</w:t>
      </w:r>
      <w:r w:rsidRPr="009F319C">
        <w:rPr>
          <w:lang w:val="ru-RU"/>
        </w:rPr>
        <w:t xml:space="preserve">), </w:t>
      </w:r>
      <w:r w:rsidRPr="009F319C">
        <w:rPr>
          <w:rFonts w:cs="Calibri"/>
          <w:lang w:val="ru-RU"/>
        </w:rPr>
        <w:t>в</w:t>
      </w:r>
      <w:r w:rsidRPr="009F319C">
        <w:rPr>
          <w:lang w:val="ru-RU"/>
        </w:rPr>
        <w:t xml:space="preserve"> </w:t>
      </w:r>
      <w:r w:rsidRPr="009F319C">
        <w:rPr>
          <w:rFonts w:cs="Calibri"/>
          <w:lang w:val="ru-RU"/>
        </w:rPr>
        <w:t>целях</w:t>
      </w:r>
      <w:r w:rsidRPr="009F319C">
        <w:rPr>
          <w:lang w:val="ru-RU"/>
        </w:rPr>
        <w:t xml:space="preserve"> </w:t>
      </w:r>
      <w:r w:rsidRPr="009F319C">
        <w:rPr>
          <w:rFonts w:cs="Calibri"/>
          <w:lang w:val="ru-RU"/>
        </w:rPr>
        <w:t>взаимовыгодного</w:t>
      </w:r>
      <w:r w:rsidRPr="009F319C">
        <w:rPr>
          <w:lang w:val="ru-RU"/>
        </w:rPr>
        <w:t xml:space="preserve"> </w:t>
      </w:r>
      <w:r w:rsidRPr="009F319C">
        <w:rPr>
          <w:rFonts w:cs="Calibri"/>
          <w:lang w:val="ru-RU"/>
        </w:rPr>
        <w:t>содействия</w:t>
      </w:r>
      <w:r w:rsidRPr="009F319C">
        <w:rPr>
          <w:lang w:val="ru-RU"/>
        </w:rPr>
        <w:t xml:space="preserve"> </w:t>
      </w:r>
      <w:r w:rsidRPr="009F319C">
        <w:rPr>
          <w:rFonts w:cs="Calibri"/>
          <w:lang w:val="ru-RU"/>
        </w:rPr>
        <w:t>в</w:t>
      </w:r>
      <w:r w:rsidRPr="009F319C">
        <w:rPr>
          <w:lang w:val="ru-RU"/>
        </w:rPr>
        <w:t xml:space="preserve"> </w:t>
      </w:r>
      <w:r w:rsidRPr="009F319C">
        <w:rPr>
          <w:rFonts w:cs="Calibri"/>
          <w:lang w:val="ru-RU"/>
        </w:rPr>
        <w:t>выполнении</w:t>
      </w:r>
      <w:r w:rsidRPr="009F319C">
        <w:rPr>
          <w:lang w:val="ru-RU"/>
        </w:rPr>
        <w:t xml:space="preserve"> </w:t>
      </w:r>
      <w:r w:rsidRPr="009F319C">
        <w:rPr>
          <w:rFonts w:cs="Calibri"/>
          <w:lang w:val="ru-RU"/>
        </w:rPr>
        <w:t>работ</w:t>
      </w:r>
      <w:r w:rsidRPr="009F319C">
        <w:rPr>
          <w:lang w:val="ru-RU"/>
        </w:rPr>
        <w:t xml:space="preserve">, </w:t>
      </w:r>
      <w:r w:rsidRPr="009F319C">
        <w:rPr>
          <w:rFonts w:cs="Calibri"/>
          <w:lang w:val="ru-RU"/>
        </w:rPr>
        <w:t>определенны</w:t>
      </w:r>
      <w:r w:rsidRPr="009F319C">
        <w:rPr>
          <w:lang w:val="ru-RU"/>
        </w:rPr>
        <w:t>х мандатами этих рабочих групп Совета, по</w:t>
      </w:r>
      <w:r w:rsidR="00F37FEE">
        <w:rPr>
          <w:lang w:val="en-US"/>
        </w:rPr>
        <w:t> </w:t>
      </w:r>
      <w:r w:rsidRPr="009F319C">
        <w:rPr>
          <w:lang w:val="ru-RU"/>
        </w:rPr>
        <w:t>соответствующим вопросам;</w:t>
      </w:r>
    </w:p>
    <w:p w14:paraId="4D45DB46" w14:textId="384AAE7C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  <w:t>настоятельно рекомендовать РГС-COP поддерживать связь со</w:t>
      </w:r>
      <w:r w:rsidR="00F37FEE">
        <w:rPr>
          <w:lang w:val="en-US"/>
        </w:rPr>
        <w:t> </w:t>
      </w:r>
      <w:r w:rsidRPr="009F319C">
        <w:rPr>
          <w:lang w:val="ru-RU"/>
        </w:rPr>
        <w:t>2</w:t>
      </w:r>
      <w:r w:rsidR="00F37FEE">
        <w:rPr>
          <w:lang w:val="ru-RU"/>
        </w:rPr>
        <w:noBreakHyphen/>
      </w:r>
      <w:r w:rsidRPr="009F319C">
        <w:rPr>
          <w:lang w:val="ru-RU"/>
        </w:rPr>
        <w:t>й</w:t>
      </w:r>
      <w:r w:rsidR="00F37FEE">
        <w:rPr>
          <w:lang w:val="en-US"/>
        </w:rPr>
        <w:t> </w:t>
      </w:r>
      <w:r w:rsidRPr="009F319C">
        <w:rPr>
          <w:lang w:val="ru-RU"/>
        </w:rPr>
        <w:t>Исследовательской комиссией МСЭ-D, передавая ей результаты своих собраний, для внесения вклада в</w:t>
      </w:r>
      <w:r w:rsidR="00F37FEE">
        <w:rPr>
          <w:lang w:val="en-US"/>
        </w:rPr>
        <w:t> </w:t>
      </w:r>
      <w:r w:rsidRPr="009F319C">
        <w:rPr>
          <w:lang w:val="ru-RU"/>
        </w:rPr>
        <w:t>обсуждение соответствующего исследуемого Вопроса;</w:t>
      </w:r>
    </w:p>
    <w:p w14:paraId="0BF9ECDE" w14:textId="77777777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  <w:t>настоятельно рекомендовать РГС-COP проводить с молодежью онлайновые консультации до и в ходе собрания группы, с тем чтобы выслушивать их точки зрения и мнения по различным вопросам, связанным с защитой ребенка в онлайновой среде;</w:t>
      </w:r>
    </w:p>
    <w:p w14:paraId="366948AF" w14:textId="0E00AB5C" w:rsidR="000B27C7" w:rsidRPr="009F319C" w:rsidRDefault="00107FBF" w:rsidP="00881BEA">
      <w:pPr>
        <w:pStyle w:val="enumlev1"/>
        <w:jc w:val="both"/>
        <w:rPr>
          <w:rFonts w:eastAsia="Calibri"/>
          <w:kern w:val="2"/>
          <w:lang w:val="ru-RU"/>
          <w14:ligatures w14:val="standardContextual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  <w:t>продолжать обеспечивать, чтобы все итоговые документы, связанные с защитой ребенка в онлайновой среде, были общедоступными и не были защищены паролем.</w:t>
      </w:r>
      <w:hyperlink r:id="rId15" w:history="1"/>
    </w:p>
    <w:p w14:paraId="00163BF1" w14:textId="329693D5" w:rsidR="000B27C7" w:rsidRPr="009F319C" w:rsidRDefault="000B27C7" w:rsidP="00CB136A">
      <w:pPr>
        <w:pStyle w:val="Heading1"/>
        <w:rPr>
          <w:rFonts w:eastAsia="Calibri"/>
          <w:lang w:val="ru-RU"/>
        </w:rPr>
      </w:pPr>
      <w:r w:rsidRPr="009F319C">
        <w:rPr>
          <w:lang w:val="ru-RU"/>
        </w:rPr>
        <w:t>2</w:t>
      </w:r>
      <w:r w:rsidRPr="009F319C">
        <w:rPr>
          <w:lang w:val="ru-RU"/>
        </w:rPr>
        <w:tab/>
      </w:r>
      <w:r w:rsidR="00107FBF" w:rsidRPr="009F319C">
        <w:rPr>
          <w:lang w:val="ru-RU"/>
        </w:rPr>
        <w:t>Деятельность РГС-СОР</w:t>
      </w:r>
    </w:p>
    <w:p w14:paraId="0DFE65A3" w14:textId="77777777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2.1</w:t>
      </w:r>
      <w:r w:rsidRPr="009F319C">
        <w:rPr>
          <w:lang w:val="ru-RU"/>
        </w:rPr>
        <w:tab/>
        <w:t>В настоящем документе содержится подготовленный Председателем краткий обзор деятельности и решений двадцать третьего и двадцать четвертого собраний Рабочей группы Совета по защите ребенка в онлайновой среде (РГС-COP), состоявшихся 16 сентября 2025 года и 19 января 2026 года, соответственно, в рамках работы Группы после сессии Совета 2025 года.</w:t>
      </w:r>
    </w:p>
    <w:p w14:paraId="738DD163" w14:textId="22F82817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В течение этого периода работа Группы была сосредоточена на следующих вопросах:</w:t>
      </w:r>
    </w:p>
    <w:p w14:paraId="22A6C57E" w14:textId="7B10B5BE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a)</w:t>
      </w:r>
      <w:r w:rsidRPr="009F319C">
        <w:rPr>
          <w:lang w:val="ru-RU"/>
        </w:rPr>
        <w:tab/>
        <w:t>активизация стратегических дискуссий по защите ребенка в онлайновой среде в контексте появляющихся технологий, в частности искусственного интеллекта;</w:t>
      </w:r>
    </w:p>
    <w:p w14:paraId="72F3366E" w14:textId="4B1941A5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b)</w:t>
      </w:r>
      <w:r w:rsidRPr="009F319C">
        <w:rPr>
          <w:lang w:val="ru-RU"/>
        </w:rPr>
        <w:tab/>
        <w:t>освещение национальных, региональных и отраслевых инициатив, направленных на</w:t>
      </w:r>
      <w:r w:rsidR="00F37FEE">
        <w:rPr>
          <w:lang w:val="en-US"/>
        </w:rPr>
        <w:t> </w:t>
      </w:r>
      <w:r w:rsidRPr="009F319C">
        <w:rPr>
          <w:lang w:val="ru-RU"/>
        </w:rPr>
        <w:t>устранение рисков и расширение возможностей безопасности ребенка в онлайновой среде;</w:t>
      </w:r>
    </w:p>
    <w:p w14:paraId="777C1AFC" w14:textId="77777777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c)</w:t>
      </w:r>
      <w:r w:rsidRPr="009F319C">
        <w:rPr>
          <w:lang w:val="ru-RU"/>
        </w:rPr>
        <w:tab/>
        <w:t>усиление координации между политическими, оперативными и техническими усилиями в области стандартизации в рамках МСЭ;</w:t>
      </w:r>
    </w:p>
    <w:p w14:paraId="6F242DA8" w14:textId="77777777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d)</w:t>
      </w:r>
      <w:r w:rsidRPr="009F319C">
        <w:rPr>
          <w:lang w:val="ru-RU"/>
        </w:rPr>
        <w:tab/>
        <w:t>содействие участию многих заинтересованных сторон, в том числе отрасли, гражданского общества и международных организаций; и</w:t>
      </w:r>
    </w:p>
    <w:p w14:paraId="59F86676" w14:textId="77777777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e)</w:t>
      </w:r>
      <w:r w:rsidRPr="009F319C">
        <w:rPr>
          <w:lang w:val="ru-RU"/>
        </w:rPr>
        <w:tab/>
        <w:t>повышение прозрачности, расширение обмена информацией и укрепление сотрудничества между членами и партнерами РГС-СОР.</w:t>
      </w:r>
    </w:p>
    <w:p w14:paraId="297FB461" w14:textId="792B8FC7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lastRenderedPageBreak/>
        <w:t>2.2</w:t>
      </w:r>
      <w:r w:rsidRPr="009F319C">
        <w:rPr>
          <w:lang w:val="ru-RU"/>
        </w:rPr>
        <w:tab/>
        <w:t>В ходе обоих собраний РГС-COP обеспечивала платформу для обмена национальным опытом, передовой практикой и политическими подходами, связанными с защитой ребенка в</w:t>
      </w:r>
      <w:r w:rsidR="00F37FEE">
        <w:rPr>
          <w:lang w:val="en-US"/>
        </w:rPr>
        <w:t> </w:t>
      </w:r>
      <w:r w:rsidRPr="009F319C">
        <w:rPr>
          <w:lang w:val="ru-RU"/>
        </w:rPr>
        <w:t>онлайновой среде. Государства-Члены и партнеры представили инициативы, направленные на решение таких вопросов, как сексуальные злоупотребления в отношении детей и их сексуальная эксплуатация в онлайновой среде, проведение чрезмерно длительного временем перед экраном, цифровая грамотность, расширение прав и возможностей родителей, защита данных, а также новые риски, связанные с искусственным интеллектом и алгоритмическими системами. На собраниях была подчеркнута важность общегосударственных и многосторонних подходов, сочетающих в себе повышение осведомленности, регуляторные меры, технические решения, создание потенциала и международное сотрудничество.</w:t>
      </w:r>
    </w:p>
    <w:p w14:paraId="2337BC37" w14:textId="77777777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Особое внимание было уделено оперативным механизмам, таким как национальные горячие линии, системы отчетности, мероприятия на базе школ и инструменты родительского контроля, а также необходимость разработки политики на основе фактических данных и исследований.</w:t>
      </w:r>
    </w:p>
    <w:p w14:paraId="2C3C4EB1" w14:textId="7EEE79E9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2.3</w:t>
      </w:r>
      <w:r w:rsidRPr="009F319C">
        <w:rPr>
          <w:lang w:val="ru-RU"/>
        </w:rPr>
        <w:tab/>
        <w:t>В ходе обсуждений за отчетный период особое внимание уделялось последствиям искусственного интеллекта для защиты ребенка в онлайновой среде. Во вкладах рассматривались риски, связанные с ИИ, включая создание контента, автоматизированную модерацию, диалоговые системы и взаимодействие на основе алгоритмов, а также освещались возможности включения в цифровые услуги методов обеспечения безопасности на</w:t>
      </w:r>
      <w:r w:rsidR="009F319C">
        <w:rPr>
          <w:lang w:val="en-US"/>
        </w:rPr>
        <w:t> </w:t>
      </w:r>
      <w:r w:rsidRPr="009F319C">
        <w:rPr>
          <w:lang w:val="ru-RU"/>
        </w:rPr>
        <w:t>этапе проектирования и мер защиты, ориентированных на ребенка.</w:t>
      </w:r>
    </w:p>
    <w:p w14:paraId="20A3A56F" w14:textId="3ABCEBC4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Секретариат представил обновленную информацию об основных глобальных инициативах, начатых в этот период, в том числе о Совместном заявлении об искусственном интеллекте и правах ребенка и принципах инициативы "Защита через онлайновое участие" (PoP), а также о</w:t>
      </w:r>
      <w:r w:rsidR="009F319C">
        <w:rPr>
          <w:lang w:val="en-US"/>
        </w:rPr>
        <w:t> </w:t>
      </w:r>
      <w:r w:rsidRPr="009F319C">
        <w:rPr>
          <w:lang w:val="ru-RU"/>
        </w:rPr>
        <w:t>ведущемся диалоге с отраслью в рамках серии мероприятий "Связь МСЭ с отраслью".</w:t>
      </w:r>
    </w:p>
    <w:p w14:paraId="410E5197" w14:textId="0B8D32F5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2.4</w:t>
      </w:r>
      <w:r w:rsidRPr="009F319C">
        <w:rPr>
          <w:lang w:val="ru-RU"/>
        </w:rPr>
        <w:tab/>
        <w:t>Рабочая группа продолжила укреплять координацию с 17-й Исследовательской комиссией МСЭ-Т, в том числе путем обмена заявлениями о взаимодействии и представления аналитического обзора о разрывах в стандартах, обеспечивающих защиту ребенка в онлайновой среде, который подготовлен работающей по переписке Группой по защите ребенка в онлайновой среде (ГП-COP).</w:t>
      </w:r>
    </w:p>
    <w:p w14:paraId="5D5CE585" w14:textId="77777777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В ходе обсуждений была подчеркнута взаимодополняющая роль РГС-COP и МСЭ-T в рассмотрении политических, оперативных и технических аспектов защиты ребенка в онлайновой среде, особенно в отношении подтверждения возраста, автоматизированной модерации контента и функциональной совместимости инструментов родительского контроля. Группа приветствовала продолжение сотрудничества и обмена информацией для обеспечения согласованности усилий в области стандартизации и обсуждения политики.</w:t>
      </w:r>
    </w:p>
    <w:p w14:paraId="4FDE0D16" w14:textId="54F304E7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2.5</w:t>
      </w:r>
      <w:r w:rsidRPr="009F319C">
        <w:rPr>
          <w:lang w:val="ru-RU"/>
        </w:rPr>
        <w:tab/>
        <w:t>На обоих собраниях была подтверждена важность открытого для всех и многостороннего участия в совершенствовании защиты ребенка в онлайновой среде. Во вкладах, представленных отраслью, гражданским обществом, академическими и международными организациями, освещаются инновационные инструменты, инициативы в</w:t>
      </w:r>
      <w:r w:rsidR="009F319C">
        <w:rPr>
          <w:lang w:val="en-US"/>
        </w:rPr>
        <w:t> </w:t>
      </w:r>
      <w:r w:rsidRPr="009F319C">
        <w:rPr>
          <w:lang w:val="ru-RU"/>
        </w:rPr>
        <w:t>области повышения осведомленности, исследования и программы создания потенциала.</w:t>
      </w:r>
    </w:p>
    <w:p w14:paraId="14A8E2CE" w14:textId="2FA69A8E" w:rsidR="00107FBF" w:rsidRPr="009F319C" w:rsidRDefault="00107FBF" w:rsidP="00881BEA">
      <w:pPr>
        <w:jc w:val="both"/>
        <w:rPr>
          <w:lang w:val="ru-RU"/>
        </w:rPr>
      </w:pPr>
      <w:r w:rsidRPr="009F319C">
        <w:rPr>
          <w:lang w:val="ru-RU"/>
        </w:rPr>
        <w:t>Рабочая группа также приветствовала обновленную информацию о региональных и глобальных инициативах, в том числе о совместных усилиях, предпринимаемых учреждениями ООН и международными партнерами, и отметила ценность обмена ресурсами и знаниями через платформы МСЭ для поддержки масштабируемого и устойчивого воздействия.</w:t>
      </w:r>
    </w:p>
    <w:p w14:paraId="2E11BC33" w14:textId="5CF5D6AF" w:rsidR="00107FBF" w:rsidRPr="009F319C" w:rsidRDefault="00107FBF" w:rsidP="00881BEA">
      <w:pPr>
        <w:keepNext/>
        <w:jc w:val="both"/>
        <w:rPr>
          <w:lang w:val="ru-RU"/>
        </w:rPr>
      </w:pPr>
      <w:r w:rsidRPr="009F319C">
        <w:rPr>
          <w:lang w:val="ru-RU"/>
        </w:rPr>
        <w:t>2.6</w:t>
      </w:r>
      <w:r w:rsidRPr="009F319C">
        <w:rPr>
          <w:lang w:val="ru-RU"/>
        </w:rPr>
        <w:tab/>
        <w:t>Основные итоги двадцать третьего и двадцать четвертого собраний:</w:t>
      </w:r>
    </w:p>
    <w:p w14:paraId="796DAF50" w14:textId="2415562E" w:rsidR="00107FBF" w:rsidRPr="00881BEA" w:rsidRDefault="00107FBF" w:rsidP="00881BEA">
      <w:pPr>
        <w:pStyle w:val="enumlev1"/>
        <w:jc w:val="both"/>
        <w:rPr>
          <w:spacing w:val="-3"/>
          <w:lang w:val="ru-RU"/>
        </w:rPr>
      </w:pPr>
      <w:r w:rsidRPr="00881BEA">
        <w:rPr>
          <w:spacing w:val="-3"/>
          <w:lang w:val="ru-RU"/>
        </w:rPr>
        <w:t>–</w:t>
      </w:r>
      <w:r w:rsidRPr="00881BEA">
        <w:rPr>
          <w:spacing w:val="-3"/>
          <w:lang w:val="ru-RU"/>
        </w:rPr>
        <w:tab/>
        <w:t>улучшение практики в отношении прозрачности и обмена информацией в рамках РГС</w:t>
      </w:r>
      <w:r w:rsidR="009F319C" w:rsidRPr="00881BEA">
        <w:rPr>
          <w:spacing w:val="-3"/>
          <w:lang w:val="ru-RU"/>
        </w:rPr>
        <w:noBreakHyphen/>
      </w:r>
      <w:r w:rsidRPr="00881BEA">
        <w:rPr>
          <w:spacing w:val="-3"/>
          <w:lang w:val="ru-RU"/>
        </w:rPr>
        <w:t>COP, включая публикацию информационных документов и ресурсов на</w:t>
      </w:r>
      <w:r w:rsidR="00941DFC" w:rsidRPr="00881BEA">
        <w:rPr>
          <w:spacing w:val="-3"/>
          <w:lang w:val="en-US"/>
        </w:rPr>
        <w:t> </w:t>
      </w:r>
      <w:r w:rsidRPr="00881BEA">
        <w:rPr>
          <w:spacing w:val="-3"/>
          <w:lang w:val="ru-RU"/>
        </w:rPr>
        <w:t>веб</w:t>
      </w:r>
      <w:r w:rsidR="009F319C" w:rsidRPr="00881BEA">
        <w:rPr>
          <w:spacing w:val="-3"/>
          <w:lang w:val="ru-RU"/>
        </w:rPr>
        <w:noBreakHyphen/>
      </w:r>
      <w:r w:rsidRPr="00881BEA">
        <w:rPr>
          <w:spacing w:val="-3"/>
          <w:lang w:val="ru-RU"/>
        </w:rPr>
        <w:t>сайте</w:t>
      </w:r>
      <w:r w:rsidR="009F319C" w:rsidRPr="00881BEA">
        <w:rPr>
          <w:spacing w:val="-3"/>
          <w:lang w:val="en-US"/>
        </w:rPr>
        <w:t> </w:t>
      </w:r>
      <w:r w:rsidRPr="00881BEA">
        <w:rPr>
          <w:spacing w:val="-3"/>
          <w:lang w:val="ru-RU"/>
        </w:rPr>
        <w:t>РГС;</w:t>
      </w:r>
    </w:p>
    <w:p w14:paraId="7FEB9881" w14:textId="3925CC1D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lastRenderedPageBreak/>
        <w:t>–</w:t>
      </w:r>
      <w:r w:rsidRPr="009F319C">
        <w:rPr>
          <w:lang w:val="ru-RU"/>
        </w:rPr>
        <w:tab/>
        <w:t>постоянное признание ценности национального опыта и передовой практики для</w:t>
      </w:r>
      <w:r w:rsidR="009F319C">
        <w:rPr>
          <w:lang w:val="en-US"/>
        </w:rPr>
        <w:t> </w:t>
      </w:r>
      <w:r w:rsidRPr="009F319C">
        <w:rPr>
          <w:lang w:val="ru-RU"/>
        </w:rPr>
        <w:t xml:space="preserve">глобальной деятельности по защите ребенка в онлайновой среде; </w:t>
      </w:r>
    </w:p>
    <w:p w14:paraId="0C46843A" w14:textId="0A0FE398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  <w:t>укрепление координации с 17-й Исследовательской комиссией МСЭ-Т путем направления заявлений о взаимодействии и технического сотрудничества;</w:t>
      </w:r>
    </w:p>
    <w:p w14:paraId="084B6630" w14:textId="77777777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  <w:t>признание растущей значимости искусственного интеллекта и появляющихся технологий в дискуссиях по защите ребенка в онлайновой среде; и</w:t>
      </w:r>
    </w:p>
    <w:p w14:paraId="4F9BECFE" w14:textId="77777777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  <w:t>поощрение дальнейшего диалога, сотрудничества и взаимодействия между Государствами-Членами, Секретариатом и партнерами;</w:t>
      </w:r>
    </w:p>
    <w:p w14:paraId="2BDFB6E6" w14:textId="77777777" w:rsidR="00107FBF" w:rsidRPr="009F319C" w:rsidRDefault="00107FBF" w:rsidP="00881BEA">
      <w:pPr>
        <w:pStyle w:val="enumlev1"/>
        <w:jc w:val="both"/>
        <w:rPr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  <w:t>расширение отчетности региональных отделений МСЭ перед РГС-COP относительно видов деятельности по защите ребенка в онлайновой среде, реализованных в течение отчетного периода, с целью более полного отражения и укрепления регионального участия в работе РГС-COP.</w:t>
      </w:r>
    </w:p>
    <w:p w14:paraId="40785B3D" w14:textId="009F3016" w:rsidR="00107FBF" w:rsidRPr="00107FBF" w:rsidRDefault="00107FBF" w:rsidP="00881BEA">
      <w:pPr>
        <w:jc w:val="both"/>
        <w:rPr>
          <w:lang w:val="ru-RU"/>
        </w:rPr>
      </w:pPr>
      <w:r w:rsidRPr="00107FBF">
        <w:rPr>
          <w:lang w:val="ru-RU"/>
        </w:rPr>
        <w:t>2.7</w:t>
      </w:r>
      <w:r w:rsidRPr="00107FBF">
        <w:rPr>
          <w:lang w:val="ru-RU"/>
        </w:rPr>
        <w:tab/>
        <w:t>На двадцать третьем собрании РГС-COP Государства-Члены, Члены Секторов и партнеры обсудили широкий круг вкладов, в которых рассматриваются политические, технические и эксплуатационные аспекты защиты ребенка в онлайновой среде. Обсуждались такие вопросы, как повышение осведомленности и меры регулирования, усилия по стандартизации, инструменты расширения прав и возможностей родителей, а также возникающие проблемы, связанные с искусственным интеллектом, шифрованием и функциональной совместимостью. На собрании была подтверждена важность инклюзивного участия многих заинтересованных сторон и постоянной координации между дискуссиями по</w:t>
      </w:r>
      <w:r w:rsidR="00941DFC">
        <w:rPr>
          <w:lang w:val="en-US"/>
        </w:rPr>
        <w:t> </w:t>
      </w:r>
      <w:r w:rsidRPr="00107FBF">
        <w:rPr>
          <w:lang w:val="ru-RU"/>
        </w:rPr>
        <w:t>вопросам политики и работой по технической стандартизации в рамках МСЭ.</w:t>
      </w:r>
    </w:p>
    <w:p w14:paraId="64510A26" w14:textId="20C2E9AE" w:rsidR="00107FBF" w:rsidRPr="00107FBF" w:rsidRDefault="00107FBF" w:rsidP="00881BEA">
      <w:pPr>
        <w:jc w:val="both"/>
        <w:rPr>
          <w:lang w:val="ru-RU"/>
        </w:rPr>
      </w:pPr>
      <w:r w:rsidRPr="00107FBF">
        <w:rPr>
          <w:lang w:val="ru-RU"/>
        </w:rPr>
        <w:t>2.8</w:t>
      </w:r>
      <w:r w:rsidRPr="00107FBF">
        <w:rPr>
          <w:lang w:val="ru-RU"/>
        </w:rPr>
        <w:tab/>
        <w:t>Ниже перечислены основные результаты собрания.</w:t>
      </w:r>
    </w:p>
    <w:p w14:paraId="13FF4F97" w14:textId="68D63333" w:rsidR="00107FBF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Собрание приняло к сведению предложения по дальнейшему расширению участия в</w:t>
      </w:r>
      <w:r w:rsidR="009F319C">
        <w:rPr>
          <w:rFonts w:eastAsia="Calibri"/>
          <w:lang w:val="en-US"/>
        </w:rPr>
        <w:t> </w:t>
      </w:r>
      <w:r w:rsidRPr="009F319C">
        <w:rPr>
          <w:rFonts w:eastAsia="Calibri"/>
          <w:lang w:val="ru-RU"/>
        </w:rPr>
        <w:t>сессиях программы "Связь МСЭ с отраслью", в том числе путем привлечения к</w:t>
      </w:r>
      <w:r w:rsidR="00941DFC">
        <w:rPr>
          <w:rFonts w:eastAsia="Calibri"/>
          <w:lang w:val="en-US"/>
        </w:rPr>
        <w:t> </w:t>
      </w:r>
      <w:r w:rsidRPr="009F319C">
        <w:rPr>
          <w:rFonts w:eastAsia="Calibri"/>
          <w:lang w:val="ru-RU"/>
        </w:rPr>
        <w:t>участию производителей и операторов сетей, и рекомендовало расширить участие региональных отделений МСЭ в будущих собраниях РГС-COP.</w:t>
      </w:r>
    </w:p>
    <w:p w14:paraId="449D0A07" w14:textId="1609D361" w:rsidR="00107FBF" w:rsidRPr="00881BEA" w:rsidRDefault="00107FBF" w:rsidP="00881BEA">
      <w:pPr>
        <w:pStyle w:val="enumlev1"/>
        <w:jc w:val="both"/>
        <w:rPr>
          <w:rFonts w:eastAsia="Calibri"/>
          <w:spacing w:val="-2"/>
          <w:lang w:val="ru-RU"/>
        </w:rPr>
      </w:pPr>
      <w:r w:rsidRPr="00881BEA">
        <w:rPr>
          <w:spacing w:val="-2"/>
          <w:lang w:val="ru-RU"/>
        </w:rPr>
        <w:t>–</w:t>
      </w:r>
      <w:r w:rsidRPr="00881BEA">
        <w:rPr>
          <w:spacing w:val="-2"/>
          <w:lang w:val="ru-RU"/>
        </w:rPr>
        <w:tab/>
      </w:r>
      <w:r w:rsidRPr="00881BEA">
        <w:rPr>
          <w:rFonts w:eastAsia="Calibri"/>
          <w:spacing w:val="-2"/>
          <w:lang w:val="ru-RU"/>
        </w:rPr>
        <w:t>Собрание приняло к сведению предложение о расширении сферы обсуждений в РГС</w:t>
      </w:r>
      <w:r w:rsidR="009F319C" w:rsidRPr="00881BEA">
        <w:rPr>
          <w:rFonts w:eastAsia="Calibri"/>
          <w:spacing w:val="-2"/>
          <w:lang w:val="ru-RU"/>
        </w:rPr>
        <w:noBreakHyphen/>
      </w:r>
      <w:r w:rsidRPr="00881BEA">
        <w:rPr>
          <w:rFonts w:eastAsia="Calibri"/>
          <w:spacing w:val="-2"/>
          <w:lang w:val="ru-RU"/>
        </w:rPr>
        <w:t>СОР для включения молодежи. Председатель предложил делегации, внесшей предложение, представить его в рамках соответствующих процессов принятия решений в МСЭ, отметив при этом, что Секретариат продолжит поддерживать ориентированные на молодежь мероприятия по развитию цифровых навыков и повышению осведомленности в рамках существующих программ защиты ребенка в</w:t>
      </w:r>
      <w:r w:rsidR="009F319C" w:rsidRPr="00881BEA">
        <w:rPr>
          <w:rFonts w:eastAsia="Calibri"/>
          <w:spacing w:val="-2"/>
          <w:lang w:val="en-US"/>
        </w:rPr>
        <w:t> </w:t>
      </w:r>
      <w:r w:rsidRPr="00881BEA">
        <w:rPr>
          <w:rFonts w:eastAsia="Calibri"/>
          <w:spacing w:val="-2"/>
          <w:lang w:val="ru-RU"/>
        </w:rPr>
        <w:t>онлайновой среде.</w:t>
      </w:r>
    </w:p>
    <w:p w14:paraId="579694E5" w14:textId="404D12D1" w:rsidR="00107FBF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Рабочая группа приняла к сведению заявление о взаимодействии от 17</w:t>
      </w:r>
      <w:r w:rsidRPr="009F319C">
        <w:rPr>
          <w:rFonts w:eastAsia="Calibri"/>
          <w:lang w:val="ru-RU"/>
        </w:rPr>
        <w:noBreakHyphen/>
        <w:t>й Исследовательской комиссии МСЭ-Т и приветствовала продолжение сотрудничества. Собрание одобрило текущую работу ИК17 по подтверждению возраста и автоматической модерации контента в качестве приоритетных областей и призвало Государства-Члены и заинтересованные стороны участвовать в работе работающей по переписке Группы по защите ребенка в онлайновой среде (ГП</w:t>
      </w:r>
      <w:r w:rsidRPr="009F319C">
        <w:rPr>
          <w:rFonts w:eastAsia="Calibri"/>
          <w:lang w:val="ru-RU"/>
        </w:rPr>
        <w:noBreakHyphen/>
        <w:t>COP).</w:t>
      </w:r>
    </w:p>
    <w:p w14:paraId="46DAF3AD" w14:textId="6AFBF66F" w:rsidR="00107FBF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Собрание приветствовало вклад организации Southwest Grid for Learning (SWGfL) в отношении Протокола обеспечения родительского контроля (PARCEP) и поддержало продолжение сотрудничества между РГС-COP и ГП-COP ИК17. Председатель предложил секретариату направить в ИК17 заявление о взаимодействии, отражающее поддержку PARCEP со стороны РГС-COP и ее рекомендации по функционально совместимым системам родительского контроля, взаимодействию с</w:t>
      </w:r>
      <w:r w:rsidR="009F319C">
        <w:rPr>
          <w:rFonts w:eastAsia="Calibri"/>
          <w:lang w:val="en-US"/>
        </w:rPr>
        <w:t> </w:t>
      </w:r>
      <w:r w:rsidRPr="009F319C">
        <w:rPr>
          <w:rFonts w:eastAsia="Calibri"/>
          <w:lang w:val="ru-RU"/>
        </w:rPr>
        <w:t>соответствующими органами по стандартизации и дальнейшему техническому и регуляторному диалогу.</w:t>
      </w:r>
    </w:p>
    <w:p w14:paraId="58C30F8F" w14:textId="5269682D" w:rsidR="00107FBF" w:rsidRPr="009F319C" w:rsidRDefault="00107FBF" w:rsidP="00881BEA">
      <w:pPr>
        <w:pStyle w:val="enumlev1"/>
        <w:keepLines/>
        <w:jc w:val="both"/>
        <w:rPr>
          <w:rFonts w:eastAsia="Calibri"/>
          <w:lang w:val="ru-RU"/>
        </w:rPr>
      </w:pPr>
      <w:r w:rsidRPr="009F319C">
        <w:rPr>
          <w:lang w:val="ru-RU"/>
        </w:rPr>
        <w:lastRenderedPageBreak/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Собрание вновь подтвердило важность широкого участия и сотрудничества между сообществами органов по стандартизации и дало высокую оценку выступлениям, в</w:t>
      </w:r>
      <w:r w:rsidR="009F319C">
        <w:rPr>
          <w:rFonts w:eastAsia="Calibri"/>
          <w:lang w:val="en-US"/>
        </w:rPr>
        <w:t> </w:t>
      </w:r>
      <w:r w:rsidRPr="009F319C">
        <w:rPr>
          <w:rFonts w:eastAsia="Calibri"/>
          <w:lang w:val="ru-RU"/>
        </w:rPr>
        <w:t>которых подчеркивалась ценность сотрудничества между МСЭ, другими организациями по разработке стандартов и сообществами заинтересованных сторон.</w:t>
      </w:r>
    </w:p>
    <w:p w14:paraId="4E38C760" w14:textId="6DABD1E6" w:rsidR="00107FBF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Собрание поддержало предложения по изучению условий безопасного и конструктивного участия детей и молодежи в будущих сессиях РГС-COP и приняло к</w:t>
      </w:r>
      <w:r w:rsidR="00941DFC">
        <w:rPr>
          <w:rFonts w:eastAsia="Calibri"/>
          <w:lang w:val="en-US"/>
        </w:rPr>
        <w:t> </w:t>
      </w:r>
      <w:r w:rsidRPr="009F319C">
        <w:rPr>
          <w:rFonts w:eastAsia="Calibri"/>
          <w:lang w:val="ru-RU"/>
        </w:rPr>
        <w:t>сведению предложения рассмотреть аспекты защиты в онлайновой среде, относящиеся к нескольким поколениям, в том числе имеющиеся риски.</w:t>
      </w:r>
    </w:p>
    <w:p w14:paraId="73459353" w14:textId="77777777" w:rsidR="00107FBF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Собрание приняло к сведению обновленную информацию от ЮНИСЕФ и выразило признательность за продолжающееся сотрудничество между МСЭ, ЮНИСЕФ и другими учреждениями ООН в поддержке глобальных усилий по защите ребенка в онлайновой среде.</w:t>
      </w:r>
    </w:p>
    <w:p w14:paraId="4F31D51B" w14:textId="7E115E17" w:rsidR="00107FBF" w:rsidRPr="00107FBF" w:rsidRDefault="00107FBF" w:rsidP="00881BEA">
      <w:pPr>
        <w:jc w:val="both"/>
        <w:rPr>
          <w:lang w:val="ru-RU"/>
        </w:rPr>
      </w:pPr>
      <w:r w:rsidRPr="00107FBF">
        <w:rPr>
          <w:lang w:val="ru-RU"/>
        </w:rPr>
        <w:t>2.9</w:t>
      </w:r>
      <w:r w:rsidRPr="00107FBF">
        <w:rPr>
          <w:lang w:val="ru-RU"/>
        </w:rPr>
        <w:tab/>
        <w:t>На двадцать четвертом собрании РГС-COP Рабочая группа продолжила предметные обсуждения вопроса о защите ребенка в онлайновой среде в меняющейся цифровой среде, уделяя особое внимание появляющимся технологиям, национальному опыту реализации, а</w:t>
      </w:r>
      <w:r w:rsidR="009F319C">
        <w:rPr>
          <w:lang w:val="en-US"/>
        </w:rPr>
        <w:t> </w:t>
      </w:r>
      <w:r w:rsidRPr="00107FBF">
        <w:rPr>
          <w:lang w:val="ru-RU"/>
        </w:rPr>
        <w:t>также координации в политической, оперативной и технической областях. Государства-Члены и партнеры представили вклады, посвященные вопросам сексуальных злоупотреблений в</w:t>
      </w:r>
      <w:r w:rsidR="009F319C">
        <w:rPr>
          <w:lang w:val="en-US"/>
        </w:rPr>
        <w:t> </w:t>
      </w:r>
      <w:r w:rsidRPr="00107FBF">
        <w:rPr>
          <w:lang w:val="ru-RU"/>
        </w:rPr>
        <w:t>отношении детей и их сексуальной эксплуатации в онлайновой среде, цифровой грамотности, защиты данных, расширения прав и возможностей родителей, а также последствий искусственного интеллекта для безопасности детей.</w:t>
      </w:r>
    </w:p>
    <w:p w14:paraId="45C953AF" w14:textId="77777777" w:rsidR="00107FBF" w:rsidRPr="00107FBF" w:rsidRDefault="00107FBF" w:rsidP="00881BEA">
      <w:pPr>
        <w:jc w:val="both"/>
        <w:rPr>
          <w:lang w:val="ru-RU"/>
        </w:rPr>
      </w:pPr>
      <w:r w:rsidRPr="00107FBF">
        <w:rPr>
          <w:lang w:val="ru-RU"/>
        </w:rPr>
        <w:t>2.10</w:t>
      </w:r>
      <w:r w:rsidRPr="00107FBF">
        <w:rPr>
          <w:lang w:val="ru-RU"/>
        </w:rPr>
        <w:tab/>
        <w:t>Ниже перечислены основные результаты собрания.</w:t>
      </w:r>
    </w:p>
    <w:p w14:paraId="579C4979" w14:textId="1B586133" w:rsidR="00107FBF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Собрание приветствовало обновленную информацию от Секретариата о текущей деятельности по защите ребенка в онлайновой среде, включая инициативы по</w:t>
      </w:r>
      <w:r w:rsidR="009F319C">
        <w:rPr>
          <w:rFonts w:eastAsia="Calibri"/>
          <w:lang w:val="en-US"/>
        </w:rPr>
        <w:t> </w:t>
      </w:r>
      <w:r w:rsidRPr="009F319C">
        <w:rPr>
          <w:rFonts w:eastAsia="Calibri"/>
          <w:lang w:val="ru-RU"/>
        </w:rPr>
        <w:t xml:space="preserve">созданию потенциала, поддержку реализации на национальном уровне и глобальные результаты, разработанные за отчетный период, в частности Руководящие принципы </w:t>
      </w:r>
      <w:r w:rsidRPr="009F319C">
        <w:rPr>
          <w:lang w:val="ru-RU"/>
        </w:rPr>
        <w:t>инициативы "Защита через онлайновое участие"</w:t>
      </w:r>
      <w:r w:rsidRPr="009F319C">
        <w:rPr>
          <w:rFonts w:eastAsia="Calibri"/>
          <w:lang w:val="ru-RU"/>
        </w:rPr>
        <w:t xml:space="preserve"> (PoP) и Совместное заявление об искусственном интеллекте и правах ребенка.</w:t>
      </w:r>
    </w:p>
    <w:p w14:paraId="21BB8C30" w14:textId="34886E0A" w:rsidR="00107FBF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Рабочая группа приняла к сведению широкий спектр примеров национального опыта и информационных документов, представленных Государствами-Членами, в которых освещаются общегосударственные подходы и подходы с участием многих заинтересованных сторон, сочетающие повышение осведомленности, регуляторные меры, оперативные механизмы и партнерства для устранения угроз безопасности ребенка в онлайновой среде.</w:t>
      </w:r>
    </w:p>
    <w:p w14:paraId="32FDD020" w14:textId="66D3EB6F" w:rsidR="00107FBF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Собрание выразило признательность за вклады, в которых подчеркивается растущая значимость искусственного интеллекта и алгоритмических систем для формирования онлайнового опыта детей, включая как риски, так и возможности, и освещается важность включения в цифровые услуги мер защиты, ориентированных на ребенка, и</w:t>
      </w:r>
      <w:r w:rsidR="00941DFC">
        <w:rPr>
          <w:rFonts w:eastAsia="Calibri"/>
          <w:lang w:val="en-US"/>
        </w:rPr>
        <w:t> </w:t>
      </w:r>
      <w:r w:rsidRPr="009F319C">
        <w:rPr>
          <w:rFonts w:eastAsia="Calibri"/>
          <w:lang w:val="ru-RU"/>
        </w:rPr>
        <w:t>методов обеспечения безопасности на этапе проектирования.</w:t>
      </w:r>
    </w:p>
    <w:p w14:paraId="4E26286D" w14:textId="47147360" w:rsidR="00107FBF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Рабочая группа приветствовала продолжение координации с 17</w:t>
      </w:r>
      <w:r w:rsidRPr="009F319C">
        <w:rPr>
          <w:rFonts w:eastAsia="Calibri"/>
          <w:lang w:val="ru-RU"/>
        </w:rPr>
        <w:noBreakHyphen/>
        <w:t>й Исследовательской комиссией МСЭ-Т, включая представление заявления о взаимодействии и обновленную информацию о технической работе, связанной с искусственным интеллектом, кибербезопасностью и доверием. Собрание подтвердило значение постоянного обмена информацией между РГС-COP и МСЭ</w:t>
      </w:r>
      <w:r w:rsidRPr="009F319C">
        <w:rPr>
          <w:rFonts w:eastAsia="Calibri"/>
          <w:lang w:val="ru-RU"/>
        </w:rPr>
        <w:noBreakHyphen/>
        <w:t>Т для обеспечения согласованности между дискуссиями по вопросам политики и деятельностью по</w:t>
      </w:r>
      <w:r w:rsidR="009F319C" w:rsidRPr="009F319C">
        <w:rPr>
          <w:rFonts w:eastAsia="Calibri"/>
          <w:lang w:val="ru-RU"/>
        </w:rPr>
        <w:t> </w:t>
      </w:r>
      <w:r w:rsidRPr="009F319C">
        <w:rPr>
          <w:rFonts w:eastAsia="Calibri"/>
          <w:lang w:val="ru-RU"/>
        </w:rPr>
        <w:t>стандартизации.</w:t>
      </w:r>
    </w:p>
    <w:p w14:paraId="28E9BE68" w14:textId="77777777" w:rsidR="00107FBF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Собрание вновь подтвердило важность всеохватного и многостороннего взаимодействия в продвижении защиты ребенка в онлайновой среде, включая участие отрасли, гражданского общества, академических и международных организаций, и приветствовало продолжение сотрудничества с учреждениями и партнерами ООН.</w:t>
      </w:r>
    </w:p>
    <w:p w14:paraId="17EE16B9" w14:textId="546044DD" w:rsidR="000B27C7" w:rsidRPr="009F319C" w:rsidRDefault="00107FBF" w:rsidP="00881BEA">
      <w:pPr>
        <w:pStyle w:val="enumlev1"/>
        <w:jc w:val="both"/>
        <w:rPr>
          <w:rFonts w:eastAsia="Calibri"/>
          <w:lang w:val="ru-RU"/>
        </w:rPr>
      </w:pPr>
      <w:r w:rsidRPr="009F319C">
        <w:rPr>
          <w:lang w:val="ru-RU"/>
        </w:rPr>
        <w:lastRenderedPageBreak/>
        <w:t>–</w:t>
      </w:r>
      <w:r w:rsidRPr="009F319C">
        <w:rPr>
          <w:lang w:val="ru-RU"/>
        </w:rPr>
        <w:tab/>
      </w:r>
      <w:r w:rsidRPr="009F319C">
        <w:rPr>
          <w:rFonts w:eastAsia="Calibri"/>
          <w:lang w:val="ru-RU"/>
        </w:rPr>
        <w:t>Председатель подчеркнул значение прозрачности, обмена информацией и продолжения диалога в рамках Рабочей группы, отметив важность информирования Государств-Членов о проводимой и предстоящей работе для поддержки эффективного взаимодействия.</w:t>
      </w:r>
    </w:p>
    <w:p w14:paraId="2D888492" w14:textId="017B2DA1" w:rsidR="00107FBF" w:rsidRPr="009F319C" w:rsidRDefault="00107FBF" w:rsidP="009F319C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480"/>
        <w:rPr>
          <w:lang w:val="ru-RU"/>
        </w:rPr>
      </w:pPr>
      <w:r w:rsidRPr="009F319C">
        <w:rPr>
          <w:lang w:val="ru-RU"/>
        </w:rPr>
        <w:tab/>
        <w:t>Абдельазиз Альзаруни, Председатель</w:t>
      </w:r>
      <w:r w:rsidR="009F319C" w:rsidRPr="009F319C">
        <w:rPr>
          <w:lang w:val="ru-RU"/>
        </w:rPr>
        <w:br/>
      </w:r>
      <w:r w:rsidRPr="009F319C">
        <w:rPr>
          <w:lang w:val="ru-RU"/>
        </w:rPr>
        <w:tab/>
        <w:t>(ОАЭ)</w:t>
      </w:r>
    </w:p>
    <w:p w14:paraId="0C3EAFA6" w14:textId="0C9E6E88" w:rsidR="00107FBF" w:rsidRPr="009F319C" w:rsidRDefault="00107FBF" w:rsidP="009F319C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480"/>
        <w:rPr>
          <w:lang w:val="ru-RU"/>
        </w:rPr>
      </w:pPr>
      <w:r w:rsidRPr="009F319C">
        <w:rPr>
          <w:lang w:val="ru-RU"/>
        </w:rPr>
        <w:tab/>
        <w:t>Стелла Ч. Эребор, заместитель Председателя</w:t>
      </w:r>
      <w:r w:rsidR="009F319C" w:rsidRPr="009F319C">
        <w:rPr>
          <w:lang w:val="ru-RU"/>
        </w:rPr>
        <w:br/>
      </w:r>
      <w:r w:rsidRPr="009F319C">
        <w:rPr>
          <w:lang w:val="ru-RU"/>
        </w:rPr>
        <w:tab/>
        <w:t>(Нигерия)</w:t>
      </w:r>
    </w:p>
    <w:sectPr w:rsidR="00107FBF" w:rsidRPr="009F319C" w:rsidSect="00796BD3">
      <w:footerReference w:type="default" r:id="rId16"/>
      <w:headerReference w:type="first" r:id="rId17"/>
      <w:footerReference w:type="first" r:id="rId1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F589" w14:textId="77777777" w:rsidR="000B27C7" w:rsidRDefault="000B27C7">
      <w:r>
        <w:separator/>
      </w:r>
    </w:p>
  </w:endnote>
  <w:endnote w:type="continuationSeparator" w:id="0">
    <w:p w14:paraId="15FE6DEA" w14:textId="77777777" w:rsidR="000B27C7" w:rsidRDefault="000B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6C1AC16" w14:textId="77777777" w:rsidTr="00E31DCE">
      <w:trPr>
        <w:jc w:val="center"/>
      </w:trPr>
      <w:tc>
        <w:tcPr>
          <w:tcW w:w="1803" w:type="dxa"/>
          <w:vAlign w:val="center"/>
        </w:tcPr>
        <w:p w14:paraId="4C0E2253" w14:textId="5DEA9584" w:rsidR="00672F8A" w:rsidRPr="00810385" w:rsidRDefault="009F319C" w:rsidP="00672F8A">
          <w:pPr>
            <w:pStyle w:val="Header"/>
            <w:jc w:val="left"/>
            <w:rPr>
              <w:noProof/>
              <w:lang w:val="ru-RU"/>
            </w:rPr>
          </w:pPr>
          <w:r w:rsidRPr="007B1F7D">
            <w:rPr>
              <w:noProof/>
            </w:rPr>
            <w:t>2600453</w:t>
          </w:r>
        </w:p>
      </w:tc>
      <w:tc>
        <w:tcPr>
          <w:tcW w:w="8261" w:type="dxa"/>
        </w:tcPr>
        <w:p w14:paraId="554798E7" w14:textId="0D98EC9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F319C">
            <w:rPr>
              <w:bCs/>
            </w:rPr>
            <w:t>15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EF39D7C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2105D17" w14:textId="77777777" w:rsidTr="00E31DCE">
      <w:trPr>
        <w:jc w:val="center"/>
      </w:trPr>
      <w:tc>
        <w:tcPr>
          <w:tcW w:w="1803" w:type="dxa"/>
          <w:vAlign w:val="center"/>
        </w:tcPr>
        <w:p w14:paraId="28075531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C5C0A9F" w14:textId="42C6A282" w:rsidR="00672F8A" w:rsidRPr="00107FBF" w:rsidRDefault="00672F8A" w:rsidP="00107FBF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bCs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107FBF">
            <w:rPr>
              <w:bCs/>
            </w:rPr>
            <w:t>15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D00157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AD07" w14:textId="77777777" w:rsidR="000B27C7" w:rsidRDefault="000B27C7">
      <w:r>
        <w:t>____________________</w:t>
      </w:r>
    </w:p>
  </w:footnote>
  <w:footnote w:type="continuationSeparator" w:id="0">
    <w:p w14:paraId="3DE4C14E" w14:textId="77777777" w:rsidR="000B27C7" w:rsidRDefault="000B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E075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254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C7"/>
    <w:rsid w:val="00005BE0"/>
    <w:rsid w:val="0002183E"/>
    <w:rsid w:val="000569B4"/>
    <w:rsid w:val="0006007D"/>
    <w:rsid w:val="00080E82"/>
    <w:rsid w:val="000934DD"/>
    <w:rsid w:val="000A10CA"/>
    <w:rsid w:val="000B27C7"/>
    <w:rsid w:val="000B2DE7"/>
    <w:rsid w:val="000B4E93"/>
    <w:rsid w:val="000E568E"/>
    <w:rsid w:val="00107FBF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2F22D7"/>
    <w:rsid w:val="0033025A"/>
    <w:rsid w:val="00345D2A"/>
    <w:rsid w:val="00381936"/>
    <w:rsid w:val="003935CB"/>
    <w:rsid w:val="003F099E"/>
    <w:rsid w:val="003F235E"/>
    <w:rsid w:val="00401FD7"/>
    <w:rsid w:val="004023E0"/>
    <w:rsid w:val="004027FE"/>
    <w:rsid w:val="00403DD8"/>
    <w:rsid w:val="004070A0"/>
    <w:rsid w:val="00425CA7"/>
    <w:rsid w:val="00442515"/>
    <w:rsid w:val="0045686C"/>
    <w:rsid w:val="00465C35"/>
    <w:rsid w:val="004918C4"/>
    <w:rsid w:val="00497703"/>
    <w:rsid w:val="00497747"/>
    <w:rsid w:val="004A0374"/>
    <w:rsid w:val="004A45B5"/>
    <w:rsid w:val="004D0129"/>
    <w:rsid w:val="00513514"/>
    <w:rsid w:val="00515795"/>
    <w:rsid w:val="00534AF9"/>
    <w:rsid w:val="005A64D5"/>
    <w:rsid w:val="005B3DEC"/>
    <w:rsid w:val="00601994"/>
    <w:rsid w:val="00660449"/>
    <w:rsid w:val="00672A95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0385"/>
    <w:rsid w:val="008173AA"/>
    <w:rsid w:val="00840A14"/>
    <w:rsid w:val="0084546D"/>
    <w:rsid w:val="00881BEA"/>
    <w:rsid w:val="008B62B4"/>
    <w:rsid w:val="008D2D7B"/>
    <w:rsid w:val="008E0737"/>
    <w:rsid w:val="008F7958"/>
    <w:rsid w:val="008F7C2C"/>
    <w:rsid w:val="00940E96"/>
    <w:rsid w:val="00941DFC"/>
    <w:rsid w:val="00950A82"/>
    <w:rsid w:val="009A76A8"/>
    <w:rsid w:val="009B0BAE"/>
    <w:rsid w:val="009C1C89"/>
    <w:rsid w:val="009F319C"/>
    <w:rsid w:val="009F3448"/>
    <w:rsid w:val="00A01CF9"/>
    <w:rsid w:val="00A01F4F"/>
    <w:rsid w:val="00A109AF"/>
    <w:rsid w:val="00A20B63"/>
    <w:rsid w:val="00A3481C"/>
    <w:rsid w:val="00A3733A"/>
    <w:rsid w:val="00A405F9"/>
    <w:rsid w:val="00A71773"/>
    <w:rsid w:val="00A74304"/>
    <w:rsid w:val="00AC5C61"/>
    <w:rsid w:val="00AE2C85"/>
    <w:rsid w:val="00B0107F"/>
    <w:rsid w:val="00B12A37"/>
    <w:rsid w:val="00B41837"/>
    <w:rsid w:val="00B63EF2"/>
    <w:rsid w:val="00B741C5"/>
    <w:rsid w:val="00B9634B"/>
    <w:rsid w:val="00BA7D89"/>
    <w:rsid w:val="00BC0D39"/>
    <w:rsid w:val="00BC7BC0"/>
    <w:rsid w:val="00BD57B7"/>
    <w:rsid w:val="00BE00DD"/>
    <w:rsid w:val="00BE63E2"/>
    <w:rsid w:val="00C33A2E"/>
    <w:rsid w:val="00C462C5"/>
    <w:rsid w:val="00CB136A"/>
    <w:rsid w:val="00CB3A77"/>
    <w:rsid w:val="00CD2009"/>
    <w:rsid w:val="00CF629C"/>
    <w:rsid w:val="00D17718"/>
    <w:rsid w:val="00D631AA"/>
    <w:rsid w:val="00D64FF9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EE1AE3"/>
    <w:rsid w:val="00F16A24"/>
    <w:rsid w:val="00F348D0"/>
    <w:rsid w:val="00F35898"/>
    <w:rsid w:val="00F37FEE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DC9BC"/>
  <w15:docId w15:val="{B8AAC22B-BEBE-4AC9-8E48-9143FF32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10385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810385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qFormat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B27C7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cwg-cop/Pages/default.aspx" TargetMode="External"/><Relationship Id="rId13" Type="http://schemas.openxmlformats.org/officeDocument/2006/relationships/hyperlink" Target="https://www.itu.int/en/council/Documents/basic-texts-2023/RES-179-r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-2023/RES-179-r.pdf" TargetMode="External"/><Relationship Id="rId12" Type="http://schemas.openxmlformats.org/officeDocument/2006/relationships/hyperlink" Target="https://www.itu.int/md/S09-CL-C-0108/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council/cwg-cop/Pages/defaul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un.org/A/RES/80/173" TargetMode="External"/><Relationship Id="rId10" Type="http://schemas.openxmlformats.org/officeDocument/2006/relationships/hyperlink" Target="https://www.itu.int/en/council/cwg-cop/Pages/default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cwg-cop/Pages/default.aspx" TargetMode="External"/><Relationship Id="rId14" Type="http://schemas.openxmlformats.org/officeDocument/2006/relationships/hyperlink" Target="https://www.itu.int/council/groups/wg-cop/first-meeting-march-2010/COP%20WG%20Doc%201-16%20Summary-1-WG-CP-revised%20draft-23-March-2010-final-revised-to%20be-published.do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11</TotalTime>
  <Pages>6</Pages>
  <Words>1806</Words>
  <Characters>13897</Characters>
  <Application>Microsoft Office Word</Application>
  <DocSecurity>0</DocSecurity>
  <Lines>267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15578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outcomes of the twenty-third and twenty-fourth meetings of the Council Working Group on child online protection</dc:title>
  <dc:subject>ITU Council 2026</dc:subject>
  <cp:keywords>C26; C2026; Council 2026; PP26</cp:keywords>
  <dc:description/>
  <cp:lastPrinted>2006-03-28T16:12:00Z</cp:lastPrinted>
  <dcterms:created xsi:type="dcterms:W3CDTF">2026-04-15T15:37:00Z</dcterms:created>
  <dcterms:modified xsi:type="dcterms:W3CDTF">2026-04-15T15:47:00Z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