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3118D0" w14:paraId="7A9779E6" w14:textId="77777777" w:rsidTr="00796BDB">
        <w:trPr>
          <w:cantSplit/>
          <w:trHeight w:val="23"/>
        </w:trPr>
        <w:tc>
          <w:tcPr>
            <w:tcW w:w="3969" w:type="dxa"/>
            <w:vMerge w:val="restart"/>
            <w:tcMar>
              <w:left w:w="0" w:type="dxa"/>
            </w:tcMar>
          </w:tcPr>
          <w:p w14:paraId="715AA55D" w14:textId="158E8505" w:rsidR="00D72F49" w:rsidRPr="003118D0" w:rsidRDefault="00D72F49" w:rsidP="00796BDB">
            <w:pPr>
              <w:tabs>
                <w:tab w:val="left" w:pos="851"/>
              </w:tabs>
              <w:spacing w:before="0" w:line="240" w:lineRule="atLeast"/>
              <w:rPr>
                <w:b/>
              </w:rPr>
            </w:pPr>
            <w:r w:rsidRPr="003118D0">
              <w:rPr>
                <w:b/>
              </w:rPr>
              <w:t>Point de l'ordre du jour:</w:t>
            </w:r>
            <w:r w:rsidR="00A02FEA" w:rsidRPr="003118D0">
              <w:rPr>
                <w:b/>
              </w:rPr>
              <w:t xml:space="preserve"> </w:t>
            </w:r>
            <w:r w:rsidR="00A02FEA" w:rsidRPr="003118D0">
              <w:rPr>
                <w:b/>
                <w:bCs/>
                <w:color w:val="000000"/>
              </w:rPr>
              <w:t>PL</w:t>
            </w:r>
            <w:r w:rsidR="007A7064">
              <w:rPr>
                <w:b/>
                <w:bCs/>
                <w:color w:val="000000"/>
              </w:rPr>
              <w:t>-</w:t>
            </w:r>
            <w:r w:rsidR="00A02FEA" w:rsidRPr="003118D0">
              <w:rPr>
                <w:b/>
                <w:bCs/>
                <w:color w:val="000000"/>
              </w:rPr>
              <w:t>2</w:t>
            </w:r>
          </w:p>
        </w:tc>
        <w:tc>
          <w:tcPr>
            <w:tcW w:w="5245" w:type="dxa"/>
          </w:tcPr>
          <w:p w14:paraId="3D86E1F6" w14:textId="506AF803" w:rsidR="00D72F49" w:rsidRPr="003118D0" w:rsidRDefault="00D72F49" w:rsidP="00796BDB">
            <w:pPr>
              <w:tabs>
                <w:tab w:val="left" w:pos="851"/>
              </w:tabs>
              <w:spacing w:before="0" w:line="240" w:lineRule="atLeast"/>
              <w:jc w:val="right"/>
              <w:rPr>
                <w:b/>
              </w:rPr>
            </w:pPr>
            <w:r w:rsidRPr="003118D0">
              <w:rPr>
                <w:b/>
              </w:rPr>
              <w:t>Document C2</w:t>
            </w:r>
            <w:r w:rsidR="00E4448E" w:rsidRPr="003118D0">
              <w:rPr>
                <w:b/>
              </w:rPr>
              <w:t>6</w:t>
            </w:r>
            <w:r w:rsidRPr="003118D0">
              <w:rPr>
                <w:b/>
              </w:rPr>
              <w:t>/</w:t>
            </w:r>
            <w:r w:rsidR="00A02FEA" w:rsidRPr="003118D0">
              <w:rPr>
                <w:b/>
              </w:rPr>
              <w:t>15</w:t>
            </w:r>
            <w:r w:rsidRPr="003118D0">
              <w:rPr>
                <w:b/>
              </w:rPr>
              <w:t>-F</w:t>
            </w:r>
          </w:p>
        </w:tc>
      </w:tr>
      <w:tr w:rsidR="00D72F49" w:rsidRPr="003118D0" w14:paraId="4C4877C9" w14:textId="77777777" w:rsidTr="00796BDB">
        <w:trPr>
          <w:cantSplit/>
        </w:trPr>
        <w:tc>
          <w:tcPr>
            <w:tcW w:w="3969" w:type="dxa"/>
            <w:vMerge/>
          </w:tcPr>
          <w:p w14:paraId="202C5D19" w14:textId="77777777" w:rsidR="00D72F49" w:rsidRPr="003118D0" w:rsidRDefault="00D72F49" w:rsidP="00796BDB">
            <w:pPr>
              <w:tabs>
                <w:tab w:val="left" w:pos="851"/>
              </w:tabs>
              <w:spacing w:line="240" w:lineRule="atLeast"/>
              <w:rPr>
                <w:b/>
              </w:rPr>
            </w:pPr>
          </w:p>
        </w:tc>
        <w:tc>
          <w:tcPr>
            <w:tcW w:w="5245" w:type="dxa"/>
          </w:tcPr>
          <w:p w14:paraId="60FC5B53" w14:textId="3F716D0D" w:rsidR="00D72F49" w:rsidRPr="003118D0" w:rsidRDefault="00A02FEA" w:rsidP="00796BDB">
            <w:pPr>
              <w:tabs>
                <w:tab w:val="left" w:pos="851"/>
              </w:tabs>
              <w:spacing w:before="0"/>
              <w:jc w:val="right"/>
              <w:rPr>
                <w:b/>
              </w:rPr>
            </w:pPr>
            <w:r w:rsidRPr="003118D0">
              <w:rPr>
                <w:b/>
                <w:bCs/>
                <w:color w:val="000000"/>
              </w:rPr>
              <w:t>6 mars 2026</w:t>
            </w:r>
          </w:p>
        </w:tc>
      </w:tr>
      <w:tr w:rsidR="00D72F49" w:rsidRPr="003118D0" w14:paraId="65FC2BE5" w14:textId="77777777" w:rsidTr="00796BDB">
        <w:trPr>
          <w:cantSplit/>
          <w:trHeight w:val="23"/>
        </w:trPr>
        <w:tc>
          <w:tcPr>
            <w:tcW w:w="3969" w:type="dxa"/>
            <w:vMerge/>
          </w:tcPr>
          <w:p w14:paraId="132844CC" w14:textId="77777777" w:rsidR="00D72F49" w:rsidRPr="003118D0" w:rsidRDefault="00D72F49" w:rsidP="00796BDB">
            <w:pPr>
              <w:tabs>
                <w:tab w:val="left" w:pos="851"/>
              </w:tabs>
              <w:spacing w:line="240" w:lineRule="atLeast"/>
              <w:rPr>
                <w:b/>
              </w:rPr>
            </w:pPr>
          </w:p>
        </w:tc>
        <w:tc>
          <w:tcPr>
            <w:tcW w:w="5245" w:type="dxa"/>
          </w:tcPr>
          <w:p w14:paraId="0AE3F35F" w14:textId="77777777" w:rsidR="00D72F49" w:rsidRPr="003118D0" w:rsidRDefault="00D72F49" w:rsidP="00796BDB">
            <w:pPr>
              <w:tabs>
                <w:tab w:val="left" w:pos="851"/>
              </w:tabs>
              <w:spacing w:before="0" w:line="240" w:lineRule="atLeast"/>
              <w:jc w:val="right"/>
              <w:rPr>
                <w:b/>
              </w:rPr>
            </w:pPr>
            <w:r w:rsidRPr="003118D0">
              <w:rPr>
                <w:b/>
              </w:rPr>
              <w:t>Original: anglais</w:t>
            </w:r>
          </w:p>
        </w:tc>
      </w:tr>
      <w:tr w:rsidR="00D72F49" w:rsidRPr="003118D0" w14:paraId="25789889" w14:textId="77777777" w:rsidTr="00796BDB">
        <w:trPr>
          <w:cantSplit/>
          <w:trHeight w:val="23"/>
        </w:trPr>
        <w:tc>
          <w:tcPr>
            <w:tcW w:w="3969" w:type="dxa"/>
          </w:tcPr>
          <w:p w14:paraId="162CECBA" w14:textId="77777777" w:rsidR="00D72F49" w:rsidRPr="003118D0" w:rsidRDefault="00D72F49" w:rsidP="00796BDB">
            <w:pPr>
              <w:tabs>
                <w:tab w:val="left" w:pos="851"/>
              </w:tabs>
              <w:spacing w:line="240" w:lineRule="atLeast"/>
              <w:rPr>
                <w:b/>
              </w:rPr>
            </w:pPr>
          </w:p>
        </w:tc>
        <w:tc>
          <w:tcPr>
            <w:tcW w:w="5245" w:type="dxa"/>
          </w:tcPr>
          <w:p w14:paraId="54824AB3" w14:textId="77777777" w:rsidR="00D72F49" w:rsidRPr="003118D0" w:rsidRDefault="00D72F49" w:rsidP="00796BDB">
            <w:pPr>
              <w:tabs>
                <w:tab w:val="left" w:pos="851"/>
              </w:tabs>
              <w:spacing w:before="0" w:line="240" w:lineRule="atLeast"/>
              <w:jc w:val="right"/>
              <w:rPr>
                <w:b/>
              </w:rPr>
            </w:pPr>
          </w:p>
        </w:tc>
      </w:tr>
      <w:tr w:rsidR="00D72F49" w:rsidRPr="003118D0" w14:paraId="4213FB13" w14:textId="77777777" w:rsidTr="00796BDB">
        <w:trPr>
          <w:cantSplit/>
        </w:trPr>
        <w:tc>
          <w:tcPr>
            <w:tcW w:w="9214" w:type="dxa"/>
            <w:gridSpan w:val="2"/>
            <w:tcMar>
              <w:left w:w="0" w:type="dxa"/>
            </w:tcMar>
          </w:tcPr>
          <w:p w14:paraId="1E807BA4" w14:textId="69019E09" w:rsidR="00D72F49" w:rsidRPr="000F36F5" w:rsidRDefault="00A02FEA" w:rsidP="000F36F5">
            <w:pPr>
              <w:pStyle w:val="Source"/>
              <w:framePr w:hSpace="0" w:wrap="auto" w:vAnchor="margin" w:hAnchor="text" w:xAlign="left" w:yAlign="inline"/>
            </w:pPr>
            <w:r w:rsidRPr="000F36F5">
              <w:t>Rapport du Président du GTC-COP</w:t>
            </w:r>
          </w:p>
        </w:tc>
      </w:tr>
      <w:tr w:rsidR="00D72F49" w:rsidRPr="003118D0" w14:paraId="2B08CA8B" w14:textId="77777777" w:rsidTr="00796BDB">
        <w:trPr>
          <w:cantSplit/>
        </w:trPr>
        <w:tc>
          <w:tcPr>
            <w:tcW w:w="9214" w:type="dxa"/>
            <w:gridSpan w:val="2"/>
            <w:tcMar>
              <w:left w:w="0" w:type="dxa"/>
            </w:tcMar>
          </w:tcPr>
          <w:p w14:paraId="1393E019" w14:textId="0DEFE6C3" w:rsidR="00D72F49" w:rsidRPr="003118D0" w:rsidRDefault="000F36F5" w:rsidP="00796BDB">
            <w:pPr>
              <w:pStyle w:val="Subtitle"/>
              <w:framePr w:hSpace="0" w:wrap="auto" w:hAnchor="text" w:xAlign="left" w:yAlign="inline"/>
              <w:rPr>
                <w:sz w:val="32"/>
                <w:szCs w:val="32"/>
                <w:lang w:val="fr-FR"/>
              </w:rPr>
            </w:pPr>
            <w:bookmarkStart w:id="0" w:name="_Hlk221124372"/>
            <w:r w:rsidRPr="003118D0">
              <w:rPr>
                <w:rFonts w:cstheme="minorHAnsi"/>
                <w:sz w:val="32"/>
                <w:szCs w:val="32"/>
                <w:lang w:val="fr-FR"/>
              </w:rPr>
              <w:t>RAPPORT SUR LES RÉSULTATS DES VINGT-TROISIÈME ET VINGT</w:t>
            </w:r>
            <w:r w:rsidRPr="003118D0">
              <w:rPr>
                <w:rFonts w:cstheme="minorHAnsi"/>
                <w:sz w:val="32"/>
                <w:szCs w:val="32"/>
                <w:lang w:val="fr-FR"/>
              </w:rPr>
              <w:noBreakHyphen/>
              <w:t>QUATRIÈME RÉUNIONS DU GROUPE DE TRAVAIL</w:t>
            </w:r>
            <w:r>
              <w:rPr>
                <w:rFonts w:cstheme="minorHAnsi"/>
                <w:sz w:val="32"/>
                <w:szCs w:val="32"/>
                <w:lang w:val="fr-FR"/>
              </w:rPr>
              <w:t xml:space="preserve"> </w:t>
            </w:r>
            <w:r w:rsidRPr="003118D0">
              <w:rPr>
                <w:rFonts w:cstheme="minorHAnsi"/>
                <w:sz w:val="32"/>
                <w:szCs w:val="32"/>
                <w:lang w:val="fr-FR"/>
              </w:rPr>
              <w:t>DU CONSEIL SUR LA PROTECTION EN LIGNE DES ENFANTS</w:t>
            </w:r>
            <w:bookmarkEnd w:id="0"/>
          </w:p>
        </w:tc>
      </w:tr>
      <w:tr w:rsidR="00D72F49" w:rsidRPr="003118D0" w14:paraId="22F94F2C" w14:textId="77777777" w:rsidTr="00796BDB">
        <w:trPr>
          <w:cantSplit/>
        </w:trPr>
        <w:tc>
          <w:tcPr>
            <w:tcW w:w="9214" w:type="dxa"/>
            <w:gridSpan w:val="2"/>
            <w:tcBorders>
              <w:top w:val="single" w:sz="4" w:space="0" w:color="auto"/>
              <w:bottom w:val="single" w:sz="4" w:space="0" w:color="auto"/>
            </w:tcBorders>
            <w:tcMar>
              <w:left w:w="0" w:type="dxa"/>
            </w:tcMar>
          </w:tcPr>
          <w:p w14:paraId="0B4EF776" w14:textId="77777777" w:rsidR="00D72F49" w:rsidRPr="003118D0" w:rsidRDefault="00F37FE5" w:rsidP="00796BDB">
            <w:pPr>
              <w:spacing w:before="160"/>
              <w:rPr>
                <w:b/>
                <w:bCs/>
                <w:sz w:val="26"/>
                <w:szCs w:val="26"/>
              </w:rPr>
            </w:pPr>
            <w:r w:rsidRPr="003118D0">
              <w:rPr>
                <w:b/>
                <w:bCs/>
                <w:sz w:val="26"/>
                <w:szCs w:val="26"/>
              </w:rPr>
              <w:t>Objet</w:t>
            </w:r>
          </w:p>
          <w:p w14:paraId="6F782FD9" w14:textId="342D889C" w:rsidR="00D72F49" w:rsidRPr="003118D0" w:rsidRDefault="00A02FEA" w:rsidP="000F36F5">
            <w:pPr>
              <w:jc w:val="both"/>
            </w:pPr>
            <w:r w:rsidRPr="003118D0">
              <w:t>Le présent rapport récapitule les principaux résultats des vingt-troisième et vingt-quatrième réunions du Groupe de travail du Conseil sur la protection en ligne des enfants (GTC-COP), tenues respectivement le 16 septembre 2025 et le 19 janvier 2026, dans le cadre des travaux du Groupe depuis la session de 2025 du Conseil.</w:t>
            </w:r>
          </w:p>
          <w:p w14:paraId="70D08AB2" w14:textId="77777777" w:rsidR="00D72F49" w:rsidRPr="003118D0" w:rsidRDefault="00D72F49" w:rsidP="00796BDB">
            <w:pPr>
              <w:spacing w:before="160"/>
              <w:rPr>
                <w:b/>
                <w:bCs/>
                <w:sz w:val="26"/>
                <w:szCs w:val="26"/>
              </w:rPr>
            </w:pPr>
            <w:r w:rsidRPr="003118D0">
              <w:rPr>
                <w:b/>
                <w:bCs/>
                <w:sz w:val="26"/>
                <w:szCs w:val="26"/>
              </w:rPr>
              <w:t>Suite à donner par le Conseil</w:t>
            </w:r>
          </w:p>
          <w:p w14:paraId="0B65BA0A" w14:textId="3BBBB8F2" w:rsidR="00D72F49" w:rsidRPr="003118D0" w:rsidRDefault="00A02FEA" w:rsidP="00796BDB">
            <w:r w:rsidRPr="003118D0">
              <w:t>Le Conseil de l'UIT est invité à</w:t>
            </w:r>
            <w:r w:rsidRPr="003118D0">
              <w:rPr>
                <w:b/>
                <w:bCs/>
              </w:rPr>
              <w:t xml:space="preserve"> prendre note </w:t>
            </w:r>
            <w:r w:rsidRPr="003118D0">
              <w:t>du présent rapport.</w:t>
            </w:r>
          </w:p>
          <w:p w14:paraId="589ED059" w14:textId="0C581116" w:rsidR="00D72F49" w:rsidRPr="003118D0" w:rsidRDefault="00D72F49" w:rsidP="00796BDB">
            <w:pPr>
              <w:spacing w:before="160"/>
              <w:rPr>
                <w:b/>
                <w:bCs/>
                <w:sz w:val="26"/>
                <w:szCs w:val="26"/>
              </w:rPr>
            </w:pPr>
            <w:r w:rsidRPr="003118D0">
              <w:rPr>
                <w:b/>
                <w:bCs/>
                <w:sz w:val="26"/>
                <w:szCs w:val="26"/>
              </w:rPr>
              <w:t xml:space="preserve">Lien pertinent avec le </w:t>
            </w:r>
            <w:r w:rsidR="00F37FE5" w:rsidRPr="003118D0">
              <w:rPr>
                <w:b/>
                <w:bCs/>
                <w:sz w:val="26"/>
                <w:szCs w:val="26"/>
              </w:rPr>
              <w:t>p</w:t>
            </w:r>
            <w:r w:rsidRPr="003118D0">
              <w:rPr>
                <w:b/>
                <w:bCs/>
                <w:sz w:val="26"/>
                <w:szCs w:val="26"/>
              </w:rPr>
              <w:t>lan stratégique</w:t>
            </w:r>
          </w:p>
          <w:p w14:paraId="5FABC171" w14:textId="34442BB9" w:rsidR="00D72F49" w:rsidRPr="003118D0" w:rsidRDefault="00A02FEA" w:rsidP="000F36F5">
            <w:pPr>
              <w:jc w:val="both"/>
            </w:pPr>
            <w:r w:rsidRPr="003118D0">
              <w:t xml:space="preserve">Transformation numérique durable: </w:t>
            </w:r>
            <w:r w:rsidR="00C35BDD" w:rsidRPr="003118D0">
              <w:t>E</w:t>
            </w:r>
            <w:r w:rsidRPr="003118D0">
              <w:t>ncourager une utilisation équitable et inclusive des télécommunications/TIC pour mobiliser les individus et les sociétés en faveur du développement durable.</w:t>
            </w:r>
          </w:p>
          <w:p w14:paraId="5B290775" w14:textId="77777777" w:rsidR="00E95647" w:rsidRPr="003118D0" w:rsidRDefault="00D72F49" w:rsidP="00796BDB">
            <w:pPr>
              <w:spacing w:before="160"/>
              <w:rPr>
                <w:b/>
                <w:bCs/>
                <w:sz w:val="26"/>
                <w:szCs w:val="26"/>
              </w:rPr>
            </w:pPr>
            <w:r w:rsidRPr="003118D0">
              <w:rPr>
                <w:b/>
                <w:bCs/>
                <w:sz w:val="26"/>
                <w:szCs w:val="26"/>
              </w:rPr>
              <w:t>Incidences financières</w:t>
            </w:r>
          </w:p>
          <w:p w14:paraId="500FF390" w14:textId="487B8CF1" w:rsidR="00D72F49" w:rsidRPr="003118D0" w:rsidRDefault="00A02FEA" w:rsidP="00796BDB">
            <w:pPr>
              <w:rPr>
                <w:szCs w:val="24"/>
              </w:rPr>
            </w:pPr>
            <w:r w:rsidRPr="003118D0">
              <w:rPr>
                <w:szCs w:val="24"/>
              </w:rPr>
              <w:t>Dans les limites du budget alloué pour 2025-2026.</w:t>
            </w:r>
          </w:p>
          <w:p w14:paraId="0EFFAFE9" w14:textId="77777777" w:rsidR="00D72F49" w:rsidRPr="003118D0" w:rsidRDefault="00D72F49" w:rsidP="00796BDB">
            <w:pPr>
              <w:spacing w:before="160"/>
              <w:rPr>
                <w:caps/>
                <w:sz w:val="22"/>
              </w:rPr>
            </w:pPr>
            <w:r w:rsidRPr="003118D0">
              <w:rPr>
                <w:sz w:val="22"/>
              </w:rPr>
              <w:t>__________________</w:t>
            </w:r>
          </w:p>
          <w:p w14:paraId="020C33E6" w14:textId="77777777" w:rsidR="00D72F49" w:rsidRPr="003118D0" w:rsidRDefault="00D72F49" w:rsidP="00796BDB">
            <w:pPr>
              <w:spacing w:before="160"/>
              <w:rPr>
                <w:b/>
                <w:bCs/>
                <w:sz w:val="26"/>
                <w:szCs w:val="26"/>
              </w:rPr>
            </w:pPr>
            <w:r w:rsidRPr="003118D0">
              <w:rPr>
                <w:b/>
                <w:bCs/>
                <w:sz w:val="26"/>
                <w:szCs w:val="26"/>
              </w:rPr>
              <w:t>Références</w:t>
            </w:r>
          </w:p>
          <w:p w14:paraId="292F9F26" w14:textId="46925E7E" w:rsidR="00D72F49" w:rsidRPr="000F36F5" w:rsidRDefault="00A02FEA" w:rsidP="00CE5172">
            <w:pPr>
              <w:pStyle w:val="Referencetext"/>
              <w:framePr w:hSpace="0" w:wrap="auto" w:vAnchor="margin" w:hAnchor="text" w:xAlign="left" w:yAlign="inline"/>
            </w:pPr>
            <w:r w:rsidRPr="000F36F5">
              <w:t xml:space="preserve">Résolution </w:t>
            </w:r>
            <w:hyperlink r:id="rId7" w:history="1">
              <w:r w:rsidRPr="000F36F5">
                <w:rPr>
                  <w:rStyle w:val="Hyperlink"/>
                  <w:rFonts w:eastAsia="Times New Roman" w:cs="Times New Roman"/>
                </w:rPr>
                <w:t>179 (Rév. Bucarest, 2022)</w:t>
              </w:r>
            </w:hyperlink>
            <w:r w:rsidRPr="000F36F5">
              <w:t xml:space="preserve"> de la Conférence de plénipotentiaires; </w:t>
            </w:r>
            <w:hyperlink r:id="rId8" w:anchor="/fr" w:history="1">
              <w:r w:rsidRPr="000F36F5">
                <w:rPr>
                  <w:rStyle w:val="Hyperlink"/>
                  <w:rFonts w:eastAsia="Times New Roman" w:cs="Times New Roman"/>
                </w:rPr>
                <w:t>site web du GTC</w:t>
              </w:r>
              <w:r w:rsidR="00C35BDD" w:rsidRPr="000F36F5">
                <w:rPr>
                  <w:rStyle w:val="Hyperlink"/>
                  <w:rFonts w:eastAsia="Times New Roman" w:cs="Times New Roman"/>
                </w:rPr>
                <w:noBreakHyphen/>
              </w:r>
              <w:r w:rsidRPr="000F36F5">
                <w:rPr>
                  <w:rStyle w:val="Hyperlink"/>
                  <w:rFonts w:eastAsia="Times New Roman" w:cs="Times New Roman"/>
                </w:rPr>
                <w:t>COP</w:t>
              </w:r>
            </w:hyperlink>
            <w:r w:rsidRPr="000F36F5">
              <w:t xml:space="preserve">; </w:t>
            </w:r>
            <w:r w:rsidR="000F36F5" w:rsidRPr="000F36F5">
              <w:t xml:space="preserve">Rapports </w:t>
            </w:r>
            <w:r w:rsidRPr="000F36F5">
              <w:t xml:space="preserve">des </w:t>
            </w:r>
            <w:hyperlink r:id="rId9" w:anchor="/fr" w:history="1">
              <w:r w:rsidRPr="000F36F5">
                <w:rPr>
                  <w:rStyle w:val="Hyperlink"/>
                  <w:rFonts w:eastAsia="Times New Roman" w:cs="Times New Roman"/>
                </w:rPr>
                <w:t>vingt-troisième</w:t>
              </w:r>
            </w:hyperlink>
            <w:r w:rsidRPr="000F36F5">
              <w:t xml:space="preserve"> et </w:t>
            </w:r>
            <w:hyperlink r:id="rId10" w:anchor="/fr" w:history="1">
              <w:r w:rsidRPr="000F36F5">
                <w:rPr>
                  <w:rStyle w:val="Hyperlink"/>
                  <w:rFonts w:eastAsia="Times New Roman" w:cs="Times New Roman"/>
                </w:rPr>
                <w:t>vingt-quatrième réunions</w:t>
              </w:r>
            </w:hyperlink>
            <w:r w:rsidRPr="000F36F5">
              <w:t>.</w:t>
            </w:r>
          </w:p>
        </w:tc>
      </w:tr>
    </w:tbl>
    <w:p w14:paraId="481D7AF5" w14:textId="77777777" w:rsidR="00A51849" w:rsidRPr="003118D0" w:rsidRDefault="00A51849" w:rsidP="00A02FEA">
      <w:pPr>
        <w:tabs>
          <w:tab w:val="clear" w:pos="567"/>
          <w:tab w:val="clear" w:pos="1134"/>
          <w:tab w:val="clear" w:pos="1701"/>
          <w:tab w:val="clear" w:pos="2268"/>
          <w:tab w:val="clear" w:pos="2835"/>
        </w:tabs>
        <w:overflowPunct/>
        <w:autoSpaceDE/>
        <w:autoSpaceDN/>
        <w:adjustRightInd/>
        <w:spacing w:before="0"/>
        <w:textAlignment w:val="auto"/>
      </w:pPr>
      <w:r w:rsidRPr="003118D0">
        <w:br w:type="page"/>
      </w:r>
    </w:p>
    <w:p w14:paraId="58BEF6EF" w14:textId="77777777" w:rsidR="00A02FEA" w:rsidRPr="003118D0" w:rsidRDefault="00A02FEA" w:rsidP="00A02FEA">
      <w:pPr>
        <w:pStyle w:val="Heading1"/>
      </w:pPr>
      <w:r w:rsidRPr="003118D0">
        <w:rPr>
          <w:bCs/>
        </w:rPr>
        <w:lastRenderedPageBreak/>
        <w:t>1</w:t>
      </w:r>
      <w:r w:rsidRPr="003118D0">
        <w:tab/>
      </w:r>
      <w:r w:rsidRPr="003118D0">
        <w:rPr>
          <w:bCs/>
        </w:rPr>
        <w:t>Introduction</w:t>
      </w:r>
    </w:p>
    <w:p w14:paraId="3114249D" w14:textId="4E98D91C" w:rsidR="00A02FEA" w:rsidRPr="003118D0" w:rsidRDefault="00A02FEA" w:rsidP="00D93628">
      <w:pPr>
        <w:jc w:val="both"/>
        <w:rPr>
          <w:rFonts w:cs="Calibri"/>
        </w:rPr>
      </w:pPr>
      <w:r w:rsidRPr="003118D0">
        <w:t>1.1</w:t>
      </w:r>
      <w:r w:rsidRPr="003118D0">
        <w:tab/>
        <w:t xml:space="preserve">Le </w:t>
      </w:r>
      <w:hyperlink r:id="rId11" w:anchor="/fr" w:history="1">
        <w:r w:rsidRPr="003118D0">
          <w:rPr>
            <w:rStyle w:val="Hyperlink"/>
            <w:rFonts w:eastAsia="Times New Roman" w:cs="Times New Roman"/>
            <w:szCs w:val="20"/>
          </w:rPr>
          <w:t>Groupe de travail du Conseil de l</w:t>
        </w:r>
        <w:r w:rsidR="00C35BDD" w:rsidRPr="003118D0">
          <w:rPr>
            <w:rStyle w:val="Hyperlink"/>
            <w:rFonts w:eastAsia="Times New Roman" w:cs="Times New Roman"/>
            <w:szCs w:val="20"/>
          </w:rPr>
          <w:t>'</w:t>
        </w:r>
        <w:r w:rsidRPr="003118D0">
          <w:rPr>
            <w:rStyle w:val="Hyperlink"/>
            <w:rFonts w:eastAsia="Times New Roman" w:cs="Times New Roman"/>
            <w:szCs w:val="20"/>
          </w:rPr>
          <w:t>UIT sur la protection en ligne des enfants</w:t>
        </w:r>
      </w:hyperlink>
      <w:r w:rsidRPr="003118D0">
        <w:t xml:space="preserve"> </w:t>
      </w:r>
      <w:r w:rsidR="007139C2">
        <w:t>(</w:t>
      </w:r>
      <w:r w:rsidR="007139C2" w:rsidRPr="003118D0">
        <w:t>GTC-COP</w:t>
      </w:r>
      <w:r w:rsidR="007139C2">
        <w:t xml:space="preserve">) </w:t>
      </w:r>
      <w:r w:rsidRPr="003118D0">
        <w:t xml:space="preserve">a été créé </w:t>
      </w:r>
      <w:r w:rsidR="00C35BDD" w:rsidRPr="003118D0">
        <w:t>par</w:t>
      </w:r>
      <w:r w:rsidRPr="003118D0">
        <w:t xml:space="preserve"> la Résolution </w:t>
      </w:r>
      <w:hyperlink r:id="rId12" w:history="1">
        <w:r w:rsidRPr="00D93628">
          <w:rPr>
            <w:rStyle w:val="Hyperlink"/>
            <w:rFonts w:eastAsia="Times New Roman" w:cs="Times New Roman"/>
            <w:szCs w:val="20"/>
          </w:rPr>
          <w:t>1306 (Mod. 2015)</w:t>
        </w:r>
      </w:hyperlink>
      <w:r w:rsidR="000F36F5">
        <w:t xml:space="preserve"> </w:t>
      </w:r>
      <w:r w:rsidR="000F36F5" w:rsidRPr="003118D0">
        <w:t>du Conseil</w:t>
      </w:r>
      <w:r w:rsidRPr="003118D0">
        <w:t xml:space="preserve">, conformément à la Résolution </w:t>
      </w:r>
      <w:hyperlink r:id="rId13" w:history="1">
        <w:r w:rsidRPr="00D93628">
          <w:rPr>
            <w:rStyle w:val="Hyperlink"/>
            <w:rFonts w:eastAsia="Times New Roman" w:cs="Times New Roman"/>
            <w:szCs w:val="20"/>
          </w:rPr>
          <w:t>179 (Rév.</w:t>
        </w:r>
        <w:r w:rsidR="00C35BDD" w:rsidRPr="00D93628">
          <w:rPr>
            <w:rStyle w:val="Hyperlink"/>
            <w:rFonts w:eastAsia="Times New Roman" w:cs="Times New Roman"/>
            <w:szCs w:val="20"/>
          </w:rPr>
          <w:t> </w:t>
        </w:r>
        <w:r w:rsidRPr="00D93628">
          <w:rPr>
            <w:rStyle w:val="Hyperlink"/>
            <w:rFonts w:eastAsia="Times New Roman" w:cs="Times New Roman"/>
            <w:szCs w:val="20"/>
          </w:rPr>
          <w:t>Bucarest, 2022)</w:t>
        </w:r>
      </w:hyperlink>
      <w:r w:rsidRPr="003118D0">
        <w:t xml:space="preserve"> de la Conférence de plénipotentiaires de l</w:t>
      </w:r>
      <w:r w:rsidR="00C35BDD" w:rsidRPr="003118D0">
        <w:t>'</w:t>
      </w:r>
      <w:r w:rsidRPr="003118D0">
        <w:t>UIT. La participation à ses travaux est ouverte à toutes les parties prenantes pertinentes.</w:t>
      </w:r>
      <w:hyperlink r:id="rId14" w:history="1"/>
      <w:hyperlink r:id="rId15" w:history="1"/>
      <w:hyperlink r:id="rId16" w:history="1"/>
    </w:p>
    <w:p w14:paraId="6CCD6330" w14:textId="418B5265" w:rsidR="00A02FEA" w:rsidRPr="003118D0" w:rsidRDefault="00A02FEA" w:rsidP="00D93628">
      <w:pPr>
        <w:jc w:val="both"/>
        <w:rPr>
          <w:rFonts w:cs="Calibri"/>
        </w:rPr>
      </w:pPr>
      <w:r w:rsidRPr="003118D0">
        <w:t>1.2</w:t>
      </w:r>
      <w:r w:rsidRPr="003118D0">
        <w:tab/>
        <w:t xml:space="preserve">Le mandat du </w:t>
      </w:r>
      <w:r w:rsidR="00673225" w:rsidRPr="003118D0">
        <w:t>GTC-COP</w:t>
      </w:r>
      <w:r w:rsidR="00673225" w:rsidRPr="003118D0">
        <w:t xml:space="preserve"> </w:t>
      </w:r>
      <w:r w:rsidRPr="003118D0">
        <w:t>est défini dans l'</w:t>
      </w:r>
      <w:hyperlink r:id="rId17" w:anchor="/fr" w:history="1">
        <w:r w:rsidRPr="003118D0">
          <w:rPr>
            <w:rStyle w:val="Hyperlink"/>
            <w:rFonts w:eastAsia="Times New Roman" w:cs="Times New Roman"/>
            <w:szCs w:val="20"/>
          </w:rPr>
          <w:t>Annexe 1 du rapport de la première</w:t>
        </w:r>
        <w:r w:rsidR="00C35BDD" w:rsidRPr="003118D0">
          <w:rPr>
            <w:rStyle w:val="Hyperlink"/>
            <w:rFonts w:eastAsia="Times New Roman" w:cs="Times New Roman"/>
            <w:szCs w:val="20"/>
          </w:rPr>
          <w:t> </w:t>
        </w:r>
        <w:r w:rsidRPr="003118D0">
          <w:rPr>
            <w:rStyle w:val="Hyperlink"/>
            <w:rFonts w:eastAsia="Times New Roman" w:cs="Times New Roman"/>
            <w:szCs w:val="20"/>
          </w:rPr>
          <w:t>réunion</w:t>
        </w:r>
      </w:hyperlink>
      <w:r w:rsidRPr="003118D0">
        <w:t>.</w:t>
      </w:r>
      <w:hyperlink r:id="rId18" w:history="1"/>
    </w:p>
    <w:p w14:paraId="1E632592" w14:textId="77777777" w:rsidR="00A02FEA" w:rsidRPr="003118D0" w:rsidRDefault="00A02FEA" w:rsidP="00D93628">
      <w:pPr>
        <w:jc w:val="both"/>
        <w:rPr>
          <w:rFonts w:cs="Calibri"/>
        </w:rPr>
      </w:pPr>
      <w:r w:rsidRPr="003118D0">
        <w:t>1.3</w:t>
      </w:r>
      <w:r w:rsidRPr="003118D0">
        <w:tab/>
        <w:t>Par sa Résolution 179 (Rév. Bucarest, 2022), la Conférence de plénipotentiaires a chargé le Conseil:</w:t>
      </w:r>
    </w:p>
    <w:p w14:paraId="5CA512B3" w14:textId="5FCE3793" w:rsidR="00A02FEA" w:rsidRPr="003118D0" w:rsidRDefault="00A02FEA" w:rsidP="00D93628">
      <w:pPr>
        <w:pStyle w:val="enumlev1"/>
        <w:jc w:val="both"/>
      </w:pPr>
      <w:r w:rsidRPr="003118D0">
        <w:t>–</w:t>
      </w:r>
      <w:r w:rsidRPr="003118D0">
        <w:tab/>
        <w:t>de poursuivre les travaux menés par le GTC-COP, afin de faciliter la fourniture par les membres de contributions et d'orientations sur le rôle de l'UIT dans la protection en ligne des enfants et de servir de cadre de discussion et d'échange de bonnes pratiques;</w:t>
      </w:r>
    </w:p>
    <w:p w14:paraId="43CB53DD" w14:textId="0536FD5D" w:rsidR="00A02FEA" w:rsidRPr="003118D0" w:rsidRDefault="00A02FEA" w:rsidP="00D93628">
      <w:pPr>
        <w:pStyle w:val="enumlev1"/>
        <w:jc w:val="both"/>
      </w:pPr>
      <w:r w:rsidRPr="003118D0">
        <w:t>–</w:t>
      </w:r>
      <w:r w:rsidRPr="003118D0">
        <w:tab/>
        <w:t>de faciliter la contribution et la participation de toutes les parties prenantes concernées aux travaux du GTC-COP, afin d'assurer la plus grande collaboration possible lors de la mise en œuvre de cette Résolution;</w:t>
      </w:r>
    </w:p>
    <w:p w14:paraId="6A5D2245" w14:textId="6D2C726E" w:rsidR="00A02FEA" w:rsidRPr="003118D0" w:rsidRDefault="00A02FEA" w:rsidP="00D93628">
      <w:pPr>
        <w:pStyle w:val="enumlev1"/>
        <w:jc w:val="both"/>
      </w:pPr>
      <w:r w:rsidRPr="003118D0">
        <w:t>–</w:t>
      </w:r>
      <w:r w:rsidRPr="003118D0">
        <w:tab/>
        <w:t>d'encourager le GTC-COP à établir une liaison avec le Groupe de travail du Conseil sur les questions de politiques publiques internationales relatives à l'Internet (GTC</w:t>
      </w:r>
      <w:r w:rsidR="00C35BDD" w:rsidRPr="003118D0">
        <w:noBreakHyphen/>
      </w:r>
      <w:r w:rsidRPr="003118D0">
        <w:t>Internet), s'il y a lieu, afin de contribuer d'une manière avantageuse pour tous à la réalisation des travaux sur les questions pertinentes qui relèvent du mandat de ces groupes de travail du Conseil;</w:t>
      </w:r>
    </w:p>
    <w:p w14:paraId="11F89ADE" w14:textId="172D8E72" w:rsidR="00A02FEA" w:rsidRPr="003118D0" w:rsidRDefault="00A02FEA" w:rsidP="00D93628">
      <w:pPr>
        <w:pStyle w:val="enumlev1"/>
        <w:jc w:val="both"/>
      </w:pPr>
      <w:r w:rsidRPr="003118D0">
        <w:t>–</w:t>
      </w:r>
      <w:r w:rsidRPr="003118D0">
        <w:tab/>
        <w:t>d'encourager le GTC-COP à établir une liaison avec la Commission d'études 2 de l'UIT</w:t>
      </w:r>
      <w:r w:rsidR="00C35BDD" w:rsidRPr="003118D0">
        <w:noBreakHyphen/>
      </w:r>
      <w:r w:rsidRPr="003118D0">
        <w:t>D, en faisant connaître les résultats des réunions de ce groupe, afin de favoriser les discussions sur les Questions à l'étude pertinentes;</w:t>
      </w:r>
    </w:p>
    <w:p w14:paraId="0959FC69" w14:textId="49BE5A65" w:rsidR="00A02FEA" w:rsidRPr="003118D0" w:rsidRDefault="00A02FEA" w:rsidP="00D93628">
      <w:pPr>
        <w:pStyle w:val="enumlev1"/>
        <w:jc w:val="both"/>
      </w:pPr>
      <w:r w:rsidRPr="003118D0">
        <w:t>–</w:t>
      </w:r>
      <w:r w:rsidRPr="003118D0">
        <w:tab/>
        <w:t>d'encourager le GTC-COP à mener des consultations en ligne auprès des jeunes, afin de recueillir leurs vues et leur avis sur les différentes questions liées à la protection en ligne des enfants, avant et pendant sa réunion;</w:t>
      </w:r>
    </w:p>
    <w:p w14:paraId="5C34FFBD" w14:textId="77777777" w:rsidR="00A02FEA" w:rsidRPr="003118D0" w:rsidRDefault="00A02FEA" w:rsidP="00D93628">
      <w:pPr>
        <w:pStyle w:val="enumlev1"/>
        <w:jc w:val="both"/>
      </w:pPr>
      <w:r w:rsidRPr="003118D0">
        <w:t>–</w:t>
      </w:r>
      <w:r w:rsidRPr="003118D0">
        <w:tab/>
        <w:t>de continuer de rendre accessibles au public, sans protection par des mots de passe, les documents finals relatifs aux questions de protection en ligne des enfants.</w:t>
      </w:r>
    </w:p>
    <w:p w14:paraId="7843ED51" w14:textId="77777777" w:rsidR="00A02FEA" w:rsidRPr="003118D0" w:rsidRDefault="00A02FEA" w:rsidP="00A02FEA">
      <w:pPr>
        <w:pStyle w:val="Heading1"/>
      </w:pPr>
      <w:r w:rsidRPr="003118D0">
        <w:rPr>
          <w:bCs/>
        </w:rPr>
        <w:t>2</w:t>
      </w:r>
      <w:r w:rsidRPr="003118D0">
        <w:tab/>
      </w:r>
      <w:r w:rsidRPr="003118D0">
        <w:rPr>
          <w:bCs/>
        </w:rPr>
        <w:t>Activités du GTC-COP</w:t>
      </w:r>
    </w:p>
    <w:p w14:paraId="60F43FB3" w14:textId="2FF69073" w:rsidR="00A02FEA" w:rsidRPr="003118D0" w:rsidRDefault="00A02FEA" w:rsidP="00D93628">
      <w:pPr>
        <w:jc w:val="both"/>
      </w:pPr>
      <w:r w:rsidRPr="003118D0">
        <w:t>2.1</w:t>
      </w:r>
      <w:r w:rsidRPr="003118D0">
        <w:tab/>
        <w:t>On trouvera dans le présent document le résumé, établi par le Président, des activités et des résultats des vingt-troisième et vingt-quatrième réunions du Groupe de travail du Conseil sur la protection en ligne des enfants (GTC-COP), tenues respectivement le 16</w:t>
      </w:r>
      <w:r w:rsidR="00C35BDD" w:rsidRPr="003118D0">
        <w:t> </w:t>
      </w:r>
      <w:r w:rsidRPr="003118D0">
        <w:t>septembre 2025 et le 19 janvier 2026, dans le cadre des travaux du Groupe depuis la session de 2025 du Conseil.</w:t>
      </w:r>
    </w:p>
    <w:p w14:paraId="153C98DC" w14:textId="77777777" w:rsidR="00A02FEA" w:rsidRPr="003118D0" w:rsidRDefault="00A02FEA" w:rsidP="00D93628">
      <w:pPr>
        <w:jc w:val="both"/>
      </w:pPr>
      <w:r w:rsidRPr="003118D0">
        <w:t>Au cours de cette période, les travaux du groupe ont consisté:</w:t>
      </w:r>
    </w:p>
    <w:p w14:paraId="50C0F9CD" w14:textId="211069E4" w:rsidR="00A02FEA" w:rsidRPr="003118D0" w:rsidRDefault="00A02FEA" w:rsidP="00D93628">
      <w:pPr>
        <w:pStyle w:val="enumlev1"/>
        <w:jc w:val="both"/>
      </w:pPr>
      <w:r w:rsidRPr="003118D0">
        <w:t>a)</w:t>
      </w:r>
      <w:r w:rsidRPr="003118D0">
        <w:tab/>
        <w:t>à faire avancer les discussions stratégiques sur la protection en ligne des enfants dans le contexte des technologies émergentes, en particulier de l</w:t>
      </w:r>
      <w:r w:rsidR="00C35BDD" w:rsidRPr="003118D0">
        <w:t>'</w:t>
      </w:r>
      <w:r w:rsidRPr="003118D0">
        <w:t>intelligence artificielle;</w:t>
      </w:r>
    </w:p>
    <w:p w14:paraId="163C0B10" w14:textId="0DBB08B4" w:rsidR="00A02FEA" w:rsidRPr="003118D0" w:rsidRDefault="00A02FEA" w:rsidP="00D93628">
      <w:pPr>
        <w:pStyle w:val="enumlev1"/>
        <w:jc w:val="both"/>
      </w:pPr>
      <w:r w:rsidRPr="003118D0">
        <w:t>b)</w:t>
      </w:r>
      <w:r w:rsidRPr="003118D0">
        <w:tab/>
        <w:t>à présenter les initiatives nationales, régionales et sectorielles traitant des risques et des possibilités en matière de sécurité en ligne des enfants;</w:t>
      </w:r>
    </w:p>
    <w:p w14:paraId="18811345" w14:textId="301A833F" w:rsidR="00A02FEA" w:rsidRPr="003118D0" w:rsidRDefault="00A02FEA" w:rsidP="00D93628">
      <w:pPr>
        <w:pStyle w:val="enumlev1"/>
        <w:jc w:val="both"/>
      </w:pPr>
      <w:r w:rsidRPr="003118D0">
        <w:t>c)</w:t>
      </w:r>
      <w:r w:rsidRPr="003118D0">
        <w:tab/>
        <w:t>à renforcer la coordination entre les activités de normalisation politiques, opérationnelles et techniques au sein de l</w:t>
      </w:r>
      <w:r w:rsidR="00C35BDD" w:rsidRPr="003118D0">
        <w:t>'</w:t>
      </w:r>
      <w:r w:rsidRPr="003118D0">
        <w:t>UIT</w:t>
      </w:r>
      <w:r w:rsidR="00C35BDD" w:rsidRPr="003118D0">
        <w:t>;</w:t>
      </w:r>
    </w:p>
    <w:p w14:paraId="2ACD0939" w14:textId="5252F5F2" w:rsidR="00A02FEA" w:rsidRPr="003118D0" w:rsidRDefault="00A02FEA" w:rsidP="00D93628">
      <w:pPr>
        <w:pStyle w:val="enumlev1"/>
        <w:jc w:val="both"/>
      </w:pPr>
      <w:r w:rsidRPr="003118D0">
        <w:lastRenderedPageBreak/>
        <w:t>d)</w:t>
      </w:r>
      <w:r w:rsidRPr="003118D0">
        <w:tab/>
        <w:t>à promouvoir la participation multi-parties prenantes, notamment avec le secteur privé, la société civile et les organisations internationales</w:t>
      </w:r>
      <w:r w:rsidR="00C35BDD" w:rsidRPr="003118D0">
        <w:t>;</w:t>
      </w:r>
      <w:r w:rsidRPr="003118D0">
        <w:t xml:space="preserve"> et</w:t>
      </w:r>
    </w:p>
    <w:p w14:paraId="16E78A4E" w14:textId="7AD58247" w:rsidR="00A02FEA" w:rsidRPr="003118D0" w:rsidRDefault="00A02FEA" w:rsidP="00D93628">
      <w:pPr>
        <w:pStyle w:val="enumlev1"/>
        <w:jc w:val="both"/>
      </w:pPr>
      <w:r w:rsidRPr="003118D0">
        <w:t>e)</w:t>
      </w:r>
      <w:r w:rsidRPr="003118D0">
        <w:tab/>
        <w:t>à renforcer la transparence, l</w:t>
      </w:r>
      <w:r w:rsidR="00C35BDD" w:rsidRPr="003118D0">
        <w:t>'</w:t>
      </w:r>
      <w:r w:rsidRPr="003118D0">
        <w:t>échange d</w:t>
      </w:r>
      <w:r w:rsidR="00C35BDD" w:rsidRPr="003118D0">
        <w:t>'</w:t>
      </w:r>
      <w:r w:rsidRPr="003118D0">
        <w:t>informations et la collaboration entre les membres et les partenaires du GTC-COP.</w:t>
      </w:r>
    </w:p>
    <w:p w14:paraId="4BB18776" w14:textId="76261DB1" w:rsidR="00A02FEA" w:rsidRPr="003118D0" w:rsidRDefault="00A02FEA" w:rsidP="00D93628">
      <w:pPr>
        <w:jc w:val="both"/>
      </w:pPr>
      <w:r w:rsidRPr="003118D0">
        <w:t>2.2</w:t>
      </w:r>
      <w:r w:rsidRPr="003118D0">
        <w:tab/>
        <w:t>Au cours de ces deux réunions, le GTC-COP a servi de cadre pour l</w:t>
      </w:r>
      <w:r w:rsidR="00C35BDD" w:rsidRPr="003118D0">
        <w:t>'</w:t>
      </w:r>
      <w:r w:rsidRPr="003118D0">
        <w:t>échange de données d</w:t>
      </w:r>
      <w:r w:rsidR="00C35BDD" w:rsidRPr="003118D0">
        <w:t>'</w:t>
      </w:r>
      <w:r w:rsidRPr="003118D0">
        <w:t>expérience, de bonnes pratiques et d</w:t>
      </w:r>
      <w:r w:rsidR="00C35BDD" w:rsidRPr="003118D0">
        <w:t>'</w:t>
      </w:r>
      <w:r w:rsidRPr="003118D0">
        <w:t>approches nationales en matière de protection en ligne des enfants. Les États Membres et leurs partenaires ont présenté des initiatives visant à lutter contre les abus et l</w:t>
      </w:r>
      <w:r w:rsidR="00C35BDD" w:rsidRPr="003118D0">
        <w:t>'</w:t>
      </w:r>
      <w:r w:rsidRPr="003118D0">
        <w:t>exploitation sexuels des enfants en ligne, le temps d</w:t>
      </w:r>
      <w:r w:rsidR="00C35BDD" w:rsidRPr="003118D0">
        <w:t>'</w:t>
      </w:r>
      <w:r w:rsidRPr="003118D0">
        <w:t>écran excessif, la maîtrise des outils numériques, l</w:t>
      </w:r>
      <w:r w:rsidR="00C35BDD" w:rsidRPr="003118D0">
        <w:t>'</w:t>
      </w:r>
      <w:r w:rsidRPr="003118D0">
        <w:t>autonomisation des parents, la protection des données et les risques émergents liés à l</w:t>
      </w:r>
      <w:r w:rsidR="00C35BDD" w:rsidRPr="003118D0">
        <w:t>'</w:t>
      </w:r>
      <w:r w:rsidRPr="003118D0">
        <w:t>intelligence artificielle et aux systèmes algorithmiques. Les participants ont souligné l</w:t>
      </w:r>
      <w:r w:rsidR="00C35BDD" w:rsidRPr="003118D0">
        <w:t>'</w:t>
      </w:r>
      <w:r w:rsidRPr="003118D0">
        <w:t>importance des approches multi-parties prenantes et mobilisant l'ensemble des pouvoirs publics associant sensibilisation, mesures réglementaires, solutions techniques, renforcement des capacités et coopération internationale.</w:t>
      </w:r>
    </w:p>
    <w:p w14:paraId="74A68B63" w14:textId="78865D44" w:rsidR="00A02FEA" w:rsidRPr="003118D0" w:rsidRDefault="00A02FEA" w:rsidP="00D93628">
      <w:pPr>
        <w:jc w:val="both"/>
      </w:pPr>
      <w:r w:rsidRPr="003118D0">
        <w:t>Une attention particulière a été accordée aux mécanismes opérationnels tels que les permanences nationales, les systèmes de signalement, les interventions en milieu scolaire et les outils de contrôle parental, ainsi qu</w:t>
      </w:r>
      <w:r w:rsidR="00C35BDD" w:rsidRPr="003118D0">
        <w:t>'</w:t>
      </w:r>
      <w:r w:rsidRPr="003118D0">
        <w:t>à la nécessité d</w:t>
      </w:r>
      <w:r w:rsidR="00C35BDD" w:rsidRPr="003118D0">
        <w:t>'</w:t>
      </w:r>
      <w:r w:rsidRPr="003118D0">
        <w:t>élaborer des politiques fondées sur des travaux de recherche et des données factuelles.</w:t>
      </w:r>
    </w:p>
    <w:p w14:paraId="343E46C8" w14:textId="143ADC7C" w:rsidR="00A02FEA" w:rsidRPr="003118D0" w:rsidRDefault="00A02FEA" w:rsidP="00D93628">
      <w:pPr>
        <w:jc w:val="both"/>
      </w:pPr>
      <w:r w:rsidRPr="003118D0">
        <w:t>2.3</w:t>
      </w:r>
      <w:r w:rsidRPr="003118D0">
        <w:tab/>
        <w:t>Les discussions menées au cours de la période considérée ont porté davantage sur les incidences de l</w:t>
      </w:r>
      <w:r w:rsidR="00C35BDD" w:rsidRPr="003118D0">
        <w:t>'</w:t>
      </w:r>
      <w:r w:rsidRPr="003118D0">
        <w:t>intelligence artificielle sur la protection en ligne des enfants. Les contributions ont porté sur les risques liés à l</w:t>
      </w:r>
      <w:r w:rsidR="00C35BDD" w:rsidRPr="003118D0">
        <w:t>'</w:t>
      </w:r>
      <w:r w:rsidRPr="003118D0">
        <w:t>IA, notamment la génération de contenus, la modération automatisée, les systèmes conversationnels et l</w:t>
      </w:r>
      <w:r w:rsidR="00C35BDD" w:rsidRPr="003118D0">
        <w:t>'</w:t>
      </w:r>
      <w:r w:rsidRPr="003118D0">
        <w:t>engagement basé sur des algorithmes, tout en soulignant les possibilités d</w:t>
      </w:r>
      <w:r w:rsidR="00C35BDD" w:rsidRPr="003118D0">
        <w:t>'</w:t>
      </w:r>
      <w:r w:rsidRPr="003118D0">
        <w:t>intégrer dans les services numériques des garanties de sécurité dès la conception qui soient centrées sur l</w:t>
      </w:r>
      <w:r w:rsidR="00C35BDD" w:rsidRPr="003118D0">
        <w:t>'</w:t>
      </w:r>
      <w:r w:rsidRPr="003118D0">
        <w:t>enfant.</w:t>
      </w:r>
    </w:p>
    <w:p w14:paraId="542E3D33" w14:textId="404B4E46" w:rsidR="00A02FEA" w:rsidRPr="007A7064" w:rsidRDefault="00A02FEA" w:rsidP="00D93628">
      <w:pPr>
        <w:jc w:val="both"/>
        <w:rPr>
          <w:spacing w:val="-2"/>
        </w:rPr>
      </w:pPr>
      <w:r w:rsidRPr="007A7064">
        <w:rPr>
          <w:spacing w:val="-2"/>
        </w:rPr>
        <w:t>Le Secrétariat a fait le point sur les grandes initiatives lancées à l</w:t>
      </w:r>
      <w:r w:rsidR="00C35BDD" w:rsidRPr="007A7064">
        <w:rPr>
          <w:spacing w:val="-2"/>
        </w:rPr>
        <w:t>'</w:t>
      </w:r>
      <w:r w:rsidRPr="007A7064">
        <w:rPr>
          <w:spacing w:val="-2"/>
        </w:rPr>
        <w:t>échelle mondiale pendant cette période, notamment la Déclaration conjointe sur l</w:t>
      </w:r>
      <w:r w:rsidR="00C35BDD" w:rsidRPr="007A7064">
        <w:rPr>
          <w:spacing w:val="-2"/>
        </w:rPr>
        <w:t>'</w:t>
      </w:r>
      <w:r w:rsidRPr="007A7064">
        <w:rPr>
          <w:spacing w:val="-2"/>
        </w:rPr>
        <w:t>intelligence artificielle et les droits de l</w:t>
      </w:r>
      <w:r w:rsidR="00C35BDD" w:rsidRPr="007A7064">
        <w:rPr>
          <w:spacing w:val="-2"/>
        </w:rPr>
        <w:t>'</w:t>
      </w:r>
      <w:r w:rsidRPr="007A7064">
        <w:rPr>
          <w:spacing w:val="-2"/>
        </w:rPr>
        <w:t xml:space="preserve">enfant et les principes de protection par la participation en ligne, ainsi que le dialogue en cours avec le secteur privé dans le cadre de la série de manifestations </w:t>
      </w:r>
      <w:r w:rsidRPr="007139C2">
        <w:rPr>
          <w:i/>
          <w:iCs/>
          <w:spacing w:val="-2"/>
        </w:rPr>
        <w:t>Industry Connect</w:t>
      </w:r>
      <w:r w:rsidRPr="007A7064">
        <w:rPr>
          <w:spacing w:val="-2"/>
        </w:rPr>
        <w:t xml:space="preserve"> de l</w:t>
      </w:r>
      <w:r w:rsidR="00C35BDD" w:rsidRPr="007A7064">
        <w:rPr>
          <w:spacing w:val="-2"/>
        </w:rPr>
        <w:t>'</w:t>
      </w:r>
      <w:r w:rsidRPr="007A7064">
        <w:rPr>
          <w:spacing w:val="-2"/>
        </w:rPr>
        <w:t>UIT.</w:t>
      </w:r>
    </w:p>
    <w:p w14:paraId="0CEE9F81" w14:textId="358D95DC" w:rsidR="00A02FEA" w:rsidRPr="003118D0" w:rsidRDefault="00A02FEA" w:rsidP="00D93628">
      <w:pPr>
        <w:jc w:val="both"/>
      </w:pPr>
      <w:r w:rsidRPr="003118D0">
        <w:t>2.4</w:t>
      </w:r>
      <w:r w:rsidRPr="003118D0">
        <w:tab/>
        <w:t>Le Groupe de travail a continué de renforcer sa coordination avec la Commission d</w:t>
      </w:r>
      <w:r w:rsidR="00C35BDD" w:rsidRPr="003118D0">
        <w:t>'</w:t>
      </w:r>
      <w:r w:rsidRPr="003118D0">
        <w:t>études 17 de l</w:t>
      </w:r>
      <w:r w:rsidR="00C35BDD" w:rsidRPr="003118D0">
        <w:t>'</w:t>
      </w:r>
      <w:r w:rsidRPr="003118D0">
        <w:t>UIT-T, notamment en échangeant des notes de liaison et en présentant l</w:t>
      </w:r>
      <w:r w:rsidR="00C35BDD" w:rsidRPr="003118D0">
        <w:t>'</w:t>
      </w:r>
      <w:r w:rsidRPr="003118D0">
        <w:t>analyse des lacunes sur les normes à l'appui de la protection en ligne des enfants élaborée par le Groupe de travail par correspondance sur la protection en ligne des enfants (CG-COP).</w:t>
      </w:r>
    </w:p>
    <w:p w14:paraId="3969C066" w14:textId="3280E5D3" w:rsidR="00A02FEA" w:rsidRPr="003118D0" w:rsidRDefault="00A02FEA" w:rsidP="00D93628">
      <w:pPr>
        <w:jc w:val="both"/>
      </w:pPr>
      <w:r w:rsidRPr="003118D0">
        <w:t>Les discussions ont mis en évidence les rôles complémentaires du GTC-COP et de l</w:t>
      </w:r>
      <w:r w:rsidR="00C35BDD" w:rsidRPr="003118D0">
        <w:t>'</w:t>
      </w:r>
      <w:r w:rsidRPr="003118D0">
        <w:t>UIT-T dans l</w:t>
      </w:r>
      <w:r w:rsidR="00C35BDD" w:rsidRPr="003118D0">
        <w:t>'</w:t>
      </w:r>
      <w:r w:rsidRPr="003118D0">
        <w:t>examen des dimensions politiques, opérationnelles et techniques de la protection en ligne des enfants, en particulier en ce qui concerne la vérification de l'âge, la modération automatisée des contenus et l</w:t>
      </w:r>
      <w:r w:rsidR="00C35BDD" w:rsidRPr="003118D0">
        <w:t>'</w:t>
      </w:r>
      <w:r w:rsidRPr="003118D0">
        <w:t>interopérabilité des outils de contrôle parental. Le Groupe s</w:t>
      </w:r>
      <w:r w:rsidR="00C35BDD" w:rsidRPr="003118D0">
        <w:t>'</w:t>
      </w:r>
      <w:r w:rsidRPr="003118D0">
        <w:t>est félicité de la poursuite de la collaboration et de l</w:t>
      </w:r>
      <w:r w:rsidR="00C35BDD" w:rsidRPr="003118D0">
        <w:t>'</w:t>
      </w:r>
      <w:r w:rsidRPr="003118D0">
        <w:t>échange d</w:t>
      </w:r>
      <w:r w:rsidR="00C35BDD" w:rsidRPr="003118D0">
        <w:t>'</w:t>
      </w:r>
      <w:r w:rsidRPr="003118D0">
        <w:t>informations visant à harmoniser les activités de normalisation et les discussions de politique générale.</w:t>
      </w:r>
    </w:p>
    <w:p w14:paraId="2906ED29" w14:textId="3B0EF618" w:rsidR="00A02FEA" w:rsidRPr="003118D0" w:rsidRDefault="00A02FEA" w:rsidP="00D93628">
      <w:pPr>
        <w:jc w:val="both"/>
      </w:pPr>
      <w:r w:rsidRPr="003118D0">
        <w:t>2.5</w:t>
      </w:r>
      <w:r w:rsidRPr="003118D0">
        <w:tab/>
        <w:t>Durant les deux réunions, les participants ont réaffirmé l</w:t>
      </w:r>
      <w:r w:rsidR="00C35BDD" w:rsidRPr="003118D0">
        <w:t>'</w:t>
      </w:r>
      <w:r w:rsidRPr="003118D0">
        <w:t>importance d</w:t>
      </w:r>
      <w:r w:rsidR="00C35BDD" w:rsidRPr="003118D0">
        <w:t>'</w:t>
      </w:r>
      <w:r w:rsidRPr="003118D0">
        <w:t>un engagement inclusif et multi-parties prenantes pour faire progresser la protection en ligne des enfants. Les contributions du secteur privé, de la société civile, des établissements universitaires et d</w:t>
      </w:r>
      <w:r w:rsidR="00C35BDD" w:rsidRPr="003118D0">
        <w:t>'</w:t>
      </w:r>
      <w:r w:rsidRPr="003118D0">
        <w:t>organisations internationales ont mis en évidence des outils innovants, des initiatives de sensibilisation, des programmes de recherche et de renforcement des capacités.</w:t>
      </w:r>
    </w:p>
    <w:p w14:paraId="09C50B26" w14:textId="05A94BFC" w:rsidR="00A02FEA" w:rsidRPr="003118D0" w:rsidRDefault="00A02FEA" w:rsidP="00D93628">
      <w:pPr>
        <w:jc w:val="both"/>
      </w:pPr>
      <w:r w:rsidRPr="003118D0">
        <w:t>Le Groupe de travail s</w:t>
      </w:r>
      <w:r w:rsidR="00C35BDD" w:rsidRPr="003118D0">
        <w:t>'</w:t>
      </w:r>
      <w:r w:rsidRPr="003118D0">
        <w:t xml:space="preserve">est également félicité des dernières informations sur les initiatives régionales et mondiales, y compris les efforts de collaboration menés par les institutions des </w:t>
      </w:r>
      <w:r w:rsidRPr="003118D0">
        <w:lastRenderedPageBreak/>
        <w:t>Nations Unies et les partenaires internationaux, et a noté l</w:t>
      </w:r>
      <w:r w:rsidR="00C35BDD" w:rsidRPr="003118D0">
        <w:t>'</w:t>
      </w:r>
      <w:r w:rsidRPr="003118D0">
        <w:t>intérêt que revêtent le partage des ressources et des connaissances par l</w:t>
      </w:r>
      <w:r w:rsidR="00C35BDD" w:rsidRPr="003118D0">
        <w:t>'</w:t>
      </w:r>
      <w:r w:rsidRPr="003118D0">
        <w:t>intermédiaire des plates-formes de l</w:t>
      </w:r>
      <w:r w:rsidR="00C35BDD" w:rsidRPr="003118D0">
        <w:t>'</w:t>
      </w:r>
      <w:r w:rsidRPr="003118D0">
        <w:t>UIT pour produire des retombées modulables et durables.</w:t>
      </w:r>
    </w:p>
    <w:p w14:paraId="67496EB2" w14:textId="7D88506A" w:rsidR="00A02FEA" w:rsidRPr="003118D0" w:rsidRDefault="00A02FEA" w:rsidP="00D93628">
      <w:pPr>
        <w:jc w:val="both"/>
      </w:pPr>
      <w:r w:rsidRPr="003118D0">
        <w:t>2.6</w:t>
      </w:r>
      <w:r w:rsidRPr="003118D0">
        <w:tab/>
        <w:t>Les principaux résultats des vingt-troisième et vingt-quatrième réunions sont les suivants:</w:t>
      </w:r>
    </w:p>
    <w:p w14:paraId="07287DDB" w14:textId="27E01FC9" w:rsidR="00A02FEA" w:rsidRPr="003118D0" w:rsidRDefault="00A02FEA" w:rsidP="00D93628">
      <w:pPr>
        <w:pStyle w:val="enumlev1"/>
        <w:jc w:val="both"/>
      </w:pPr>
      <w:r w:rsidRPr="003118D0">
        <w:t>–</w:t>
      </w:r>
      <w:r w:rsidRPr="003118D0">
        <w:tab/>
        <w:t>Renforcement de la transparence et des pratiques de partage de l</w:t>
      </w:r>
      <w:r w:rsidR="00C35BDD" w:rsidRPr="003118D0">
        <w:t>'</w:t>
      </w:r>
      <w:r w:rsidRPr="003118D0">
        <w:t>information au sein du GTC-COP, y compris la publication de documents d</w:t>
      </w:r>
      <w:r w:rsidR="00C35BDD" w:rsidRPr="003118D0">
        <w:t>'</w:t>
      </w:r>
      <w:r w:rsidRPr="003118D0">
        <w:t>information et de ressources sur le site web du GTC.</w:t>
      </w:r>
    </w:p>
    <w:p w14:paraId="3770F035" w14:textId="3C78F204" w:rsidR="00A02FEA" w:rsidRPr="003118D0" w:rsidRDefault="00A02FEA" w:rsidP="00D93628">
      <w:pPr>
        <w:pStyle w:val="enumlev1"/>
        <w:jc w:val="both"/>
      </w:pPr>
      <w:r w:rsidRPr="003118D0">
        <w:t>–</w:t>
      </w:r>
      <w:r w:rsidRPr="003118D0">
        <w:tab/>
        <w:t>Reconnaissance de l</w:t>
      </w:r>
      <w:r w:rsidR="00C35BDD" w:rsidRPr="003118D0">
        <w:t>'</w:t>
      </w:r>
      <w:r w:rsidRPr="003118D0">
        <w:t>utilité des données d'expérience et des bonnes pratiques nationales pour éclairer les efforts déployés dans le domaine de la protection en ligne des enfants à travers le monde.</w:t>
      </w:r>
    </w:p>
    <w:p w14:paraId="02BBFD32" w14:textId="472E1098" w:rsidR="00A02FEA" w:rsidRPr="003118D0" w:rsidRDefault="00A02FEA" w:rsidP="00D93628">
      <w:pPr>
        <w:pStyle w:val="enumlev1"/>
        <w:jc w:val="both"/>
      </w:pPr>
      <w:r w:rsidRPr="003118D0">
        <w:t>–</w:t>
      </w:r>
      <w:r w:rsidRPr="003118D0">
        <w:tab/>
        <w:t>Renforcement de la coordination avec la Commission d</w:t>
      </w:r>
      <w:r w:rsidR="00C35BDD" w:rsidRPr="003118D0">
        <w:t>'</w:t>
      </w:r>
      <w:r w:rsidRPr="003118D0">
        <w:t>études 17 de l</w:t>
      </w:r>
      <w:r w:rsidR="00C35BDD" w:rsidRPr="003118D0">
        <w:t>'</w:t>
      </w:r>
      <w:r w:rsidRPr="003118D0">
        <w:t>UIT-T par le biais de notes de liaison et d</w:t>
      </w:r>
      <w:r w:rsidR="00C35BDD" w:rsidRPr="003118D0">
        <w:t>'</w:t>
      </w:r>
      <w:r w:rsidRPr="003118D0">
        <w:t>une collaboration technique.</w:t>
      </w:r>
    </w:p>
    <w:p w14:paraId="00ED15C6" w14:textId="6C90E92D" w:rsidR="00A02FEA" w:rsidRPr="003118D0" w:rsidRDefault="00A02FEA" w:rsidP="00D93628">
      <w:pPr>
        <w:pStyle w:val="enumlev1"/>
        <w:jc w:val="both"/>
      </w:pPr>
      <w:r w:rsidRPr="003118D0">
        <w:t>–</w:t>
      </w:r>
      <w:r w:rsidRPr="003118D0">
        <w:tab/>
        <w:t>Reconnaissance de l</w:t>
      </w:r>
      <w:r w:rsidR="00C35BDD" w:rsidRPr="003118D0">
        <w:t>'</w:t>
      </w:r>
      <w:r w:rsidRPr="003118D0">
        <w:t>importance croissante de l</w:t>
      </w:r>
      <w:r w:rsidR="00C35BDD" w:rsidRPr="003118D0">
        <w:t>'</w:t>
      </w:r>
      <w:r w:rsidRPr="003118D0">
        <w:t>intelligence artificielle et des technologies émergentes dans les discussions sur la protection en ligne des enfants</w:t>
      </w:r>
      <w:r w:rsidR="004E5675" w:rsidRPr="003118D0">
        <w:t>.</w:t>
      </w:r>
    </w:p>
    <w:p w14:paraId="2268FFA9" w14:textId="77777777" w:rsidR="00A02FEA" w:rsidRPr="003118D0" w:rsidRDefault="00A02FEA" w:rsidP="00D93628">
      <w:pPr>
        <w:pStyle w:val="enumlev1"/>
        <w:jc w:val="both"/>
      </w:pPr>
      <w:r w:rsidRPr="003118D0">
        <w:t>–</w:t>
      </w:r>
      <w:r w:rsidRPr="003118D0">
        <w:tab/>
        <w:t>Promotion de la poursuite du dialogue, de la collaboration et de la mobilisation entre les États Membres, le Secrétariat et les partenaires.</w:t>
      </w:r>
    </w:p>
    <w:p w14:paraId="3124BFBF" w14:textId="6FC3F02D" w:rsidR="00A02FEA" w:rsidRPr="003118D0" w:rsidRDefault="00A02FEA" w:rsidP="00D93628">
      <w:pPr>
        <w:pStyle w:val="enumlev1"/>
        <w:jc w:val="both"/>
      </w:pPr>
      <w:r w:rsidRPr="003118D0">
        <w:t>–</w:t>
      </w:r>
      <w:r w:rsidRPr="003118D0">
        <w:tab/>
        <w:t>Amélioration des rapports soumis par les bureaux régionaux de l</w:t>
      </w:r>
      <w:r w:rsidR="00C35BDD" w:rsidRPr="003118D0">
        <w:t>'</w:t>
      </w:r>
      <w:r w:rsidRPr="003118D0">
        <w:t>UIT au GTC-COP sur les activités de protection en ligne des enfants menées pendant la période considérée, afin de mieux refléter et de renforcer la participation régionale aux travaux du GTC</w:t>
      </w:r>
      <w:r w:rsidR="004E5675" w:rsidRPr="003118D0">
        <w:noBreakHyphen/>
      </w:r>
      <w:r w:rsidRPr="003118D0">
        <w:t>COP.</w:t>
      </w:r>
    </w:p>
    <w:p w14:paraId="69DCC269" w14:textId="265CC8DA" w:rsidR="00A02FEA" w:rsidRPr="003118D0" w:rsidRDefault="00A02FEA" w:rsidP="00D93628">
      <w:pPr>
        <w:jc w:val="both"/>
      </w:pPr>
      <w:r w:rsidRPr="003118D0">
        <w:t>2.7</w:t>
      </w:r>
      <w:r w:rsidRPr="003118D0">
        <w:tab/>
        <w:t>À la vingt-troisième réunion du GTC-COP, les États Membres, les Membres de Secteur et les partenaires ont examiné un large éventail de contributions portant sur les aspects politiques, techniques et opérationnels de la protection en ligne des enfants. Les discussions ont porté sur la sensibilisation et les mesures réglementaires, les efforts de normalisation, les outils d</w:t>
      </w:r>
      <w:r w:rsidR="00C35BDD" w:rsidRPr="003118D0">
        <w:t>'</w:t>
      </w:r>
      <w:r w:rsidRPr="003118D0">
        <w:t>autonomisation des parents et les questions émergentes liées à l</w:t>
      </w:r>
      <w:r w:rsidR="00C35BDD" w:rsidRPr="003118D0">
        <w:t>'</w:t>
      </w:r>
      <w:r w:rsidRPr="003118D0">
        <w:t>intelligence artificielle, au cryptage et à l</w:t>
      </w:r>
      <w:r w:rsidR="00C35BDD" w:rsidRPr="003118D0">
        <w:t>'</w:t>
      </w:r>
      <w:r w:rsidRPr="003118D0">
        <w:t>interopérabilité. Les participants ont réaffirmé l</w:t>
      </w:r>
      <w:r w:rsidR="00C35BDD" w:rsidRPr="003118D0">
        <w:t>'</w:t>
      </w:r>
      <w:r w:rsidRPr="003118D0">
        <w:t>importance d</w:t>
      </w:r>
      <w:r w:rsidR="00C35BDD" w:rsidRPr="003118D0">
        <w:t>'</w:t>
      </w:r>
      <w:r w:rsidRPr="003118D0">
        <w:t>une participation multi-parties prenantes inclusive et d</w:t>
      </w:r>
      <w:r w:rsidR="00C35BDD" w:rsidRPr="003118D0">
        <w:t>'</w:t>
      </w:r>
      <w:r w:rsidRPr="003118D0">
        <w:t>une coordination continue entre les discussions politiques et les travaux de normalisation technique à l</w:t>
      </w:r>
      <w:r w:rsidR="00C35BDD" w:rsidRPr="003118D0">
        <w:t>'</w:t>
      </w:r>
      <w:r w:rsidRPr="003118D0">
        <w:t>UIT.</w:t>
      </w:r>
    </w:p>
    <w:p w14:paraId="551B2B4B" w14:textId="77777777" w:rsidR="00A02FEA" w:rsidRPr="003118D0" w:rsidRDefault="00A02FEA" w:rsidP="00D93628">
      <w:pPr>
        <w:jc w:val="both"/>
      </w:pPr>
      <w:r w:rsidRPr="003118D0">
        <w:t>2.8</w:t>
      </w:r>
      <w:r w:rsidRPr="003118D0">
        <w:tab/>
        <w:t>Les principaux résultats de la réunion sont les suivants:</w:t>
      </w:r>
    </w:p>
    <w:p w14:paraId="0E58C90C" w14:textId="4AE1D4B3" w:rsidR="00A02FEA" w:rsidRPr="003118D0" w:rsidRDefault="00A02FEA" w:rsidP="00D93628">
      <w:pPr>
        <w:pStyle w:val="enumlev1"/>
        <w:jc w:val="both"/>
        <w:rPr>
          <w:rFonts w:eastAsia="Calibri"/>
        </w:rPr>
      </w:pPr>
      <w:r w:rsidRPr="003118D0">
        <w:t>–</w:t>
      </w:r>
      <w:r w:rsidRPr="003118D0">
        <w:tab/>
        <w:t xml:space="preserve">Les participants ont pris note des suggestions visant à élargir encore la participation aux sessions </w:t>
      </w:r>
      <w:r w:rsidRPr="007139C2">
        <w:rPr>
          <w:i/>
          <w:iCs/>
        </w:rPr>
        <w:t>Industry Connect</w:t>
      </w:r>
      <w:r w:rsidRPr="003118D0">
        <w:t xml:space="preserve"> de l</w:t>
      </w:r>
      <w:r w:rsidR="00C35BDD" w:rsidRPr="003118D0">
        <w:t>'</w:t>
      </w:r>
      <w:r w:rsidRPr="003118D0">
        <w:t>UIT, notamment en associant les fabricants et les opérateurs de réseau, et ont encouragé les bureaux régionaux de l</w:t>
      </w:r>
      <w:r w:rsidR="00C35BDD" w:rsidRPr="003118D0">
        <w:t>'</w:t>
      </w:r>
      <w:r w:rsidRPr="003118D0">
        <w:t>UIT à participer davantage aux futures réunions du GTC-COP.</w:t>
      </w:r>
    </w:p>
    <w:p w14:paraId="7F257AF1" w14:textId="54A9B5A9" w:rsidR="00A02FEA" w:rsidRPr="003118D0" w:rsidRDefault="00A02FEA" w:rsidP="00D93628">
      <w:pPr>
        <w:pStyle w:val="enumlev1"/>
        <w:jc w:val="both"/>
        <w:rPr>
          <w:rFonts w:eastAsia="Calibri"/>
        </w:rPr>
      </w:pPr>
      <w:r w:rsidRPr="003118D0">
        <w:t>–</w:t>
      </w:r>
      <w:r w:rsidRPr="003118D0">
        <w:tab/>
        <w:t>Les participants ont pris acte d</w:t>
      </w:r>
      <w:r w:rsidR="00C35BDD" w:rsidRPr="003118D0">
        <w:t>'</w:t>
      </w:r>
      <w:r w:rsidRPr="003118D0">
        <w:t>une proposition visant à élargir le champ des discussions du GTC-COP pour y inclure les jeunes. Le Président a invité la délégation concernée à soumettre sa proposition par le biais des processus décisionnels appropriés de l</w:t>
      </w:r>
      <w:r w:rsidR="00C35BDD" w:rsidRPr="003118D0">
        <w:t>'</w:t>
      </w:r>
      <w:r w:rsidRPr="003118D0">
        <w:t>UIT, tout en notant que le Secrétariat continuera d</w:t>
      </w:r>
      <w:r w:rsidR="00C35BDD" w:rsidRPr="003118D0">
        <w:t>'</w:t>
      </w:r>
      <w:r w:rsidRPr="003118D0">
        <w:t>appuyer les activités de sensibilisation et de compétences numériques axées sur les jeunes dans le cadre des programmes existants en matière de protection en ligne des enfants.</w:t>
      </w:r>
    </w:p>
    <w:p w14:paraId="5BEA687C" w14:textId="6A797A39" w:rsidR="00A02FEA" w:rsidRPr="003118D0" w:rsidRDefault="00A02FEA" w:rsidP="007139C2">
      <w:pPr>
        <w:pStyle w:val="enumlev1"/>
        <w:jc w:val="both"/>
        <w:rPr>
          <w:rFonts w:eastAsia="Calibri"/>
        </w:rPr>
      </w:pPr>
      <w:r w:rsidRPr="003118D0">
        <w:t>–</w:t>
      </w:r>
      <w:r w:rsidRPr="003118D0">
        <w:tab/>
        <w:t>Le Groupe de travail a pris acte de la note de liaison de la Commission d</w:t>
      </w:r>
      <w:r w:rsidR="00C35BDD" w:rsidRPr="003118D0">
        <w:t>'</w:t>
      </w:r>
      <w:r w:rsidRPr="003118D0">
        <w:t>études 17 de l</w:t>
      </w:r>
      <w:r w:rsidR="00C35BDD" w:rsidRPr="003118D0">
        <w:t>'</w:t>
      </w:r>
      <w:r w:rsidRPr="003118D0">
        <w:t>UIT-T et s</w:t>
      </w:r>
      <w:r w:rsidR="00C35BDD" w:rsidRPr="003118D0">
        <w:t>'</w:t>
      </w:r>
      <w:r w:rsidRPr="003118D0">
        <w:t>est félicité de la poursuite de la collaboration. Les participants ont approuvé les travaux en cours de la CE 17 sur la vérification de l</w:t>
      </w:r>
      <w:r w:rsidR="00C35BDD" w:rsidRPr="003118D0">
        <w:t>'</w:t>
      </w:r>
      <w:r w:rsidRPr="003118D0">
        <w:t>âge et la modération automatisée des contenus en tant que domaines prioritaires et ont encouragé les États</w:t>
      </w:r>
      <w:r w:rsidR="004E5675" w:rsidRPr="003118D0">
        <w:t> </w:t>
      </w:r>
      <w:r w:rsidRPr="003118D0">
        <w:t xml:space="preserve">Membres et </w:t>
      </w:r>
      <w:r w:rsidRPr="003118D0">
        <w:lastRenderedPageBreak/>
        <w:t>les parties prenantes à participer au Groupe de travail par correspondance sur la protection en ligne des enfants (CG-COP).</w:t>
      </w:r>
    </w:p>
    <w:p w14:paraId="4AB73D7B" w14:textId="5152D1AB" w:rsidR="00A02FEA" w:rsidRPr="003118D0" w:rsidRDefault="00A02FEA" w:rsidP="00D93628">
      <w:pPr>
        <w:pStyle w:val="enumlev1"/>
        <w:jc w:val="both"/>
        <w:rPr>
          <w:rFonts w:eastAsia="Calibri"/>
        </w:rPr>
      </w:pPr>
      <w:r w:rsidRPr="003118D0">
        <w:t>–</w:t>
      </w:r>
      <w:r w:rsidRPr="003118D0">
        <w:tab/>
        <w:t xml:space="preserve">Les participants ont accueilli favorablement la contribution de </w:t>
      </w:r>
      <w:r w:rsidRPr="007139C2">
        <w:rPr>
          <w:i/>
          <w:iCs/>
        </w:rPr>
        <w:t>SouthWest Grid</w:t>
      </w:r>
      <w:r w:rsidRPr="003118D0">
        <w:t xml:space="preserve"> </w:t>
      </w:r>
      <w:r w:rsidRPr="007139C2">
        <w:rPr>
          <w:i/>
          <w:iCs/>
        </w:rPr>
        <w:t>for</w:t>
      </w:r>
      <w:r w:rsidRPr="003118D0">
        <w:t xml:space="preserve"> </w:t>
      </w:r>
      <w:r w:rsidRPr="007139C2">
        <w:rPr>
          <w:i/>
          <w:iCs/>
        </w:rPr>
        <w:t>Learning</w:t>
      </w:r>
      <w:r w:rsidRPr="003118D0">
        <w:t xml:space="preserve"> (SWGfL) sur le Protocole d</w:t>
      </w:r>
      <w:r w:rsidR="00C35BDD" w:rsidRPr="003118D0">
        <w:t>'</w:t>
      </w:r>
      <w:r w:rsidRPr="003118D0">
        <w:t>application du contrôle parental (PARCEP) et ont appuyé la poursuite de la collaboration entre le GTC-COP et le CG-COP de la CE 17. Le Président a invité le Secrétariat à transmettre une note de liaison à la CE 17 reflétant le soutien du GTC-COP au protocole PARCEP et à ses recommandations sur l</w:t>
      </w:r>
      <w:r w:rsidR="00C35BDD" w:rsidRPr="003118D0">
        <w:t>'</w:t>
      </w:r>
      <w:r w:rsidRPr="003118D0">
        <w:t>interopérabilité des contrôles parentaux, la collaboration avec les organismes de normalisation compétents et la poursuite du dialogue technique et réglementaire.</w:t>
      </w:r>
    </w:p>
    <w:p w14:paraId="72BE68C1" w14:textId="2A535602" w:rsidR="00A02FEA" w:rsidRPr="003118D0" w:rsidRDefault="00A02FEA" w:rsidP="00D93628">
      <w:pPr>
        <w:pStyle w:val="enumlev1"/>
        <w:jc w:val="both"/>
        <w:rPr>
          <w:rFonts w:eastAsia="Calibri"/>
        </w:rPr>
      </w:pPr>
      <w:r w:rsidRPr="003118D0">
        <w:t>–</w:t>
      </w:r>
      <w:r w:rsidRPr="003118D0">
        <w:tab/>
        <w:t>Les participants ont réaffirmé l</w:t>
      </w:r>
      <w:r w:rsidR="00C35BDD" w:rsidRPr="003118D0">
        <w:t>'</w:t>
      </w:r>
      <w:r w:rsidRPr="003118D0">
        <w:t>importance d</w:t>
      </w:r>
      <w:r w:rsidR="00C35BDD" w:rsidRPr="003118D0">
        <w:t>'</w:t>
      </w:r>
      <w:r w:rsidRPr="003118D0">
        <w:t>une participation inclusive et d</w:t>
      </w:r>
      <w:r w:rsidR="00C35BDD" w:rsidRPr="003118D0">
        <w:t>'</w:t>
      </w:r>
      <w:r w:rsidRPr="003118D0">
        <w:t>une collaboration intercommunautaire entre les organismes de normalisation et se sont félicités des interventions soulignant l</w:t>
      </w:r>
      <w:r w:rsidR="00C35BDD" w:rsidRPr="003118D0">
        <w:t>'</w:t>
      </w:r>
      <w:r w:rsidRPr="003118D0">
        <w:t>importance de la coopération entre l</w:t>
      </w:r>
      <w:r w:rsidR="00C35BDD" w:rsidRPr="003118D0">
        <w:t>'</w:t>
      </w:r>
      <w:r w:rsidRPr="003118D0">
        <w:t>UIT, d</w:t>
      </w:r>
      <w:r w:rsidR="00C35BDD" w:rsidRPr="003118D0">
        <w:t>'</w:t>
      </w:r>
      <w:r w:rsidRPr="003118D0">
        <w:t>autres organisations de normalisation et les communautés de parties prenantes.</w:t>
      </w:r>
    </w:p>
    <w:p w14:paraId="0DC5A27C" w14:textId="3AB595D0" w:rsidR="00A02FEA" w:rsidRPr="003118D0" w:rsidRDefault="00A02FEA" w:rsidP="00D93628">
      <w:pPr>
        <w:pStyle w:val="enumlev1"/>
        <w:jc w:val="both"/>
        <w:rPr>
          <w:rFonts w:eastAsia="Calibri"/>
        </w:rPr>
      </w:pPr>
      <w:r w:rsidRPr="003118D0">
        <w:t>–</w:t>
      </w:r>
      <w:r w:rsidRPr="003118D0">
        <w:tab/>
        <w:t>Les participants ont appuyé les propositions visant à explorer les modalités d</w:t>
      </w:r>
      <w:r w:rsidR="00C35BDD" w:rsidRPr="003118D0">
        <w:t>'</w:t>
      </w:r>
      <w:r w:rsidRPr="003118D0">
        <w:t>une participation sûre et efficace des enfants et des jeunes aux futures sessions du GTC</w:t>
      </w:r>
      <w:r w:rsidR="004E5675" w:rsidRPr="003118D0">
        <w:noBreakHyphen/>
      </w:r>
      <w:r w:rsidRPr="003118D0">
        <w:t>COP et ont pris acte des suggestions visant à tenir compte des aspects intergénérationnels de la protection en ligne, y compris des risques.</w:t>
      </w:r>
    </w:p>
    <w:p w14:paraId="71F737F3" w14:textId="63411671" w:rsidR="00A02FEA" w:rsidRPr="003118D0" w:rsidRDefault="00A02FEA" w:rsidP="00D93628">
      <w:pPr>
        <w:pStyle w:val="enumlev1"/>
        <w:jc w:val="both"/>
        <w:rPr>
          <w:rFonts w:eastAsia="Calibri"/>
        </w:rPr>
      </w:pPr>
      <w:r w:rsidRPr="003118D0">
        <w:t>–</w:t>
      </w:r>
      <w:r w:rsidRPr="003118D0">
        <w:tab/>
        <w:t>Les participants ont pris note des dernières informations fournies par l</w:t>
      </w:r>
      <w:r w:rsidR="00C35BDD" w:rsidRPr="003118D0">
        <w:t>'</w:t>
      </w:r>
      <w:r w:rsidRPr="003118D0">
        <w:t>UNICEF et se sont félicités de la coopération continue entre l</w:t>
      </w:r>
      <w:r w:rsidR="00C35BDD" w:rsidRPr="003118D0">
        <w:t>'</w:t>
      </w:r>
      <w:r w:rsidRPr="003118D0">
        <w:t>UIT, l</w:t>
      </w:r>
      <w:r w:rsidR="00C35BDD" w:rsidRPr="003118D0">
        <w:t>'</w:t>
      </w:r>
      <w:r w:rsidRPr="003118D0">
        <w:t>UNICEF et d</w:t>
      </w:r>
      <w:r w:rsidR="00C35BDD" w:rsidRPr="003118D0">
        <w:t>'</w:t>
      </w:r>
      <w:r w:rsidRPr="003118D0">
        <w:t>autres institutions des Nations Unies pour faire progresser les efforts mondiaux en matière de protection en ligne des enfants.</w:t>
      </w:r>
    </w:p>
    <w:p w14:paraId="342A5B5E" w14:textId="65E48626" w:rsidR="00A02FEA" w:rsidRPr="003118D0" w:rsidRDefault="00A02FEA" w:rsidP="007A7064">
      <w:pPr>
        <w:jc w:val="both"/>
      </w:pPr>
      <w:r w:rsidRPr="003118D0">
        <w:t>2.9</w:t>
      </w:r>
      <w:r w:rsidRPr="003118D0">
        <w:tab/>
        <w:t>À sa vingt-quatrième réunion, le GTC-COP a poursuivi ses discussions de fond sur la protection en ligne des enfants dans un environnement numérique en évolution, en mettant l</w:t>
      </w:r>
      <w:r w:rsidR="00C35BDD" w:rsidRPr="003118D0">
        <w:t>'</w:t>
      </w:r>
      <w:r w:rsidRPr="003118D0">
        <w:t>accent sur les technologies émergentes, les expériences nationales de mise en œuvre et la coordination entre les domaines politique, opérationnel et technique. Les États Membres et leurs partenaires ont élaboré des contributions sur les abus et l</w:t>
      </w:r>
      <w:r w:rsidR="00C35BDD" w:rsidRPr="003118D0">
        <w:t>'</w:t>
      </w:r>
      <w:r w:rsidRPr="003118D0">
        <w:t>exploitation sexuels en ligne des enfants, la maîtrise des outils numériques, la protection des données, l</w:t>
      </w:r>
      <w:r w:rsidR="00C35BDD" w:rsidRPr="003118D0">
        <w:t>'</w:t>
      </w:r>
      <w:r w:rsidRPr="003118D0">
        <w:t>autonomisation des parents et les incidences de l</w:t>
      </w:r>
      <w:r w:rsidR="00C35BDD" w:rsidRPr="003118D0">
        <w:t>'</w:t>
      </w:r>
      <w:r w:rsidRPr="003118D0">
        <w:t>intelligence artificielle sur la sécurité des enfants.</w:t>
      </w:r>
    </w:p>
    <w:p w14:paraId="57FFE2D0" w14:textId="77777777" w:rsidR="00A02FEA" w:rsidRPr="003118D0" w:rsidRDefault="00A02FEA" w:rsidP="00D93628">
      <w:pPr>
        <w:jc w:val="both"/>
      </w:pPr>
      <w:r w:rsidRPr="003118D0">
        <w:t>2.10</w:t>
      </w:r>
      <w:r w:rsidRPr="003118D0">
        <w:tab/>
        <w:t>Les principaux résultats de la réunion sont les suivants:</w:t>
      </w:r>
    </w:p>
    <w:p w14:paraId="0EAD3236" w14:textId="40F7787F" w:rsidR="00A02FEA" w:rsidRPr="003118D0" w:rsidRDefault="00A02FEA" w:rsidP="00D93628">
      <w:pPr>
        <w:pStyle w:val="enumlev1"/>
        <w:jc w:val="both"/>
        <w:rPr>
          <w:rFonts w:eastAsia="Calibri"/>
        </w:rPr>
      </w:pPr>
      <w:r w:rsidRPr="003118D0">
        <w:t>–</w:t>
      </w:r>
      <w:r w:rsidRPr="003118D0">
        <w:tab/>
        <w:t>Les participants ont accueilli favorablement les informations mises à jour du Secrétariat sur les activités en cours concernant la protection en ligne des enfants, y compris les initiatives de renforcement des capacités, l</w:t>
      </w:r>
      <w:r w:rsidR="00C35BDD" w:rsidRPr="003118D0">
        <w:t>'</w:t>
      </w:r>
      <w:r w:rsidRPr="003118D0">
        <w:t>appui à la mise en œuvre au niveau national et les produits mondiaux élaborés au cours de la période considérée, notamment les principes directeurs relatifs à la protection par la participation en ligne et la Déclaration conjointe sur l</w:t>
      </w:r>
      <w:r w:rsidR="00C35BDD" w:rsidRPr="003118D0">
        <w:t>'</w:t>
      </w:r>
      <w:r w:rsidRPr="003118D0">
        <w:t>intelligence artificielle et les droits de l</w:t>
      </w:r>
      <w:r w:rsidR="00C35BDD" w:rsidRPr="003118D0">
        <w:t>'</w:t>
      </w:r>
      <w:r w:rsidRPr="003118D0">
        <w:t>enfant.</w:t>
      </w:r>
    </w:p>
    <w:p w14:paraId="256C03A2" w14:textId="3E85BAC4" w:rsidR="00A02FEA" w:rsidRPr="003118D0" w:rsidRDefault="00A02FEA" w:rsidP="00D93628">
      <w:pPr>
        <w:pStyle w:val="enumlev1"/>
        <w:jc w:val="both"/>
        <w:rPr>
          <w:rFonts w:eastAsia="Calibri"/>
        </w:rPr>
      </w:pPr>
      <w:r w:rsidRPr="003118D0">
        <w:t>–</w:t>
      </w:r>
      <w:r w:rsidRPr="003118D0">
        <w:tab/>
        <w:t>Le Groupe de travail a pris note d</w:t>
      </w:r>
      <w:r w:rsidR="00C35BDD" w:rsidRPr="003118D0">
        <w:t>'</w:t>
      </w:r>
      <w:r w:rsidRPr="003118D0">
        <w:t>un large éventail d</w:t>
      </w:r>
      <w:r w:rsidR="00C35BDD" w:rsidRPr="003118D0">
        <w:t>'</w:t>
      </w:r>
      <w:r w:rsidRPr="003118D0">
        <w:t>expériences nationales et de documents d</w:t>
      </w:r>
      <w:r w:rsidR="00C35BDD" w:rsidRPr="003118D0">
        <w:t>'</w:t>
      </w:r>
      <w:r w:rsidRPr="003118D0">
        <w:t>information présentés par les États Membres, mettant en avant des approches multi-parties prenantes et mobilisant l'ensemble des pouvoirs publics qui associent sensibilisation, mesures réglementaires, mécanismes opérationnels et partenariats pour faire face aux risques pour la sécurité en ligne des enfants.</w:t>
      </w:r>
    </w:p>
    <w:p w14:paraId="3BD4124D" w14:textId="2091C500" w:rsidR="00A02FEA" w:rsidRPr="003118D0" w:rsidRDefault="00A02FEA" w:rsidP="007A7064">
      <w:pPr>
        <w:pStyle w:val="enumlev1"/>
        <w:jc w:val="both"/>
        <w:rPr>
          <w:rFonts w:eastAsia="Calibri"/>
        </w:rPr>
      </w:pPr>
      <w:r w:rsidRPr="003118D0">
        <w:t>–</w:t>
      </w:r>
      <w:r w:rsidRPr="003118D0">
        <w:tab/>
        <w:t>Les participants ont pris acte des contributions soulignant l</w:t>
      </w:r>
      <w:r w:rsidR="00C35BDD" w:rsidRPr="003118D0">
        <w:t>'</w:t>
      </w:r>
      <w:r w:rsidRPr="003118D0">
        <w:t>importance croissante de l</w:t>
      </w:r>
      <w:r w:rsidR="00C35BDD" w:rsidRPr="003118D0">
        <w:t>'</w:t>
      </w:r>
      <w:r w:rsidRPr="003118D0">
        <w:t>intelligence artificielle et des systèmes algorithmiques pour façonner les expériences en ligne des enfants, y compris les risques et les opportunités, et ont souligné l</w:t>
      </w:r>
      <w:r w:rsidR="00C35BDD" w:rsidRPr="003118D0">
        <w:t>'</w:t>
      </w:r>
      <w:r w:rsidRPr="003118D0">
        <w:t>importance d</w:t>
      </w:r>
      <w:r w:rsidR="00C35BDD" w:rsidRPr="003118D0">
        <w:t>'</w:t>
      </w:r>
      <w:r w:rsidRPr="003118D0">
        <w:t>intégrer dans les services numériques des garanties centrées sur l</w:t>
      </w:r>
      <w:r w:rsidR="00C35BDD" w:rsidRPr="003118D0">
        <w:t>'</w:t>
      </w:r>
      <w:r w:rsidRPr="003118D0">
        <w:t>enfant et des approches de sécurité dès la conception.</w:t>
      </w:r>
    </w:p>
    <w:p w14:paraId="51CEF381" w14:textId="4603CD22" w:rsidR="00A02FEA" w:rsidRPr="003118D0" w:rsidRDefault="00A02FEA" w:rsidP="00D93628">
      <w:pPr>
        <w:pStyle w:val="enumlev1"/>
        <w:jc w:val="both"/>
        <w:rPr>
          <w:rFonts w:eastAsia="Calibri"/>
        </w:rPr>
      </w:pPr>
      <w:r w:rsidRPr="003118D0">
        <w:lastRenderedPageBreak/>
        <w:t>–</w:t>
      </w:r>
      <w:r w:rsidRPr="003118D0">
        <w:tab/>
        <w:t>Le Groupe de travail s</w:t>
      </w:r>
      <w:r w:rsidR="00C35BDD" w:rsidRPr="003118D0">
        <w:t>'</w:t>
      </w:r>
      <w:r w:rsidRPr="003118D0">
        <w:t>est félicité de la poursuite de la coordination avec la Commission d</w:t>
      </w:r>
      <w:r w:rsidR="00C35BDD" w:rsidRPr="003118D0">
        <w:t>'</w:t>
      </w:r>
      <w:r w:rsidRPr="003118D0">
        <w:t>études 17 de l</w:t>
      </w:r>
      <w:r w:rsidR="00C35BDD" w:rsidRPr="003118D0">
        <w:t>'</w:t>
      </w:r>
      <w:r w:rsidRPr="003118D0">
        <w:t>UIT-T, notamment de la présentation d</w:t>
      </w:r>
      <w:r w:rsidR="00C35BDD" w:rsidRPr="003118D0">
        <w:t>'</w:t>
      </w:r>
      <w:r w:rsidRPr="003118D0">
        <w:t>une note de liaison et de mises à jour sur les travaux techniques relatifs à l</w:t>
      </w:r>
      <w:r w:rsidR="00C35BDD" w:rsidRPr="003118D0">
        <w:t>'</w:t>
      </w:r>
      <w:r w:rsidRPr="003118D0">
        <w:t>intelligence artificielle, à la cybersécurité et à la confiance. Les participants ont réaffirmé l</w:t>
      </w:r>
      <w:r w:rsidR="00C35BDD" w:rsidRPr="003118D0">
        <w:t>'</w:t>
      </w:r>
      <w:r w:rsidRPr="003118D0">
        <w:t>intérêt de l</w:t>
      </w:r>
      <w:r w:rsidR="00C35BDD" w:rsidRPr="003118D0">
        <w:t>'</w:t>
      </w:r>
      <w:r w:rsidRPr="003118D0">
        <w:t>échange continu d</w:t>
      </w:r>
      <w:r w:rsidR="00C35BDD" w:rsidRPr="003118D0">
        <w:t>'</w:t>
      </w:r>
      <w:r w:rsidRPr="003118D0">
        <w:t>informations entre le GTC-COP et l</w:t>
      </w:r>
      <w:r w:rsidR="00C35BDD" w:rsidRPr="003118D0">
        <w:t>'</w:t>
      </w:r>
      <w:r w:rsidRPr="003118D0">
        <w:t>UIT-T pour assurer la cohérence entre les discussions politiques et les activités de normalisation.</w:t>
      </w:r>
    </w:p>
    <w:p w14:paraId="0B608C69" w14:textId="00A701A5" w:rsidR="00A02FEA" w:rsidRPr="003118D0" w:rsidRDefault="00A02FEA" w:rsidP="00D93628">
      <w:pPr>
        <w:pStyle w:val="enumlev1"/>
        <w:jc w:val="both"/>
        <w:rPr>
          <w:rFonts w:eastAsia="Calibri"/>
        </w:rPr>
      </w:pPr>
      <w:r w:rsidRPr="003118D0">
        <w:t>–</w:t>
      </w:r>
      <w:r w:rsidRPr="003118D0">
        <w:tab/>
        <w:t>Les participants ont réaffirmé l</w:t>
      </w:r>
      <w:r w:rsidR="00C35BDD" w:rsidRPr="003118D0">
        <w:t>'</w:t>
      </w:r>
      <w:r w:rsidRPr="003118D0">
        <w:t>importance d</w:t>
      </w:r>
      <w:r w:rsidR="00C35BDD" w:rsidRPr="003118D0">
        <w:t>'</w:t>
      </w:r>
      <w:r w:rsidRPr="003118D0">
        <w:t>un engagement inclusif et multipartite pour faire progresser la protection en ligne des enfants, y compris la participation du secteur privé, de la société civile, des établissements universitaires et des organisations internationales, et se sont félicités de la poursuite de la collaboration avec les institutions et partenaires des Nations Unies.</w:t>
      </w:r>
    </w:p>
    <w:p w14:paraId="11F744E1" w14:textId="25E932B8" w:rsidR="00A02FEA" w:rsidRPr="003118D0" w:rsidRDefault="00A02FEA" w:rsidP="00D93628">
      <w:pPr>
        <w:pStyle w:val="enumlev1"/>
        <w:jc w:val="both"/>
        <w:rPr>
          <w:rFonts w:eastAsia="Calibri"/>
        </w:rPr>
      </w:pPr>
      <w:r w:rsidRPr="003118D0">
        <w:t>–</w:t>
      </w:r>
      <w:r w:rsidRPr="003118D0">
        <w:tab/>
        <w:t>Le Président a souligné l</w:t>
      </w:r>
      <w:r w:rsidR="00C35BDD" w:rsidRPr="003118D0">
        <w:t>'</w:t>
      </w:r>
      <w:r w:rsidRPr="003118D0">
        <w:t>importance de la transparence, de l</w:t>
      </w:r>
      <w:r w:rsidR="00C35BDD" w:rsidRPr="003118D0">
        <w:t>'</w:t>
      </w:r>
      <w:r w:rsidRPr="003118D0">
        <w:t>échange d</w:t>
      </w:r>
      <w:r w:rsidR="00C35BDD" w:rsidRPr="003118D0">
        <w:t>'</w:t>
      </w:r>
      <w:r w:rsidRPr="003118D0">
        <w:t>informations et d</w:t>
      </w:r>
      <w:r w:rsidR="00C35BDD" w:rsidRPr="003118D0">
        <w:t>'</w:t>
      </w:r>
      <w:r w:rsidRPr="003118D0">
        <w:t>un dialogue continu au sein du Groupe de travail, notant qu</w:t>
      </w:r>
      <w:r w:rsidR="00C35BDD" w:rsidRPr="003118D0">
        <w:t>'</w:t>
      </w:r>
      <w:r w:rsidRPr="003118D0">
        <w:t>il était important de tenir les États Membres informés des travaux en cours et à venir afin de favoriser une participation efficace.</w:t>
      </w:r>
    </w:p>
    <w:p w14:paraId="561A3012" w14:textId="7028A68B" w:rsidR="00A02FEA" w:rsidRPr="003118D0" w:rsidRDefault="00A02FEA" w:rsidP="007139C2">
      <w:pPr>
        <w:pStyle w:val="Signature"/>
        <w:rPr>
          <w:rFonts w:eastAsia="Calibri"/>
        </w:rPr>
      </w:pPr>
      <w:r w:rsidRPr="003118D0">
        <w:tab/>
      </w:r>
      <w:r w:rsidRPr="007139C2">
        <w:t>Abdelaziz</w:t>
      </w:r>
      <w:r w:rsidRPr="003118D0">
        <w:t xml:space="preserve"> Alzarooni, Président</w:t>
      </w:r>
      <w:r w:rsidR="00C53084" w:rsidRPr="003118D0">
        <w:br/>
      </w:r>
      <w:r w:rsidRPr="003118D0">
        <w:tab/>
        <w:t>(Émirats arabes unis)</w:t>
      </w:r>
    </w:p>
    <w:p w14:paraId="45B3158E" w14:textId="64A4C9EA" w:rsidR="00A02FEA" w:rsidRPr="003118D0" w:rsidRDefault="00A02FEA" w:rsidP="00C53084">
      <w:pPr>
        <w:tabs>
          <w:tab w:val="clear" w:pos="567"/>
          <w:tab w:val="clear" w:pos="1134"/>
          <w:tab w:val="clear" w:pos="1701"/>
          <w:tab w:val="clear" w:pos="2268"/>
          <w:tab w:val="clear" w:pos="2835"/>
          <w:tab w:val="center" w:pos="7655"/>
        </w:tabs>
        <w:spacing w:before="840"/>
        <w:rPr>
          <w:rFonts w:eastAsia="Calibri" w:cs="Calibri"/>
          <w:color w:val="000000"/>
          <w:szCs w:val="24"/>
        </w:rPr>
      </w:pPr>
      <w:r w:rsidRPr="003118D0">
        <w:tab/>
        <w:t>Stella C. Erebor, Vice-Présidente</w:t>
      </w:r>
      <w:r w:rsidR="00C53084" w:rsidRPr="003118D0">
        <w:br/>
      </w:r>
      <w:r w:rsidRPr="003118D0">
        <w:tab/>
        <w:t>(Nigéria)</w:t>
      </w:r>
    </w:p>
    <w:sectPr w:rsidR="00A02FEA" w:rsidRPr="003118D0" w:rsidSect="00D72F49">
      <w:headerReference w:type="even" r:id="rId19"/>
      <w:footerReference w:type="even" r:id="rId20"/>
      <w:footerReference w:type="default" r:id="rId21"/>
      <w:headerReference w:type="first" r:id="rId22"/>
      <w:footerReference w:type="first" r:id="rId2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3F73" w14:textId="77777777" w:rsidR="00954216" w:rsidRDefault="00954216">
      <w:r>
        <w:separator/>
      </w:r>
    </w:p>
  </w:endnote>
  <w:endnote w:type="continuationSeparator" w:id="0">
    <w:p w14:paraId="3EDD814A" w14:textId="77777777" w:rsidR="00954216" w:rsidRDefault="0095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E3AC" w14:textId="01375AC9" w:rsidR="00732045" w:rsidRDefault="00A02FEA">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936F37">
      <w:t>13.03.26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C82D9E1" w14:textId="77777777" w:rsidTr="00E31DCE">
      <w:trPr>
        <w:jc w:val="center"/>
      </w:trPr>
      <w:tc>
        <w:tcPr>
          <w:tcW w:w="1803" w:type="dxa"/>
          <w:vAlign w:val="center"/>
        </w:tcPr>
        <w:p w14:paraId="716A9171" w14:textId="013230D7" w:rsidR="00A51849" w:rsidRDefault="004E5675" w:rsidP="00A51849">
          <w:pPr>
            <w:pStyle w:val="Header"/>
            <w:jc w:val="left"/>
            <w:rPr>
              <w:noProof/>
            </w:rPr>
          </w:pPr>
          <w:r>
            <w:rPr>
              <w:noProof/>
            </w:rPr>
            <w:t>2600453</w:t>
          </w:r>
        </w:p>
      </w:tc>
      <w:tc>
        <w:tcPr>
          <w:tcW w:w="8261" w:type="dxa"/>
        </w:tcPr>
        <w:p w14:paraId="205A8A93" w14:textId="35A375CC"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4E5675">
            <w:rPr>
              <w:bCs/>
            </w:rPr>
            <w:t>15</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52ED7A95"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1E2B5F0" w14:textId="77777777" w:rsidTr="00E31DCE">
      <w:trPr>
        <w:jc w:val="center"/>
      </w:trPr>
      <w:tc>
        <w:tcPr>
          <w:tcW w:w="1803" w:type="dxa"/>
          <w:vAlign w:val="center"/>
        </w:tcPr>
        <w:p w14:paraId="3EAB390C"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49B8640A" w14:textId="61A308E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A02FEA">
            <w:rPr>
              <w:bCs/>
            </w:rPr>
            <w:t>15</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316A9E04"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3A2B0" w14:textId="77777777" w:rsidR="00954216" w:rsidRDefault="00954216">
      <w:r>
        <w:t>____________________</w:t>
      </w:r>
    </w:p>
  </w:footnote>
  <w:footnote w:type="continuationSeparator" w:id="0">
    <w:p w14:paraId="55DEEA94" w14:textId="77777777" w:rsidR="00954216" w:rsidRDefault="00954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5574"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95B0FCA"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CBE3"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EA"/>
    <w:rsid w:val="00076A2C"/>
    <w:rsid w:val="000D0D0A"/>
    <w:rsid w:val="000F36F5"/>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26657"/>
    <w:rsid w:val="002477A2"/>
    <w:rsid w:val="00251644"/>
    <w:rsid w:val="00263A51"/>
    <w:rsid w:val="00267E02"/>
    <w:rsid w:val="00271321"/>
    <w:rsid w:val="00277DEA"/>
    <w:rsid w:val="002A5D44"/>
    <w:rsid w:val="002C3F32"/>
    <w:rsid w:val="002C4E3D"/>
    <w:rsid w:val="002D2336"/>
    <w:rsid w:val="002E0BC4"/>
    <w:rsid w:val="002F1B76"/>
    <w:rsid w:val="003118D0"/>
    <w:rsid w:val="0033568E"/>
    <w:rsid w:val="00355FF5"/>
    <w:rsid w:val="00361350"/>
    <w:rsid w:val="003C3FAE"/>
    <w:rsid w:val="004038CB"/>
    <w:rsid w:val="0040546F"/>
    <w:rsid w:val="004177BD"/>
    <w:rsid w:val="0042404A"/>
    <w:rsid w:val="0044618F"/>
    <w:rsid w:val="00465C35"/>
    <w:rsid w:val="0046769A"/>
    <w:rsid w:val="00475FB3"/>
    <w:rsid w:val="004C37A9"/>
    <w:rsid w:val="004D1D50"/>
    <w:rsid w:val="004E5675"/>
    <w:rsid w:val="004F259E"/>
    <w:rsid w:val="004F633A"/>
    <w:rsid w:val="00504C7F"/>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73225"/>
    <w:rsid w:val="006A0516"/>
    <w:rsid w:val="006A11AE"/>
    <w:rsid w:val="006B224B"/>
    <w:rsid w:val="006F0A53"/>
    <w:rsid w:val="007139C2"/>
    <w:rsid w:val="0071402E"/>
    <w:rsid w:val="007210CD"/>
    <w:rsid w:val="00732045"/>
    <w:rsid w:val="0073275D"/>
    <w:rsid w:val="007369DB"/>
    <w:rsid w:val="0077110E"/>
    <w:rsid w:val="007956C2"/>
    <w:rsid w:val="00796BDB"/>
    <w:rsid w:val="007A187E"/>
    <w:rsid w:val="007A7064"/>
    <w:rsid w:val="007C72C2"/>
    <w:rsid w:val="007D4436"/>
    <w:rsid w:val="007F257A"/>
    <w:rsid w:val="007F3665"/>
    <w:rsid w:val="00800037"/>
    <w:rsid w:val="0082299A"/>
    <w:rsid w:val="0083391C"/>
    <w:rsid w:val="0084546D"/>
    <w:rsid w:val="00861D73"/>
    <w:rsid w:val="00882919"/>
    <w:rsid w:val="008911E0"/>
    <w:rsid w:val="00897553"/>
    <w:rsid w:val="008A4E87"/>
    <w:rsid w:val="008D76E6"/>
    <w:rsid w:val="0092392D"/>
    <w:rsid w:val="0093234A"/>
    <w:rsid w:val="00936F37"/>
    <w:rsid w:val="00954216"/>
    <w:rsid w:val="00956A78"/>
    <w:rsid w:val="0097363B"/>
    <w:rsid w:val="00973F53"/>
    <w:rsid w:val="0098348E"/>
    <w:rsid w:val="009A6BAA"/>
    <w:rsid w:val="009A76A8"/>
    <w:rsid w:val="009C307F"/>
    <w:rsid w:val="009C353C"/>
    <w:rsid w:val="009D5955"/>
    <w:rsid w:val="009F0FB8"/>
    <w:rsid w:val="00A01F4F"/>
    <w:rsid w:val="00A02FEA"/>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A177A"/>
    <w:rsid w:val="00BB38C1"/>
    <w:rsid w:val="00BB4545"/>
    <w:rsid w:val="00BC471D"/>
    <w:rsid w:val="00BD5873"/>
    <w:rsid w:val="00BF4B60"/>
    <w:rsid w:val="00C049D7"/>
    <w:rsid w:val="00C04BE3"/>
    <w:rsid w:val="00C25D29"/>
    <w:rsid w:val="00C2625E"/>
    <w:rsid w:val="00C27A7C"/>
    <w:rsid w:val="00C35BDD"/>
    <w:rsid w:val="00C42437"/>
    <w:rsid w:val="00C53084"/>
    <w:rsid w:val="00C62D45"/>
    <w:rsid w:val="00CA08ED"/>
    <w:rsid w:val="00CC6EAA"/>
    <w:rsid w:val="00CE5172"/>
    <w:rsid w:val="00CF0534"/>
    <w:rsid w:val="00CF183B"/>
    <w:rsid w:val="00D375CD"/>
    <w:rsid w:val="00D37B53"/>
    <w:rsid w:val="00D553A2"/>
    <w:rsid w:val="00D72F49"/>
    <w:rsid w:val="00D774D3"/>
    <w:rsid w:val="00D904E8"/>
    <w:rsid w:val="00D93628"/>
    <w:rsid w:val="00DA08C3"/>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C13A4"/>
  <w15:docId w15:val="{54E1A6D0-C2C5-417C-B616-1C02968F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0F36F5"/>
    <w:pPr>
      <w:framePr w:hSpace="181" w:wrap="around" w:vAnchor="page" w:hAnchor="page" w:x="1589" w:y="2314"/>
      <w:spacing w:before="840"/>
    </w:pPr>
    <w:rPr>
      <w:rFonts w:cstheme="minorHAnsi"/>
      <w:b/>
      <w:bCs/>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styleId="Signature">
    <w:name w:val="Signature"/>
    <w:basedOn w:val="Normal"/>
    <w:link w:val="SignatureChar"/>
    <w:unhideWhenUsed/>
    <w:rsid w:val="007139C2"/>
    <w:pPr>
      <w:tabs>
        <w:tab w:val="clear" w:pos="567"/>
        <w:tab w:val="clear" w:pos="1134"/>
        <w:tab w:val="clear" w:pos="1701"/>
        <w:tab w:val="clear" w:pos="2268"/>
        <w:tab w:val="clear" w:pos="2835"/>
        <w:tab w:val="center" w:pos="7371"/>
      </w:tabs>
      <w:spacing w:before="600"/>
    </w:pPr>
  </w:style>
  <w:style w:type="character" w:customStyle="1" w:styleId="SignatureChar">
    <w:name w:val="Signature Char"/>
    <w:basedOn w:val="DefaultParagraphFont"/>
    <w:link w:val="Signature"/>
    <w:rsid w:val="007139C2"/>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cop/Pages/default.aspx" TargetMode="External"/><Relationship Id="rId13" Type="http://schemas.openxmlformats.org/officeDocument/2006/relationships/hyperlink" Target="https://www.itu.int/en/council/Documents/basic-texts-2023/RES-179-F.pdf" TargetMode="External"/><Relationship Id="rId18" Type="http://schemas.openxmlformats.org/officeDocument/2006/relationships/hyperlink" Target="https://www.itu.int/council/groups/wg-cop/first-meeting-march-2010/COP%20WG%20Doc%201-16%20Summary-1-WG-CP-revised%20draft-23-March-2010-final-revised-to%20be-published.doc"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itu.int/en/council/Documents/basic-texts-2023/RES-179-F.pdf" TargetMode="External"/><Relationship Id="rId12" Type="http://schemas.openxmlformats.org/officeDocument/2006/relationships/hyperlink" Target="https://www.itu.int/md/S09-CL-C-0108/en" TargetMode="External"/><Relationship Id="rId17" Type="http://schemas.openxmlformats.org/officeDocument/2006/relationships/hyperlink" Target="https://www.itu.int/council/groups/wg-cop/first-meeting-march-2010/COP%20WG%20Doc%201-16%20Summary-1-WG-CP-revised%20draft-23-March-2010-final-revised-to%20be-published.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tu.int/en/council/Documents/basic-texts-2023/RES-179-E.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council/cwg-cop/Pages/default.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md/meetingdoc.asp?lang=en&amp;parent=S09-CL-C-0108" TargetMode="External"/><Relationship Id="rId23" Type="http://schemas.openxmlformats.org/officeDocument/2006/relationships/footer" Target="footer3.xml"/><Relationship Id="rId10" Type="http://schemas.openxmlformats.org/officeDocument/2006/relationships/hyperlink" Target="https://www.itu.int/en/council/cwg-cop/Pages/default.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en/council/cwg-cop/Pages/default.aspx" TargetMode="External"/><Relationship Id="rId14" Type="http://schemas.openxmlformats.org/officeDocument/2006/relationships/hyperlink" Target="https://www.itu.int/en/council/cwg-cop/Pages/default.aspx" TargetMode="Externa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2</TotalTime>
  <Pages>6</Pages>
  <Words>2582</Words>
  <Characters>14875</Characters>
  <Application>Microsoft Office Word</Application>
  <DocSecurity>0</DocSecurity>
  <Lines>239</Lines>
  <Paragraphs>86</Paragraphs>
  <ScaleCrop>false</ScaleCrop>
  <HeadingPairs>
    <vt:vector size="2" baseType="variant">
      <vt:variant>
        <vt:lpstr>Title</vt:lpstr>
      </vt:variant>
      <vt:variant>
        <vt:i4>1</vt:i4>
      </vt:variant>
    </vt:vector>
  </HeadingPairs>
  <TitlesOfParts>
    <vt:vector size="1" baseType="lpstr">
      <vt:lpstr>Rapport sur les résultats des vingt-troisième et vingt quatrième réunions du Groupe de travail du Conseil sur la protection en ligne des enfants</vt:lpstr>
    </vt:vector>
  </TitlesOfParts>
  <Manager>Secrétariat général - Pool</Manager>
  <Company>Union internationale des télécommunications (UIT)</Company>
  <LinksUpToDate>false</LinksUpToDate>
  <CharactersWithSpaces>17371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les résultats des vingt-troisième et vingt quatrième réunions du Groupe de travail du Conseil sur la protection en ligne des enfants</dc:title>
  <dc:subject>Conseil 2026 de l'UIT</dc:subject>
  <dc:creator>De La Rosa Trivino, Maria Dolores</dc:creator>
  <cp:keywords>C26; C2026; Council 2026; PP26</cp:keywords>
  <dc:description/>
  <cp:lastModifiedBy>De La Rosa Trivino, Maria Dolores</cp:lastModifiedBy>
  <cp:revision>3</cp:revision>
  <cp:lastPrinted>2000-07-18T08:55:00Z</cp:lastPrinted>
  <dcterms:created xsi:type="dcterms:W3CDTF">2026-03-20T14:19:00Z</dcterms:created>
  <dcterms:modified xsi:type="dcterms:W3CDTF">2026-03-20T14:20:00Z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