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27019F64" w14:textId="77777777" w:rsidTr="327A8B14">
        <w:trPr>
          <w:cantSplit/>
          <w:trHeight w:val="23"/>
        </w:trPr>
        <w:tc>
          <w:tcPr>
            <w:tcW w:w="3969" w:type="dxa"/>
            <w:vMerge w:val="restart"/>
            <w:tcMar>
              <w:left w:w="0" w:type="dxa"/>
            </w:tcMar>
          </w:tcPr>
          <w:p w14:paraId="61645E1B" w14:textId="6D2FCBD5" w:rsidR="00AD3606" w:rsidRPr="00C0458D" w:rsidRDefault="00AD3606" w:rsidP="1299EA79">
            <w:pPr>
              <w:tabs>
                <w:tab w:val="left" w:pos="851"/>
              </w:tabs>
              <w:spacing w:before="0" w:line="240" w:lineRule="atLeast"/>
              <w:rPr>
                <w:b/>
                <w:bCs/>
              </w:rPr>
            </w:pPr>
            <w:bookmarkStart w:id="0" w:name="dmeeting"/>
            <w:bookmarkStart w:id="1" w:name="dnum"/>
            <w:bookmarkStart w:id="2" w:name="_Hlk133421839"/>
            <w:bookmarkStart w:id="3" w:name="_Hlk133421856"/>
            <w:bookmarkStart w:id="4" w:name="_Hlk133422370"/>
            <w:bookmarkStart w:id="5" w:name="_Hlk133586559"/>
            <w:r w:rsidRPr="1299EA79">
              <w:rPr>
                <w:b/>
                <w:bCs/>
              </w:rPr>
              <w:t xml:space="preserve">Agenda item: </w:t>
            </w:r>
            <w:r w:rsidR="11E3EB92" w:rsidRPr="1299EA79">
              <w:rPr>
                <w:b/>
                <w:bCs/>
              </w:rPr>
              <w:t>PL-2</w:t>
            </w:r>
          </w:p>
        </w:tc>
        <w:tc>
          <w:tcPr>
            <w:tcW w:w="5245" w:type="dxa"/>
          </w:tcPr>
          <w:p w14:paraId="627B15D6" w14:textId="0DCA7FB0"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39434A">
              <w:rPr>
                <w:b/>
              </w:rPr>
              <w:t>15</w:t>
            </w:r>
            <w:r w:rsidRPr="00C0458D">
              <w:rPr>
                <w:b/>
              </w:rPr>
              <w:t>-E</w:t>
            </w:r>
          </w:p>
        </w:tc>
      </w:tr>
      <w:tr w:rsidR="00AD3606" w:rsidRPr="00C0458D" w14:paraId="65AB0567" w14:textId="77777777" w:rsidTr="327A8B14">
        <w:trPr>
          <w:cantSplit/>
        </w:trPr>
        <w:tc>
          <w:tcPr>
            <w:tcW w:w="3969" w:type="dxa"/>
            <w:vMerge/>
          </w:tcPr>
          <w:p w14:paraId="044C8158"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532318D1" w:rsidR="00AD3606" w:rsidRPr="00C0458D" w:rsidRDefault="007B1F7D" w:rsidP="00954C49">
            <w:pPr>
              <w:tabs>
                <w:tab w:val="left" w:pos="851"/>
              </w:tabs>
              <w:spacing w:before="0"/>
              <w:jc w:val="right"/>
              <w:rPr>
                <w:b/>
              </w:rPr>
            </w:pPr>
            <w:r>
              <w:rPr>
                <w:b/>
              </w:rPr>
              <w:t>6 March</w:t>
            </w:r>
            <w:r w:rsidR="00E4269D">
              <w:rPr>
                <w:b/>
              </w:rPr>
              <w:t xml:space="preserve"> 2026</w:t>
            </w:r>
          </w:p>
        </w:tc>
      </w:tr>
      <w:tr w:rsidR="00AD3606" w:rsidRPr="00C0458D" w14:paraId="2FF439A4" w14:textId="77777777" w:rsidTr="327A8B14">
        <w:trPr>
          <w:cantSplit/>
          <w:trHeight w:val="23"/>
        </w:trPr>
        <w:tc>
          <w:tcPr>
            <w:tcW w:w="3969" w:type="dxa"/>
            <w:vMerge/>
          </w:tcPr>
          <w:p w14:paraId="6CFB30F5"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6693A6D9" w14:textId="77777777" w:rsidTr="327A8B14">
        <w:trPr>
          <w:cantSplit/>
          <w:trHeight w:val="23"/>
        </w:trPr>
        <w:tc>
          <w:tcPr>
            <w:tcW w:w="3969" w:type="dxa"/>
          </w:tcPr>
          <w:p w14:paraId="47541C46" w14:textId="77777777" w:rsidR="00472BAD" w:rsidRPr="00C0458D" w:rsidRDefault="00472BAD" w:rsidP="00954C49">
            <w:pPr>
              <w:tabs>
                <w:tab w:val="left" w:pos="851"/>
              </w:tabs>
              <w:spacing w:line="240" w:lineRule="atLeast"/>
              <w:rPr>
                <w:b/>
              </w:rPr>
            </w:pPr>
          </w:p>
        </w:tc>
        <w:tc>
          <w:tcPr>
            <w:tcW w:w="5245" w:type="dxa"/>
          </w:tcPr>
          <w:p w14:paraId="00CD7F27" w14:textId="77777777" w:rsidR="00472BAD" w:rsidRPr="00C0458D" w:rsidRDefault="00472BAD" w:rsidP="00954C49">
            <w:pPr>
              <w:tabs>
                <w:tab w:val="left" w:pos="851"/>
              </w:tabs>
              <w:spacing w:before="0" w:line="240" w:lineRule="atLeast"/>
              <w:jc w:val="right"/>
              <w:rPr>
                <w:b/>
              </w:rPr>
            </w:pPr>
          </w:p>
        </w:tc>
      </w:tr>
      <w:tr w:rsidR="00AD3606" w:rsidRPr="00C0458D" w14:paraId="21388443" w14:textId="77777777" w:rsidTr="327A8B14">
        <w:trPr>
          <w:cantSplit/>
        </w:trPr>
        <w:tc>
          <w:tcPr>
            <w:tcW w:w="9214" w:type="dxa"/>
            <w:gridSpan w:val="2"/>
            <w:tcMar>
              <w:left w:w="0" w:type="dxa"/>
            </w:tcMar>
          </w:tcPr>
          <w:p w14:paraId="4974CF10" w14:textId="3F0D6920" w:rsidR="00AD3606" w:rsidRPr="00C0458D" w:rsidRDefault="001966DD" w:rsidP="001966DD">
            <w:pPr>
              <w:pStyle w:val="Source"/>
              <w:framePr w:hSpace="0" w:wrap="auto" w:vAnchor="margin" w:hAnchor="text" w:yAlign="inline"/>
            </w:pPr>
            <w:bookmarkStart w:id="8" w:name="dsource"/>
            <w:bookmarkEnd w:id="7"/>
            <w:r>
              <w:t>Report by the Chair of the</w:t>
            </w:r>
            <w:r w:rsidR="49C9BDAB">
              <w:t xml:space="preserve"> </w:t>
            </w:r>
            <w:r>
              <w:t>CWG-COP</w:t>
            </w:r>
            <w:r w:rsidR="5579AC55">
              <w:t xml:space="preserve"> </w:t>
            </w:r>
          </w:p>
        </w:tc>
      </w:tr>
      <w:tr w:rsidR="00AD3606" w:rsidRPr="00C0458D" w14:paraId="2008114E" w14:textId="77777777" w:rsidTr="327A8B14">
        <w:trPr>
          <w:cantSplit/>
        </w:trPr>
        <w:tc>
          <w:tcPr>
            <w:tcW w:w="9214" w:type="dxa"/>
            <w:gridSpan w:val="2"/>
            <w:tcMar>
              <w:left w:w="0" w:type="dxa"/>
            </w:tcMar>
          </w:tcPr>
          <w:p w14:paraId="1036C3F4" w14:textId="76754F47" w:rsidR="00AD3606" w:rsidRPr="00176F47" w:rsidRDefault="0051689B" w:rsidP="00954C49">
            <w:pPr>
              <w:pStyle w:val="Subtitle"/>
              <w:framePr w:hSpace="0" w:wrap="auto" w:hAnchor="text" w:xAlign="left" w:yAlign="inline"/>
            </w:pPr>
            <w:bookmarkStart w:id="9" w:name="_Hlk221124372"/>
            <w:bookmarkStart w:id="10" w:name="dtitle1" w:colFirst="0" w:colLast="0"/>
            <w:bookmarkEnd w:id="8"/>
            <w:r w:rsidRPr="001966DD">
              <w:t>REPORT ON THE OUTCOMES OF THE TWENTY-THIRD AND TWENTY-FOURTH MEETINGS OF THE COUNCIL WORKING GROUP ON CHILD ONLINE PROTECTION</w:t>
            </w:r>
            <w:bookmarkEnd w:id="9"/>
          </w:p>
        </w:tc>
      </w:tr>
      <w:tr w:rsidR="00AD3606" w:rsidRPr="00C0458D" w14:paraId="58526C68" w14:textId="77777777" w:rsidTr="327A8B14">
        <w:trPr>
          <w:cantSplit/>
        </w:trPr>
        <w:tc>
          <w:tcPr>
            <w:tcW w:w="9214" w:type="dxa"/>
            <w:gridSpan w:val="2"/>
            <w:tcBorders>
              <w:top w:val="single" w:sz="4" w:space="0" w:color="auto"/>
              <w:bottom w:val="single" w:sz="4" w:space="0" w:color="auto"/>
            </w:tcBorders>
            <w:tcMar>
              <w:left w:w="0" w:type="dxa"/>
            </w:tcMar>
          </w:tcPr>
          <w:p w14:paraId="708C9082" w14:textId="77777777" w:rsidR="00AD3606" w:rsidRPr="00C0458D" w:rsidRDefault="00F16BAB" w:rsidP="00954C49">
            <w:pPr>
              <w:spacing w:before="160"/>
              <w:rPr>
                <w:b/>
                <w:bCs/>
                <w:sz w:val="26"/>
                <w:szCs w:val="26"/>
              </w:rPr>
            </w:pPr>
            <w:r w:rsidRPr="00C0458D">
              <w:rPr>
                <w:b/>
                <w:bCs/>
                <w:sz w:val="26"/>
                <w:szCs w:val="26"/>
              </w:rPr>
              <w:t>Purpose</w:t>
            </w:r>
          </w:p>
          <w:p w14:paraId="5B90CDC0" w14:textId="2872F534" w:rsidR="00AD3606" w:rsidRPr="00C0458D" w:rsidRDefault="00E95DB3" w:rsidP="00E95DB3">
            <w:pPr>
              <w:jc w:val="both"/>
            </w:pPr>
            <w:r w:rsidRPr="00E95DB3">
              <w:t>This report summarizes the main results of the twenty-third and twenty-fourth meetings of the Council Working Group on Child Online Protection (CWG-COP), held on 16 September 2025 and 19 January 2026 respectively, as part of the Group’s work since the 2025 session of the Council.</w:t>
            </w:r>
          </w:p>
          <w:p w14:paraId="5D3228C6"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68530E97" w14:textId="2970E510" w:rsidR="00722551" w:rsidRDefault="00E95DB3" w:rsidP="00E95DB3">
            <w:r w:rsidRPr="00E95DB3">
              <w:t xml:space="preserve">The Council is invited </w:t>
            </w:r>
            <w:r w:rsidRPr="00E95DB3">
              <w:rPr>
                <w:b/>
                <w:bCs/>
              </w:rPr>
              <w:t>to note</w:t>
            </w:r>
            <w:r w:rsidRPr="00E95DB3">
              <w:t xml:space="preserve"> the report.</w:t>
            </w:r>
          </w:p>
          <w:p w14:paraId="5563AED1" w14:textId="77777777" w:rsidR="00722551" w:rsidRDefault="00722551" w:rsidP="00954C49">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6C365A58" w14:textId="67136CB8" w:rsidR="00722551" w:rsidRPr="00F16BAB" w:rsidRDefault="00E95DB3" w:rsidP="00954C49">
            <w:r w:rsidRPr="00E95DB3">
              <w:t>Sustainable Digital Transformation: Foster equitable and inclusive use of telecommunications/ICTs to empower people and societies for sustainable development.</w:t>
            </w:r>
          </w:p>
          <w:p w14:paraId="7C34DAAD" w14:textId="77777777" w:rsidR="00722551" w:rsidRDefault="00722551" w:rsidP="00954C49">
            <w:pPr>
              <w:spacing w:before="160"/>
              <w:rPr>
                <w:b/>
                <w:bCs/>
                <w:sz w:val="26"/>
                <w:szCs w:val="26"/>
              </w:rPr>
            </w:pPr>
            <w:r>
              <w:rPr>
                <w:b/>
                <w:bCs/>
                <w:sz w:val="26"/>
                <w:szCs w:val="26"/>
              </w:rPr>
              <w:t>Financial implications</w:t>
            </w:r>
          </w:p>
          <w:p w14:paraId="12B610AB" w14:textId="50FD9FB5" w:rsidR="00453079" w:rsidRPr="00453079" w:rsidRDefault="00E95DB3" w:rsidP="00954C49">
            <w:pPr>
              <w:spacing w:before="160"/>
              <w:rPr>
                <w:szCs w:val="24"/>
              </w:rPr>
            </w:pPr>
            <w:r w:rsidRPr="00E95DB3">
              <w:rPr>
                <w:szCs w:val="24"/>
              </w:rPr>
              <w:t>Within the allocated budget 2025-2026.</w:t>
            </w:r>
          </w:p>
          <w:p w14:paraId="6DAA204C" w14:textId="77777777" w:rsidR="00C0458D" w:rsidRDefault="00C0458D" w:rsidP="00954C49">
            <w:r>
              <w:t>_______________</w:t>
            </w:r>
          </w:p>
          <w:p w14:paraId="32A5FBF2" w14:textId="77777777" w:rsidR="00AD3606" w:rsidRPr="00C0458D" w:rsidRDefault="00AD3606" w:rsidP="00954C49">
            <w:pPr>
              <w:spacing w:before="160"/>
              <w:rPr>
                <w:b/>
                <w:bCs/>
                <w:sz w:val="26"/>
                <w:szCs w:val="26"/>
              </w:rPr>
            </w:pPr>
            <w:r w:rsidRPr="00C0458D">
              <w:rPr>
                <w:b/>
                <w:bCs/>
                <w:sz w:val="26"/>
                <w:szCs w:val="26"/>
              </w:rPr>
              <w:t>References</w:t>
            </w:r>
          </w:p>
          <w:p w14:paraId="24BF41F7" w14:textId="5F804E51" w:rsidR="00AD3606" w:rsidRPr="00722551" w:rsidRDefault="00E95DB3" w:rsidP="00954C49">
            <w:pPr>
              <w:spacing w:after="160"/>
              <w:rPr>
                <w:i/>
                <w:iCs/>
                <w:sz w:val="22"/>
                <w:szCs w:val="22"/>
              </w:rPr>
            </w:pPr>
            <w:hyperlink r:id="rId11" w:history="1">
              <w:r w:rsidRPr="0057507A">
                <w:rPr>
                  <w:rStyle w:val="Hyperlink"/>
                  <w:rFonts w:cs="Calibri"/>
                  <w:i/>
                  <w:iCs/>
                  <w:sz w:val="22"/>
                  <w:szCs w:val="22"/>
                </w:rPr>
                <w:t>Resolution 179</w:t>
              </w:r>
            </w:hyperlink>
            <w:r w:rsidRPr="0057507A">
              <w:rPr>
                <w:rFonts w:cs="Calibri"/>
                <w:i/>
                <w:iCs/>
                <w:sz w:val="22"/>
                <w:szCs w:val="22"/>
              </w:rPr>
              <w:t xml:space="preserve"> (Rev. Bucharest. 2022) of the Plenipotentiary Conference;</w:t>
            </w:r>
            <w:r w:rsidRPr="0057507A">
              <w:rPr>
                <w:rFonts w:cs="Calibri"/>
                <w:i/>
                <w:iCs/>
                <w:color w:val="000000"/>
                <w:sz w:val="22"/>
                <w:szCs w:val="22"/>
              </w:rPr>
              <w:t xml:space="preserve"> </w:t>
            </w:r>
            <w:hyperlink r:id="rId12" w:history="1">
              <w:r w:rsidRPr="0057507A">
                <w:rPr>
                  <w:rStyle w:val="Hyperlink"/>
                  <w:rFonts w:cs="Calibri"/>
                  <w:i/>
                  <w:iCs/>
                  <w:sz w:val="22"/>
                  <w:szCs w:val="22"/>
                </w:rPr>
                <w:t>CWG-COP website</w:t>
              </w:r>
            </w:hyperlink>
            <w:r w:rsidRPr="0057507A">
              <w:rPr>
                <w:rFonts w:cs="Calibri"/>
                <w:i/>
                <w:iCs/>
                <w:sz w:val="22"/>
                <w:szCs w:val="22"/>
              </w:rPr>
              <w:t xml:space="preserve"> </w:t>
            </w:r>
            <w:r w:rsidRPr="0057507A">
              <w:rPr>
                <w:rFonts w:cs="Calibri"/>
                <w:i/>
                <w:iCs/>
                <w:color w:val="000000"/>
                <w:sz w:val="22"/>
                <w:szCs w:val="22"/>
              </w:rPr>
              <w:t xml:space="preserve">and </w:t>
            </w:r>
            <w:r w:rsidRPr="0057507A">
              <w:rPr>
                <w:rFonts w:cs="Calibri"/>
                <w:i/>
                <w:iCs/>
                <w:sz w:val="22"/>
                <w:szCs w:val="22"/>
              </w:rPr>
              <w:t xml:space="preserve">summary reports of the </w:t>
            </w:r>
            <w:hyperlink r:id="rId13" w:history="1">
              <w:r w:rsidRPr="0057507A">
                <w:rPr>
                  <w:rStyle w:val="Hyperlink"/>
                  <w:rFonts w:cs="Calibri"/>
                  <w:i/>
                  <w:iCs/>
                  <w:sz w:val="22"/>
                  <w:szCs w:val="22"/>
                </w:rPr>
                <w:t>twenty-third</w:t>
              </w:r>
            </w:hyperlink>
            <w:r w:rsidRPr="0057507A">
              <w:rPr>
                <w:rFonts w:cs="Calibri"/>
                <w:i/>
                <w:iCs/>
                <w:sz w:val="22"/>
                <w:szCs w:val="22"/>
              </w:rPr>
              <w:t xml:space="preserve"> and </w:t>
            </w:r>
            <w:hyperlink r:id="rId14" w:history="1">
              <w:r w:rsidRPr="0057507A">
                <w:rPr>
                  <w:rStyle w:val="Hyperlink"/>
                  <w:rFonts w:cs="Calibri"/>
                  <w:i/>
                  <w:iCs/>
                  <w:sz w:val="22"/>
                  <w:szCs w:val="22"/>
                </w:rPr>
                <w:t>twenty-fourth</w:t>
              </w:r>
            </w:hyperlink>
            <w:r w:rsidRPr="0057507A">
              <w:rPr>
                <w:rFonts w:cs="Calibri"/>
                <w:i/>
                <w:iCs/>
                <w:sz w:val="22"/>
                <w:szCs w:val="22"/>
              </w:rPr>
              <w:t xml:space="preserve"> meetings.</w:t>
            </w:r>
          </w:p>
        </w:tc>
      </w:tr>
    </w:tbl>
    <w:p w14:paraId="6D15BD27"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10"/>
    </w:p>
    <w:bookmarkEnd w:id="3"/>
    <w:bookmarkEnd w:id="4"/>
    <w:p w14:paraId="7606662B"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1"/>
    <w:p w14:paraId="7968DA75" w14:textId="77777777" w:rsidR="00E95DB3" w:rsidRPr="00E95DB3" w:rsidRDefault="00E95DB3" w:rsidP="0051689B">
      <w:pPr>
        <w:pStyle w:val="Heading1"/>
      </w:pPr>
      <w:r w:rsidRPr="00E95DB3">
        <w:lastRenderedPageBreak/>
        <w:t>1</w:t>
      </w:r>
      <w:r w:rsidRPr="00E95DB3">
        <w:tab/>
        <w:t>Introduction</w:t>
      </w:r>
    </w:p>
    <w:p w14:paraId="4691B9E2" w14:textId="061A5F5E" w:rsidR="00E95DB3" w:rsidRPr="00E95DB3" w:rsidRDefault="0051689B" w:rsidP="00B851C7">
      <w:pPr>
        <w:jc w:val="both"/>
        <w:rPr>
          <w:rFonts w:cs="Calibri"/>
          <w:lang w:val="en-US"/>
        </w:rPr>
      </w:pPr>
      <w:r w:rsidRPr="00E95DB3">
        <w:rPr>
          <w:rFonts w:cs="Calibri"/>
          <w:lang w:val="en-US"/>
        </w:rPr>
        <w:t>1.1</w:t>
      </w:r>
      <w:r w:rsidRPr="00E95DB3">
        <w:rPr>
          <w:rFonts w:cs="Calibri"/>
          <w:lang w:val="en-US"/>
        </w:rPr>
        <w:tab/>
      </w:r>
      <w:r w:rsidR="00E95DB3" w:rsidRPr="00E95DB3">
        <w:rPr>
          <w:rFonts w:cs="Calibri"/>
          <w:lang w:val="en-US"/>
        </w:rPr>
        <w:t xml:space="preserve">The </w:t>
      </w:r>
      <w:hyperlink r:id="rId15" w:history="1">
        <w:r w:rsidR="00E95DB3" w:rsidRPr="00E95DB3">
          <w:rPr>
            <w:rFonts w:cs="Calibri"/>
            <w:color w:val="0563C1"/>
            <w:u w:val="single"/>
            <w:lang w:val="en-US"/>
          </w:rPr>
          <w:t>ITU Council Working Group on Child Online Protection</w:t>
        </w:r>
      </w:hyperlink>
      <w:r w:rsidR="00E95DB3" w:rsidRPr="00E95DB3">
        <w:rPr>
          <w:rFonts w:cs="Calibri"/>
          <w:lang w:val="en-US"/>
        </w:rPr>
        <w:t xml:space="preserve"> was established by Council </w:t>
      </w:r>
      <w:hyperlink r:id="rId16" w:history="1">
        <w:r w:rsidR="00E95DB3" w:rsidRPr="00E95DB3">
          <w:rPr>
            <w:rFonts w:cs="Calibri"/>
            <w:color w:val="0563C1"/>
            <w:u w:val="single"/>
            <w:lang w:val="en-US"/>
          </w:rPr>
          <w:t>Resolution 1306</w:t>
        </w:r>
      </w:hyperlink>
      <w:r w:rsidR="00E95DB3" w:rsidRPr="00E95DB3">
        <w:rPr>
          <w:rFonts w:cs="Calibri"/>
          <w:lang w:val="en-US"/>
        </w:rPr>
        <w:t xml:space="preserve"> (Mod. 2015), in accordance with </w:t>
      </w:r>
      <w:hyperlink r:id="rId17" w:history="1">
        <w:r w:rsidR="00E95DB3" w:rsidRPr="00E95DB3">
          <w:rPr>
            <w:rFonts w:cs="Calibri"/>
            <w:color w:val="0563C1"/>
            <w:u w:val="single"/>
            <w:lang w:val="en-US"/>
          </w:rPr>
          <w:t>Resolutions 179</w:t>
        </w:r>
      </w:hyperlink>
      <w:r w:rsidR="00E95DB3" w:rsidRPr="00E95DB3">
        <w:rPr>
          <w:rFonts w:cs="Calibri"/>
          <w:lang w:val="en-US"/>
        </w:rPr>
        <w:t xml:space="preserve"> of the ITU Plenipotentiary Conference (Rev. Bucharest, 2022). CWG-COP is open to all relevant stakeholders.</w:t>
      </w:r>
    </w:p>
    <w:p w14:paraId="5F94E4D9" w14:textId="3CC95EC2" w:rsidR="00E95DB3" w:rsidRPr="00E95DB3" w:rsidRDefault="0051689B" w:rsidP="00B851C7">
      <w:pPr>
        <w:jc w:val="both"/>
        <w:rPr>
          <w:rFonts w:cs="Calibri"/>
        </w:rPr>
      </w:pPr>
      <w:r w:rsidRPr="00E95DB3">
        <w:rPr>
          <w:rFonts w:cs="Calibri"/>
        </w:rPr>
        <w:t>1.2</w:t>
      </w:r>
      <w:r w:rsidRPr="00E95DB3">
        <w:rPr>
          <w:rFonts w:cs="Calibri"/>
        </w:rPr>
        <w:tab/>
      </w:r>
      <w:r w:rsidR="00E95DB3" w:rsidRPr="00E95DB3">
        <w:rPr>
          <w:rFonts w:cs="Calibri"/>
        </w:rPr>
        <w:t xml:space="preserve">The terms of reference for CWG-Internet are specified in </w:t>
      </w:r>
      <w:hyperlink r:id="rId18" w:history="1">
        <w:r w:rsidR="00E95DB3" w:rsidRPr="00E95DB3">
          <w:rPr>
            <w:rFonts w:cs="Calibri"/>
            <w:color w:val="0563C1"/>
            <w:u w:val="single"/>
          </w:rPr>
          <w:t>Annex 1 of the outcome of the 1</w:t>
        </w:r>
        <w:r w:rsidR="00E95DB3" w:rsidRPr="007B1F7D">
          <w:rPr>
            <w:rFonts w:cs="Calibri"/>
            <w:color w:val="0563C1"/>
            <w:u w:val="single"/>
            <w:vertAlign w:val="superscript"/>
          </w:rPr>
          <w:t>st</w:t>
        </w:r>
        <w:r w:rsidR="00E95DB3" w:rsidRPr="00E95DB3">
          <w:rPr>
            <w:rFonts w:cs="Calibri"/>
            <w:color w:val="0563C1"/>
            <w:u w:val="single"/>
          </w:rPr>
          <w:t xml:space="preserve"> meeting)</w:t>
        </w:r>
      </w:hyperlink>
      <w:r w:rsidR="00E95DB3" w:rsidRPr="00E95DB3">
        <w:rPr>
          <w:rFonts w:cs="Calibri"/>
        </w:rPr>
        <w:t>.</w:t>
      </w:r>
    </w:p>
    <w:p w14:paraId="6E1C3930" w14:textId="14450881" w:rsidR="00E95DB3" w:rsidRPr="00E95DB3" w:rsidRDefault="0051689B" w:rsidP="00B851C7">
      <w:pPr>
        <w:jc w:val="both"/>
        <w:rPr>
          <w:rFonts w:cs="Calibri"/>
        </w:rPr>
      </w:pPr>
      <w:r w:rsidRPr="00E95DB3">
        <w:rPr>
          <w:rFonts w:cs="Calibri"/>
        </w:rPr>
        <w:t>1.3</w:t>
      </w:r>
      <w:r w:rsidRPr="00E95DB3">
        <w:rPr>
          <w:rFonts w:cs="Calibri"/>
        </w:rPr>
        <w:tab/>
      </w:r>
      <w:r w:rsidR="00E95DB3" w:rsidRPr="00E95DB3">
        <w:rPr>
          <w:rFonts w:cs="Calibri"/>
        </w:rPr>
        <w:t>Plenipotentiary Conference Resolution 179 (Rev. Bucharest, 2022) requested the Council</w:t>
      </w:r>
      <w:r w:rsidR="00E95DB3">
        <w:rPr>
          <w:rFonts w:cs="Calibri"/>
        </w:rPr>
        <w:t>:</w:t>
      </w:r>
    </w:p>
    <w:p w14:paraId="4BCAD6E8" w14:textId="6143A48D" w:rsidR="00E95DB3" w:rsidRPr="00E95DB3" w:rsidRDefault="00B851C7" w:rsidP="00B851C7">
      <w:pPr>
        <w:pStyle w:val="enumlev1"/>
        <w:jc w:val="both"/>
      </w:pPr>
      <w:r>
        <w:t>–</w:t>
      </w:r>
      <w:r>
        <w:tab/>
      </w:r>
      <w:r w:rsidR="00E95DB3">
        <w:t xml:space="preserve">to continue the work of </w:t>
      </w:r>
      <w:proofErr w:type="spellStart"/>
      <w:r w:rsidR="00E95DB3">
        <w:t>CWGCOP</w:t>
      </w:r>
      <w:proofErr w:type="spellEnd"/>
      <w:r w:rsidR="00E95DB3">
        <w:t xml:space="preserve">, </w:t>
      </w:r>
      <w:proofErr w:type="gramStart"/>
      <w:r w:rsidR="00E95DB3">
        <w:t>in order to</w:t>
      </w:r>
      <w:proofErr w:type="gramEnd"/>
      <w:r w:rsidR="00E95DB3">
        <w:t xml:space="preserve"> facilitate the membership's input and guidance on ITU's role in child online protection, and to serve as a platform for discussion and exchange of best practices; </w:t>
      </w:r>
    </w:p>
    <w:p w14:paraId="7706BA78" w14:textId="3EA31529" w:rsidR="00E95DB3" w:rsidRPr="00E95DB3" w:rsidRDefault="00B851C7" w:rsidP="00B851C7">
      <w:pPr>
        <w:pStyle w:val="enumlev1"/>
        <w:jc w:val="both"/>
      </w:pPr>
      <w:r>
        <w:t>–</w:t>
      </w:r>
      <w:r>
        <w:tab/>
      </w:r>
      <w:r w:rsidR="00E95DB3" w:rsidRPr="00E95DB3">
        <w:t>to facilitate the contribution and participation of all relevant stakeholders in the work of CWG</w:t>
      </w:r>
      <w:r w:rsidR="00E95DB3" w:rsidRPr="00E95DB3">
        <w:noBreakHyphen/>
        <w:t xml:space="preserve">COP to ensure maximum collaboration in implementing this resolution; </w:t>
      </w:r>
    </w:p>
    <w:p w14:paraId="3DA23B61" w14:textId="767A2FC4" w:rsidR="00E95DB3" w:rsidRPr="00E95DB3" w:rsidRDefault="00B851C7" w:rsidP="00B851C7">
      <w:pPr>
        <w:pStyle w:val="enumlev1"/>
        <w:jc w:val="both"/>
      </w:pPr>
      <w:r>
        <w:t>–</w:t>
      </w:r>
      <w:r>
        <w:tab/>
      </w:r>
      <w:r w:rsidR="00E95DB3" w:rsidRPr="00E95DB3">
        <w:t xml:space="preserve">to encourage CWG-COP to liaise with the Council Working Group on international Internet-related public policy issues (CWG-Internet), as appropriate, </w:t>
      </w:r>
      <w:proofErr w:type="gramStart"/>
      <w:r w:rsidR="00E95DB3" w:rsidRPr="00E95DB3">
        <w:t>in order to</w:t>
      </w:r>
      <w:proofErr w:type="gramEnd"/>
      <w:r w:rsidR="00E95DB3" w:rsidRPr="00E95DB3">
        <w:t xml:space="preserve"> contribute in a mutually beneficial manner to fulfilment of work under the respective mandates of these Council working groups on the relevant issues; </w:t>
      </w:r>
    </w:p>
    <w:p w14:paraId="30E3DAA0" w14:textId="722560D6" w:rsidR="00E95DB3" w:rsidRPr="00E95DB3" w:rsidRDefault="00B851C7" w:rsidP="00B851C7">
      <w:pPr>
        <w:pStyle w:val="enumlev1"/>
        <w:jc w:val="both"/>
      </w:pPr>
      <w:r>
        <w:t>–</w:t>
      </w:r>
      <w:r>
        <w:tab/>
      </w:r>
      <w:r w:rsidR="00E95DB3" w:rsidRPr="00E95DB3">
        <w:t xml:space="preserve">to encourage CWG-COP to liaise with ITU-D Study Group 2, sharing the outputs of CWG-COP meetings, to benefit the discussion of the relevant study question; </w:t>
      </w:r>
    </w:p>
    <w:p w14:paraId="2BC03451" w14:textId="0A7FEAE7" w:rsidR="00E95DB3" w:rsidRPr="00E95DB3" w:rsidRDefault="00B851C7" w:rsidP="00B851C7">
      <w:pPr>
        <w:pStyle w:val="enumlev1"/>
        <w:jc w:val="both"/>
      </w:pPr>
      <w:r>
        <w:t>–</w:t>
      </w:r>
      <w:r>
        <w:tab/>
      </w:r>
      <w:r w:rsidR="00E95DB3" w:rsidRPr="00E95DB3">
        <w:t>to encourage CWG</w:t>
      </w:r>
      <w:r w:rsidR="00E95DB3" w:rsidRPr="00E95DB3">
        <w:noBreakHyphen/>
        <w:t xml:space="preserve">COP to conduct online consultations with youth to listen to their views and opinions on different matters related to child online protection, prior to and during its meeting; </w:t>
      </w:r>
    </w:p>
    <w:p w14:paraId="2FFB1972" w14:textId="664671A0" w:rsidR="00E95DB3" w:rsidRPr="00E95DB3" w:rsidRDefault="00B851C7" w:rsidP="00B851C7">
      <w:pPr>
        <w:pStyle w:val="enumlev1"/>
        <w:jc w:val="both"/>
      </w:pPr>
      <w:r>
        <w:t>–</w:t>
      </w:r>
      <w:r>
        <w:tab/>
      </w:r>
      <w:r w:rsidR="00E95DB3" w:rsidRPr="00E95DB3">
        <w:t>to continue to make output documents related to child online protection issues publicly accessible without password protection.</w:t>
      </w:r>
    </w:p>
    <w:p w14:paraId="4F0BE65B" w14:textId="77777777" w:rsidR="00E95DB3" w:rsidRPr="00E95DB3" w:rsidRDefault="00E95DB3" w:rsidP="00B851C7">
      <w:pPr>
        <w:pStyle w:val="Heading1"/>
      </w:pPr>
      <w:r w:rsidRPr="00E95DB3">
        <w:t>2</w:t>
      </w:r>
      <w:r w:rsidRPr="00E95DB3">
        <w:tab/>
        <w:t>CWG-COP activities</w:t>
      </w:r>
    </w:p>
    <w:p w14:paraId="5727D689" w14:textId="2E5A510E" w:rsidR="00E95DB3" w:rsidRPr="00E95DB3" w:rsidRDefault="00E95DB3" w:rsidP="00B851C7">
      <w:pPr>
        <w:jc w:val="both"/>
      </w:pPr>
      <w:r>
        <w:t>2.1</w:t>
      </w:r>
      <w:r>
        <w:tab/>
      </w:r>
      <w:r w:rsidRPr="00E95DB3">
        <w:t>This document contains the Chair’s summary of the activities and outcomes of the twenty-third and twenty-fourth meetings of the Council Working Group on Child Online Protection (CWG-COP), held on 16 September 2025 and 19 January 2026 respectively, as part of the Group’s work since the 2025 session of the Council.</w:t>
      </w:r>
    </w:p>
    <w:p w14:paraId="6ACA4288" w14:textId="77777777" w:rsidR="00E95DB3" w:rsidRPr="00E95DB3" w:rsidRDefault="00E95DB3" w:rsidP="00B851C7">
      <w:pPr>
        <w:jc w:val="both"/>
      </w:pPr>
      <w:r w:rsidRPr="00E95DB3">
        <w:t>During this period, the work of the Group focused on:</w:t>
      </w:r>
    </w:p>
    <w:p w14:paraId="6C675982" w14:textId="07ED2844" w:rsidR="00E95DB3" w:rsidRPr="00E95DB3" w:rsidRDefault="0051689B" w:rsidP="00B851C7">
      <w:pPr>
        <w:pStyle w:val="enumlev1"/>
        <w:jc w:val="both"/>
      </w:pPr>
      <w:r w:rsidRPr="00E95DB3">
        <w:t>a)</w:t>
      </w:r>
      <w:r w:rsidRPr="00E95DB3">
        <w:tab/>
      </w:r>
      <w:r w:rsidR="00E95DB3" w:rsidRPr="00E95DB3">
        <w:t>Advancing strategic discussions on child online protection in the context of emerging technologies, in particular artificial intelligence;</w:t>
      </w:r>
    </w:p>
    <w:p w14:paraId="53E1C50A" w14:textId="61AEBF48" w:rsidR="00E95DB3" w:rsidRPr="00E95DB3" w:rsidRDefault="0051689B" w:rsidP="00B851C7">
      <w:pPr>
        <w:pStyle w:val="enumlev1"/>
        <w:jc w:val="both"/>
      </w:pPr>
      <w:r w:rsidRPr="00E95DB3">
        <w:t>b)</w:t>
      </w:r>
      <w:r w:rsidRPr="00E95DB3">
        <w:tab/>
      </w:r>
      <w:r w:rsidR="00E95DB3" w:rsidRPr="00E95DB3">
        <w:t>Showcasing national, regional, and sector-led initiatives addressing child online safety risks and opportunities;</w:t>
      </w:r>
    </w:p>
    <w:p w14:paraId="1750F15E" w14:textId="1CED9661" w:rsidR="00E95DB3" w:rsidRPr="00E95DB3" w:rsidRDefault="0051689B" w:rsidP="00B851C7">
      <w:pPr>
        <w:pStyle w:val="enumlev1"/>
        <w:jc w:val="both"/>
      </w:pPr>
      <w:r w:rsidRPr="00E95DB3">
        <w:t>c)</w:t>
      </w:r>
      <w:r w:rsidRPr="00E95DB3">
        <w:tab/>
      </w:r>
      <w:r w:rsidR="00E95DB3" w:rsidRPr="00E95DB3">
        <w:t>Strengthening coordination between policy, operational, and technical standardization efforts within ITU;</w:t>
      </w:r>
    </w:p>
    <w:p w14:paraId="174869BC" w14:textId="4819B2CF" w:rsidR="00E95DB3" w:rsidRPr="00E95DB3" w:rsidRDefault="0051689B" w:rsidP="00B851C7">
      <w:pPr>
        <w:pStyle w:val="enumlev1"/>
        <w:jc w:val="both"/>
      </w:pPr>
      <w:r w:rsidRPr="00E95DB3">
        <w:t>d)</w:t>
      </w:r>
      <w:r w:rsidRPr="00E95DB3">
        <w:tab/>
      </w:r>
      <w:r w:rsidR="00E95DB3" w:rsidRPr="00E95DB3">
        <w:t>Promoting multi-stakeholder engagement, including with industry, civil society, and international organizations; and</w:t>
      </w:r>
    </w:p>
    <w:p w14:paraId="500D08D1" w14:textId="3A96D943" w:rsidR="00E95DB3" w:rsidRPr="00E95DB3" w:rsidRDefault="0051689B" w:rsidP="00B851C7">
      <w:pPr>
        <w:pStyle w:val="enumlev1"/>
        <w:jc w:val="both"/>
      </w:pPr>
      <w:r w:rsidRPr="00E95DB3">
        <w:t>e)</w:t>
      </w:r>
      <w:r w:rsidRPr="00E95DB3">
        <w:tab/>
      </w:r>
      <w:r w:rsidR="00E95DB3" w:rsidRPr="00E95DB3">
        <w:t>Reinforcing transparency, information-sharing, and collaboration among CWG-COP members and partners.</w:t>
      </w:r>
    </w:p>
    <w:p w14:paraId="7D27D06D" w14:textId="12311CF5" w:rsidR="00E95DB3" w:rsidRPr="00E95DB3" w:rsidRDefault="00E95DB3" w:rsidP="00B851C7">
      <w:pPr>
        <w:jc w:val="both"/>
      </w:pPr>
      <w:r w:rsidRPr="00E95DB3">
        <w:lastRenderedPageBreak/>
        <w:t>2.</w:t>
      </w:r>
      <w:r>
        <w:t>2</w:t>
      </w:r>
      <w:r w:rsidRPr="00E95DB3">
        <w:tab/>
        <w:t xml:space="preserve">Across both meetings, CWG-COP provided a platform for the exchange of national experiences, good practices, and policy approaches related to child online protection. Member States and partners shared initiatives addressing online sexual abuse and exploitation of children, excessive screen time, digital literacy, parental empowerment, data protection, and emerging risks linked to artificial intelligence and algorithmic systems. The meetings highlighted the importance of whole-of-government and multi-stakeholder approaches, combining awareness-raising, regulatory measures, technical solutions, capacity building, and international cooperation. </w:t>
      </w:r>
    </w:p>
    <w:p w14:paraId="298E4C6C" w14:textId="77777777" w:rsidR="00E95DB3" w:rsidRPr="00E95DB3" w:rsidRDefault="00E95DB3" w:rsidP="00B851C7">
      <w:pPr>
        <w:jc w:val="both"/>
      </w:pPr>
      <w:proofErr w:type="gramStart"/>
      <w:r w:rsidRPr="00E95DB3">
        <w:t>Particular attention</w:t>
      </w:r>
      <w:proofErr w:type="gramEnd"/>
      <w:r w:rsidRPr="00E95DB3">
        <w:t xml:space="preserve"> was given to operational mechanisms such as national hotlines, reporting systems, school-based interventions, and parental control tools, as well as to the need for evidence-based policymaking informed by research and data.</w:t>
      </w:r>
    </w:p>
    <w:p w14:paraId="26C79B93" w14:textId="77777777" w:rsidR="00E95DB3" w:rsidRPr="00E95DB3" w:rsidRDefault="00E95DB3" w:rsidP="00B851C7">
      <w:pPr>
        <w:jc w:val="both"/>
      </w:pPr>
      <w:r w:rsidRPr="00E95DB3">
        <w:t>2.3</w:t>
      </w:r>
      <w:r w:rsidRPr="00E95DB3">
        <w:tab/>
        <w:t>Discussions during the reporting period placed increased emphasis on the implications of artificial intelligence for child online protection. Contributions addressed AI-enabled risks, including content generation, automated moderation, conversational systems, and algorithm-driven engagement, while also highlighting opportunities to embed safety-by-design and child-centred safeguards within digital services.</w:t>
      </w:r>
    </w:p>
    <w:p w14:paraId="52A82FCA" w14:textId="3C8A63A1" w:rsidR="00E95DB3" w:rsidRPr="00E95DB3" w:rsidRDefault="00E95DB3" w:rsidP="00B851C7">
      <w:pPr>
        <w:jc w:val="both"/>
      </w:pPr>
      <w:r w:rsidRPr="00E95DB3">
        <w:t>The Secretariat provided updates on major global initiatives launched during this period, including the Joint Statement on Artificial Intelligence and the Rights of the Child and the Protection through Online Participation (</w:t>
      </w:r>
      <w:proofErr w:type="spellStart"/>
      <w:r w:rsidRPr="00E95DB3">
        <w:t>PoP</w:t>
      </w:r>
      <w:proofErr w:type="spellEnd"/>
      <w:r w:rsidRPr="00E95DB3">
        <w:t>) Principles, as well as ongoing dialogue with industry through the ITU Industry Connect series.</w:t>
      </w:r>
    </w:p>
    <w:p w14:paraId="061BB837" w14:textId="77777777" w:rsidR="00E95DB3" w:rsidRPr="00E95DB3" w:rsidRDefault="00E95DB3" w:rsidP="00B851C7">
      <w:pPr>
        <w:jc w:val="both"/>
      </w:pPr>
      <w:r w:rsidRPr="00E95DB3">
        <w:t>2.4</w:t>
      </w:r>
      <w:r w:rsidRPr="00E95DB3">
        <w:tab/>
        <w:t>The Working Group continued to strengthen its coordination with ITU-T Study Group 17, including through the exchange of liaison statements and the presentation of the Gap Analysis on Standards Supporting Child Online Protection developed by the Correspondence Group on Child Online Protection (CG-COP).</w:t>
      </w:r>
    </w:p>
    <w:p w14:paraId="7076BB98" w14:textId="241CFE97" w:rsidR="00E95DB3" w:rsidRPr="00E95DB3" w:rsidRDefault="00E95DB3" w:rsidP="00B851C7">
      <w:pPr>
        <w:jc w:val="both"/>
      </w:pPr>
      <w:r w:rsidRPr="00E95DB3">
        <w:t>Discussions underscored the complementary roles of CWG-COP and ITU-T in addressing policy, operational, and technical dimensions of child online protection, particularly in relation to age assurance, automated content moderation, and interoperability of parental control tools. The Group welcomed continued collaboration and information exchange to ensure alignment between standardization efforts and policy discussions.</w:t>
      </w:r>
    </w:p>
    <w:p w14:paraId="3C3C950A" w14:textId="77777777" w:rsidR="00E95DB3" w:rsidRPr="00E95DB3" w:rsidRDefault="00E95DB3" w:rsidP="00B851C7">
      <w:pPr>
        <w:jc w:val="both"/>
      </w:pPr>
      <w:r w:rsidRPr="00E95DB3">
        <w:t>2.5</w:t>
      </w:r>
      <w:r w:rsidRPr="00E95DB3">
        <w:tab/>
        <w:t>Both meetings reaffirmed the importance of inclusive and multi-stakeholder engagement in advancing child online protection. Contributions from industry, civil society, academia, and international organizations highlighted innovative tools, awareness initiatives, research, and capacity-building programmes.</w:t>
      </w:r>
    </w:p>
    <w:p w14:paraId="7B2E7D3E" w14:textId="075FBE4D" w:rsidR="00E95DB3" w:rsidRPr="00E95DB3" w:rsidRDefault="00E95DB3" w:rsidP="00B851C7">
      <w:pPr>
        <w:jc w:val="both"/>
      </w:pPr>
      <w:r w:rsidRPr="00E95DB3">
        <w:t>The Working Group also welcomed updates on regional and global initiatives, including collaborative efforts led by UN agencies and international partners, and noted the value of sharing resources and knowledge through ITU platforms to support scalable and sustainable impact.</w:t>
      </w:r>
    </w:p>
    <w:p w14:paraId="0B3258E9" w14:textId="3ABAC465" w:rsidR="00E95DB3" w:rsidRPr="00E95DB3" w:rsidRDefault="00E95DB3" w:rsidP="00B851C7">
      <w:pPr>
        <w:jc w:val="both"/>
      </w:pPr>
      <w:r w:rsidRPr="00E95DB3">
        <w:t>2.6</w:t>
      </w:r>
      <w:r>
        <w:tab/>
      </w:r>
      <w:r w:rsidRPr="00E95DB3">
        <w:t>The main outcomes of the twenty-third and twenty-fourth meetings included</w:t>
      </w:r>
      <w:r w:rsidR="0039434A">
        <w:t>:</w:t>
      </w:r>
    </w:p>
    <w:p w14:paraId="25899F57" w14:textId="3B81FF59" w:rsidR="00E95DB3" w:rsidRPr="00E95DB3" w:rsidRDefault="00D55EC1" w:rsidP="00D55EC1">
      <w:pPr>
        <w:pStyle w:val="enumlev1"/>
        <w:jc w:val="both"/>
        <w:rPr>
          <w:lang w:eastAsia="en-GB"/>
        </w:rPr>
      </w:pPr>
      <w:r>
        <w:t>–</w:t>
      </w:r>
      <w:r>
        <w:tab/>
      </w:r>
      <w:r w:rsidR="00E95DB3" w:rsidRPr="00E95DB3">
        <w:rPr>
          <w:lang w:eastAsia="en-GB"/>
        </w:rPr>
        <w:t>Reinforced transparency and information-sharing practices within CWG-COP, including the publication of information documents and resources on the CWG website;</w:t>
      </w:r>
    </w:p>
    <w:p w14:paraId="2BB28507" w14:textId="1C469C51" w:rsidR="00E95DB3" w:rsidRPr="00E95DB3" w:rsidRDefault="00D55EC1" w:rsidP="00D55EC1">
      <w:pPr>
        <w:pStyle w:val="enumlev1"/>
        <w:jc w:val="both"/>
        <w:rPr>
          <w:lang w:eastAsia="en-GB"/>
        </w:rPr>
      </w:pPr>
      <w:r>
        <w:t>–</w:t>
      </w:r>
      <w:r>
        <w:tab/>
      </w:r>
      <w:r w:rsidR="00E95DB3" w:rsidRPr="00E95DB3">
        <w:rPr>
          <w:lang w:eastAsia="en-GB"/>
        </w:rPr>
        <w:t>Continued recognition of the value of national experiences and good practices in informing global child online protection efforts;</w:t>
      </w:r>
    </w:p>
    <w:p w14:paraId="7AA62EC3" w14:textId="57EFBFBE" w:rsidR="00E95DB3" w:rsidRPr="00E95DB3" w:rsidRDefault="00D55EC1" w:rsidP="00D55EC1">
      <w:pPr>
        <w:pStyle w:val="enumlev1"/>
        <w:jc w:val="both"/>
        <w:rPr>
          <w:lang w:eastAsia="en-GB"/>
        </w:rPr>
      </w:pPr>
      <w:r>
        <w:lastRenderedPageBreak/>
        <w:t>–</w:t>
      </w:r>
      <w:r>
        <w:tab/>
      </w:r>
      <w:r w:rsidR="00E95DB3" w:rsidRPr="00E95DB3">
        <w:rPr>
          <w:lang w:eastAsia="en-GB"/>
        </w:rPr>
        <w:t>Strengthened coordination with ITU-T Study Group 17 through liaison statements and technical collaboration;</w:t>
      </w:r>
    </w:p>
    <w:p w14:paraId="545CEB25" w14:textId="17D76DC6" w:rsidR="00E95DB3" w:rsidRPr="00E95DB3" w:rsidRDefault="00D55EC1" w:rsidP="00D55EC1">
      <w:pPr>
        <w:pStyle w:val="enumlev1"/>
        <w:jc w:val="both"/>
        <w:rPr>
          <w:lang w:eastAsia="en-GB"/>
        </w:rPr>
      </w:pPr>
      <w:r>
        <w:t>–</w:t>
      </w:r>
      <w:r>
        <w:tab/>
      </w:r>
      <w:r w:rsidR="00E95DB3" w:rsidRPr="00E95DB3">
        <w:rPr>
          <w:lang w:eastAsia="en-GB"/>
        </w:rPr>
        <w:t>Acknowledgement of the growing relevance of artificial intelligence and emerging technologies in child online protection discussions; and</w:t>
      </w:r>
    </w:p>
    <w:p w14:paraId="0BB5D179" w14:textId="30DDE45C" w:rsidR="00E95DB3" w:rsidRPr="00E95DB3" w:rsidRDefault="00D55EC1" w:rsidP="00D55EC1">
      <w:pPr>
        <w:pStyle w:val="enumlev1"/>
        <w:jc w:val="both"/>
        <w:rPr>
          <w:lang w:eastAsia="en-GB"/>
        </w:rPr>
      </w:pPr>
      <w:r>
        <w:t>–</w:t>
      </w:r>
      <w:r>
        <w:tab/>
      </w:r>
      <w:r w:rsidR="00E95DB3" w:rsidRPr="00E95DB3">
        <w:rPr>
          <w:lang w:eastAsia="en-GB"/>
        </w:rPr>
        <w:t>Encouragement for continued dialogue, collaboration, and engagement among Member States, the Secretariat, and partners.</w:t>
      </w:r>
    </w:p>
    <w:p w14:paraId="5931B911" w14:textId="107C6E0B" w:rsidR="00E95DB3" w:rsidRPr="00E95DB3" w:rsidRDefault="00D55EC1" w:rsidP="00D55EC1">
      <w:pPr>
        <w:pStyle w:val="enumlev1"/>
        <w:jc w:val="both"/>
        <w:rPr>
          <w:lang w:eastAsia="en-GB"/>
        </w:rPr>
      </w:pPr>
      <w:r>
        <w:t>–</w:t>
      </w:r>
      <w:r>
        <w:tab/>
      </w:r>
      <w:r w:rsidR="00E95DB3" w:rsidRPr="3910F56F">
        <w:rPr>
          <w:lang w:eastAsia="en-GB"/>
        </w:rPr>
        <w:t>I</w:t>
      </w:r>
      <w:r w:rsidR="0761242D" w:rsidRPr="3910F56F">
        <w:rPr>
          <w:rFonts w:eastAsia="Calibri"/>
        </w:rPr>
        <w:t>ncrease reporting by ITU Regional Offices to the CWG-COP on Child Online Protection activities undertaken during the reporting period, with a view to better reflecting and strengthening regional engagement in the CWG-COP’s work</w:t>
      </w:r>
      <w:r w:rsidR="00E95DB3" w:rsidRPr="3910F56F">
        <w:rPr>
          <w:lang w:eastAsia="en-GB"/>
        </w:rPr>
        <w:t>.</w:t>
      </w:r>
    </w:p>
    <w:p w14:paraId="63959E29" w14:textId="6A1A41E5" w:rsidR="00E95DB3" w:rsidRPr="00E95DB3" w:rsidRDefault="00E95DB3" w:rsidP="00D55EC1">
      <w:pPr>
        <w:jc w:val="both"/>
      </w:pPr>
      <w:r w:rsidRPr="44282396">
        <w:t>2.</w:t>
      </w:r>
      <w:r w:rsidR="4D291F8B" w:rsidRPr="44282396">
        <w:t>7</w:t>
      </w:r>
      <w:r>
        <w:tab/>
      </w:r>
      <w:r w:rsidRPr="44282396">
        <w:t>At the twenty-third meeting of the CWG-COP, Member States, Sector Members, and partners discussed a wide range of contributions addressing policy, technical, and operational aspects of child online protection. Discussions covered awareness-raising and regulatory measures, standardization efforts, parental empowerment tools, and emerging issues related to artificial intelligence, encryption, and interoperability. The meeting reaffirmed the importance of inclusive, multi-stakeholder engagement and continued coordination between policy discussions and technical standardization work within ITU.</w:t>
      </w:r>
    </w:p>
    <w:p w14:paraId="7DE174B1" w14:textId="575F0A1D" w:rsidR="00E95DB3" w:rsidRPr="00E95DB3" w:rsidRDefault="00E95DB3" w:rsidP="00D55EC1">
      <w:pPr>
        <w:jc w:val="both"/>
      </w:pPr>
      <w:r w:rsidRPr="00E95DB3">
        <w:rPr>
          <w:rFonts w:eastAsia="SimSun"/>
        </w:rPr>
        <w:t>2.</w:t>
      </w:r>
      <w:r w:rsidR="0A9B4268" w:rsidRPr="00E95DB3">
        <w:rPr>
          <w:rFonts w:eastAsia="SimSun"/>
        </w:rPr>
        <w:t>8</w:t>
      </w:r>
      <w:r>
        <w:rPr>
          <w:rFonts w:eastAsia="SimSun"/>
        </w:rPr>
        <w:tab/>
      </w:r>
      <w:r w:rsidRPr="00E95DB3">
        <w:rPr>
          <w:rFonts w:eastAsia="SimSun"/>
          <w:kern w:val="2"/>
          <w14:ligatures w14:val="standardContextual"/>
        </w:rPr>
        <w:t xml:space="preserve">The </w:t>
      </w:r>
      <w:r w:rsidRPr="00E95DB3">
        <w:t>main results of the meeting were:</w:t>
      </w:r>
    </w:p>
    <w:p w14:paraId="4D46966C" w14:textId="47D0A84E" w:rsidR="00E95DB3" w:rsidRPr="00E95DB3" w:rsidRDefault="00D55EC1" w:rsidP="00D55EC1">
      <w:pPr>
        <w:pStyle w:val="enumlev1"/>
        <w:jc w:val="both"/>
        <w:rPr>
          <w:rFonts w:eastAsia="Calibri"/>
        </w:rPr>
      </w:pPr>
      <w:r>
        <w:t>–</w:t>
      </w:r>
      <w:r>
        <w:tab/>
      </w:r>
      <w:r w:rsidR="00E95DB3" w:rsidRPr="00E95DB3">
        <w:rPr>
          <w:rFonts w:eastAsia="Calibri"/>
        </w:rPr>
        <w:t xml:space="preserve">The meeting took note of suggestions to further broaden participation in ITU Industry Connect sessions, including by involving manufacturers and network operators, and encouraged greater engagement of ITU regional offices in future CWG-COP meetings. </w:t>
      </w:r>
    </w:p>
    <w:p w14:paraId="28058B45" w14:textId="5D099690" w:rsidR="00E95DB3" w:rsidRPr="00E95DB3" w:rsidRDefault="00D55EC1" w:rsidP="00D55EC1">
      <w:pPr>
        <w:pStyle w:val="enumlev1"/>
        <w:jc w:val="both"/>
        <w:rPr>
          <w:rFonts w:eastAsia="Calibri"/>
        </w:rPr>
      </w:pPr>
      <w:r>
        <w:t>–</w:t>
      </w:r>
      <w:r>
        <w:tab/>
      </w:r>
      <w:r w:rsidR="00E95DB3" w:rsidRPr="00E95DB3">
        <w:rPr>
          <w:rFonts w:eastAsia="Calibri"/>
        </w:rPr>
        <w:t xml:space="preserve">The meeting acknowledged a proposal to broaden the scope of CWG-COP discussions to include youth. The Chair invited the proposing delegation to submit the proposal through the appropriate ITU decision-making processes, while noting that the Secretariat will continue supporting youth-focused digital skills and awareness activities under existing child online protection programmes. </w:t>
      </w:r>
    </w:p>
    <w:p w14:paraId="77BCAE54" w14:textId="5276A2FA" w:rsidR="00E95DB3" w:rsidRPr="00E95DB3" w:rsidRDefault="00D55EC1" w:rsidP="00D55EC1">
      <w:pPr>
        <w:pStyle w:val="enumlev1"/>
        <w:jc w:val="both"/>
        <w:rPr>
          <w:rFonts w:eastAsia="Calibri"/>
        </w:rPr>
      </w:pPr>
      <w:r>
        <w:t>–</w:t>
      </w:r>
      <w:r>
        <w:tab/>
      </w:r>
      <w:r w:rsidR="00E95DB3" w:rsidRPr="00E95DB3">
        <w:rPr>
          <w:rFonts w:eastAsia="Calibri"/>
        </w:rPr>
        <w:t xml:space="preserve">The Working Group took note of the liaison statement from ITU-T Study Group 17 and welcomed continued collaboration. The meeting endorsed SG17’s ongoing work on age assurance and automated content moderation as priority areas and encouraged Member States and stakeholders to participate in the Correspondence Group on Child Online Protection (CG-COP). </w:t>
      </w:r>
    </w:p>
    <w:p w14:paraId="1C78CBAC" w14:textId="11DB4182" w:rsidR="00E95DB3" w:rsidRPr="00E95DB3" w:rsidRDefault="00D55EC1" w:rsidP="00D55EC1">
      <w:pPr>
        <w:pStyle w:val="enumlev1"/>
        <w:jc w:val="both"/>
        <w:rPr>
          <w:rFonts w:eastAsia="Calibri"/>
        </w:rPr>
      </w:pPr>
      <w:r>
        <w:t>–</w:t>
      </w:r>
      <w:r>
        <w:tab/>
      </w:r>
      <w:r w:rsidR="00E95DB3" w:rsidRPr="00E95DB3">
        <w:rPr>
          <w:rFonts w:eastAsia="Calibri"/>
        </w:rPr>
        <w:t xml:space="preserve">The meeting welcomed the contribution by </w:t>
      </w:r>
      <w:proofErr w:type="spellStart"/>
      <w:r w:rsidR="00E95DB3" w:rsidRPr="00E95DB3">
        <w:rPr>
          <w:rFonts w:eastAsia="Calibri"/>
        </w:rPr>
        <w:t>SouthWest</w:t>
      </w:r>
      <w:proofErr w:type="spellEnd"/>
      <w:r w:rsidR="00E95DB3" w:rsidRPr="00E95DB3">
        <w:rPr>
          <w:rFonts w:eastAsia="Calibri"/>
        </w:rPr>
        <w:t xml:space="preserve"> Grid for Learning (</w:t>
      </w:r>
      <w:proofErr w:type="spellStart"/>
      <w:r w:rsidR="00E95DB3" w:rsidRPr="00E95DB3">
        <w:rPr>
          <w:rFonts w:eastAsia="Calibri"/>
        </w:rPr>
        <w:t>SWGfL</w:t>
      </w:r>
      <w:proofErr w:type="spellEnd"/>
      <w:r w:rsidR="00E95DB3" w:rsidRPr="00E95DB3">
        <w:rPr>
          <w:rFonts w:eastAsia="Calibri"/>
        </w:rPr>
        <w:t>) on the Parental Control Enforcement Protocol (</w:t>
      </w:r>
      <w:proofErr w:type="spellStart"/>
      <w:r w:rsidR="00E95DB3" w:rsidRPr="00E95DB3">
        <w:rPr>
          <w:rFonts w:eastAsia="Calibri"/>
        </w:rPr>
        <w:t>PARCEP</w:t>
      </w:r>
      <w:proofErr w:type="spellEnd"/>
      <w:r w:rsidR="00E95DB3" w:rsidRPr="00E95DB3">
        <w:rPr>
          <w:rFonts w:eastAsia="Calibri"/>
        </w:rPr>
        <w:t xml:space="preserve">) and supported continued collaboration between CWG-COP and </w:t>
      </w:r>
      <w:proofErr w:type="spellStart"/>
      <w:r w:rsidR="00E95DB3" w:rsidRPr="00E95DB3">
        <w:rPr>
          <w:rFonts w:eastAsia="Calibri"/>
        </w:rPr>
        <w:t>SG17’s</w:t>
      </w:r>
      <w:proofErr w:type="spellEnd"/>
      <w:r w:rsidR="00E95DB3" w:rsidRPr="00E95DB3">
        <w:rPr>
          <w:rFonts w:eastAsia="Calibri"/>
        </w:rPr>
        <w:t xml:space="preserve"> CG-COP. The Chair invited the Secretariat to transmit a liaison statement to SG17 reflecting CWG-COP’s support for PARCEP and its recommendations on interoperable parental controls, engagement with relevant standards bodies, and further technical and regulatory dialogue. </w:t>
      </w:r>
    </w:p>
    <w:p w14:paraId="612A4266" w14:textId="316BE338" w:rsidR="00E95DB3" w:rsidRPr="00E95DB3" w:rsidRDefault="00D55EC1" w:rsidP="00D55EC1">
      <w:pPr>
        <w:pStyle w:val="enumlev1"/>
        <w:jc w:val="both"/>
        <w:rPr>
          <w:rFonts w:eastAsia="Calibri"/>
        </w:rPr>
      </w:pPr>
      <w:r>
        <w:t>–</w:t>
      </w:r>
      <w:r>
        <w:tab/>
      </w:r>
      <w:r w:rsidR="00E95DB3" w:rsidRPr="00E95DB3">
        <w:rPr>
          <w:rFonts w:eastAsia="Calibri"/>
        </w:rPr>
        <w:t>The meeting reaffirmed the importance of inclusive participation and cross-community collaboration among standards bodies and welcomed interventions highlighting the value of cooperation across ITU, other standards organizations, and stakeholder communities.</w:t>
      </w:r>
    </w:p>
    <w:p w14:paraId="2D4236BF" w14:textId="67709EDB" w:rsidR="00E95DB3" w:rsidRPr="00E95DB3" w:rsidRDefault="00D55EC1" w:rsidP="00D55EC1">
      <w:pPr>
        <w:pStyle w:val="enumlev1"/>
        <w:jc w:val="both"/>
        <w:rPr>
          <w:rFonts w:eastAsia="Calibri"/>
        </w:rPr>
      </w:pPr>
      <w:r>
        <w:t>–</w:t>
      </w:r>
      <w:r>
        <w:tab/>
      </w:r>
      <w:r w:rsidR="00E95DB3" w:rsidRPr="00E95DB3">
        <w:rPr>
          <w:rFonts w:eastAsia="Calibri"/>
        </w:rPr>
        <w:t>The meeting supported proposals to explore modalities for safe and meaningful participation of children and youth in future CWG-COP sessions and acknowledged suggestions to consider intergenerational aspects of online protection, including risks</w:t>
      </w:r>
      <w:r w:rsidR="0039434A">
        <w:rPr>
          <w:rFonts w:eastAsia="Calibri"/>
        </w:rPr>
        <w:t>.</w:t>
      </w:r>
      <w:r w:rsidR="00E95DB3" w:rsidRPr="00E95DB3">
        <w:rPr>
          <w:rFonts w:eastAsia="Calibri"/>
        </w:rPr>
        <w:t xml:space="preserve"> </w:t>
      </w:r>
    </w:p>
    <w:p w14:paraId="603B023F" w14:textId="12905681" w:rsidR="00E95DB3" w:rsidRPr="00E95DB3" w:rsidRDefault="00D55EC1" w:rsidP="00D55EC1">
      <w:pPr>
        <w:pStyle w:val="enumlev1"/>
        <w:jc w:val="both"/>
        <w:rPr>
          <w:rFonts w:eastAsia="Calibri"/>
        </w:rPr>
      </w:pPr>
      <w:r>
        <w:lastRenderedPageBreak/>
        <w:t>–</w:t>
      </w:r>
      <w:r>
        <w:tab/>
      </w:r>
      <w:r w:rsidR="00E95DB3" w:rsidRPr="00E95DB3">
        <w:rPr>
          <w:rFonts w:eastAsia="Calibri"/>
        </w:rPr>
        <w:t xml:space="preserve">The meeting took note of updates from UNICEF and expressed appreciation for the continued cooperation between ITU, UNICEF, and other UN agencies in advancing global child online protection efforts. </w:t>
      </w:r>
    </w:p>
    <w:p w14:paraId="52D201F4" w14:textId="20BD4C0F" w:rsidR="00E95DB3" w:rsidRPr="00E95DB3" w:rsidRDefault="00E95DB3" w:rsidP="00D55EC1">
      <w:pPr>
        <w:jc w:val="both"/>
      </w:pPr>
      <w:r w:rsidRPr="653672A9">
        <w:t>2.</w:t>
      </w:r>
      <w:r w:rsidR="6BCF8CB7" w:rsidRPr="653672A9">
        <w:t>9</w:t>
      </w:r>
      <w:r w:rsidR="00D55EC1">
        <w:tab/>
      </w:r>
      <w:r w:rsidRPr="653672A9">
        <w:t>At the twenty-fourth meeting of the CWG-COP, the Working Group continued its substantive discussions on child online protection in an evolving digital environment, with a particular focus on emerging technologies, national implementation experiences, and coordination across policy, operational, and technical domains. Member States and partners shared contributions addressing online sexual abuse and exploitation of children, digital literacy, data protection, parental empowerment, and the implications of artificial intelligence for child safety.</w:t>
      </w:r>
    </w:p>
    <w:p w14:paraId="5DA1CA07" w14:textId="492EE626" w:rsidR="00E95DB3" w:rsidRPr="00E95DB3" w:rsidRDefault="00E95DB3" w:rsidP="00D55EC1">
      <w:pPr>
        <w:jc w:val="both"/>
      </w:pPr>
      <w:r w:rsidRPr="00E95DB3">
        <w:rPr>
          <w:rFonts w:eastAsia="SimSun"/>
        </w:rPr>
        <w:t>2.</w:t>
      </w:r>
      <w:r w:rsidR="52152B45" w:rsidRPr="00E95DB3">
        <w:rPr>
          <w:rFonts w:eastAsia="SimSun"/>
        </w:rPr>
        <w:t>10</w:t>
      </w:r>
      <w:r>
        <w:rPr>
          <w:rFonts w:eastAsia="SimSun"/>
        </w:rPr>
        <w:tab/>
      </w:r>
      <w:r w:rsidRPr="00E95DB3">
        <w:rPr>
          <w:rFonts w:eastAsia="SimSun"/>
          <w:kern w:val="2"/>
          <w14:ligatures w14:val="standardContextual"/>
        </w:rPr>
        <w:t xml:space="preserve">The </w:t>
      </w:r>
      <w:r w:rsidRPr="00E95DB3">
        <w:t>main results of the meeting were:</w:t>
      </w:r>
    </w:p>
    <w:p w14:paraId="22D046F6" w14:textId="65FF11CB" w:rsidR="00E95DB3" w:rsidRPr="00E95DB3" w:rsidRDefault="00D55EC1" w:rsidP="00D55EC1">
      <w:pPr>
        <w:pStyle w:val="enumlev1"/>
        <w:jc w:val="both"/>
        <w:rPr>
          <w:rFonts w:eastAsia="Calibri"/>
        </w:rPr>
      </w:pPr>
      <w:r>
        <w:t>–</w:t>
      </w:r>
      <w:r>
        <w:tab/>
      </w:r>
      <w:r w:rsidR="00E95DB3" w:rsidRPr="00E95DB3">
        <w:rPr>
          <w:rFonts w:eastAsia="Calibri"/>
        </w:rPr>
        <w:t>The meeting welcomed updates from the Secretariat on ongoing Child Online Protection activities, including capacity-building initiatives, national implementation support, and global outputs developed during the reporting period, notably the Protection through Online Participation (</w:t>
      </w:r>
      <w:proofErr w:type="spellStart"/>
      <w:r w:rsidR="00E95DB3" w:rsidRPr="00E95DB3">
        <w:rPr>
          <w:rFonts w:eastAsia="Calibri"/>
        </w:rPr>
        <w:t>PoP</w:t>
      </w:r>
      <w:proofErr w:type="spellEnd"/>
      <w:r w:rsidR="00E95DB3" w:rsidRPr="00E95DB3">
        <w:rPr>
          <w:rFonts w:eastAsia="Calibri"/>
        </w:rPr>
        <w:t>) Guiding Principles and the Joint Statement on Artificial Intelligence and the Rights of the Child.</w:t>
      </w:r>
    </w:p>
    <w:p w14:paraId="2B3F0BBB" w14:textId="722AA384" w:rsidR="00E95DB3" w:rsidRPr="00E95DB3" w:rsidRDefault="00D55EC1" w:rsidP="00D55EC1">
      <w:pPr>
        <w:pStyle w:val="enumlev1"/>
        <w:jc w:val="both"/>
        <w:rPr>
          <w:rFonts w:eastAsia="Calibri"/>
        </w:rPr>
      </w:pPr>
      <w:r>
        <w:t>–</w:t>
      </w:r>
      <w:r>
        <w:tab/>
      </w:r>
      <w:r w:rsidR="00E95DB3" w:rsidRPr="00E95DB3">
        <w:rPr>
          <w:rFonts w:eastAsia="Calibri"/>
        </w:rPr>
        <w:t>The Working Group took note of a wide range of national experiences and information documents presented by Member States, highlighting whole-of-government and multi-stakeholder approaches combining awareness-raising, regulatory measures, operational mechanisms, and partnerships to address child online safety risks.</w:t>
      </w:r>
    </w:p>
    <w:p w14:paraId="2CB1DFE6" w14:textId="3C649656" w:rsidR="00E95DB3" w:rsidRPr="00E95DB3" w:rsidRDefault="00D55EC1" w:rsidP="00D55EC1">
      <w:pPr>
        <w:pStyle w:val="enumlev1"/>
        <w:jc w:val="both"/>
        <w:rPr>
          <w:rFonts w:eastAsia="Calibri"/>
        </w:rPr>
      </w:pPr>
      <w:r>
        <w:t>–</w:t>
      </w:r>
      <w:r>
        <w:tab/>
      </w:r>
      <w:r w:rsidR="00E95DB3" w:rsidRPr="00E95DB3">
        <w:rPr>
          <w:rFonts w:eastAsia="Calibri"/>
        </w:rPr>
        <w:t>The meeting acknowledged contributions emphasizing the growing relevance of artificial intelligence and algorithmic systems in shaping children’s online experiences, including both risks and opportunities, and underscored the importance of embedding child-centred safeguards and safety-by-design approaches in digital services.</w:t>
      </w:r>
    </w:p>
    <w:p w14:paraId="3EE741A9" w14:textId="4044DD58" w:rsidR="00E95DB3" w:rsidRPr="00E95DB3" w:rsidRDefault="00D55EC1" w:rsidP="00D55EC1">
      <w:pPr>
        <w:pStyle w:val="enumlev1"/>
        <w:jc w:val="both"/>
        <w:rPr>
          <w:rFonts w:eastAsia="Calibri"/>
        </w:rPr>
      </w:pPr>
      <w:r>
        <w:t>–</w:t>
      </w:r>
      <w:r>
        <w:tab/>
      </w:r>
      <w:r w:rsidR="00E95DB3" w:rsidRPr="00E95DB3">
        <w:rPr>
          <w:rFonts w:eastAsia="Calibri"/>
        </w:rPr>
        <w:t>The Working Group welcomed continued coordination with ITU-T Study Group 17, including the presentation of a liaison statement and updates on technical work related to artificial intelligence, cybersecurity, and trust. The meeting reaffirmed the value of ongoing information exchange between CWG-COP and ITU-T to ensure coherence between policy discussions and standardization activities.</w:t>
      </w:r>
    </w:p>
    <w:p w14:paraId="48CED8B2" w14:textId="5F16DE41" w:rsidR="00E95DB3" w:rsidRPr="00E95DB3" w:rsidRDefault="00D55EC1" w:rsidP="00D55EC1">
      <w:pPr>
        <w:pStyle w:val="enumlev1"/>
        <w:jc w:val="both"/>
        <w:rPr>
          <w:rFonts w:eastAsia="Calibri"/>
        </w:rPr>
      </w:pPr>
      <w:r>
        <w:t>–</w:t>
      </w:r>
      <w:r>
        <w:tab/>
      </w:r>
      <w:r w:rsidR="00E95DB3" w:rsidRPr="00E95DB3">
        <w:rPr>
          <w:rFonts w:eastAsia="Calibri"/>
        </w:rPr>
        <w:t>The meeting reaffirmed the importance of inclusive and multi-stakeholder engagement in advancing child online protection, including the participation of industry, civil society, academia, and international organizations, and welcomed continued collaboration with UN agencies and partners.</w:t>
      </w:r>
    </w:p>
    <w:p w14:paraId="425BF882" w14:textId="4FEC4056" w:rsidR="00E95DB3" w:rsidRPr="00E95DB3" w:rsidRDefault="00D55EC1" w:rsidP="00D55EC1">
      <w:pPr>
        <w:pStyle w:val="enumlev1"/>
        <w:jc w:val="both"/>
        <w:rPr>
          <w:rFonts w:eastAsia="Calibri"/>
        </w:rPr>
      </w:pPr>
      <w:r>
        <w:t>–</w:t>
      </w:r>
      <w:r>
        <w:tab/>
      </w:r>
      <w:r w:rsidR="00E95DB3" w:rsidRPr="00E95DB3">
        <w:rPr>
          <w:rFonts w:eastAsia="Calibri"/>
        </w:rPr>
        <w:t xml:space="preserve">The Chair underscored the value of transparency, information-sharing, and continued dialogue within the Working Group, noting the importance of keeping Member States informed of ongoing and upcoming work </w:t>
      </w:r>
      <w:proofErr w:type="gramStart"/>
      <w:r w:rsidR="00E95DB3" w:rsidRPr="00E95DB3">
        <w:rPr>
          <w:rFonts w:eastAsia="Calibri"/>
        </w:rPr>
        <w:t>in order to</w:t>
      </w:r>
      <w:proofErr w:type="gramEnd"/>
      <w:r w:rsidR="00E95DB3" w:rsidRPr="00E95DB3">
        <w:rPr>
          <w:rFonts w:eastAsia="Calibri"/>
        </w:rPr>
        <w:t xml:space="preserve"> support effective engagement.</w:t>
      </w:r>
    </w:p>
    <w:p w14:paraId="127D5174" w14:textId="0EB27A5C" w:rsidR="001206C7" w:rsidRDefault="00D55EC1" w:rsidP="001206C7">
      <w:pPr>
        <w:pStyle w:val="Signature"/>
        <w:rPr>
          <w:rFonts w:eastAsia="Calibri"/>
        </w:rPr>
      </w:pPr>
      <w:r>
        <w:rPr>
          <w:rFonts w:eastAsia="Calibri"/>
        </w:rPr>
        <w:tab/>
      </w:r>
      <w:r w:rsidR="00E95DB3" w:rsidRPr="00E95DB3">
        <w:rPr>
          <w:rFonts w:eastAsia="Calibri"/>
        </w:rPr>
        <w:t>Abdelaziz Alzarooni</w:t>
      </w:r>
      <w:r w:rsidR="000640ED">
        <w:rPr>
          <w:rFonts w:eastAsia="Calibri"/>
        </w:rPr>
        <w:t>, Chair</w:t>
      </w:r>
      <w:r w:rsidR="001206C7">
        <w:rPr>
          <w:rFonts w:eastAsia="Calibri"/>
        </w:rPr>
        <w:br/>
      </w:r>
      <w:r w:rsidR="001206C7">
        <w:rPr>
          <w:rFonts w:eastAsia="Calibri"/>
        </w:rPr>
        <w:tab/>
      </w:r>
      <w:r w:rsidR="00E95DB3" w:rsidRPr="00E95DB3">
        <w:rPr>
          <w:rFonts w:eastAsia="Calibri"/>
        </w:rPr>
        <w:t>(UAE)</w:t>
      </w:r>
    </w:p>
    <w:p w14:paraId="4947EBE6" w14:textId="03566202" w:rsidR="00E95DB3" w:rsidRPr="00E95DB3" w:rsidRDefault="001206C7" w:rsidP="000640ED">
      <w:pPr>
        <w:pStyle w:val="Signature"/>
        <w:rPr>
          <w:rFonts w:eastAsia="Calibri" w:cs="Calibri"/>
          <w:color w:val="000000"/>
          <w:szCs w:val="24"/>
        </w:rPr>
      </w:pPr>
      <w:r>
        <w:rPr>
          <w:rFonts w:eastAsia="Calibri" w:cs="Calibri"/>
          <w:color w:val="000000"/>
          <w:szCs w:val="24"/>
        </w:rPr>
        <w:tab/>
      </w:r>
      <w:r w:rsidR="00E95DB3" w:rsidRPr="00E95DB3">
        <w:rPr>
          <w:rFonts w:eastAsia="Calibri" w:cs="Calibri"/>
          <w:bCs/>
          <w:color w:val="000000"/>
          <w:szCs w:val="24"/>
        </w:rPr>
        <w:t>Stella C. Erebor</w:t>
      </w:r>
      <w:r w:rsidR="000640ED">
        <w:rPr>
          <w:rFonts w:eastAsia="Calibri" w:cs="Calibri"/>
          <w:bCs/>
          <w:color w:val="000000"/>
          <w:szCs w:val="24"/>
        </w:rPr>
        <w:t xml:space="preserve">, </w:t>
      </w:r>
      <w:r w:rsidR="000640ED" w:rsidRPr="00E95DB3">
        <w:rPr>
          <w:rFonts w:eastAsia="Calibri" w:cs="Calibri"/>
          <w:color w:val="000000"/>
          <w:szCs w:val="24"/>
        </w:rPr>
        <w:t>Vice-Chair</w:t>
      </w:r>
      <w:r w:rsidR="000640ED">
        <w:rPr>
          <w:rFonts w:eastAsia="Calibri" w:cs="Calibri"/>
          <w:color w:val="000000"/>
          <w:szCs w:val="24"/>
        </w:rPr>
        <w:br/>
      </w:r>
      <w:r w:rsidR="000640ED">
        <w:rPr>
          <w:rFonts w:eastAsia="Calibri" w:cs="Calibri"/>
          <w:bCs/>
          <w:color w:val="000000"/>
          <w:szCs w:val="24"/>
        </w:rPr>
        <w:tab/>
      </w:r>
      <w:r w:rsidR="00E95DB3" w:rsidRPr="00E95DB3">
        <w:rPr>
          <w:rFonts w:eastAsia="Calibri" w:cs="Calibri"/>
          <w:bCs/>
          <w:color w:val="000000"/>
          <w:szCs w:val="24"/>
        </w:rPr>
        <w:t>(Nigeria)</w:t>
      </w:r>
    </w:p>
    <w:sectPr w:rsidR="00E95DB3" w:rsidRPr="00E95DB3" w:rsidSect="00AD3606">
      <w:footerReference w:type="default" r:id="rId19"/>
      <w:headerReference w:type="first" r:id="rId20"/>
      <w:footerReference w:type="first" r:id="rId2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48533" w14:textId="77777777" w:rsidR="00CB4D73" w:rsidRDefault="00CB4D73">
      <w:r>
        <w:separator/>
      </w:r>
    </w:p>
  </w:endnote>
  <w:endnote w:type="continuationSeparator" w:id="0">
    <w:p w14:paraId="02769514" w14:textId="77777777" w:rsidR="00CB4D73" w:rsidRDefault="00CB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rsidTr="00FE15F4">
      <w:trPr>
        <w:jc w:val="center"/>
      </w:trPr>
      <w:tc>
        <w:tcPr>
          <w:tcW w:w="1803" w:type="dxa"/>
          <w:vAlign w:val="center"/>
        </w:tcPr>
        <w:p w14:paraId="6595CA0F" w14:textId="3BF502DE" w:rsidR="00EE49E8" w:rsidRDefault="007B1F7D" w:rsidP="00EE49E8">
          <w:pPr>
            <w:pStyle w:val="Header"/>
            <w:jc w:val="left"/>
            <w:rPr>
              <w:noProof/>
            </w:rPr>
          </w:pPr>
          <w:r w:rsidRPr="007B1F7D">
            <w:rPr>
              <w:noProof/>
            </w:rPr>
            <w:t>R2600453</w:t>
          </w:r>
        </w:p>
      </w:tc>
      <w:tc>
        <w:tcPr>
          <w:tcW w:w="8261" w:type="dxa"/>
        </w:tcPr>
        <w:p w14:paraId="3E7590DE" w14:textId="4397931B"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39434A">
            <w:rPr>
              <w:bCs/>
            </w:rPr>
            <w:t>15</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532E017E" w14:textId="42D4F52B"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39434A">
            <w:rPr>
              <w:bCs/>
            </w:rPr>
            <w:t>15</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5DFB5" w14:textId="77777777" w:rsidR="00CB4D73" w:rsidRDefault="00CB4D73">
      <w:r>
        <w:t>____________________</w:t>
      </w:r>
    </w:p>
  </w:footnote>
  <w:footnote w:type="continuationSeparator" w:id="0">
    <w:p w14:paraId="3C1C5D10" w14:textId="77777777" w:rsidR="00CB4D73" w:rsidRDefault="00CB4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EC6C55"/>
    <w:multiLevelType w:val="multilevel"/>
    <w:tmpl w:val="7480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84A73"/>
    <w:multiLevelType w:val="hybridMultilevel"/>
    <w:tmpl w:val="C44881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E579CC"/>
    <w:multiLevelType w:val="hybridMultilevel"/>
    <w:tmpl w:val="B7F26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75B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EE13F0A"/>
    <w:multiLevelType w:val="hybridMultilevel"/>
    <w:tmpl w:val="6AE8B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403112360">
    <w:abstractNumId w:val="3"/>
  </w:num>
  <w:num w:numId="3" w16cid:durableId="918099545">
    <w:abstractNumId w:val="1"/>
  </w:num>
  <w:num w:numId="4" w16cid:durableId="132453065">
    <w:abstractNumId w:val="4"/>
  </w:num>
  <w:num w:numId="5" w16cid:durableId="732511300">
    <w:abstractNumId w:val="2"/>
  </w:num>
  <w:num w:numId="6" w16cid:durableId="20493363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210D4"/>
    <w:rsid w:val="0006007D"/>
    <w:rsid w:val="00063016"/>
    <w:rsid w:val="000640ED"/>
    <w:rsid w:val="00066795"/>
    <w:rsid w:val="00076AF6"/>
    <w:rsid w:val="00085CF2"/>
    <w:rsid w:val="000B1705"/>
    <w:rsid w:val="000D75B2"/>
    <w:rsid w:val="000E372C"/>
    <w:rsid w:val="000F5DDB"/>
    <w:rsid w:val="001121F5"/>
    <w:rsid w:val="00113C1A"/>
    <w:rsid w:val="001206C7"/>
    <w:rsid w:val="001400DC"/>
    <w:rsid w:val="00140CE1"/>
    <w:rsid w:val="0015189A"/>
    <w:rsid w:val="001718AD"/>
    <w:rsid w:val="0017539C"/>
    <w:rsid w:val="00175AC2"/>
    <w:rsid w:val="0017609F"/>
    <w:rsid w:val="00176F47"/>
    <w:rsid w:val="001966DD"/>
    <w:rsid w:val="001A3154"/>
    <w:rsid w:val="001A7D1D"/>
    <w:rsid w:val="001B51DD"/>
    <w:rsid w:val="001C628E"/>
    <w:rsid w:val="001E0F7B"/>
    <w:rsid w:val="001F5569"/>
    <w:rsid w:val="0020487B"/>
    <w:rsid w:val="002119FD"/>
    <w:rsid w:val="002130E0"/>
    <w:rsid w:val="00221F46"/>
    <w:rsid w:val="00264425"/>
    <w:rsid w:val="00265875"/>
    <w:rsid w:val="0027303B"/>
    <w:rsid w:val="00277DEA"/>
    <w:rsid w:val="0028109B"/>
    <w:rsid w:val="002916B4"/>
    <w:rsid w:val="002A0615"/>
    <w:rsid w:val="002A133E"/>
    <w:rsid w:val="002A2188"/>
    <w:rsid w:val="002B1F58"/>
    <w:rsid w:val="002B44C5"/>
    <w:rsid w:val="002C1C7A"/>
    <w:rsid w:val="002C3F32"/>
    <w:rsid w:val="002C54E2"/>
    <w:rsid w:val="0030160F"/>
    <w:rsid w:val="00320223"/>
    <w:rsid w:val="00322D0D"/>
    <w:rsid w:val="00361465"/>
    <w:rsid w:val="003877F5"/>
    <w:rsid w:val="003936D3"/>
    <w:rsid w:val="003942D4"/>
    <w:rsid w:val="0039434A"/>
    <w:rsid w:val="003958A8"/>
    <w:rsid w:val="003B29C2"/>
    <w:rsid w:val="003B4FAF"/>
    <w:rsid w:val="003C2533"/>
    <w:rsid w:val="003D5A7F"/>
    <w:rsid w:val="003F0228"/>
    <w:rsid w:val="00401E06"/>
    <w:rsid w:val="0040435A"/>
    <w:rsid w:val="00416A24"/>
    <w:rsid w:val="00431D9E"/>
    <w:rsid w:val="00433CE8"/>
    <w:rsid w:val="00434A5C"/>
    <w:rsid w:val="00450585"/>
    <w:rsid w:val="00453079"/>
    <w:rsid w:val="004544D9"/>
    <w:rsid w:val="00472BAD"/>
    <w:rsid w:val="00484009"/>
    <w:rsid w:val="00490E72"/>
    <w:rsid w:val="00491157"/>
    <w:rsid w:val="00491BA9"/>
    <w:rsid w:val="004921C8"/>
    <w:rsid w:val="0049369C"/>
    <w:rsid w:val="00495615"/>
    <w:rsid w:val="00495B0B"/>
    <w:rsid w:val="004A1B8B"/>
    <w:rsid w:val="004D1851"/>
    <w:rsid w:val="004D599D"/>
    <w:rsid w:val="004E2EA5"/>
    <w:rsid w:val="004E3AEB"/>
    <w:rsid w:val="0050223C"/>
    <w:rsid w:val="00512087"/>
    <w:rsid w:val="0051689B"/>
    <w:rsid w:val="005243FF"/>
    <w:rsid w:val="00564FBC"/>
    <w:rsid w:val="005800BC"/>
    <w:rsid w:val="00582442"/>
    <w:rsid w:val="005F3269"/>
    <w:rsid w:val="0061071E"/>
    <w:rsid w:val="00623AE3"/>
    <w:rsid w:val="0064737F"/>
    <w:rsid w:val="006535F1"/>
    <w:rsid w:val="00653BBF"/>
    <w:rsid w:val="0065557D"/>
    <w:rsid w:val="00660D50"/>
    <w:rsid w:val="00662984"/>
    <w:rsid w:val="006716BB"/>
    <w:rsid w:val="006A2F4B"/>
    <w:rsid w:val="006B1859"/>
    <w:rsid w:val="006B6680"/>
    <w:rsid w:val="006B6DCC"/>
    <w:rsid w:val="006B77F1"/>
    <w:rsid w:val="006D3C21"/>
    <w:rsid w:val="006F79DE"/>
    <w:rsid w:val="00702DEF"/>
    <w:rsid w:val="00706861"/>
    <w:rsid w:val="00722551"/>
    <w:rsid w:val="007311C3"/>
    <w:rsid w:val="0075051B"/>
    <w:rsid w:val="00765C89"/>
    <w:rsid w:val="0077110E"/>
    <w:rsid w:val="00793188"/>
    <w:rsid w:val="00794D34"/>
    <w:rsid w:val="007A3FCD"/>
    <w:rsid w:val="007B19CF"/>
    <w:rsid w:val="007B1F7D"/>
    <w:rsid w:val="007D01AF"/>
    <w:rsid w:val="007D1A26"/>
    <w:rsid w:val="00813E5E"/>
    <w:rsid w:val="0083581B"/>
    <w:rsid w:val="0084546D"/>
    <w:rsid w:val="00863874"/>
    <w:rsid w:val="00864AFF"/>
    <w:rsid w:val="00865925"/>
    <w:rsid w:val="00877756"/>
    <w:rsid w:val="008B4A6A"/>
    <w:rsid w:val="008C7E27"/>
    <w:rsid w:val="008F7448"/>
    <w:rsid w:val="0090147A"/>
    <w:rsid w:val="009173EF"/>
    <w:rsid w:val="00932906"/>
    <w:rsid w:val="009432B2"/>
    <w:rsid w:val="00954C49"/>
    <w:rsid w:val="00961B0B"/>
    <w:rsid w:val="00962D33"/>
    <w:rsid w:val="009842A1"/>
    <w:rsid w:val="009A76A8"/>
    <w:rsid w:val="009B14B0"/>
    <w:rsid w:val="009B38C3"/>
    <w:rsid w:val="009C397F"/>
    <w:rsid w:val="009E17BD"/>
    <w:rsid w:val="009E485A"/>
    <w:rsid w:val="009F414B"/>
    <w:rsid w:val="00A04CEC"/>
    <w:rsid w:val="00A109AF"/>
    <w:rsid w:val="00A27F92"/>
    <w:rsid w:val="00A32257"/>
    <w:rsid w:val="00A36D20"/>
    <w:rsid w:val="00A514A4"/>
    <w:rsid w:val="00A55622"/>
    <w:rsid w:val="00A83502"/>
    <w:rsid w:val="00A8558F"/>
    <w:rsid w:val="00A94BAB"/>
    <w:rsid w:val="00AD15B3"/>
    <w:rsid w:val="00AD3606"/>
    <w:rsid w:val="00AD4A3D"/>
    <w:rsid w:val="00AF6E49"/>
    <w:rsid w:val="00B04A67"/>
    <w:rsid w:val="00B0583C"/>
    <w:rsid w:val="00B40A81"/>
    <w:rsid w:val="00B44910"/>
    <w:rsid w:val="00B72267"/>
    <w:rsid w:val="00B76EB6"/>
    <w:rsid w:val="00B7737B"/>
    <w:rsid w:val="00B824C8"/>
    <w:rsid w:val="00B82D44"/>
    <w:rsid w:val="00B84B9D"/>
    <w:rsid w:val="00B851C7"/>
    <w:rsid w:val="00B9131F"/>
    <w:rsid w:val="00BA405E"/>
    <w:rsid w:val="00BB0646"/>
    <w:rsid w:val="00BC251A"/>
    <w:rsid w:val="00BC4A20"/>
    <w:rsid w:val="00BD032B"/>
    <w:rsid w:val="00BE01C6"/>
    <w:rsid w:val="00BE2640"/>
    <w:rsid w:val="00BF1FDE"/>
    <w:rsid w:val="00C01189"/>
    <w:rsid w:val="00C0458D"/>
    <w:rsid w:val="00C352A5"/>
    <w:rsid w:val="00C374DE"/>
    <w:rsid w:val="00C47AD4"/>
    <w:rsid w:val="00C52D81"/>
    <w:rsid w:val="00C55198"/>
    <w:rsid w:val="00C6520B"/>
    <w:rsid w:val="00CA6393"/>
    <w:rsid w:val="00CA7995"/>
    <w:rsid w:val="00CB18FF"/>
    <w:rsid w:val="00CB4D73"/>
    <w:rsid w:val="00CD0C08"/>
    <w:rsid w:val="00CE03FB"/>
    <w:rsid w:val="00CE433C"/>
    <w:rsid w:val="00CF0161"/>
    <w:rsid w:val="00CF33F3"/>
    <w:rsid w:val="00CF4A2B"/>
    <w:rsid w:val="00D024CA"/>
    <w:rsid w:val="00D06183"/>
    <w:rsid w:val="00D22961"/>
    <w:rsid w:val="00D22C42"/>
    <w:rsid w:val="00D3436C"/>
    <w:rsid w:val="00D55EC1"/>
    <w:rsid w:val="00D65041"/>
    <w:rsid w:val="00D8553F"/>
    <w:rsid w:val="00DB1936"/>
    <w:rsid w:val="00DB384B"/>
    <w:rsid w:val="00DE532B"/>
    <w:rsid w:val="00DF0189"/>
    <w:rsid w:val="00E06FD5"/>
    <w:rsid w:val="00E10E80"/>
    <w:rsid w:val="00E124F0"/>
    <w:rsid w:val="00E227F3"/>
    <w:rsid w:val="00E4269D"/>
    <w:rsid w:val="00E545C6"/>
    <w:rsid w:val="00E60F04"/>
    <w:rsid w:val="00E65B24"/>
    <w:rsid w:val="00E66EAF"/>
    <w:rsid w:val="00E854E4"/>
    <w:rsid w:val="00E86DBF"/>
    <w:rsid w:val="00E95DB3"/>
    <w:rsid w:val="00E969AF"/>
    <w:rsid w:val="00EB0D6F"/>
    <w:rsid w:val="00EB2232"/>
    <w:rsid w:val="00EC5337"/>
    <w:rsid w:val="00ED5904"/>
    <w:rsid w:val="00EE49E8"/>
    <w:rsid w:val="00F16BAB"/>
    <w:rsid w:val="00F2150A"/>
    <w:rsid w:val="00F231D8"/>
    <w:rsid w:val="00F44C00"/>
    <w:rsid w:val="00F45D2C"/>
    <w:rsid w:val="00F46C5F"/>
    <w:rsid w:val="00F632C0"/>
    <w:rsid w:val="00F641E1"/>
    <w:rsid w:val="00F76C74"/>
    <w:rsid w:val="00F94A63"/>
    <w:rsid w:val="00FA1C28"/>
    <w:rsid w:val="00FA500E"/>
    <w:rsid w:val="00FB1279"/>
    <w:rsid w:val="00FB6B76"/>
    <w:rsid w:val="00FB7596"/>
    <w:rsid w:val="00FE15F4"/>
    <w:rsid w:val="00FE4077"/>
    <w:rsid w:val="00FE500D"/>
    <w:rsid w:val="00FE77D2"/>
    <w:rsid w:val="00FF39B1"/>
    <w:rsid w:val="0761242D"/>
    <w:rsid w:val="095A6F62"/>
    <w:rsid w:val="0A9B4268"/>
    <w:rsid w:val="0DA176F2"/>
    <w:rsid w:val="11E3EB92"/>
    <w:rsid w:val="1299EA79"/>
    <w:rsid w:val="21CB6064"/>
    <w:rsid w:val="327A8B14"/>
    <w:rsid w:val="3910F56F"/>
    <w:rsid w:val="44282396"/>
    <w:rsid w:val="49C9BDAB"/>
    <w:rsid w:val="4D291F8B"/>
    <w:rsid w:val="52152B45"/>
    <w:rsid w:val="5579AC55"/>
    <w:rsid w:val="653672A9"/>
    <w:rsid w:val="6BCF8C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7C39C8D9-C5C2-4BFC-A3F0-A3141CD2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269D"/>
    <w:pPr>
      <w:framePr w:hSpace="180" w:wrap="around" w:vAnchor="page" w:hAnchor="margin" w:y="2101"/>
      <w:spacing w:before="840"/>
    </w:pPr>
    <w:rPr>
      <w:b/>
      <w:sz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Signature">
    <w:name w:val="Signature"/>
    <w:basedOn w:val="Normal"/>
    <w:link w:val="SignatureChar"/>
    <w:unhideWhenUsed/>
    <w:rsid w:val="00D55EC1"/>
    <w:pPr>
      <w:tabs>
        <w:tab w:val="clear" w:pos="567"/>
        <w:tab w:val="clear" w:pos="1134"/>
        <w:tab w:val="clear" w:pos="1701"/>
        <w:tab w:val="clear" w:pos="2268"/>
        <w:tab w:val="clear" w:pos="2835"/>
        <w:tab w:val="center" w:pos="7655"/>
      </w:tabs>
      <w:spacing w:before="600"/>
    </w:pPr>
  </w:style>
  <w:style w:type="character" w:customStyle="1" w:styleId="SignatureChar">
    <w:name w:val="Signature Char"/>
    <w:basedOn w:val="DefaultParagraphFont"/>
    <w:link w:val="Signature"/>
    <w:rsid w:val="00D55EC1"/>
    <w:rPr>
      <w:rFonts w:ascii="Calibri" w:hAnsi="Calibri"/>
      <w:sz w:val="24"/>
      <w:lang w:val="en-GB" w:eastAsia="en-US"/>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council/cwg-cop/Pages/default.aspx" TargetMode="External"/><Relationship Id="rId18" Type="http://schemas.openxmlformats.org/officeDocument/2006/relationships/hyperlink" Target="https://www.itu.int/council/groups/wg-cop/first-meeting-march-2010/COP%20WG%20Doc%201-16%20Summary-1-WG-CP-revised%20draft-23-March-2010-final-revised-to%20be-published.do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tu.int/en/council/cwg-cop/Pages/default.aspx" TargetMode="External"/><Relationship Id="rId17" Type="http://schemas.openxmlformats.org/officeDocument/2006/relationships/hyperlink" Target="https://www.itu.int/en/council/Documents/basic-texts-2023/RES-179-E.pdf" TargetMode="External"/><Relationship Id="rId2" Type="http://schemas.openxmlformats.org/officeDocument/2006/relationships/customXml" Target="../customXml/item2.xml"/><Relationship Id="rId16" Type="http://schemas.openxmlformats.org/officeDocument/2006/relationships/hyperlink" Target="https://www.itu.int/md/meetingdoc.asp?lang=en&amp;parent=S09-CL-C-010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179-E.pdf" TargetMode="External"/><Relationship Id="rId5" Type="http://schemas.openxmlformats.org/officeDocument/2006/relationships/numbering" Target="numbering.xml"/><Relationship Id="rId15" Type="http://schemas.openxmlformats.org/officeDocument/2006/relationships/hyperlink" Target="https://www.itu.int/en/council/cwg-cop/Pages/default.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cwg-cop/Pages/default.aspx"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4afaeb79d6a2790373f49a79692783b2">
  <xsd:schema xmlns:xsd="http://www.w3.org/2001/XMLSchema" xmlns:xs="http://www.w3.org/2001/XMLSchema" xmlns:p="http://schemas.microsoft.com/office/2006/metadata/properties" xmlns:ns2="a4c22657-7647-457b-a399-8471255bb166" targetNamespace="http://schemas.microsoft.com/office/2006/metadata/properties" ma:root="true" ma:fieldsID="4a7ff88f8157323695e407bed448c3fb"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D98E-7D7F-4612-AD57-90BEC1A2D1DD}">
  <ds:schemaRefs>
    <ds:schemaRef ds:uri="http://schemas.microsoft.com/office/2006/metadata/properties"/>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 ds:uri="http://purl.org/dc/dcmitype/"/>
    <ds:schemaRef ds:uri="http://schemas.microsoft.com/office/infopath/2007/PartnerControls"/>
    <ds:schemaRef ds:uri="a4c22657-7647-457b-a399-8471255bb166"/>
  </ds:schemaRefs>
</ds:datastoreItem>
</file>

<file path=customXml/itemProps2.xml><?xml version="1.0" encoding="utf-8"?>
<ds:datastoreItem xmlns:ds="http://schemas.openxmlformats.org/officeDocument/2006/customXml" ds:itemID="{286E94A4-207E-4ED9-95A4-78195D52347A}">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AB0DC431-5AE2-44FA-8518-4A7DD3170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PE_Council26.dotx</Template>
  <TotalTime>8</TotalTime>
  <Pages>5</Pages>
  <Words>1725</Words>
  <Characters>11300</Characters>
  <Application>Microsoft Office Word</Application>
  <DocSecurity>0</DocSecurity>
  <Lines>195</Lines>
  <Paragraphs>69</Paragraphs>
  <ScaleCrop>false</ScaleCrop>
  <HeadingPairs>
    <vt:vector size="2" baseType="variant">
      <vt:variant>
        <vt:lpstr>Title</vt:lpstr>
      </vt:variant>
      <vt:variant>
        <vt:i4>1</vt:i4>
      </vt:variant>
    </vt:vector>
  </HeadingPairs>
  <TitlesOfParts>
    <vt:vector size="1" baseType="lpstr">
      <vt:lpstr>Report on the outcomes of the twenty-third and twenty-fourth meetings of the Council Working Group on child online protection</vt:lpstr>
    </vt:vector>
  </TitlesOfParts>
  <Manager>General Secretariat</Manager>
  <Company>International Telecommunication Union (ITU)</Company>
  <LinksUpToDate>false</LinksUpToDate>
  <CharactersWithSpaces>12998</CharactersWithSpaces>
  <SharedDoc>false</SharedDoc>
  <HLinks>
    <vt:vector size="54" baseType="variant">
      <vt:variant>
        <vt:i4>5832735</vt:i4>
      </vt:variant>
      <vt:variant>
        <vt:i4>21</vt:i4>
      </vt:variant>
      <vt:variant>
        <vt:i4>0</vt:i4>
      </vt:variant>
      <vt:variant>
        <vt:i4>5</vt:i4>
      </vt:variant>
      <vt:variant>
        <vt:lpwstr>https://www.itu.int/council/groups/wg-cop/first-meeting-march-2010/COP WG Doc 1-16 Summary-1-WG-CP-revised draft-23-March-2010-final-revised-to be-published.doc</vt:lpwstr>
      </vt:variant>
      <vt:variant>
        <vt:lpwstr/>
      </vt:variant>
      <vt:variant>
        <vt:i4>6881390</vt:i4>
      </vt:variant>
      <vt:variant>
        <vt:i4>18</vt:i4>
      </vt:variant>
      <vt:variant>
        <vt:i4>0</vt:i4>
      </vt:variant>
      <vt:variant>
        <vt:i4>5</vt:i4>
      </vt:variant>
      <vt:variant>
        <vt:lpwstr>https://www.itu.int/en/council/Documents/basic-texts-2023/RES-179-E.pdf</vt:lpwstr>
      </vt:variant>
      <vt:variant>
        <vt:lpwstr/>
      </vt:variant>
      <vt:variant>
        <vt:i4>2687096</vt:i4>
      </vt:variant>
      <vt:variant>
        <vt:i4>15</vt:i4>
      </vt:variant>
      <vt:variant>
        <vt:i4>0</vt:i4>
      </vt:variant>
      <vt:variant>
        <vt:i4>5</vt:i4>
      </vt:variant>
      <vt:variant>
        <vt:lpwstr>https://www.itu.int/md/meetingdoc.asp?lang=en&amp;parent=S09-CL-C-0108</vt:lpwstr>
      </vt:variant>
      <vt:variant>
        <vt:lpwstr/>
      </vt:variant>
      <vt:variant>
        <vt:i4>4522056</vt:i4>
      </vt:variant>
      <vt:variant>
        <vt:i4>12</vt:i4>
      </vt:variant>
      <vt:variant>
        <vt:i4>0</vt:i4>
      </vt:variant>
      <vt:variant>
        <vt:i4>5</vt:i4>
      </vt:variant>
      <vt:variant>
        <vt:lpwstr>https://www.itu.int/en/council/cwg-cop/Pages/default.aspx</vt:lpwstr>
      </vt:variant>
      <vt:variant>
        <vt:lpwstr/>
      </vt:variant>
      <vt:variant>
        <vt:i4>4522056</vt:i4>
      </vt:variant>
      <vt:variant>
        <vt:i4>9</vt:i4>
      </vt:variant>
      <vt:variant>
        <vt:i4>0</vt:i4>
      </vt:variant>
      <vt:variant>
        <vt:i4>5</vt:i4>
      </vt:variant>
      <vt:variant>
        <vt:lpwstr>https://www.itu.int/en/council/cwg-cop/Pages/default.aspx</vt:lpwstr>
      </vt:variant>
      <vt:variant>
        <vt:lpwstr/>
      </vt:variant>
      <vt:variant>
        <vt:i4>4522056</vt:i4>
      </vt:variant>
      <vt:variant>
        <vt:i4>6</vt:i4>
      </vt:variant>
      <vt:variant>
        <vt:i4>0</vt:i4>
      </vt:variant>
      <vt:variant>
        <vt:i4>5</vt:i4>
      </vt:variant>
      <vt:variant>
        <vt:lpwstr>https://www.itu.int/en/council/cwg-cop/Pages/default.aspx</vt:lpwstr>
      </vt:variant>
      <vt:variant>
        <vt:lpwstr/>
      </vt:variant>
      <vt:variant>
        <vt:i4>4522056</vt:i4>
      </vt:variant>
      <vt:variant>
        <vt:i4>3</vt:i4>
      </vt:variant>
      <vt:variant>
        <vt:i4>0</vt:i4>
      </vt:variant>
      <vt:variant>
        <vt:i4>5</vt:i4>
      </vt:variant>
      <vt:variant>
        <vt:lpwstr>https://www.itu.int/en/council/cwg-cop/Pages/default.aspx</vt:lpwstr>
      </vt:variant>
      <vt:variant>
        <vt:lpwstr/>
      </vt:variant>
      <vt:variant>
        <vt:i4>6881390</vt:i4>
      </vt:variant>
      <vt:variant>
        <vt:i4>0</vt:i4>
      </vt:variant>
      <vt:variant>
        <vt:i4>0</vt:i4>
      </vt:variant>
      <vt:variant>
        <vt:i4>5</vt:i4>
      </vt:variant>
      <vt:variant>
        <vt:lpwstr>https://www.itu.int/en/council/Documents/basic-texts-2023/RES-179-E.pdf</vt:lpwstr>
      </vt:variant>
      <vt:variant>
        <vt:lpwstr/>
      </vt:variant>
      <vt:variant>
        <vt:i4>25</vt:i4>
      </vt:variant>
      <vt:variant>
        <vt:i4>3</vt:i4>
      </vt:variant>
      <vt:variant>
        <vt:i4>0</vt:i4>
      </vt:variant>
      <vt:variant>
        <vt:i4>5</vt:i4>
      </vt:variant>
      <vt:variant>
        <vt:lpwstr>https://council.itu.int/2026/en/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outcomes of the twenty-third and twenty-fourth meetings of the Council Working Group on child online protection</dc:title>
  <dc:subject>ITU Council 2026</dc:subject>
  <cp:keywords>C26; C2026; Council 2026; PP26</cp:keywords>
  <dc:description/>
  <cp:lastPrinted>2000-07-19T07:30:00Z</cp:lastPrinted>
  <dcterms:created xsi:type="dcterms:W3CDTF">2026-03-06T15:03:00Z</dcterms:created>
  <dcterms:modified xsi:type="dcterms:W3CDTF">2026-03-06T15:26:00Z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