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131FDDF2" w14:textId="77777777" w:rsidTr="00555C29">
        <w:trPr>
          <w:cantSplit/>
          <w:trHeight w:val="23"/>
        </w:trPr>
        <w:tc>
          <w:tcPr>
            <w:tcW w:w="3969" w:type="dxa"/>
            <w:vMerge w:val="restart"/>
            <w:tcMar>
              <w:left w:w="0" w:type="dxa"/>
            </w:tcMar>
          </w:tcPr>
          <w:p w14:paraId="6EE49E9B" w14:textId="3E33D43D"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0D01A0" w:rsidRPr="1299EA79">
              <w:rPr>
                <w:b/>
                <w:bCs/>
              </w:rPr>
              <w:t>PL-2</w:t>
            </w:r>
          </w:p>
        </w:tc>
        <w:tc>
          <w:tcPr>
            <w:tcW w:w="5245" w:type="dxa"/>
          </w:tcPr>
          <w:p w14:paraId="53A59A5E" w14:textId="655A9C19"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0D01A0">
              <w:rPr>
                <w:b/>
                <w:lang w:val="fr-CH"/>
              </w:rPr>
              <w:t>15</w:t>
            </w:r>
            <w:r w:rsidRPr="00E24D59">
              <w:rPr>
                <w:b/>
                <w:lang w:val="fr-CH"/>
              </w:rPr>
              <w:t>-C</w:t>
            </w:r>
          </w:p>
        </w:tc>
      </w:tr>
      <w:tr w:rsidR="00E24D59" w:rsidRPr="00813E5E" w14:paraId="0BC86298" w14:textId="77777777" w:rsidTr="00555C29">
        <w:trPr>
          <w:cantSplit/>
        </w:trPr>
        <w:tc>
          <w:tcPr>
            <w:tcW w:w="3969" w:type="dxa"/>
            <w:vMerge/>
          </w:tcPr>
          <w:p w14:paraId="48923F91"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D9D6F6D" w14:textId="404C535D" w:rsidR="00E24D59" w:rsidRPr="00E85629" w:rsidRDefault="000D01A0"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6</w:t>
            </w:r>
            <w:r>
              <w:rPr>
                <w:rFonts w:hint="eastAsia"/>
                <w:b/>
                <w:lang w:eastAsia="zh-CN"/>
              </w:rPr>
              <w:t>日</w:t>
            </w:r>
          </w:p>
        </w:tc>
      </w:tr>
      <w:tr w:rsidR="00E24D59" w:rsidRPr="00813E5E" w14:paraId="7F9E219C" w14:textId="77777777" w:rsidTr="00555C29">
        <w:trPr>
          <w:cantSplit/>
          <w:trHeight w:val="23"/>
        </w:trPr>
        <w:tc>
          <w:tcPr>
            <w:tcW w:w="3969" w:type="dxa"/>
            <w:vMerge/>
          </w:tcPr>
          <w:p w14:paraId="217B2B53"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D39DB48" w14:textId="63A8CFC8"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0D01A0">
              <w:rPr>
                <w:b/>
                <w:bCs/>
                <w:color w:val="000000"/>
                <w:lang w:val="zh-CN"/>
              </w:rPr>
              <w:t>英文</w:t>
            </w:r>
            <w:proofErr w:type="spellEnd"/>
          </w:p>
        </w:tc>
      </w:tr>
      <w:tr w:rsidR="00E24D59" w:rsidRPr="00813E5E" w14:paraId="6B25835A" w14:textId="77777777" w:rsidTr="00555C29">
        <w:trPr>
          <w:cantSplit/>
          <w:trHeight w:val="23"/>
        </w:trPr>
        <w:tc>
          <w:tcPr>
            <w:tcW w:w="3969" w:type="dxa"/>
          </w:tcPr>
          <w:p w14:paraId="707C504F" w14:textId="77777777" w:rsidR="00E24D59" w:rsidRPr="00813E5E" w:rsidRDefault="00E24D59" w:rsidP="00555C29">
            <w:pPr>
              <w:tabs>
                <w:tab w:val="left" w:pos="851"/>
              </w:tabs>
              <w:spacing w:line="240" w:lineRule="atLeast"/>
              <w:rPr>
                <w:b/>
              </w:rPr>
            </w:pPr>
          </w:p>
        </w:tc>
        <w:tc>
          <w:tcPr>
            <w:tcW w:w="5245" w:type="dxa"/>
          </w:tcPr>
          <w:p w14:paraId="6C21E39A" w14:textId="77777777" w:rsidR="00E24D59" w:rsidRDefault="00E24D59" w:rsidP="00555C29">
            <w:pPr>
              <w:tabs>
                <w:tab w:val="left" w:pos="851"/>
              </w:tabs>
              <w:spacing w:before="0" w:line="240" w:lineRule="atLeast"/>
              <w:jc w:val="right"/>
              <w:rPr>
                <w:b/>
              </w:rPr>
            </w:pPr>
          </w:p>
        </w:tc>
      </w:tr>
      <w:tr w:rsidR="00E24D59" w:rsidRPr="00813E5E" w14:paraId="70CBB706" w14:textId="77777777" w:rsidTr="00555C29">
        <w:trPr>
          <w:cantSplit/>
        </w:trPr>
        <w:tc>
          <w:tcPr>
            <w:tcW w:w="9214" w:type="dxa"/>
            <w:gridSpan w:val="2"/>
            <w:tcMar>
              <w:left w:w="0" w:type="dxa"/>
            </w:tcMar>
          </w:tcPr>
          <w:p w14:paraId="192D1001" w14:textId="03029E0D" w:rsidR="00E24D59" w:rsidRPr="00C24DAC" w:rsidRDefault="000D01A0" w:rsidP="00C24DAC">
            <w:pPr>
              <w:pStyle w:val="Source"/>
              <w:framePr w:hSpace="0" w:wrap="auto" w:vAnchor="margin" w:hAnchor="text" w:xAlign="left" w:yAlign="inline"/>
            </w:pPr>
            <w:bookmarkStart w:id="5" w:name="dsource" w:colFirst="0" w:colLast="0"/>
            <w:bookmarkEnd w:id="4"/>
            <w:r w:rsidRPr="000D01A0">
              <w:rPr>
                <w:rFonts w:hint="eastAsia"/>
              </w:rPr>
              <w:t>CWG-COP</w:t>
            </w:r>
            <w:r w:rsidRPr="000D01A0">
              <w:rPr>
                <w:rFonts w:hint="eastAsia"/>
              </w:rPr>
              <w:t>主席的报告</w:t>
            </w:r>
          </w:p>
        </w:tc>
      </w:tr>
      <w:tr w:rsidR="00E24D59" w:rsidRPr="00813E5E" w14:paraId="7CF26E96" w14:textId="77777777" w:rsidTr="00555C29">
        <w:trPr>
          <w:cantSplit/>
        </w:trPr>
        <w:tc>
          <w:tcPr>
            <w:tcW w:w="9214" w:type="dxa"/>
            <w:gridSpan w:val="2"/>
            <w:tcMar>
              <w:left w:w="0" w:type="dxa"/>
            </w:tcMar>
          </w:tcPr>
          <w:p w14:paraId="52395804" w14:textId="5C0716A6" w:rsidR="00E24D59" w:rsidRPr="00C24DAC" w:rsidRDefault="000D01A0" w:rsidP="00C24DAC">
            <w:pPr>
              <w:pStyle w:val="Subtitle"/>
              <w:framePr w:hSpace="0" w:wrap="auto" w:vAnchor="margin" w:hAnchor="text" w:xAlign="left" w:yAlign="inline"/>
            </w:pPr>
            <w:bookmarkStart w:id="6" w:name="dtitle1" w:colFirst="0" w:colLast="0"/>
            <w:bookmarkEnd w:id="5"/>
            <w:r w:rsidRPr="000D01A0">
              <w:rPr>
                <w:rFonts w:hint="eastAsia"/>
              </w:rPr>
              <w:t>理事会保护上网儿童工作组第二十三次和第二十四次会议的成果报告</w:t>
            </w:r>
          </w:p>
        </w:tc>
      </w:tr>
      <w:tr w:rsidR="00E24D59" w:rsidRPr="00813E5E" w14:paraId="32E38CB7" w14:textId="77777777" w:rsidTr="00555C29">
        <w:trPr>
          <w:cantSplit/>
        </w:trPr>
        <w:tc>
          <w:tcPr>
            <w:tcW w:w="9214" w:type="dxa"/>
            <w:gridSpan w:val="2"/>
            <w:tcBorders>
              <w:top w:val="single" w:sz="4" w:space="0" w:color="auto"/>
              <w:bottom w:val="single" w:sz="4" w:space="0" w:color="auto"/>
            </w:tcBorders>
            <w:tcMar>
              <w:left w:w="0" w:type="dxa"/>
            </w:tcMar>
          </w:tcPr>
          <w:p w14:paraId="7B896839" w14:textId="66A39826" w:rsidR="003F086E" w:rsidRPr="00477D57" w:rsidRDefault="003F086E" w:rsidP="00555C29">
            <w:pPr>
              <w:rPr>
                <w:b/>
                <w:bCs/>
                <w:lang w:eastAsia="zh-CN"/>
              </w:rPr>
            </w:pPr>
            <w:r w:rsidRPr="00477D57">
              <w:rPr>
                <w:b/>
                <w:bCs/>
                <w:lang w:eastAsia="zh-CN"/>
              </w:rPr>
              <w:t>目的</w:t>
            </w:r>
          </w:p>
          <w:p w14:paraId="61705D19" w14:textId="51215240" w:rsidR="003F086E" w:rsidRPr="00477D57" w:rsidRDefault="000D01A0" w:rsidP="00034197">
            <w:pPr>
              <w:ind w:firstLineChars="200" w:firstLine="480"/>
              <w:jc w:val="both"/>
              <w:rPr>
                <w:rFonts w:asciiTheme="majorEastAsia" w:eastAsiaTheme="majorEastAsia" w:hAnsiTheme="majorEastAsia"/>
                <w:lang w:eastAsia="zh-CN"/>
              </w:rPr>
            </w:pPr>
            <w:r>
              <w:rPr>
                <w:color w:val="000000"/>
                <w:lang w:val="zh-CN" w:eastAsia="zh-CN"/>
              </w:rPr>
              <w:t>本报告总结了分别于</w:t>
            </w:r>
            <w:r>
              <w:rPr>
                <w:color w:val="000000"/>
                <w:lang w:val="zh-CN" w:eastAsia="zh-CN"/>
              </w:rPr>
              <w:t>2025</w:t>
            </w:r>
            <w:r>
              <w:rPr>
                <w:color w:val="000000"/>
                <w:lang w:val="zh-CN" w:eastAsia="zh-CN"/>
              </w:rPr>
              <w:t>年</w:t>
            </w:r>
            <w:r>
              <w:rPr>
                <w:color w:val="000000"/>
                <w:lang w:val="zh-CN" w:eastAsia="zh-CN"/>
              </w:rPr>
              <w:t>9</w:t>
            </w:r>
            <w:r>
              <w:rPr>
                <w:color w:val="000000"/>
                <w:lang w:val="zh-CN" w:eastAsia="zh-CN"/>
              </w:rPr>
              <w:t>月</w:t>
            </w:r>
            <w:r>
              <w:rPr>
                <w:color w:val="000000"/>
                <w:lang w:val="zh-CN" w:eastAsia="zh-CN"/>
              </w:rPr>
              <w:t>16</w:t>
            </w:r>
            <w:r>
              <w:rPr>
                <w:color w:val="000000"/>
                <w:lang w:val="zh-CN" w:eastAsia="zh-CN"/>
              </w:rPr>
              <w:t>日和</w:t>
            </w:r>
            <w:r>
              <w:rPr>
                <w:color w:val="000000"/>
                <w:lang w:val="zh-CN" w:eastAsia="zh-CN"/>
              </w:rPr>
              <w:t>2026</w:t>
            </w:r>
            <w:r>
              <w:rPr>
                <w:color w:val="000000"/>
                <w:lang w:val="zh-CN" w:eastAsia="zh-CN"/>
              </w:rPr>
              <w:t>年</w:t>
            </w:r>
            <w:r>
              <w:rPr>
                <w:color w:val="000000"/>
                <w:lang w:val="zh-CN" w:eastAsia="zh-CN"/>
              </w:rPr>
              <w:t>1</w:t>
            </w:r>
            <w:r>
              <w:rPr>
                <w:color w:val="000000"/>
                <w:lang w:val="zh-CN" w:eastAsia="zh-CN"/>
              </w:rPr>
              <w:t>月</w:t>
            </w:r>
            <w:r>
              <w:rPr>
                <w:color w:val="000000"/>
                <w:lang w:val="zh-CN" w:eastAsia="zh-CN"/>
              </w:rPr>
              <w:t>19</w:t>
            </w:r>
            <w:r>
              <w:rPr>
                <w:color w:val="000000"/>
                <w:lang w:val="zh-CN" w:eastAsia="zh-CN"/>
              </w:rPr>
              <w:t>日召开的理事会保护上网儿童工作组（</w:t>
            </w:r>
            <w:r>
              <w:rPr>
                <w:color w:val="000000"/>
                <w:lang w:val="zh-CN" w:eastAsia="zh-CN"/>
              </w:rPr>
              <w:t>CWG-COP</w:t>
            </w:r>
            <w:r>
              <w:rPr>
                <w:color w:val="000000"/>
                <w:lang w:val="zh-CN" w:eastAsia="zh-CN"/>
              </w:rPr>
              <w:t>）第二十三次和第二十四次会议的主要成果，这是该工作组自理事会</w:t>
            </w:r>
            <w:r>
              <w:rPr>
                <w:color w:val="000000"/>
                <w:lang w:val="zh-CN" w:eastAsia="zh-CN"/>
              </w:rPr>
              <w:t>2025</w:t>
            </w:r>
            <w:r>
              <w:rPr>
                <w:color w:val="000000"/>
                <w:lang w:val="zh-CN" w:eastAsia="zh-CN"/>
              </w:rPr>
              <w:t>年会议以来工作的一部分。</w:t>
            </w:r>
          </w:p>
          <w:p w14:paraId="2EB074CE" w14:textId="77777777" w:rsidR="003F086E" w:rsidRPr="00477D57" w:rsidRDefault="003F086E" w:rsidP="00555C29">
            <w:pPr>
              <w:rPr>
                <w:b/>
                <w:bCs/>
                <w:lang w:eastAsia="zh-CN"/>
              </w:rPr>
            </w:pPr>
            <w:r w:rsidRPr="00477D57">
              <w:rPr>
                <w:b/>
                <w:bCs/>
                <w:lang w:eastAsia="zh-CN"/>
              </w:rPr>
              <w:t>理事会需采取的行动</w:t>
            </w:r>
          </w:p>
          <w:p w14:paraId="427DCBD1" w14:textId="136519D6" w:rsidR="003F086E" w:rsidRPr="00477D57" w:rsidRDefault="000D01A0" w:rsidP="000D01A0">
            <w:pPr>
              <w:ind w:firstLineChars="200" w:firstLine="480"/>
              <w:rPr>
                <w:rFonts w:asciiTheme="majorEastAsia" w:eastAsiaTheme="majorEastAsia" w:hAnsiTheme="majorEastAsia"/>
                <w:lang w:eastAsia="zh-CN"/>
              </w:rPr>
            </w:pPr>
            <w:r>
              <w:rPr>
                <w:color w:val="000000"/>
                <w:lang w:val="zh-CN" w:eastAsia="zh-CN"/>
              </w:rPr>
              <w:t>请理事会将本报告</w:t>
            </w:r>
            <w:r w:rsidRPr="00735EF0">
              <w:rPr>
                <w:b/>
                <w:bCs/>
                <w:color w:val="000000"/>
                <w:lang w:val="zh-CN" w:eastAsia="zh-CN"/>
              </w:rPr>
              <w:t>记录在案</w:t>
            </w:r>
            <w:r>
              <w:rPr>
                <w:color w:val="000000"/>
                <w:lang w:val="zh-CN" w:eastAsia="zh-CN"/>
              </w:rPr>
              <w:t>。</w:t>
            </w:r>
          </w:p>
          <w:p w14:paraId="6F00E79E"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10C2784F" w14:textId="18DE4D31" w:rsidR="003F086E" w:rsidRPr="00477D57" w:rsidRDefault="000D01A0" w:rsidP="00034197">
            <w:pPr>
              <w:ind w:firstLineChars="200" w:firstLine="480"/>
              <w:jc w:val="both"/>
              <w:rPr>
                <w:rFonts w:asciiTheme="majorEastAsia" w:eastAsiaTheme="majorEastAsia" w:hAnsiTheme="majorEastAsia"/>
                <w:lang w:eastAsia="zh-CN"/>
              </w:rPr>
            </w:pPr>
            <w:r>
              <w:rPr>
                <w:color w:val="000000"/>
                <w:lang w:val="zh-CN" w:eastAsia="zh-CN"/>
              </w:rPr>
              <w:t>可持续数字化转型：推动电信</w:t>
            </w:r>
            <w:r>
              <w:rPr>
                <w:color w:val="000000"/>
                <w:lang w:val="zh-CN" w:eastAsia="zh-CN"/>
              </w:rPr>
              <w:t>/ICT</w:t>
            </w:r>
            <w:r>
              <w:rPr>
                <w:color w:val="000000"/>
                <w:lang w:val="zh-CN" w:eastAsia="zh-CN"/>
              </w:rPr>
              <w:t>的公平和包容性使用，增强公民和社会的能力以实现可持续发展。</w:t>
            </w:r>
          </w:p>
          <w:p w14:paraId="0F8E355C" w14:textId="77777777" w:rsidR="003F086E" w:rsidRPr="00477D57" w:rsidRDefault="003F086E" w:rsidP="00555C29">
            <w:pPr>
              <w:rPr>
                <w:b/>
                <w:bCs/>
                <w:lang w:eastAsia="zh-CN"/>
              </w:rPr>
            </w:pPr>
            <w:r w:rsidRPr="00477D57">
              <w:rPr>
                <w:b/>
                <w:bCs/>
                <w:lang w:eastAsia="zh-CN"/>
              </w:rPr>
              <w:t>财务影响</w:t>
            </w:r>
          </w:p>
          <w:p w14:paraId="5DA1C8E9" w14:textId="39B4F3D2" w:rsidR="008F64AD" w:rsidRPr="00477D57" w:rsidRDefault="000D01A0" w:rsidP="000D01A0">
            <w:pPr>
              <w:ind w:firstLineChars="200" w:firstLine="480"/>
              <w:rPr>
                <w:rFonts w:asciiTheme="majorEastAsia" w:eastAsiaTheme="majorEastAsia" w:hAnsiTheme="majorEastAsia"/>
                <w:lang w:eastAsia="zh-CN"/>
              </w:rPr>
            </w:pPr>
            <w:r>
              <w:rPr>
                <w:color w:val="000000"/>
                <w:lang w:val="zh-CN" w:eastAsia="zh-CN"/>
              </w:rPr>
              <w:t>在已划拨的</w:t>
            </w:r>
            <w:r>
              <w:rPr>
                <w:color w:val="000000"/>
                <w:lang w:val="zh-CN" w:eastAsia="zh-CN"/>
              </w:rPr>
              <w:t>2025-2026</w:t>
            </w:r>
            <w:r>
              <w:rPr>
                <w:color w:val="000000"/>
                <w:lang w:val="zh-CN" w:eastAsia="zh-CN"/>
              </w:rPr>
              <w:t>年预算范围内。</w:t>
            </w:r>
          </w:p>
          <w:p w14:paraId="22A57F38" w14:textId="77777777" w:rsidR="00E24D59" w:rsidRPr="00DA2D30" w:rsidRDefault="00DA2D30" w:rsidP="00DA2D30">
            <w:pPr>
              <w:rPr>
                <w:lang w:eastAsia="zh-CN"/>
              </w:rPr>
            </w:pPr>
            <w:r>
              <w:rPr>
                <w:lang w:eastAsia="zh-CN"/>
              </w:rPr>
              <w:t>_______________</w:t>
            </w:r>
          </w:p>
          <w:p w14:paraId="420E4263" w14:textId="77777777" w:rsidR="00E24D59" w:rsidRPr="00477D57" w:rsidRDefault="00E24D59" w:rsidP="00555C29">
            <w:pPr>
              <w:rPr>
                <w:b/>
                <w:bCs/>
                <w:lang w:eastAsia="zh-CN"/>
              </w:rPr>
            </w:pPr>
            <w:r w:rsidRPr="00477D57">
              <w:rPr>
                <w:rFonts w:hint="eastAsia"/>
                <w:b/>
                <w:bCs/>
                <w:lang w:eastAsia="zh-CN"/>
              </w:rPr>
              <w:t>参考文件</w:t>
            </w:r>
          </w:p>
          <w:p w14:paraId="3815AEE6" w14:textId="169E249E" w:rsidR="00E24D59" w:rsidRPr="000D01A0" w:rsidRDefault="000D01A0" w:rsidP="00555C29">
            <w:pPr>
              <w:spacing w:after="120"/>
              <w:rPr>
                <w:rFonts w:eastAsia="STKaiti" w:cs="Calibri"/>
                <w:sz w:val="22"/>
                <w:szCs w:val="22"/>
                <w:lang w:eastAsia="zh-CN"/>
              </w:rPr>
            </w:pPr>
            <w:r w:rsidRPr="000D01A0">
              <w:rPr>
                <w:rFonts w:eastAsia="STKaiti" w:cs="Calibri"/>
                <w:sz w:val="22"/>
                <w:szCs w:val="22"/>
                <w:lang w:eastAsia="zh-CN"/>
              </w:rPr>
              <w:t>全权代表大会</w:t>
            </w:r>
            <w:hyperlink r:id="rId8" w:history="1">
              <w:r w:rsidRPr="000D01A0">
                <w:rPr>
                  <w:rStyle w:val="StyleHyperlinkAsianSTKaiti11pt"/>
                  <w:rFonts w:hint="eastAsia"/>
                  <w:lang w:eastAsia="zh-CN"/>
                </w:rPr>
                <w:t>第</w:t>
              </w:r>
              <w:r w:rsidRPr="000D01A0">
                <w:rPr>
                  <w:rStyle w:val="StyleHyperlinkAsianSTKaiti11pt"/>
                  <w:rFonts w:hint="eastAsia"/>
                  <w:lang w:eastAsia="zh-CN"/>
                </w:rPr>
                <w:t>179</w:t>
              </w:r>
              <w:r w:rsidRPr="000D01A0">
                <w:rPr>
                  <w:rStyle w:val="StyleHyperlinkAsianSTKaiti11pt"/>
                  <w:rFonts w:hint="eastAsia"/>
                  <w:lang w:eastAsia="zh-CN"/>
                </w:rPr>
                <w:t>号决议</w:t>
              </w:r>
            </w:hyperlink>
            <w:r w:rsidRPr="000D01A0">
              <w:rPr>
                <w:rFonts w:eastAsia="STKaiti" w:cs="Calibri"/>
                <w:sz w:val="22"/>
                <w:szCs w:val="22"/>
                <w:lang w:eastAsia="zh-CN"/>
              </w:rPr>
              <w:t>（</w:t>
            </w:r>
            <w:r w:rsidRPr="000D01A0">
              <w:rPr>
                <w:rFonts w:eastAsia="STKaiti" w:cs="Calibri"/>
                <w:sz w:val="22"/>
                <w:szCs w:val="22"/>
                <w:lang w:eastAsia="zh-CN"/>
              </w:rPr>
              <w:t>2022</w:t>
            </w:r>
            <w:r w:rsidRPr="000D01A0">
              <w:rPr>
                <w:rFonts w:eastAsia="STKaiti" w:cs="Calibri"/>
                <w:sz w:val="22"/>
                <w:szCs w:val="22"/>
                <w:lang w:eastAsia="zh-CN"/>
              </w:rPr>
              <w:t>年，布加勒斯特，修订版）；</w:t>
            </w:r>
            <w:hyperlink r:id="rId9" w:history="1">
              <w:r w:rsidRPr="000D01A0">
                <w:rPr>
                  <w:rStyle w:val="Hyperlink"/>
                  <w:rFonts w:eastAsia="STKaiti" w:cs="Calibri" w:hint="eastAsia"/>
                  <w:noProof w:val="0"/>
                  <w:sz w:val="22"/>
                  <w:szCs w:val="22"/>
                  <w:lang w:eastAsia="zh-CN"/>
                </w:rPr>
                <w:t>CWG-COP</w:t>
              </w:r>
              <w:r w:rsidRPr="000D01A0">
                <w:rPr>
                  <w:rStyle w:val="Hyperlink"/>
                  <w:rFonts w:eastAsia="STKaiti" w:cs="Calibri" w:hint="eastAsia"/>
                  <w:noProof w:val="0"/>
                  <w:sz w:val="22"/>
                  <w:szCs w:val="22"/>
                  <w:lang w:eastAsia="zh-CN"/>
                </w:rPr>
                <w:t>网站</w:t>
              </w:r>
            </w:hyperlink>
            <w:r w:rsidRPr="000D01A0">
              <w:rPr>
                <w:rFonts w:eastAsia="STKaiti" w:cs="Calibri"/>
                <w:sz w:val="22"/>
                <w:szCs w:val="22"/>
                <w:lang w:eastAsia="zh-CN"/>
              </w:rPr>
              <w:t>以及</w:t>
            </w:r>
            <w:hyperlink r:id="rId10" w:history="1">
              <w:r w:rsidRPr="000D01A0">
                <w:rPr>
                  <w:rStyle w:val="Hyperlink"/>
                  <w:rFonts w:eastAsia="STKaiti" w:cs="Calibri" w:hint="eastAsia"/>
                  <w:noProof w:val="0"/>
                  <w:sz w:val="22"/>
                  <w:szCs w:val="22"/>
                  <w:lang w:eastAsia="zh-CN"/>
                </w:rPr>
                <w:t>第二十三次</w:t>
              </w:r>
            </w:hyperlink>
            <w:r w:rsidRPr="000D01A0">
              <w:rPr>
                <w:rFonts w:eastAsia="STKaiti" w:cs="Calibri"/>
                <w:sz w:val="22"/>
                <w:szCs w:val="22"/>
                <w:lang w:eastAsia="zh-CN"/>
              </w:rPr>
              <w:t>和</w:t>
            </w:r>
            <w:hyperlink r:id="rId11" w:history="1">
              <w:r w:rsidRPr="000D01A0">
                <w:rPr>
                  <w:rStyle w:val="Hyperlink"/>
                  <w:rFonts w:eastAsia="STKaiti" w:cs="Calibri" w:hint="eastAsia"/>
                  <w:noProof w:val="0"/>
                  <w:sz w:val="22"/>
                  <w:szCs w:val="22"/>
                  <w:lang w:eastAsia="zh-CN"/>
                </w:rPr>
                <w:t>第二十四次</w:t>
              </w:r>
            </w:hyperlink>
            <w:r w:rsidRPr="000D01A0">
              <w:rPr>
                <w:rFonts w:eastAsia="STKaiti" w:cs="Calibri"/>
                <w:sz w:val="22"/>
                <w:szCs w:val="22"/>
                <w:lang w:eastAsia="zh-CN"/>
              </w:rPr>
              <w:t>会议的摘要报告。</w:t>
            </w:r>
          </w:p>
        </w:tc>
      </w:tr>
      <w:bookmarkEnd w:id="2"/>
      <w:bookmarkEnd w:id="6"/>
    </w:tbl>
    <w:p w14:paraId="5E9A162E"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5851CA69"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522B839D" w14:textId="77777777" w:rsidR="000D01A0" w:rsidRPr="00E95DB3" w:rsidRDefault="000D01A0" w:rsidP="000D01A0">
      <w:pPr>
        <w:pStyle w:val="Heading1"/>
        <w:rPr>
          <w:lang w:eastAsia="zh-CN"/>
        </w:rPr>
      </w:pPr>
      <w:r>
        <w:rPr>
          <w:bCs/>
          <w:lang w:val="zh-CN" w:eastAsia="zh-CN"/>
        </w:rPr>
        <w:lastRenderedPageBreak/>
        <w:t>1</w:t>
      </w:r>
      <w:r>
        <w:rPr>
          <w:bCs/>
          <w:lang w:val="zh-CN" w:eastAsia="zh-CN"/>
        </w:rPr>
        <w:tab/>
      </w:r>
      <w:r>
        <w:rPr>
          <w:rFonts w:hint="eastAsia"/>
          <w:bCs/>
          <w:lang w:val="zh-CN" w:eastAsia="zh-CN"/>
        </w:rPr>
        <w:t>引言</w:t>
      </w:r>
    </w:p>
    <w:p w14:paraId="6A64FEFD" w14:textId="6EDA9D91" w:rsidR="000D01A0" w:rsidRPr="00E95DB3" w:rsidRDefault="000D01A0" w:rsidP="00034197">
      <w:pPr>
        <w:jc w:val="both"/>
        <w:rPr>
          <w:rFonts w:cs="Calibri"/>
          <w:lang w:eastAsia="zh-CN"/>
        </w:rPr>
      </w:pPr>
      <w:r>
        <w:rPr>
          <w:lang w:val="zh-CN" w:eastAsia="zh-CN"/>
        </w:rPr>
        <w:t>1.1</w:t>
      </w:r>
      <w:r>
        <w:rPr>
          <w:lang w:val="zh-CN" w:eastAsia="zh-CN"/>
        </w:rPr>
        <w:tab/>
      </w:r>
      <w:hyperlink r:id="rId12" w:history="1">
        <w:r w:rsidRPr="000D01A0">
          <w:rPr>
            <w:rStyle w:val="Hyperlink"/>
            <w:rFonts w:eastAsia="SimSun"/>
            <w:noProof w:val="0"/>
            <w:lang w:val="zh-CN" w:eastAsia="zh-CN"/>
          </w:rPr>
          <w:t>国际电联理事会保护上网儿童工作组</w:t>
        </w:r>
      </w:hyperlink>
      <w:r w:rsidRPr="00E7735D">
        <w:rPr>
          <w:rFonts w:hint="eastAsia"/>
          <w:lang w:eastAsia="zh-CN"/>
        </w:rPr>
        <w:t>（</w:t>
      </w:r>
      <w:r>
        <w:rPr>
          <w:rFonts w:hint="eastAsia"/>
          <w:lang w:eastAsia="zh-CN"/>
        </w:rPr>
        <w:t>CWG-COP</w:t>
      </w:r>
      <w:r w:rsidRPr="00E7735D">
        <w:rPr>
          <w:rFonts w:hint="eastAsia"/>
          <w:lang w:eastAsia="zh-CN"/>
        </w:rPr>
        <w:t>）</w:t>
      </w:r>
      <w:r>
        <w:rPr>
          <w:lang w:val="zh-CN" w:eastAsia="zh-CN"/>
        </w:rPr>
        <w:t>是根据国际电联全权代表大会</w:t>
      </w:r>
      <w:hyperlink r:id="rId13" w:history="1">
        <w:r w:rsidRPr="000D01A0">
          <w:rPr>
            <w:rStyle w:val="Hyperlink"/>
            <w:rFonts w:eastAsia="SimSun"/>
            <w:noProof w:val="0"/>
            <w:lang w:val="zh-CN" w:eastAsia="zh-CN"/>
          </w:rPr>
          <w:t>第</w:t>
        </w:r>
        <w:r w:rsidRPr="000D01A0">
          <w:rPr>
            <w:rStyle w:val="Hyperlink"/>
            <w:rFonts w:eastAsia="SimSun"/>
            <w:noProof w:val="0"/>
            <w:lang w:val="zh-CN" w:eastAsia="zh-CN"/>
          </w:rPr>
          <w:t>179</w:t>
        </w:r>
        <w:r w:rsidRPr="000D01A0">
          <w:rPr>
            <w:rStyle w:val="Hyperlink"/>
            <w:rFonts w:eastAsia="SimSun"/>
            <w:noProof w:val="0"/>
            <w:lang w:val="zh-CN" w:eastAsia="zh-CN"/>
          </w:rPr>
          <w:t>号决议</w:t>
        </w:r>
      </w:hyperlink>
      <w:r>
        <w:rPr>
          <w:lang w:val="zh-CN" w:eastAsia="zh-CN"/>
        </w:rPr>
        <w:t>（</w:t>
      </w:r>
      <w:r>
        <w:rPr>
          <w:lang w:val="zh-CN" w:eastAsia="zh-CN"/>
        </w:rPr>
        <w:t>2022</w:t>
      </w:r>
      <w:r>
        <w:rPr>
          <w:lang w:val="zh-CN" w:eastAsia="zh-CN"/>
        </w:rPr>
        <w:t>年，布加勒斯特，修订版）</w:t>
      </w:r>
      <w:r>
        <w:rPr>
          <w:rFonts w:hint="eastAsia"/>
          <w:lang w:val="zh-CN" w:eastAsia="zh-CN"/>
        </w:rPr>
        <w:t>，通过</w:t>
      </w:r>
      <w:r>
        <w:rPr>
          <w:lang w:val="zh-CN" w:eastAsia="zh-CN"/>
        </w:rPr>
        <w:t>理事会</w:t>
      </w:r>
      <w:hyperlink r:id="rId14" w:history="1">
        <w:r w:rsidRPr="000D01A0">
          <w:rPr>
            <w:rStyle w:val="Hyperlink"/>
            <w:rFonts w:eastAsia="SimSun"/>
            <w:noProof w:val="0"/>
            <w:lang w:val="zh-CN" w:eastAsia="zh-CN"/>
          </w:rPr>
          <w:t>第</w:t>
        </w:r>
        <w:r w:rsidRPr="000D01A0">
          <w:rPr>
            <w:rStyle w:val="Hyperlink"/>
            <w:rFonts w:eastAsia="SimSun"/>
            <w:noProof w:val="0"/>
            <w:lang w:val="zh-CN" w:eastAsia="zh-CN"/>
          </w:rPr>
          <w:t>1306</w:t>
        </w:r>
        <w:r w:rsidRPr="000D01A0">
          <w:rPr>
            <w:rStyle w:val="Hyperlink"/>
            <w:rFonts w:eastAsia="SimSun"/>
            <w:noProof w:val="0"/>
            <w:lang w:val="zh-CN" w:eastAsia="zh-CN"/>
          </w:rPr>
          <w:t>号决议</w:t>
        </w:r>
      </w:hyperlink>
      <w:r>
        <w:rPr>
          <w:lang w:val="zh-CN" w:eastAsia="zh-CN"/>
        </w:rPr>
        <w:t>（</w:t>
      </w:r>
      <w:r>
        <w:rPr>
          <w:lang w:val="zh-CN" w:eastAsia="zh-CN"/>
        </w:rPr>
        <w:t>2015</w:t>
      </w:r>
      <w:r>
        <w:rPr>
          <w:lang w:val="zh-CN" w:eastAsia="zh-CN"/>
        </w:rPr>
        <w:t>年</w:t>
      </w:r>
      <w:r>
        <w:rPr>
          <w:rFonts w:hint="eastAsia"/>
          <w:lang w:val="zh-CN" w:eastAsia="zh-CN"/>
        </w:rPr>
        <w:t>，</w:t>
      </w:r>
      <w:r>
        <w:rPr>
          <w:lang w:val="zh-CN" w:eastAsia="zh-CN"/>
        </w:rPr>
        <w:t>修订版）</w:t>
      </w:r>
      <w:r>
        <w:rPr>
          <w:rFonts w:hint="eastAsia"/>
          <w:lang w:val="zh-CN" w:eastAsia="zh-CN"/>
        </w:rPr>
        <w:t>设立</w:t>
      </w:r>
      <w:r>
        <w:rPr>
          <w:lang w:val="zh-CN" w:eastAsia="zh-CN"/>
        </w:rPr>
        <w:t>。</w:t>
      </w:r>
      <w:r>
        <w:rPr>
          <w:lang w:val="zh-CN" w:eastAsia="zh-CN"/>
        </w:rPr>
        <w:t>CWG-COP</w:t>
      </w:r>
      <w:r>
        <w:rPr>
          <w:lang w:val="zh-CN" w:eastAsia="zh-CN"/>
        </w:rPr>
        <w:t>对所有相关利益攸关方开放。</w:t>
      </w:r>
      <w:hyperlink r:id="rId15" w:history="1"/>
      <w:hyperlink r:id="rId16" w:history="1"/>
      <w:hyperlink r:id="rId17" w:history="1"/>
    </w:p>
    <w:p w14:paraId="3F9731C3" w14:textId="18684E60" w:rsidR="000D01A0" w:rsidRPr="00E95DB3" w:rsidRDefault="000D01A0" w:rsidP="00034197">
      <w:pPr>
        <w:jc w:val="both"/>
        <w:rPr>
          <w:rFonts w:cs="Calibri"/>
          <w:lang w:eastAsia="zh-CN"/>
        </w:rPr>
      </w:pPr>
      <w:r>
        <w:rPr>
          <w:lang w:val="zh-CN" w:eastAsia="zh-CN"/>
        </w:rPr>
        <w:t>1.2</w:t>
      </w:r>
      <w:r>
        <w:rPr>
          <w:lang w:val="zh-CN" w:eastAsia="zh-CN"/>
        </w:rPr>
        <w:tab/>
      </w:r>
      <w:r>
        <w:rPr>
          <w:lang w:eastAsia="zh-CN"/>
        </w:rPr>
        <w:t>CWG-</w:t>
      </w:r>
      <w:r>
        <w:rPr>
          <w:rFonts w:hint="eastAsia"/>
          <w:lang w:eastAsia="zh-CN"/>
        </w:rPr>
        <w:t>COP</w:t>
      </w:r>
      <w:r>
        <w:rPr>
          <w:lang w:eastAsia="zh-CN"/>
        </w:rPr>
        <w:t>的职责范围见</w:t>
      </w:r>
      <w:hyperlink r:id="rId18" w:history="1">
        <w:r w:rsidRPr="000D01A0">
          <w:rPr>
            <w:rStyle w:val="Hyperlink"/>
            <w:rFonts w:eastAsia="SimSun"/>
            <w:noProof w:val="0"/>
            <w:lang w:eastAsia="zh-CN"/>
          </w:rPr>
          <w:t>第</w:t>
        </w:r>
        <w:r w:rsidRPr="000D01A0">
          <w:rPr>
            <w:rStyle w:val="Hyperlink"/>
            <w:rFonts w:eastAsia="SimSun"/>
            <w:noProof w:val="0"/>
            <w:lang w:eastAsia="zh-CN"/>
          </w:rPr>
          <w:t>1</w:t>
        </w:r>
        <w:r w:rsidRPr="000D01A0">
          <w:rPr>
            <w:rStyle w:val="Hyperlink"/>
            <w:rFonts w:eastAsia="SimSun"/>
            <w:noProof w:val="0"/>
            <w:lang w:eastAsia="zh-CN"/>
          </w:rPr>
          <w:t>次会议成果的附件</w:t>
        </w:r>
        <w:r w:rsidRPr="000D01A0">
          <w:rPr>
            <w:rStyle w:val="Hyperlink"/>
            <w:rFonts w:eastAsia="SimSun"/>
            <w:noProof w:val="0"/>
            <w:lang w:eastAsia="zh-CN"/>
          </w:rPr>
          <w:t>1</w:t>
        </w:r>
      </w:hyperlink>
      <w:r>
        <w:rPr>
          <w:rFonts w:ascii="SimSun" w:hAnsi="SimSun" w:cs="SimSun" w:hint="eastAsia"/>
          <w:lang w:eastAsia="zh-CN"/>
        </w:rPr>
        <w:t>。</w:t>
      </w:r>
      <w:hyperlink r:id="rId19" w:history="1"/>
    </w:p>
    <w:p w14:paraId="265CD75D" w14:textId="77777777" w:rsidR="000D01A0" w:rsidRPr="00E95DB3" w:rsidRDefault="000D01A0" w:rsidP="00034197">
      <w:pPr>
        <w:jc w:val="both"/>
        <w:rPr>
          <w:rFonts w:cs="Calibri"/>
          <w:lang w:eastAsia="zh-CN"/>
        </w:rPr>
      </w:pPr>
      <w:r>
        <w:rPr>
          <w:lang w:val="zh-CN" w:eastAsia="zh-CN"/>
        </w:rPr>
        <w:t>1.3</w:t>
      </w:r>
      <w:r>
        <w:rPr>
          <w:lang w:val="zh-CN" w:eastAsia="zh-CN"/>
        </w:rPr>
        <w:tab/>
      </w:r>
      <w:r>
        <w:rPr>
          <w:lang w:val="zh-CN" w:eastAsia="zh-CN"/>
        </w:rPr>
        <w:t>全权代表大会第</w:t>
      </w:r>
      <w:r>
        <w:rPr>
          <w:lang w:val="zh-CN" w:eastAsia="zh-CN"/>
        </w:rPr>
        <w:t>179</w:t>
      </w:r>
      <w:r>
        <w:rPr>
          <w:lang w:val="zh-CN" w:eastAsia="zh-CN"/>
        </w:rPr>
        <w:t>号决议（</w:t>
      </w:r>
      <w:r>
        <w:rPr>
          <w:lang w:val="zh-CN" w:eastAsia="zh-CN"/>
        </w:rPr>
        <w:t>2022</w:t>
      </w:r>
      <w:r>
        <w:rPr>
          <w:lang w:val="zh-CN" w:eastAsia="zh-CN"/>
        </w:rPr>
        <w:t>年，布加勒斯特，修订版）要求理事会：</w:t>
      </w:r>
    </w:p>
    <w:p w14:paraId="52BED63D" w14:textId="57740192" w:rsidR="000D01A0" w:rsidRPr="00E95DB3" w:rsidRDefault="000D01A0" w:rsidP="00034197">
      <w:pPr>
        <w:pStyle w:val="enumlev1"/>
        <w:jc w:val="both"/>
        <w:rPr>
          <w:lang w:eastAsia="zh-CN"/>
        </w:rPr>
      </w:pPr>
      <w:r w:rsidRPr="000D01A0">
        <w:rPr>
          <w:lang w:val="zh-CN" w:eastAsia="zh-CN"/>
        </w:rPr>
        <w:t>–</w:t>
      </w:r>
      <w:r>
        <w:rPr>
          <w:lang w:val="zh-CN" w:eastAsia="zh-CN"/>
        </w:rPr>
        <w:tab/>
      </w:r>
      <w:r>
        <w:rPr>
          <w:lang w:val="zh-CN" w:eastAsia="zh-CN"/>
        </w:rPr>
        <w:t>继续开展</w:t>
      </w:r>
      <w:r>
        <w:rPr>
          <w:lang w:val="zh-CN" w:eastAsia="zh-CN"/>
        </w:rPr>
        <w:t>CWG</w:t>
      </w:r>
      <w:r>
        <w:rPr>
          <w:lang w:val="zh-CN" w:eastAsia="zh-CN"/>
        </w:rPr>
        <w:noBreakHyphen/>
        <w:t>COP</w:t>
      </w:r>
      <w:r>
        <w:rPr>
          <w:lang w:val="zh-CN" w:eastAsia="zh-CN"/>
        </w:rPr>
        <w:t>的工作，以便成员就国际电联在保护上网儿童方面的作用提出输入意见和指导，并作为讨论和交流最佳做法的平台；</w:t>
      </w:r>
    </w:p>
    <w:p w14:paraId="7E2DB8A0" w14:textId="4E57C25E" w:rsidR="000D01A0" w:rsidRPr="00E95DB3" w:rsidRDefault="000D01A0" w:rsidP="00034197">
      <w:pPr>
        <w:pStyle w:val="enumlev1"/>
        <w:jc w:val="both"/>
        <w:rPr>
          <w:lang w:eastAsia="zh-CN"/>
        </w:rPr>
      </w:pPr>
      <w:r w:rsidRPr="000D01A0">
        <w:rPr>
          <w:lang w:val="zh-CN" w:eastAsia="zh-CN"/>
        </w:rPr>
        <w:t>–</w:t>
      </w:r>
      <w:r>
        <w:rPr>
          <w:lang w:val="zh-CN" w:eastAsia="zh-CN"/>
        </w:rPr>
        <w:tab/>
      </w:r>
      <w:r>
        <w:rPr>
          <w:lang w:val="zh-CN" w:eastAsia="zh-CN"/>
        </w:rPr>
        <w:t>促进所有相关利益攸关方均能参与</w:t>
      </w:r>
      <w:r>
        <w:rPr>
          <w:lang w:val="zh-CN" w:eastAsia="zh-CN"/>
        </w:rPr>
        <w:t>CWG-COP</w:t>
      </w:r>
      <w:r>
        <w:rPr>
          <w:lang w:val="zh-CN" w:eastAsia="zh-CN"/>
        </w:rPr>
        <w:t>的工作并为之做出贡献，以便在落实该项决议过程中确保最大程度的协作；</w:t>
      </w:r>
    </w:p>
    <w:p w14:paraId="3B10C37E" w14:textId="006E4B60" w:rsidR="000D01A0" w:rsidRPr="00E95DB3" w:rsidRDefault="000D01A0" w:rsidP="00034197">
      <w:pPr>
        <w:pStyle w:val="enumlev1"/>
        <w:jc w:val="both"/>
        <w:rPr>
          <w:lang w:eastAsia="zh-CN"/>
        </w:rPr>
      </w:pPr>
      <w:r w:rsidRPr="000D01A0">
        <w:rPr>
          <w:lang w:val="zh-CN" w:eastAsia="zh-CN"/>
        </w:rPr>
        <w:t>–</w:t>
      </w:r>
      <w:r>
        <w:rPr>
          <w:lang w:val="zh-CN" w:eastAsia="zh-CN"/>
        </w:rPr>
        <w:tab/>
      </w:r>
      <w:r>
        <w:rPr>
          <w:lang w:val="zh-CN" w:eastAsia="zh-CN"/>
        </w:rPr>
        <w:t>鼓励</w:t>
      </w:r>
      <w:r>
        <w:rPr>
          <w:lang w:val="zh-CN" w:eastAsia="zh-CN"/>
        </w:rPr>
        <w:t>CWG-COP</w:t>
      </w:r>
      <w:r>
        <w:rPr>
          <w:lang w:val="zh-CN" w:eastAsia="zh-CN"/>
        </w:rPr>
        <w:t>与理事会国际互联网相关公共政策问题工作组（</w:t>
      </w:r>
      <w:r>
        <w:rPr>
          <w:lang w:val="zh-CN" w:eastAsia="zh-CN"/>
        </w:rPr>
        <w:t>CWG-Internet</w:t>
      </w:r>
      <w:r>
        <w:rPr>
          <w:lang w:val="zh-CN" w:eastAsia="zh-CN"/>
        </w:rPr>
        <w:t>）酌情联络，以便以互利互惠的方式推动完成这些理事会工作组相关职责范围内所涉相关问题的工作；</w:t>
      </w:r>
    </w:p>
    <w:p w14:paraId="0D288BDF" w14:textId="344F56CC" w:rsidR="000D01A0" w:rsidRPr="00E95DB3" w:rsidRDefault="000D01A0" w:rsidP="00034197">
      <w:pPr>
        <w:pStyle w:val="enumlev1"/>
        <w:jc w:val="both"/>
        <w:rPr>
          <w:lang w:eastAsia="zh-CN"/>
        </w:rPr>
      </w:pPr>
      <w:r w:rsidRPr="000D01A0">
        <w:rPr>
          <w:lang w:val="zh-CN" w:eastAsia="zh-CN"/>
        </w:rPr>
        <w:t>–</w:t>
      </w:r>
      <w:r>
        <w:rPr>
          <w:lang w:val="zh-CN" w:eastAsia="zh-CN"/>
        </w:rPr>
        <w:tab/>
      </w:r>
      <w:r>
        <w:rPr>
          <w:lang w:val="zh-CN" w:eastAsia="zh-CN"/>
        </w:rPr>
        <w:t>鼓励</w:t>
      </w:r>
      <w:r>
        <w:rPr>
          <w:lang w:val="zh-CN" w:eastAsia="zh-CN"/>
        </w:rPr>
        <w:t>CWG-COP</w:t>
      </w:r>
      <w:r>
        <w:rPr>
          <w:lang w:val="zh-CN" w:eastAsia="zh-CN"/>
        </w:rPr>
        <w:t>与</w:t>
      </w:r>
      <w:r>
        <w:rPr>
          <w:lang w:val="zh-CN" w:eastAsia="zh-CN"/>
        </w:rPr>
        <w:t>ITU-D</w:t>
      </w:r>
      <w:r>
        <w:rPr>
          <w:lang w:val="zh-CN" w:eastAsia="zh-CN"/>
        </w:rPr>
        <w:t>第</w:t>
      </w:r>
      <w:r>
        <w:rPr>
          <w:lang w:val="zh-CN" w:eastAsia="zh-CN"/>
        </w:rPr>
        <w:t>2</w:t>
      </w:r>
      <w:r>
        <w:rPr>
          <w:lang w:val="zh-CN" w:eastAsia="zh-CN"/>
        </w:rPr>
        <w:t>研究组联络，分享</w:t>
      </w:r>
      <w:r>
        <w:rPr>
          <w:lang w:val="zh-CN" w:eastAsia="zh-CN"/>
        </w:rPr>
        <w:t>CWG</w:t>
      </w:r>
      <w:r>
        <w:rPr>
          <w:lang w:val="zh-CN" w:eastAsia="zh-CN"/>
        </w:rPr>
        <w:noBreakHyphen/>
        <w:t>COP</w:t>
      </w:r>
      <w:r>
        <w:rPr>
          <w:lang w:val="zh-CN" w:eastAsia="zh-CN"/>
        </w:rPr>
        <w:t>会议的输出成果，以利于相关研究课题的讨论；</w:t>
      </w:r>
    </w:p>
    <w:p w14:paraId="678AAE58" w14:textId="39EDF908" w:rsidR="000D01A0" w:rsidRPr="00E95DB3" w:rsidRDefault="000D01A0" w:rsidP="00034197">
      <w:pPr>
        <w:pStyle w:val="enumlev1"/>
        <w:jc w:val="both"/>
        <w:rPr>
          <w:lang w:eastAsia="zh-CN"/>
        </w:rPr>
      </w:pPr>
      <w:r w:rsidRPr="000D01A0">
        <w:rPr>
          <w:lang w:val="zh-CN" w:eastAsia="zh-CN"/>
        </w:rPr>
        <w:t>–</w:t>
      </w:r>
      <w:r>
        <w:rPr>
          <w:lang w:val="zh-CN" w:eastAsia="zh-CN"/>
        </w:rPr>
        <w:tab/>
      </w:r>
      <w:r w:rsidRPr="002F57E4">
        <w:rPr>
          <w:rFonts w:hint="eastAsia"/>
          <w:lang w:val="zh-CN" w:eastAsia="zh-CN"/>
        </w:rPr>
        <w:t>鼓励</w:t>
      </w:r>
      <w:r w:rsidRPr="002F57E4">
        <w:rPr>
          <w:rFonts w:hint="eastAsia"/>
          <w:lang w:val="zh-CN" w:eastAsia="zh-CN"/>
        </w:rPr>
        <w:t>CWG COP</w:t>
      </w:r>
      <w:r w:rsidRPr="002F57E4">
        <w:rPr>
          <w:rFonts w:hint="eastAsia"/>
          <w:lang w:val="zh-CN" w:eastAsia="zh-CN"/>
        </w:rPr>
        <w:t>在其会议之前和会议期间与青年人进行在线磋商，以听取他们有关保护上网儿童各项事宜的意见和看法</w:t>
      </w:r>
      <w:r>
        <w:rPr>
          <w:lang w:val="zh-CN" w:eastAsia="zh-CN"/>
        </w:rPr>
        <w:t>；</w:t>
      </w:r>
    </w:p>
    <w:p w14:paraId="4E4F58FC" w14:textId="79E160BC" w:rsidR="000D01A0" w:rsidRPr="00E95DB3" w:rsidRDefault="000D01A0" w:rsidP="00034197">
      <w:pPr>
        <w:pStyle w:val="enumlev1"/>
        <w:jc w:val="both"/>
        <w:rPr>
          <w:lang w:eastAsia="zh-CN"/>
        </w:rPr>
      </w:pPr>
      <w:r w:rsidRPr="000D01A0">
        <w:rPr>
          <w:lang w:val="zh-CN" w:eastAsia="zh-CN"/>
        </w:rPr>
        <w:t>–</w:t>
      </w:r>
      <w:r>
        <w:rPr>
          <w:lang w:val="zh-CN" w:eastAsia="zh-CN"/>
        </w:rPr>
        <w:tab/>
      </w:r>
      <w:r>
        <w:rPr>
          <w:lang w:val="zh-CN" w:eastAsia="zh-CN"/>
        </w:rPr>
        <w:t>继续</w:t>
      </w:r>
      <w:r>
        <w:rPr>
          <w:rFonts w:hint="eastAsia"/>
          <w:lang w:val="zh-CN" w:eastAsia="zh-CN"/>
        </w:rPr>
        <w:t>将</w:t>
      </w:r>
      <w:r>
        <w:rPr>
          <w:lang w:val="zh-CN" w:eastAsia="zh-CN"/>
        </w:rPr>
        <w:t>有关保护上网儿童问题的输出文件</w:t>
      </w:r>
      <w:r>
        <w:rPr>
          <w:lang w:eastAsia="zh-CN"/>
        </w:rPr>
        <w:t>以无需密码保护的形式向公众开放</w:t>
      </w:r>
      <w:r>
        <w:rPr>
          <w:rFonts w:ascii="SimSun" w:hAnsi="SimSun" w:cs="SimSun" w:hint="eastAsia"/>
          <w:lang w:eastAsia="zh-CN"/>
        </w:rPr>
        <w:t>。</w:t>
      </w:r>
    </w:p>
    <w:p w14:paraId="55158E6B" w14:textId="77777777" w:rsidR="000D01A0" w:rsidRPr="00E95DB3" w:rsidRDefault="000D01A0" w:rsidP="00034197">
      <w:pPr>
        <w:pStyle w:val="Heading1"/>
        <w:spacing w:before="360"/>
        <w:rPr>
          <w:lang w:eastAsia="zh-CN"/>
        </w:rPr>
      </w:pPr>
      <w:r>
        <w:rPr>
          <w:bCs/>
          <w:lang w:val="zh-CN" w:eastAsia="zh-CN"/>
        </w:rPr>
        <w:t>2</w:t>
      </w:r>
      <w:r>
        <w:rPr>
          <w:bCs/>
          <w:lang w:val="zh-CN" w:eastAsia="zh-CN"/>
        </w:rPr>
        <w:tab/>
        <w:t>CWG-COP</w:t>
      </w:r>
      <w:r>
        <w:rPr>
          <w:bCs/>
          <w:lang w:val="zh-CN" w:eastAsia="zh-CN"/>
        </w:rPr>
        <w:t>的活动</w:t>
      </w:r>
    </w:p>
    <w:p w14:paraId="370574AA" w14:textId="77777777" w:rsidR="000D01A0" w:rsidRPr="00E95DB3" w:rsidRDefault="000D01A0" w:rsidP="00034197">
      <w:pPr>
        <w:jc w:val="both"/>
        <w:rPr>
          <w:lang w:eastAsia="zh-CN"/>
        </w:rPr>
      </w:pPr>
      <w:r>
        <w:rPr>
          <w:lang w:val="zh-CN" w:eastAsia="zh-CN"/>
        </w:rPr>
        <w:t>2.1</w:t>
      </w:r>
      <w:r>
        <w:rPr>
          <w:lang w:val="zh-CN" w:eastAsia="zh-CN"/>
        </w:rPr>
        <w:tab/>
      </w:r>
      <w:r>
        <w:rPr>
          <w:lang w:val="zh-CN" w:eastAsia="zh-CN"/>
        </w:rPr>
        <w:t>本文件载有主席对分别于</w:t>
      </w:r>
      <w:r>
        <w:rPr>
          <w:lang w:val="zh-CN" w:eastAsia="zh-CN"/>
        </w:rPr>
        <w:t>2025</w:t>
      </w:r>
      <w:r>
        <w:rPr>
          <w:lang w:val="zh-CN" w:eastAsia="zh-CN"/>
        </w:rPr>
        <w:t>年</w:t>
      </w:r>
      <w:r>
        <w:rPr>
          <w:lang w:val="zh-CN" w:eastAsia="zh-CN"/>
        </w:rPr>
        <w:t>9</w:t>
      </w:r>
      <w:r>
        <w:rPr>
          <w:lang w:val="zh-CN" w:eastAsia="zh-CN"/>
        </w:rPr>
        <w:t>月</w:t>
      </w:r>
      <w:r>
        <w:rPr>
          <w:lang w:val="zh-CN" w:eastAsia="zh-CN"/>
        </w:rPr>
        <w:t>16</w:t>
      </w:r>
      <w:r>
        <w:rPr>
          <w:lang w:val="zh-CN" w:eastAsia="zh-CN"/>
        </w:rPr>
        <w:t>日和</w:t>
      </w:r>
      <w:r>
        <w:rPr>
          <w:lang w:val="zh-CN" w:eastAsia="zh-CN"/>
        </w:rPr>
        <w:t>2026</w:t>
      </w:r>
      <w:r>
        <w:rPr>
          <w:lang w:val="zh-CN" w:eastAsia="zh-CN"/>
        </w:rPr>
        <w:t>年</w:t>
      </w:r>
      <w:r>
        <w:rPr>
          <w:lang w:val="zh-CN" w:eastAsia="zh-CN"/>
        </w:rPr>
        <w:t>1</w:t>
      </w:r>
      <w:r>
        <w:rPr>
          <w:lang w:val="zh-CN" w:eastAsia="zh-CN"/>
        </w:rPr>
        <w:t>月</w:t>
      </w:r>
      <w:r>
        <w:rPr>
          <w:lang w:val="zh-CN" w:eastAsia="zh-CN"/>
        </w:rPr>
        <w:t>19</w:t>
      </w:r>
      <w:r>
        <w:rPr>
          <w:lang w:val="zh-CN" w:eastAsia="zh-CN"/>
        </w:rPr>
        <w:t>日召开的理事会保护上网儿童工作组（</w:t>
      </w:r>
      <w:r>
        <w:rPr>
          <w:lang w:val="zh-CN" w:eastAsia="zh-CN"/>
        </w:rPr>
        <w:t>CWG-COP</w:t>
      </w:r>
      <w:r>
        <w:rPr>
          <w:lang w:val="zh-CN" w:eastAsia="zh-CN"/>
        </w:rPr>
        <w:t>）第二十三次和第二十四次会议的活动和成果的总结，这是该工作组自理事会</w:t>
      </w:r>
      <w:r>
        <w:rPr>
          <w:lang w:val="zh-CN" w:eastAsia="zh-CN"/>
        </w:rPr>
        <w:t>2025</w:t>
      </w:r>
      <w:r>
        <w:rPr>
          <w:lang w:val="zh-CN" w:eastAsia="zh-CN"/>
        </w:rPr>
        <w:t>年会议以来工作的一部分。</w:t>
      </w:r>
    </w:p>
    <w:p w14:paraId="675976C5" w14:textId="77777777" w:rsidR="000D01A0" w:rsidRPr="00E95DB3" w:rsidRDefault="000D01A0" w:rsidP="00034197">
      <w:pPr>
        <w:ind w:firstLineChars="200" w:firstLine="480"/>
        <w:jc w:val="both"/>
        <w:rPr>
          <w:lang w:eastAsia="zh-CN"/>
        </w:rPr>
      </w:pPr>
      <w:r>
        <w:rPr>
          <w:lang w:val="zh-CN" w:eastAsia="zh-CN"/>
        </w:rPr>
        <w:t>在此期间，工作组侧重于：</w:t>
      </w:r>
    </w:p>
    <w:p w14:paraId="6E2E5BAD" w14:textId="664E23C0" w:rsidR="000D01A0" w:rsidRPr="00E95DB3" w:rsidRDefault="000D01A0" w:rsidP="00034197">
      <w:pPr>
        <w:pStyle w:val="enumlev1"/>
        <w:jc w:val="both"/>
        <w:rPr>
          <w:lang w:eastAsia="zh-CN"/>
        </w:rPr>
      </w:pPr>
      <w:r>
        <w:rPr>
          <w:lang w:val="zh-CN" w:eastAsia="zh-CN"/>
        </w:rPr>
        <w:t>a)</w:t>
      </w:r>
      <w:r>
        <w:rPr>
          <w:lang w:val="zh-CN" w:eastAsia="zh-CN"/>
        </w:rPr>
        <w:tab/>
      </w:r>
      <w:r>
        <w:rPr>
          <w:lang w:val="zh-CN" w:eastAsia="zh-CN"/>
        </w:rPr>
        <w:t>在新兴技术，特别是人工智能的背景下推进关于保护上网儿童的战略讨论</w:t>
      </w:r>
      <w:r w:rsidR="000C7CCD">
        <w:rPr>
          <w:rFonts w:hint="eastAsia"/>
          <w:lang w:val="zh-CN" w:eastAsia="zh-CN"/>
        </w:rPr>
        <w:t>；</w:t>
      </w:r>
    </w:p>
    <w:p w14:paraId="037FDC36" w14:textId="0F266F27" w:rsidR="000D01A0" w:rsidRPr="00E95DB3" w:rsidRDefault="000D01A0" w:rsidP="00034197">
      <w:pPr>
        <w:pStyle w:val="enumlev1"/>
        <w:jc w:val="both"/>
        <w:rPr>
          <w:lang w:eastAsia="zh-CN"/>
        </w:rPr>
      </w:pPr>
      <w:r>
        <w:rPr>
          <w:lang w:val="zh-CN" w:eastAsia="zh-CN"/>
        </w:rPr>
        <w:t>b)</w:t>
      </w:r>
      <w:r>
        <w:rPr>
          <w:lang w:val="zh-CN" w:eastAsia="zh-CN"/>
        </w:rPr>
        <w:tab/>
      </w:r>
      <w:r>
        <w:rPr>
          <w:lang w:val="zh-CN" w:eastAsia="zh-CN"/>
        </w:rPr>
        <w:t>展示国家、区域和部门主导的应对儿童上网安全风险和机遇的举措</w:t>
      </w:r>
      <w:r w:rsidR="000C7CCD">
        <w:rPr>
          <w:rFonts w:hint="eastAsia"/>
          <w:lang w:val="zh-CN" w:eastAsia="zh-CN"/>
        </w:rPr>
        <w:t>；</w:t>
      </w:r>
    </w:p>
    <w:p w14:paraId="5B2FA782" w14:textId="483C8AC2" w:rsidR="000D01A0" w:rsidRPr="00E95DB3" w:rsidRDefault="000D01A0" w:rsidP="00034197">
      <w:pPr>
        <w:pStyle w:val="enumlev1"/>
        <w:jc w:val="both"/>
        <w:rPr>
          <w:lang w:eastAsia="zh-CN"/>
        </w:rPr>
      </w:pPr>
      <w:r>
        <w:rPr>
          <w:lang w:val="zh-CN" w:eastAsia="zh-CN"/>
        </w:rPr>
        <w:t>c)</w:t>
      </w:r>
      <w:r>
        <w:rPr>
          <w:lang w:val="zh-CN" w:eastAsia="zh-CN"/>
        </w:rPr>
        <w:tab/>
      </w:r>
      <w:r>
        <w:rPr>
          <w:lang w:val="zh-CN" w:eastAsia="zh-CN"/>
        </w:rPr>
        <w:t>加强国际电联内部政策、运作和技术标准化工作之间的协调</w:t>
      </w:r>
      <w:r w:rsidR="000C7CCD">
        <w:rPr>
          <w:rFonts w:hint="eastAsia"/>
          <w:lang w:val="zh-CN" w:eastAsia="zh-CN"/>
        </w:rPr>
        <w:t>；</w:t>
      </w:r>
    </w:p>
    <w:p w14:paraId="4E3A004A" w14:textId="77777777" w:rsidR="000D01A0" w:rsidRPr="00E95DB3" w:rsidRDefault="000D01A0" w:rsidP="00034197">
      <w:pPr>
        <w:pStyle w:val="enumlev1"/>
        <w:jc w:val="both"/>
        <w:rPr>
          <w:lang w:eastAsia="zh-CN"/>
        </w:rPr>
      </w:pPr>
      <w:r>
        <w:rPr>
          <w:lang w:val="zh-CN" w:eastAsia="zh-CN"/>
        </w:rPr>
        <w:t>d)</w:t>
      </w:r>
      <w:r>
        <w:rPr>
          <w:lang w:val="zh-CN" w:eastAsia="zh-CN"/>
        </w:rPr>
        <w:tab/>
      </w:r>
      <w:r>
        <w:rPr>
          <w:lang w:val="zh-CN" w:eastAsia="zh-CN"/>
        </w:rPr>
        <w:t>促进利益攸关多方的参与，包括行业、民间团体和国际组织的参与</w:t>
      </w:r>
      <w:r>
        <w:rPr>
          <w:rFonts w:hint="eastAsia"/>
          <w:lang w:val="zh-CN" w:eastAsia="zh-CN"/>
        </w:rPr>
        <w:t>；</w:t>
      </w:r>
      <w:r>
        <w:rPr>
          <w:lang w:val="zh-CN" w:eastAsia="zh-CN"/>
        </w:rPr>
        <w:t>和</w:t>
      </w:r>
    </w:p>
    <w:p w14:paraId="2229FD76" w14:textId="77777777" w:rsidR="000D01A0" w:rsidRPr="00E95DB3" w:rsidRDefault="000D01A0" w:rsidP="00034197">
      <w:pPr>
        <w:pStyle w:val="enumlev1"/>
        <w:jc w:val="both"/>
        <w:rPr>
          <w:lang w:eastAsia="zh-CN"/>
        </w:rPr>
      </w:pPr>
      <w:r>
        <w:rPr>
          <w:lang w:val="zh-CN" w:eastAsia="zh-CN"/>
        </w:rPr>
        <w:t>e)</w:t>
      </w:r>
      <w:r>
        <w:rPr>
          <w:lang w:val="zh-CN" w:eastAsia="zh-CN"/>
        </w:rPr>
        <w:tab/>
      </w:r>
      <w:r>
        <w:rPr>
          <w:lang w:val="zh-CN" w:eastAsia="zh-CN"/>
        </w:rPr>
        <w:t>加强</w:t>
      </w:r>
      <w:r>
        <w:rPr>
          <w:lang w:val="zh-CN" w:eastAsia="zh-CN"/>
        </w:rPr>
        <w:t>CWG-COP</w:t>
      </w:r>
      <w:r>
        <w:rPr>
          <w:lang w:val="zh-CN" w:eastAsia="zh-CN"/>
        </w:rPr>
        <w:t>成员和合作伙伴之间的透明度、信息共享和协作。</w:t>
      </w:r>
    </w:p>
    <w:p w14:paraId="3FED64E5" w14:textId="77777777" w:rsidR="000D01A0" w:rsidRPr="00E95DB3" w:rsidRDefault="000D01A0" w:rsidP="00034197">
      <w:pPr>
        <w:jc w:val="both"/>
        <w:rPr>
          <w:lang w:eastAsia="zh-CN"/>
        </w:rPr>
      </w:pPr>
      <w:r>
        <w:rPr>
          <w:lang w:val="zh-CN" w:eastAsia="zh-CN"/>
        </w:rPr>
        <w:t>2.2</w:t>
      </w:r>
      <w:r>
        <w:rPr>
          <w:lang w:val="zh-CN" w:eastAsia="zh-CN"/>
        </w:rPr>
        <w:tab/>
      </w:r>
      <w:r>
        <w:rPr>
          <w:lang w:val="zh-CN" w:eastAsia="zh-CN"/>
        </w:rPr>
        <w:t>在这两次会议上，</w:t>
      </w:r>
      <w:r>
        <w:rPr>
          <w:lang w:val="zh-CN" w:eastAsia="zh-CN"/>
        </w:rPr>
        <w:t>CWG-COP</w:t>
      </w:r>
      <w:r>
        <w:rPr>
          <w:lang w:val="zh-CN" w:eastAsia="zh-CN"/>
        </w:rPr>
        <w:t>为交流</w:t>
      </w:r>
      <w:r>
        <w:rPr>
          <w:lang w:eastAsia="zh-CN"/>
        </w:rPr>
        <w:t>各国在</w:t>
      </w:r>
      <w:r>
        <w:rPr>
          <w:lang w:val="zh-CN" w:eastAsia="zh-CN"/>
        </w:rPr>
        <w:t>保护上网儿童</w:t>
      </w:r>
      <w:r>
        <w:rPr>
          <w:lang w:eastAsia="zh-CN"/>
        </w:rPr>
        <w:t>方面</w:t>
      </w:r>
      <w:r>
        <w:rPr>
          <w:lang w:val="zh-CN" w:eastAsia="zh-CN"/>
        </w:rPr>
        <w:t>的经验、良好做法和政策方法提供了平台。</w:t>
      </w:r>
      <w:r>
        <w:rPr>
          <w:lang w:eastAsia="zh-CN"/>
        </w:rPr>
        <w:t>各成员国及合作伙伴分享了针对儿童网络性虐待和性剥削、过度使用电子设备、数字素养、增强家长能力、数据保护以及与人工智能和算法系统相关的新兴风险所采取的举措。</w:t>
      </w:r>
      <w:r>
        <w:rPr>
          <w:lang w:val="zh-CN" w:eastAsia="zh-CN"/>
        </w:rPr>
        <w:t>会议强调了将提高认识、监管措施、技术解决方案、能力建设和国际合作相结合的政府总动员和利益攸关多方方法的重要性。</w:t>
      </w:r>
    </w:p>
    <w:p w14:paraId="1144748B" w14:textId="77777777" w:rsidR="000D01A0" w:rsidRPr="00E95DB3" w:rsidRDefault="000D01A0" w:rsidP="00034197">
      <w:pPr>
        <w:ind w:firstLineChars="200" w:firstLine="480"/>
        <w:jc w:val="both"/>
        <w:rPr>
          <w:lang w:eastAsia="zh-CN"/>
        </w:rPr>
      </w:pPr>
      <w:r>
        <w:rPr>
          <w:lang w:eastAsia="zh-CN"/>
        </w:rPr>
        <w:t>会议特别关注了诸如国家热线、举报系统、</w:t>
      </w:r>
      <w:r>
        <w:rPr>
          <w:lang w:val="zh-CN" w:eastAsia="zh-CN"/>
        </w:rPr>
        <w:t>学校</w:t>
      </w:r>
      <w:r>
        <w:rPr>
          <w:lang w:eastAsia="zh-CN"/>
        </w:rPr>
        <w:t>干预措施和家长管控工具等运作机制，同时也强调了</w:t>
      </w:r>
      <w:r>
        <w:rPr>
          <w:lang w:val="zh-CN" w:eastAsia="zh-CN"/>
        </w:rPr>
        <w:t>在研究和数据的基础上进行循证决策的必要性</w:t>
      </w:r>
      <w:r>
        <w:rPr>
          <w:rFonts w:ascii="SimSun" w:hAnsi="SimSun" w:cs="SimSun" w:hint="eastAsia"/>
          <w:lang w:eastAsia="zh-CN"/>
        </w:rPr>
        <w:t>。</w:t>
      </w:r>
    </w:p>
    <w:p w14:paraId="0A37B9B0" w14:textId="77777777" w:rsidR="000D01A0" w:rsidRPr="00E95DB3" w:rsidRDefault="000D01A0" w:rsidP="00034197">
      <w:pPr>
        <w:jc w:val="both"/>
        <w:rPr>
          <w:lang w:eastAsia="zh-CN"/>
        </w:rPr>
      </w:pPr>
      <w:r>
        <w:rPr>
          <w:lang w:val="zh-CN" w:eastAsia="zh-CN"/>
        </w:rPr>
        <w:lastRenderedPageBreak/>
        <w:t>2.3</w:t>
      </w:r>
      <w:r>
        <w:rPr>
          <w:lang w:val="zh-CN" w:eastAsia="zh-CN"/>
        </w:rPr>
        <w:tab/>
      </w:r>
      <w:r>
        <w:rPr>
          <w:lang w:eastAsia="zh-CN"/>
        </w:rPr>
        <w:t>在本报告期内，各方讨论</w:t>
      </w:r>
      <w:r>
        <w:rPr>
          <w:lang w:val="zh-CN" w:eastAsia="zh-CN"/>
        </w:rPr>
        <w:t>更加强调人工智能对保护上网儿童的影响。文稿涉及人工智能带来的风险，包括内容生成、自动</w:t>
      </w:r>
      <w:r>
        <w:rPr>
          <w:lang w:eastAsia="zh-CN"/>
        </w:rPr>
        <w:t>化</w:t>
      </w:r>
      <w:r>
        <w:rPr>
          <w:lang w:val="zh-CN" w:eastAsia="zh-CN"/>
        </w:rPr>
        <w:t>审核、对话系统和算法驱动的参与，同时也强调了在数字服务中嵌入安全设计和以儿童为中心的保护措施</w:t>
      </w:r>
      <w:r>
        <w:rPr>
          <w:lang w:eastAsia="zh-CN"/>
        </w:rPr>
        <w:t>所带来</w:t>
      </w:r>
      <w:r>
        <w:rPr>
          <w:lang w:val="zh-CN" w:eastAsia="zh-CN"/>
        </w:rPr>
        <w:t>的</w:t>
      </w:r>
      <w:r>
        <w:rPr>
          <w:lang w:eastAsia="zh-CN"/>
        </w:rPr>
        <w:t>机遇</w:t>
      </w:r>
      <w:r>
        <w:rPr>
          <w:rFonts w:ascii="SimSun" w:hAnsi="SimSun" w:cs="SimSun" w:hint="eastAsia"/>
          <w:lang w:eastAsia="zh-CN"/>
        </w:rPr>
        <w:t>。</w:t>
      </w:r>
    </w:p>
    <w:p w14:paraId="16DB4977" w14:textId="77777777" w:rsidR="000D01A0" w:rsidRPr="00E95DB3" w:rsidRDefault="000D01A0" w:rsidP="00034197">
      <w:pPr>
        <w:ind w:firstLineChars="200" w:firstLine="480"/>
        <w:jc w:val="both"/>
        <w:rPr>
          <w:lang w:eastAsia="zh-CN"/>
        </w:rPr>
      </w:pPr>
      <w:r>
        <w:rPr>
          <w:lang w:val="zh-CN" w:eastAsia="zh-CN"/>
        </w:rPr>
        <w:t>秘书处介绍了在此期间推出的主要全球举措的最新情况，包括《人工智能与儿童权利联合声明》和《通过在线参与</w:t>
      </w:r>
      <w:r>
        <w:rPr>
          <w:rFonts w:hint="eastAsia"/>
          <w:lang w:val="zh-CN" w:eastAsia="zh-CN"/>
        </w:rPr>
        <w:t>进行</w:t>
      </w:r>
      <w:r>
        <w:rPr>
          <w:lang w:val="zh-CN" w:eastAsia="zh-CN"/>
        </w:rPr>
        <w:t>保护（</w:t>
      </w:r>
      <w:r>
        <w:rPr>
          <w:lang w:val="zh-CN" w:eastAsia="zh-CN"/>
        </w:rPr>
        <w:t>PoP</w:t>
      </w:r>
      <w:r>
        <w:rPr>
          <w:lang w:val="zh-CN" w:eastAsia="zh-CN"/>
        </w:rPr>
        <w:t>）</w:t>
      </w:r>
      <w:r>
        <w:rPr>
          <w:rFonts w:hint="eastAsia"/>
          <w:lang w:val="zh-CN" w:eastAsia="zh-CN"/>
        </w:rPr>
        <w:t>的</w:t>
      </w:r>
      <w:r>
        <w:rPr>
          <w:lang w:val="zh-CN" w:eastAsia="zh-CN"/>
        </w:rPr>
        <w:t>原则》，以及通过国际电联行业连通系列活动与业界正在进行的对话。</w:t>
      </w:r>
    </w:p>
    <w:p w14:paraId="759E1A5E" w14:textId="77777777" w:rsidR="000D01A0" w:rsidRPr="00E95DB3" w:rsidRDefault="000D01A0" w:rsidP="00034197">
      <w:pPr>
        <w:jc w:val="both"/>
        <w:rPr>
          <w:lang w:eastAsia="zh-CN"/>
        </w:rPr>
      </w:pPr>
      <w:r>
        <w:rPr>
          <w:lang w:val="zh-CN" w:eastAsia="zh-CN"/>
        </w:rPr>
        <w:t>2.4</w:t>
      </w:r>
      <w:r>
        <w:rPr>
          <w:lang w:val="zh-CN" w:eastAsia="zh-CN"/>
        </w:rPr>
        <w:tab/>
      </w:r>
      <w:r>
        <w:rPr>
          <w:lang w:val="zh-CN" w:eastAsia="zh-CN"/>
        </w:rPr>
        <w:t>工作组继续加强与</w:t>
      </w:r>
      <w:r>
        <w:rPr>
          <w:lang w:val="zh-CN" w:eastAsia="zh-CN"/>
        </w:rPr>
        <w:t>ITU-T</w:t>
      </w:r>
      <w:r>
        <w:rPr>
          <w:lang w:val="zh-CN" w:eastAsia="zh-CN"/>
        </w:rPr>
        <w:t>第</w:t>
      </w:r>
      <w:r>
        <w:rPr>
          <w:lang w:val="zh-CN" w:eastAsia="zh-CN"/>
        </w:rPr>
        <w:t>17</w:t>
      </w:r>
      <w:r>
        <w:rPr>
          <w:lang w:val="zh-CN" w:eastAsia="zh-CN"/>
        </w:rPr>
        <w:t>研究组的协调，包括通过交换联络声明和介绍保护上网儿童信函通信组（</w:t>
      </w:r>
      <w:r>
        <w:rPr>
          <w:lang w:val="zh-CN" w:eastAsia="zh-CN"/>
        </w:rPr>
        <w:t>CG-COP</w:t>
      </w:r>
      <w:r>
        <w:rPr>
          <w:lang w:val="zh-CN" w:eastAsia="zh-CN"/>
        </w:rPr>
        <w:t>）制定的支持保护上网儿童标准的差距分析。</w:t>
      </w:r>
    </w:p>
    <w:p w14:paraId="4D667492" w14:textId="77777777" w:rsidR="000D01A0" w:rsidRPr="00E95DB3" w:rsidRDefault="000D01A0" w:rsidP="00034197">
      <w:pPr>
        <w:ind w:firstLineChars="200" w:firstLine="480"/>
        <w:jc w:val="both"/>
        <w:rPr>
          <w:lang w:eastAsia="zh-CN"/>
        </w:rPr>
      </w:pPr>
      <w:r>
        <w:rPr>
          <w:lang w:val="zh-CN" w:eastAsia="zh-CN"/>
        </w:rPr>
        <w:t>讨论强调了</w:t>
      </w:r>
      <w:r>
        <w:rPr>
          <w:lang w:val="zh-CN" w:eastAsia="zh-CN"/>
        </w:rPr>
        <w:t>CWG-COP</w:t>
      </w:r>
      <w:r>
        <w:rPr>
          <w:lang w:val="zh-CN" w:eastAsia="zh-CN"/>
        </w:rPr>
        <w:t>和</w:t>
      </w:r>
      <w:r>
        <w:rPr>
          <w:lang w:val="zh-CN" w:eastAsia="zh-CN"/>
        </w:rPr>
        <w:t>ITU-T</w:t>
      </w:r>
      <w:r>
        <w:rPr>
          <w:lang w:val="zh-CN" w:eastAsia="zh-CN"/>
        </w:rPr>
        <w:t>在解决保护上网儿童的政策、操作和技术问题上的互补作用，特别是在年龄</w:t>
      </w:r>
      <w:r>
        <w:rPr>
          <w:rFonts w:hint="eastAsia"/>
          <w:lang w:val="zh-CN" w:eastAsia="zh-CN"/>
        </w:rPr>
        <w:t>保障</w:t>
      </w:r>
      <w:r>
        <w:rPr>
          <w:lang w:val="zh-CN" w:eastAsia="zh-CN"/>
        </w:rPr>
        <w:t>、自动内容审核和家长控制工具的互操作性方面。</w:t>
      </w:r>
      <w:r>
        <w:rPr>
          <w:rFonts w:hint="eastAsia"/>
          <w:lang w:val="zh-CN" w:eastAsia="zh-CN"/>
        </w:rPr>
        <w:t>工作</w:t>
      </w:r>
      <w:r>
        <w:rPr>
          <w:lang w:val="zh-CN" w:eastAsia="zh-CN"/>
        </w:rPr>
        <w:t>组欢迎继续</w:t>
      </w:r>
      <w:r>
        <w:rPr>
          <w:rFonts w:hint="eastAsia"/>
          <w:lang w:val="zh-CN" w:eastAsia="zh-CN"/>
        </w:rPr>
        <w:t>协作</w:t>
      </w:r>
      <w:r>
        <w:rPr>
          <w:lang w:val="zh-CN" w:eastAsia="zh-CN"/>
        </w:rPr>
        <w:t>和交流信息，以确保标准化工作与政策讨论之间的协调一致。</w:t>
      </w:r>
    </w:p>
    <w:p w14:paraId="6E92D895" w14:textId="77777777" w:rsidR="000D01A0" w:rsidRPr="00E95DB3" w:rsidRDefault="000D01A0" w:rsidP="00034197">
      <w:pPr>
        <w:jc w:val="both"/>
        <w:rPr>
          <w:lang w:eastAsia="zh-CN"/>
        </w:rPr>
      </w:pPr>
      <w:r>
        <w:rPr>
          <w:lang w:val="zh-CN" w:eastAsia="zh-CN"/>
        </w:rPr>
        <w:t>2.5</w:t>
      </w:r>
      <w:r>
        <w:rPr>
          <w:lang w:val="zh-CN" w:eastAsia="zh-CN"/>
        </w:rPr>
        <w:tab/>
      </w:r>
      <w:r>
        <w:rPr>
          <w:lang w:val="zh-CN" w:eastAsia="zh-CN"/>
        </w:rPr>
        <w:t>两次会议均重申了包容性和利益攸关多方参与</w:t>
      </w:r>
      <w:r>
        <w:rPr>
          <w:rFonts w:hint="eastAsia"/>
          <w:lang w:val="zh-CN" w:eastAsia="zh-CN"/>
        </w:rPr>
        <w:t>在</w:t>
      </w:r>
      <w:r>
        <w:rPr>
          <w:lang w:val="zh-CN" w:eastAsia="zh-CN"/>
        </w:rPr>
        <w:t>推进保护上网儿童</w:t>
      </w:r>
      <w:r>
        <w:rPr>
          <w:rFonts w:hint="eastAsia"/>
          <w:lang w:val="zh-CN" w:eastAsia="zh-CN"/>
        </w:rPr>
        <w:t>方面</w:t>
      </w:r>
      <w:r>
        <w:rPr>
          <w:lang w:val="zh-CN" w:eastAsia="zh-CN"/>
        </w:rPr>
        <w:t>的重要性。业界、民间团体、学术界和国际组织的文稿重点介绍了创新工具、宣传举措、研究和能力建设项目。</w:t>
      </w:r>
    </w:p>
    <w:p w14:paraId="128BBA47" w14:textId="77777777" w:rsidR="000D01A0" w:rsidRPr="00E95DB3" w:rsidRDefault="000D01A0" w:rsidP="00034197">
      <w:pPr>
        <w:ind w:firstLineChars="200" w:firstLine="480"/>
        <w:jc w:val="both"/>
        <w:rPr>
          <w:lang w:eastAsia="zh-CN"/>
        </w:rPr>
      </w:pPr>
      <w:r>
        <w:rPr>
          <w:lang w:val="zh-CN" w:eastAsia="zh-CN"/>
        </w:rPr>
        <w:t>工作组还欢迎</w:t>
      </w:r>
      <w:r>
        <w:rPr>
          <w:lang w:eastAsia="zh-CN"/>
        </w:rPr>
        <w:t>有关</w:t>
      </w:r>
      <w:r>
        <w:rPr>
          <w:lang w:val="zh-CN" w:eastAsia="zh-CN"/>
        </w:rPr>
        <w:t>区域和全球举措的最新</w:t>
      </w:r>
      <w:r>
        <w:rPr>
          <w:lang w:eastAsia="zh-CN"/>
        </w:rPr>
        <w:t>进展</w:t>
      </w:r>
      <w:r>
        <w:rPr>
          <w:lang w:val="zh-CN" w:eastAsia="zh-CN"/>
        </w:rPr>
        <w:t>，包括联合国机构和国际伙伴牵头的合作努力，</w:t>
      </w:r>
      <w:r>
        <w:rPr>
          <w:lang w:eastAsia="zh-CN"/>
        </w:rPr>
        <w:t>并指出通过国际电联平台共享资源和知识对于产生可扩展且可持续的影响具有重要价值</w:t>
      </w:r>
      <w:r>
        <w:rPr>
          <w:rFonts w:ascii="SimSun" w:hAnsi="SimSun" w:cs="SimSun" w:hint="eastAsia"/>
          <w:lang w:eastAsia="zh-CN"/>
        </w:rPr>
        <w:t>。</w:t>
      </w:r>
    </w:p>
    <w:p w14:paraId="1575E9DF" w14:textId="77777777" w:rsidR="000D01A0" w:rsidRPr="00E95DB3" w:rsidRDefault="000D01A0" w:rsidP="00034197">
      <w:pPr>
        <w:jc w:val="both"/>
        <w:rPr>
          <w:lang w:eastAsia="zh-CN"/>
        </w:rPr>
      </w:pPr>
      <w:r>
        <w:rPr>
          <w:lang w:val="zh-CN" w:eastAsia="zh-CN"/>
        </w:rPr>
        <w:t>2.6</w:t>
      </w:r>
      <w:r>
        <w:rPr>
          <w:lang w:val="zh-CN" w:eastAsia="zh-CN"/>
        </w:rPr>
        <w:tab/>
      </w:r>
      <w:r>
        <w:rPr>
          <w:lang w:val="zh-CN" w:eastAsia="zh-CN"/>
        </w:rPr>
        <w:t>第二十三和第二十四次会议的主要成果包括：</w:t>
      </w:r>
    </w:p>
    <w:p w14:paraId="6799CCB4" w14:textId="13781793" w:rsidR="000D01A0" w:rsidRPr="00E95DB3" w:rsidRDefault="000D01A0" w:rsidP="00034197">
      <w:pPr>
        <w:pStyle w:val="enumlev1"/>
        <w:jc w:val="both"/>
        <w:rPr>
          <w:lang w:eastAsia="zh-CN"/>
        </w:rPr>
      </w:pPr>
      <w:r>
        <w:rPr>
          <w:lang w:val="zh-CN" w:eastAsia="zh-CN"/>
        </w:rPr>
        <w:t>–</w:t>
      </w:r>
      <w:r>
        <w:rPr>
          <w:lang w:val="zh-CN" w:eastAsia="zh-CN"/>
        </w:rPr>
        <w:tab/>
      </w:r>
      <w:r>
        <w:rPr>
          <w:lang w:val="zh-CN" w:eastAsia="zh-CN"/>
        </w:rPr>
        <w:t>加强</w:t>
      </w:r>
      <w:r>
        <w:rPr>
          <w:lang w:val="zh-CN" w:eastAsia="zh-CN"/>
        </w:rPr>
        <w:t>CWG-COP</w:t>
      </w:r>
      <w:r>
        <w:rPr>
          <w:lang w:val="zh-CN" w:eastAsia="zh-CN"/>
        </w:rPr>
        <w:t>内部的透明度和信息共享做法，包括在</w:t>
      </w:r>
      <w:r>
        <w:rPr>
          <w:lang w:val="zh-CN" w:eastAsia="zh-CN"/>
        </w:rPr>
        <w:t>CWG</w:t>
      </w:r>
      <w:r>
        <w:rPr>
          <w:lang w:val="zh-CN" w:eastAsia="zh-CN"/>
        </w:rPr>
        <w:t>网站上发布情况通报文件和资源</w:t>
      </w:r>
      <w:r w:rsidR="000C7CCD">
        <w:rPr>
          <w:rFonts w:hint="eastAsia"/>
          <w:lang w:val="zh-CN" w:eastAsia="zh-CN"/>
        </w:rPr>
        <w:t>；</w:t>
      </w:r>
    </w:p>
    <w:p w14:paraId="124EF42E" w14:textId="385719CD" w:rsidR="000D01A0" w:rsidRPr="00E95DB3" w:rsidRDefault="000D01A0" w:rsidP="00034197">
      <w:pPr>
        <w:pStyle w:val="enumlev1"/>
        <w:jc w:val="both"/>
        <w:rPr>
          <w:lang w:eastAsia="zh-CN"/>
        </w:rPr>
      </w:pPr>
      <w:r>
        <w:rPr>
          <w:lang w:val="zh-CN" w:eastAsia="zh-CN"/>
        </w:rPr>
        <w:t>–</w:t>
      </w:r>
      <w:r>
        <w:rPr>
          <w:lang w:val="zh-CN" w:eastAsia="zh-CN"/>
        </w:rPr>
        <w:tab/>
      </w:r>
      <w:r>
        <w:rPr>
          <w:lang w:val="zh-CN" w:eastAsia="zh-CN"/>
        </w:rPr>
        <w:t>继续</w:t>
      </w:r>
      <w:r>
        <w:rPr>
          <w:rFonts w:hint="eastAsia"/>
          <w:lang w:val="zh-CN" w:eastAsia="zh-CN"/>
        </w:rPr>
        <w:t>认可</w:t>
      </w:r>
      <w:r>
        <w:rPr>
          <w:lang w:val="zh-CN" w:eastAsia="zh-CN"/>
        </w:rPr>
        <w:t>各国经验和良好做法在为全球保护上网儿童工作提供信息方面的价值</w:t>
      </w:r>
      <w:r w:rsidR="000C7CCD">
        <w:rPr>
          <w:rFonts w:hint="eastAsia"/>
          <w:lang w:val="zh-CN" w:eastAsia="zh-CN"/>
        </w:rPr>
        <w:t>；</w:t>
      </w:r>
    </w:p>
    <w:p w14:paraId="79FA3391" w14:textId="21203455" w:rsidR="000D01A0" w:rsidRPr="00E95DB3" w:rsidRDefault="000D01A0" w:rsidP="00034197">
      <w:pPr>
        <w:pStyle w:val="enumlev1"/>
        <w:jc w:val="both"/>
        <w:rPr>
          <w:lang w:eastAsia="zh-CN"/>
        </w:rPr>
      </w:pPr>
      <w:r>
        <w:rPr>
          <w:lang w:val="zh-CN" w:eastAsia="zh-CN"/>
        </w:rPr>
        <w:t>–</w:t>
      </w:r>
      <w:r>
        <w:rPr>
          <w:lang w:val="zh-CN" w:eastAsia="zh-CN"/>
        </w:rPr>
        <w:tab/>
      </w:r>
      <w:r>
        <w:rPr>
          <w:lang w:val="zh-CN" w:eastAsia="zh-CN"/>
        </w:rPr>
        <w:t>通过联络声明和技术协作加强与</w:t>
      </w:r>
      <w:r>
        <w:rPr>
          <w:lang w:val="zh-CN" w:eastAsia="zh-CN"/>
        </w:rPr>
        <w:t>ITU-T</w:t>
      </w:r>
      <w:r>
        <w:rPr>
          <w:lang w:val="zh-CN" w:eastAsia="zh-CN"/>
        </w:rPr>
        <w:t>第</w:t>
      </w:r>
      <w:r>
        <w:rPr>
          <w:lang w:val="zh-CN" w:eastAsia="zh-CN"/>
        </w:rPr>
        <w:t>17</w:t>
      </w:r>
      <w:r>
        <w:rPr>
          <w:lang w:val="zh-CN" w:eastAsia="zh-CN"/>
        </w:rPr>
        <w:t>研究组的协调</w:t>
      </w:r>
      <w:r w:rsidR="000C7CCD">
        <w:rPr>
          <w:rFonts w:hint="eastAsia"/>
          <w:lang w:val="zh-CN" w:eastAsia="zh-CN"/>
        </w:rPr>
        <w:t>；</w:t>
      </w:r>
    </w:p>
    <w:p w14:paraId="0E993DFC" w14:textId="77777777" w:rsidR="000D01A0" w:rsidRPr="00E95DB3" w:rsidRDefault="000D01A0" w:rsidP="00034197">
      <w:pPr>
        <w:pStyle w:val="enumlev1"/>
        <w:jc w:val="both"/>
        <w:rPr>
          <w:lang w:eastAsia="zh-CN"/>
        </w:rPr>
      </w:pPr>
      <w:r>
        <w:rPr>
          <w:lang w:val="zh-CN" w:eastAsia="zh-CN"/>
        </w:rPr>
        <w:t>–</w:t>
      </w:r>
      <w:r>
        <w:rPr>
          <w:lang w:val="zh-CN" w:eastAsia="zh-CN"/>
        </w:rPr>
        <w:tab/>
      </w:r>
      <w:r>
        <w:rPr>
          <w:lang w:val="zh-CN" w:eastAsia="zh-CN"/>
        </w:rPr>
        <w:t>承认人工智能和新兴技术在保护上网儿童的讨论中日益重要</w:t>
      </w:r>
      <w:r>
        <w:rPr>
          <w:rFonts w:hint="eastAsia"/>
          <w:lang w:val="zh-CN" w:eastAsia="zh-CN"/>
        </w:rPr>
        <w:t>；</w:t>
      </w:r>
      <w:r>
        <w:rPr>
          <w:lang w:val="zh-CN" w:eastAsia="zh-CN"/>
        </w:rPr>
        <w:t>和</w:t>
      </w:r>
    </w:p>
    <w:p w14:paraId="27EBAD36" w14:textId="77777777" w:rsidR="000D01A0" w:rsidRPr="00E95DB3" w:rsidRDefault="000D01A0" w:rsidP="00034197">
      <w:pPr>
        <w:pStyle w:val="enumlev1"/>
        <w:jc w:val="both"/>
        <w:rPr>
          <w:lang w:eastAsia="zh-CN"/>
        </w:rPr>
      </w:pPr>
      <w:r>
        <w:rPr>
          <w:lang w:val="zh-CN" w:eastAsia="zh-CN"/>
        </w:rPr>
        <w:t>–</w:t>
      </w:r>
      <w:r>
        <w:rPr>
          <w:lang w:val="zh-CN" w:eastAsia="zh-CN"/>
        </w:rPr>
        <w:tab/>
      </w:r>
      <w:r>
        <w:rPr>
          <w:lang w:val="zh-CN" w:eastAsia="zh-CN"/>
        </w:rPr>
        <w:t>鼓励成员国、秘书处和合作伙伴之间继续开展对话、协作和接触。</w:t>
      </w:r>
    </w:p>
    <w:p w14:paraId="1760C118" w14:textId="77777777" w:rsidR="000D01A0" w:rsidRPr="00E95DB3" w:rsidRDefault="000D01A0" w:rsidP="00034197">
      <w:pPr>
        <w:pStyle w:val="enumlev1"/>
        <w:jc w:val="both"/>
        <w:rPr>
          <w:lang w:eastAsia="zh-CN"/>
        </w:rPr>
      </w:pPr>
      <w:r>
        <w:rPr>
          <w:lang w:val="zh-CN" w:eastAsia="zh-CN"/>
        </w:rPr>
        <w:t>–</w:t>
      </w:r>
      <w:r>
        <w:rPr>
          <w:lang w:val="zh-CN" w:eastAsia="zh-CN"/>
        </w:rPr>
        <w:tab/>
      </w:r>
      <w:r>
        <w:rPr>
          <w:lang w:val="zh-CN" w:eastAsia="zh-CN"/>
        </w:rPr>
        <w:t>增加国际电联区域代表处向</w:t>
      </w:r>
      <w:r>
        <w:rPr>
          <w:lang w:val="zh-CN" w:eastAsia="zh-CN"/>
        </w:rPr>
        <w:t>CWG-COP</w:t>
      </w:r>
      <w:r>
        <w:rPr>
          <w:rFonts w:hint="eastAsia"/>
          <w:lang w:val="zh-CN" w:eastAsia="zh-CN"/>
        </w:rPr>
        <w:t>的</w:t>
      </w:r>
      <w:r>
        <w:rPr>
          <w:lang w:val="zh-CN" w:eastAsia="zh-CN"/>
        </w:rPr>
        <w:t>报告</w:t>
      </w:r>
      <w:r>
        <w:rPr>
          <w:rFonts w:hint="eastAsia"/>
          <w:lang w:val="zh-CN" w:eastAsia="zh-CN"/>
        </w:rPr>
        <w:t>，</w:t>
      </w:r>
      <w:r w:rsidRPr="00810F09">
        <w:rPr>
          <w:rFonts w:hint="eastAsia"/>
          <w:lang w:val="zh-CN" w:eastAsia="zh-CN"/>
        </w:rPr>
        <w:t>说明</w:t>
      </w:r>
      <w:r>
        <w:rPr>
          <w:lang w:val="zh-CN" w:eastAsia="zh-CN"/>
        </w:rPr>
        <w:t>本报告期</w:t>
      </w:r>
      <w:r>
        <w:rPr>
          <w:rFonts w:hint="eastAsia"/>
          <w:lang w:val="zh-CN" w:eastAsia="zh-CN"/>
        </w:rPr>
        <w:t>内</w:t>
      </w:r>
      <w:r>
        <w:rPr>
          <w:lang w:val="zh-CN" w:eastAsia="zh-CN"/>
        </w:rPr>
        <w:t>开展的保护上网儿童的活动，以便更好地反映和加强各区域对</w:t>
      </w:r>
      <w:r>
        <w:rPr>
          <w:lang w:val="zh-CN" w:eastAsia="zh-CN"/>
        </w:rPr>
        <w:t>CWG-COP</w:t>
      </w:r>
      <w:r>
        <w:rPr>
          <w:lang w:val="zh-CN" w:eastAsia="zh-CN"/>
        </w:rPr>
        <w:t>工作的参与。</w:t>
      </w:r>
    </w:p>
    <w:p w14:paraId="75DC6C57" w14:textId="77777777" w:rsidR="000D01A0" w:rsidRPr="00E95DB3" w:rsidRDefault="000D01A0" w:rsidP="00034197">
      <w:pPr>
        <w:jc w:val="both"/>
        <w:rPr>
          <w:lang w:eastAsia="zh-CN"/>
        </w:rPr>
      </w:pPr>
      <w:r>
        <w:rPr>
          <w:lang w:val="zh-CN" w:eastAsia="zh-CN"/>
        </w:rPr>
        <w:t>2.7</w:t>
      </w:r>
      <w:r>
        <w:rPr>
          <w:lang w:val="zh-CN" w:eastAsia="zh-CN"/>
        </w:rPr>
        <w:tab/>
      </w:r>
      <w:r>
        <w:rPr>
          <w:lang w:val="zh-CN" w:eastAsia="zh-CN"/>
        </w:rPr>
        <w:t>在</w:t>
      </w:r>
      <w:r>
        <w:rPr>
          <w:lang w:val="zh-CN" w:eastAsia="zh-CN"/>
        </w:rPr>
        <w:t>CWG-COP</w:t>
      </w:r>
      <w:r>
        <w:rPr>
          <w:lang w:val="zh-CN" w:eastAsia="zh-CN"/>
        </w:rPr>
        <w:t>第二十三次会议上，成员国、部门成员和合作伙伴讨论了涉及保护上网儿童的政策、技术和运作方面的大量文稿。讨论内容涵盖提高认识和监管措施、标准化工作、父母赋权工具以及与人工智能、加密和互操作性有关的</w:t>
      </w:r>
      <w:r>
        <w:rPr>
          <w:rFonts w:hint="eastAsia"/>
          <w:lang w:val="zh-CN" w:eastAsia="zh-CN"/>
        </w:rPr>
        <w:t>新兴</w:t>
      </w:r>
      <w:r>
        <w:rPr>
          <w:lang w:val="zh-CN" w:eastAsia="zh-CN"/>
        </w:rPr>
        <w:t>问题。会议重申了包容性、利益攸关多方参与以及继续协调国际电联内部政策讨论和技术标准化工作的重要性。</w:t>
      </w:r>
    </w:p>
    <w:p w14:paraId="24352F68" w14:textId="77777777" w:rsidR="000D01A0" w:rsidRPr="00E95DB3" w:rsidRDefault="000D01A0" w:rsidP="00034197">
      <w:pPr>
        <w:keepNext/>
        <w:keepLines/>
        <w:jc w:val="both"/>
        <w:rPr>
          <w:lang w:eastAsia="zh-CN"/>
        </w:rPr>
      </w:pPr>
      <w:r>
        <w:rPr>
          <w:lang w:val="zh-CN" w:eastAsia="zh-CN"/>
        </w:rPr>
        <w:t>2.8</w:t>
      </w:r>
      <w:r>
        <w:rPr>
          <w:lang w:val="zh-CN" w:eastAsia="zh-CN"/>
        </w:rPr>
        <w:tab/>
      </w:r>
      <w:r>
        <w:rPr>
          <w:lang w:val="zh-CN" w:eastAsia="zh-CN"/>
        </w:rPr>
        <w:t>会议的主要成果是：</w:t>
      </w:r>
    </w:p>
    <w:p w14:paraId="27686E8B" w14:textId="77777777" w:rsidR="000D01A0" w:rsidRPr="00E95DB3" w:rsidRDefault="000D01A0" w:rsidP="00034197">
      <w:pPr>
        <w:pStyle w:val="enumlev1"/>
        <w:keepNext/>
        <w:keepLines/>
        <w:jc w:val="both"/>
        <w:rPr>
          <w:rFonts w:eastAsia="Calibri"/>
          <w:lang w:eastAsia="zh-CN"/>
        </w:rPr>
      </w:pPr>
      <w:r>
        <w:rPr>
          <w:lang w:val="zh-CN" w:eastAsia="zh-CN"/>
        </w:rPr>
        <w:t>–</w:t>
      </w:r>
      <w:r>
        <w:rPr>
          <w:lang w:val="zh-CN" w:eastAsia="zh-CN"/>
        </w:rPr>
        <w:tab/>
      </w:r>
      <w:r>
        <w:rPr>
          <w:lang w:val="zh-CN" w:eastAsia="zh-CN"/>
        </w:rPr>
        <w:t>会议将进一步扩大参与国际电联业界连通会议的建议记录在案，包括让制造商和网络运营商参与进来，并鼓励国际电联区域代表处更多地参与</w:t>
      </w:r>
      <w:r>
        <w:rPr>
          <w:lang w:val="zh-CN" w:eastAsia="zh-CN"/>
        </w:rPr>
        <w:t>CWG-COP</w:t>
      </w:r>
      <w:r>
        <w:rPr>
          <w:lang w:val="zh-CN" w:eastAsia="zh-CN"/>
        </w:rPr>
        <w:t>未来的会议。</w:t>
      </w:r>
    </w:p>
    <w:p w14:paraId="6C658217"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val="zh-CN" w:eastAsia="zh-CN"/>
        </w:rPr>
        <w:t>会议认可了一项扩大</w:t>
      </w:r>
      <w:r>
        <w:rPr>
          <w:lang w:val="zh-CN" w:eastAsia="zh-CN"/>
        </w:rPr>
        <w:t>CWG-COP</w:t>
      </w:r>
      <w:r>
        <w:rPr>
          <w:lang w:val="zh-CN" w:eastAsia="zh-CN"/>
        </w:rPr>
        <w:t>讨论范围以将青年纳入其中的提案。主席请提议的代表团通过适当的国际电联决策程序提交该提案，同时指出，秘书处将继续支持现有保护上网儿童计划下以青年为重点的数字技能和提高认识活动。</w:t>
      </w:r>
    </w:p>
    <w:p w14:paraId="0D3CA405" w14:textId="77777777" w:rsidR="000D01A0" w:rsidRPr="00E95DB3" w:rsidRDefault="000D01A0" w:rsidP="00034197">
      <w:pPr>
        <w:pStyle w:val="enumlev1"/>
        <w:jc w:val="both"/>
        <w:rPr>
          <w:rFonts w:eastAsia="Calibri"/>
          <w:lang w:eastAsia="zh-CN"/>
        </w:rPr>
      </w:pPr>
      <w:r>
        <w:rPr>
          <w:lang w:val="zh-CN" w:eastAsia="zh-CN"/>
        </w:rPr>
        <w:lastRenderedPageBreak/>
        <w:t>–</w:t>
      </w:r>
      <w:r>
        <w:rPr>
          <w:lang w:val="zh-CN" w:eastAsia="zh-CN"/>
        </w:rPr>
        <w:tab/>
      </w:r>
      <w:r>
        <w:rPr>
          <w:lang w:val="zh-CN" w:eastAsia="zh-CN"/>
        </w:rPr>
        <w:t>工作组注意到</w:t>
      </w:r>
      <w:r>
        <w:rPr>
          <w:lang w:val="zh-CN" w:eastAsia="zh-CN"/>
        </w:rPr>
        <w:t>ITU-T</w:t>
      </w:r>
      <w:r>
        <w:rPr>
          <w:lang w:val="zh-CN" w:eastAsia="zh-CN"/>
        </w:rPr>
        <w:t>第</w:t>
      </w:r>
      <w:r>
        <w:rPr>
          <w:lang w:val="zh-CN" w:eastAsia="zh-CN"/>
        </w:rPr>
        <w:t>17</w:t>
      </w:r>
      <w:r>
        <w:rPr>
          <w:lang w:val="zh-CN" w:eastAsia="zh-CN"/>
        </w:rPr>
        <w:t>研究组的联络声明，并欢迎继续开展协作。会议赞同第</w:t>
      </w:r>
      <w:r>
        <w:rPr>
          <w:lang w:val="zh-CN" w:eastAsia="zh-CN"/>
        </w:rPr>
        <w:t>17</w:t>
      </w:r>
      <w:r>
        <w:rPr>
          <w:lang w:val="zh-CN" w:eastAsia="zh-CN"/>
        </w:rPr>
        <w:t>研究组正在开展的</w:t>
      </w:r>
      <w:r>
        <w:rPr>
          <w:rFonts w:hint="eastAsia"/>
          <w:lang w:val="zh-CN" w:eastAsia="zh-CN"/>
        </w:rPr>
        <w:t>将</w:t>
      </w:r>
      <w:r>
        <w:rPr>
          <w:lang w:val="zh-CN" w:eastAsia="zh-CN"/>
        </w:rPr>
        <w:t>年龄保障和自动内容审核</w:t>
      </w:r>
      <w:r>
        <w:rPr>
          <w:rFonts w:hint="eastAsia"/>
          <w:lang w:val="zh-CN" w:eastAsia="zh-CN"/>
        </w:rPr>
        <w:t>作为重点的工作</w:t>
      </w:r>
      <w:r>
        <w:rPr>
          <w:lang w:val="zh-CN" w:eastAsia="zh-CN"/>
        </w:rPr>
        <w:t>，并鼓励成员国和利益攸关方参加保护上网儿童信函通信组（</w:t>
      </w:r>
      <w:r>
        <w:rPr>
          <w:lang w:val="zh-CN" w:eastAsia="zh-CN"/>
        </w:rPr>
        <w:t>CG-COP</w:t>
      </w:r>
      <w:r>
        <w:rPr>
          <w:lang w:val="zh-CN" w:eastAsia="zh-CN"/>
        </w:rPr>
        <w:t>）。</w:t>
      </w:r>
    </w:p>
    <w:p w14:paraId="6A6D0A70"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val="zh-CN" w:eastAsia="zh-CN"/>
        </w:rPr>
        <w:t>会议欢迎西南学习网格（</w:t>
      </w:r>
      <w:r>
        <w:rPr>
          <w:lang w:val="zh-CN" w:eastAsia="zh-CN"/>
        </w:rPr>
        <w:t>SWGfL</w:t>
      </w:r>
      <w:r>
        <w:rPr>
          <w:lang w:val="zh-CN" w:eastAsia="zh-CN"/>
        </w:rPr>
        <w:t>）关于家长控制执行协议（</w:t>
      </w:r>
      <w:r>
        <w:rPr>
          <w:lang w:val="zh-CN" w:eastAsia="zh-CN"/>
        </w:rPr>
        <w:t>PARCEP</w:t>
      </w:r>
      <w:r>
        <w:rPr>
          <w:lang w:val="zh-CN" w:eastAsia="zh-CN"/>
        </w:rPr>
        <w:t>）的文稿，并支持</w:t>
      </w:r>
      <w:r>
        <w:rPr>
          <w:lang w:val="zh-CN" w:eastAsia="zh-CN"/>
        </w:rPr>
        <w:t>CWG-COP</w:t>
      </w:r>
      <w:r>
        <w:rPr>
          <w:lang w:val="zh-CN" w:eastAsia="zh-CN"/>
        </w:rPr>
        <w:t>和</w:t>
      </w:r>
      <w:r>
        <w:rPr>
          <w:lang w:val="zh-CN" w:eastAsia="zh-CN"/>
        </w:rPr>
        <w:t>SG17</w:t>
      </w:r>
      <w:r>
        <w:rPr>
          <w:lang w:val="zh-CN" w:eastAsia="zh-CN"/>
        </w:rPr>
        <w:t>的</w:t>
      </w:r>
      <w:r>
        <w:rPr>
          <w:lang w:val="zh-CN" w:eastAsia="zh-CN"/>
        </w:rPr>
        <w:t>CG-COP</w:t>
      </w:r>
      <w:r>
        <w:rPr>
          <w:lang w:val="zh-CN" w:eastAsia="zh-CN"/>
        </w:rPr>
        <w:t>之间继续合作。主席请秘书处向第</w:t>
      </w:r>
      <w:r>
        <w:rPr>
          <w:lang w:val="zh-CN" w:eastAsia="zh-CN"/>
        </w:rPr>
        <w:t>17</w:t>
      </w:r>
      <w:r>
        <w:rPr>
          <w:lang w:val="zh-CN" w:eastAsia="zh-CN"/>
        </w:rPr>
        <w:t>研究组转呈一份联络声明，体现</w:t>
      </w:r>
      <w:r>
        <w:rPr>
          <w:lang w:val="zh-CN" w:eastAsia="zh-CN"/>
        </w:rPr>
        <w:t>CWG-COP</w:t>
      </w:r>
      <w:r>
        <w:rPr>
          <w:lang w:val="zh-CN" w:eastAsia="zh-CN"/>
        </w:rPr>
        <w:t>对</w:t>
      </w:r>
      <w:r>
        <w:rPr>
          <w:lang w:val="zh-CN" w:eastAsia="zh-CN"/>
        </w:rPr>
        <w:t>PARCEP</w:t>
      </w:r>
      <w:r>
        <w:rPr>
          <w:lang w:val="zh-CN" w:eastAsia="zh-CN"/>
        </w:rPr>
        <w:t>的支持及其关于可互操作</w:t>
      </w:r>
      <w:r>
        <w:rPr>
          <w:rFonts w:hint="eastAsia"/>
          <w:lang w:val="zh-CN" w:eastAsia="zh-CN"/>
        </w:rPr>
        <w:t>的</w:t>
      </w:r>
      <w:r>
        <w:rPr>
          <w:lang w:val="zh-CN" w:eastAsia="zh-CN"/>
        </w:rPr>
        <w:t>家长控制、与相关标准机构的接触以及进一步的技术和监管对话的建议。</w:t>
      </w:r>
    </w:p>
    <w:p w14:paraId="7436547C"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val="zh-CN" w:eastAsia="zh-CN"/>
        </w:rPr>
        <w:t>会议重申了标准机构之间包容性参与和跨社区</w:t>
      </w:r>
      <w:r>
        <w:rPr>
          <w:rFonts w:hint="eastAsia"/>
          <w:lang w:val="zh-CN" w:eastAsia="zh-CN"/>
        </w:rPr>
        <w:t>协作</w:t>
      </w:r>
      <w:r>
        <w:rPr>
          <w:lang w:val="zh-CN" w:eastAsia="zh-CN"/>
        </w:rPr>
        <w:t>的重要性，</w:t>
      </w:r>
      <w:r>
        <w:rPr>
          <w:lang w:eastAsia="zh-CN"/>
        </w:rPr>
        <w:t>并对那些强调国际电联、其他标准组织以及利益</w:t>
      </w:r>
      <w:r>
        <w:rPr>
          <w:lang w:val="zh-CN" w:eastAsia="zh-CN"/>
        </w:rPr>
        <w:t>攸关方</w:t>
      </w:r>
      <w:r>
        <w:rPr>
          <w:lang w:eastAsia="zh-CN"/>
        </w:rPr>
        <w:t>群体之间合作价值的发言表示欢迎</w:t>
      </w:r>
      <w:r>
        <w:rPr>
          <w:rFonts w:ascii="SimSun" w:hAnsi="SimSun" w:cs="SimSun" w:hint="eastAsia"/>
          <w:lang w:eastAsia="zh-CN"/>
        </w:rPr>
        <w:t>。</w:t>
      </w:r>
    </w:p>
    <w:p w14:paraId="6354052B"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eastAsia="zh-CN"/>
        </w:rPr>
        <w:t>会议支持有关探讨儿童和青年如何安全且有意义地参与未来</w:t>
      </w:r>
      <w:r>
        <w:rPr>
          <w:lang w:eastAsia="zh-CN"/>
        </w:rPr>
        <w:t>CWG-COP</w:t>
      </w:r>
      <w:r>
        <w:rPr>
          <w:lang w:eastAsia="zh-CN"/>
        </w:rPr>
        <w:t>会议的建议，并认可了关于考虑</w:t>
      </w:r>
      <w:r>
        <w:rPr>
          <w:lang w:val="zh-CN" w:eastAsia="zh-CN"/>
        </w:rPr>
        <w:t>上网</w:t>
      </w:r>
      <w:r>
        <w:rPr>
          <w:lang w:eastAsia="zh-CN"/>
        </w:rPr>
        <w:t>保护中代际因素（包括相关风险）的建议</w:t>
      </w:r>
      <w:r>
        <w:rPr>
          <w:rFonts w:ascii="SimSun" w:hAnsi="SimSun" w:cs="SimSun" w:hint="eastAsia"/>
          <w:lang w:eastAsia="zh-CN"/>
        </w:rPr>
        <w:t>。</w:t>
      </w:r>
    </w:p>
    <w:p w14:paraId="295720A8"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val="zh-CN" w:eastAsia="zh-CN"/>
        </w:rPr>
        <w:t>会议</w:t>
      </w:r>
      <w:r>
        <w:rPr>
          <w:rFonts w:hint="eastAsia"/>
          <w:lang w:val="zh-CN" w:eastAsia="zh-CN"/>
        </w:rPr>
        <w:t>将</w:t>
      </w:r>
      <w:r>
        <w:rPr>
          <w:lang w:val="zh-CN" w:eastAsia="zh-CN"/>
        </w:rPr>
        <w:t>联合国儿童基金会通报的最新情况</w:t>
      </w:r>
      <w:r>
        <w:rPr>
          <w:rFonts w:hint="eastAsia"/>
          <w:lang w:val="zh-CN" w:eastAsia="zh-CN"/>
        </w:rPr>
        <w:t>记录在案</w:t>
      </w:r>
      <w:r>
        <w:rPr>
          <w:lang w:val="zh-CN" w:eastAsia="zh-CN"/>
        </w:rPr>
        <w:t>，并对国际电联、联合国儿童基金会和其他联合国机构在推进全球保护上网儿童工作方面的持续合作表示赞赏。</w:t>
      </w:r>
    </w:p>
    <w:p w14:paraId="0E8CA54D" w14:textId="77777777" w:rsidR="000D01A0" w:rsidRPr="00E95DB3" w:rsidRDefault="000D01A0" w:rsidP="00034197">
      <w:pPr>
        <w:jc w:val="both"/>
        <w:rPr>
          <w:lang w:eastAsia="zh-CN"/>
        </w:rPr>
      </w:pPr>
      <w:r>
        <w:rPr>
          <w:lang w:val="zh-CN" w:eastAsia="zh-CN"/>
        </w:rPr>
        <w:t>2.9</w:t>
      </w:r>
      <w:r>
        <w:rPr>
          <w:lang w:val="zh-CN" w:eastAsia="zh-CN"/>
        </w:rPr>
        <w:tab/>
      </w:r>
      <w:r>
        <w:rPr>
          <w:lang w:val="zh-CN" w:eastAsia="zh-CN"/>
        </w:rPr>
        <w:t>在</w:t>
      </w:r>
      <w:r>
        <w:rPr>
          <w:lang w:val="zh-CN" w:eastAsia="zh-CN"/>
        </w:rPr>
        <w:t>CWG-COP</w:t>
      </w:r>
      <w:r>
        <w:rPr>
          <w:lang w:val="zh-CN" w:eastAsia="zh-CN"/>
        </w:rPr>
        <w:t>第二十四次会议上，工作组继续就不断变化的数字环境中保护上网儿童开展实质性讨论，特别关注新兴技术、国家实施经验以及政策、</w:t>
      </w:r>
      <w:r>
        <w:rPr>
          <w:rFonts w:hint="eastAsia"/>
          <w:lang w:val="zh-CN" w:eastAsia="zh-CN"/>
        </w:rPr>
        <w:t>运作</w:t>
      </w:r>
      <w:r>
        <w:rPr>
          <w:lang w:val="zh-CN" w:eastAsia="zh-CN"/>
        </w:rPr>
        <w:t>和技术领域的协调。成员国和合作伙伴分享了有关在线儿童性虐待和性剥削、数字素养、数据保护、父母赋权以及人工智能对儿童安全的影响</w:t>
      </w:r>
      <w:r>
        <w:rPr>
          <w:rFonts w:hint="eastAsia"/>
          <w:lang w:val="zh-CN" w:eastAsia="zh-CN"/>
        </w:rPr>
        <w:t>的</w:t>
      </w:r>
      <w:r>
        <w:rPr>
          <w:lang w:val="zh-CN" w:eastAsia="zh-CN"/>
        </w:rPr>
        <w:t>文稿。</w:t>
      </w:r>
    </w:p>
    <w:p w14:paraId="44AE2D66" w14:textId="77777777" w:rsidR="000D01A0" w:rsidRPr="00E95DB3" w:rsidRDefault="000D01A0" w:rsidP="00034197">
      <w:pPr>
        <w:jc w:val="both"/>
        <w:rPr>
          <w:lang w:eastAsia="zh-CN"/>
        </w:rPr>
      </w:pPr>
      <w:r>
        <w:rPr>
          <w:lang w:val="zh-CN" w:eastAsia="zh-CN"/>
        </w:rPr>
        <w:t>2.10</w:t>
      </w:r>
      <w:r>
        <w:rPr>
          <w:lang w:val="zh-CN" w:eastAsia="zh-CN"/>
        </w:rPr>
        <w:tab/>
      </w:r>
      <w:r>
        <w:rPr>
          <w:lang w:val="zh-CN" w:eastAsia="zh-CN"/>
        </w:rPr>
        <w:t>会议的主要成果是：</w:t>
      </w:r>
    </w:p>
    <w:p w14:paraId="69108542"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val="zh-CN" w:eastAsia="zh-CN"/>
        </w:rPr>
        <w:t>会议欢迎秘书处提供正在进行的保护上网儿童活动的最新情况，包括能力建设举措、国家实施支持和报告期内制定的全球输出成果，特别是《通过在线参与（</w:t>
      </w:r>
      <w:r>
        <w:rPr>
          <w:lang w:val="zh-CN" w:eastAsia="zh-CN"/>
        </w:rPr>
        <w:t>PoP</w:t>
      </w:r>
      <w:r>
        <w:rPr>
          <w:lang w:val="zh-CN" w:eastAsia="zh-CN"/>
        </w:rPr>
        <w:t>）进行保护指导原则》和《人工智能与儿童权利联合声明》。</w:t>
      </w:r>
    </w:p>
    <w:p w14:paraId="39D521B3"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val="zh-CN" w:eastAsia="zh-CN"/>
        </w:rPr>
        <w:t>工作组</w:t>
      </w:r>
      <w:r>
        <w:rPr>
          <w:rFonts w:hint="eastAsia"/>
          <w:lang w:val="zh-CN" w:eastAsia="zh-CN"/>
        </w:rPr>
        <w:t>将</w:t>
      </w:r>
      <w:r>
        <w:rPr>
          <w:lang w:val="zh-CN" w:eastAsia="zh-CN"/>
        </w:rPr>
        <w:t>各成员国</w:t>
      </w:r>
      <w:r>
        <w:rPr>
          <w:rFonts w:hint="eastAsia"/>
          <w:lang w:val="zh-CN" w:eastAsia="zh-CN"/>
        </w:rPr>
        <w:t>介绍</w:t>
      </w:r>
      <w:r>
        <w:rPr>
          <w:lang w:val="zh-CN" w:eastAsia="zh-CN"/>
        </w:rPr>
        <w:t>的广泛的国家经验和情况通报文件</w:t>
      </w:r>
      <w:r>
        <w:rPr>
          <w:rFonts w:hint="eastAsia"/>
          <w:lang w:val="zh-CN" w:eastAsia="zh-CN"/>
        </w:rPr>
        <w:t>记录在案</w:t>
      </w:r>
      <w:r>
        <w:rPr>
          <w:lang w:val="zh-CN" w:eastAsia="zh-CN"/>
        </w:rPr>
        <w:t>，</w:t>
      </w:r>
      <w:r>
        <w:rPr>
          <w:rFonts w:hint="eastAsia"/>
          <w:lang w:val="zh-CN" w:eastAsia="zh-CN"/>
        </w:rPr>
        <w:t>这些文件均</w:t>
      </w:r>
      <w:r>
        <w:rPr>
          <w:lang w:val="zh-CN" w:eastAsia="zh-CN"/>
        </w:rPr>
        <w:t>强调政府总动员和利益攸关多方相结合的方法，将提高认识、监管措施、运作机制和伙伴关系</w:t>
      </w:r>
      <w:r>
        <w:rPr>
          <w:rFonts w:hint="eastAsia"/>
          <w:lang w:val="zh-CN" w:eastAsia="zh-CN"/>
        </w:rPr>
        <w:t>相</w:t>
      </w:r>
      <w:r>
        <w:rPr>
          <w:lang w:val="zh-CN" w:eastAsia="zh-CN"/>
        </w:rPr>
        <w:t>结合，以应对儿童上网安全风险。</w:t>
      </w:r>
    </w:p>
    <w:p w14:paraId="407A9902"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val="zh-CN" w:eastAsia="zh-CN"/>
        </w:rPr>
        <w:t>会议</w:t>
      </w:r>
      <w:r>
        <w:rPr>
          <w:rFonts w:hint="eastAsia"/>
          <w:lang w:val="zh-CN" w:eastAsia="zh-CN"/>
        </w:rPr>
        <w:t>肯定了与会者提交的文稿，这些文稿</w:t>
      </w:r>
      <w:r>
        <w:rPr>
          <w:lang w:val="zh-CN" w:eastAsia="zh-CN"/>
        </w:rPr>
        <w:t>强调</w:t>
      </w:r>
      <w:r>
        <w:rPr>
          <w:rFonts w:hint="eastAsia"/>
          <w:lang w:val="zh-CN" w:eastAsia="zh-CN"/>
        </w:rPr>
        <w:t>了</w:t>
      </w:r>
      <w:r>
        <w:rPr>
          <w:lang w:val="zh-CN" w:eastAsia="zh-CN"/>
        </w:rPr>
        <w:t>人工智能和算法系统在塑造儿童上网体验</w:t>
      </w:r>
      <w:r>
        <w:rPr>
          <w:lang w:eastAsia="zh-CN"/>
        </w:rPr>
        <w:t>方面日益重要的作用，其中既包括风险也包含机遇</w:t>
      </w:r>
      <w:r>
        <w:rPr>
          <w:lang w:val="zh-CN" w:eastAsia="zh-CN"/>
        </w:rPr>
        <w:t>，并强调了将以儿童为中心的保障措施和安全设计方法纳入数字服务的重要性。</w:t>
      </w:r>
    </w:p>
    <w:p w14:paraId="3A4CB86B"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val="zh-CN" w:eastAsia="zh-CN"/>
        </w:rPr>
        <w:t>工作组欢迎与</w:t>
      </w:r>
      <w:r>
        <w:rPr>
          <w:lang w:val="zh-CN" w:eastAsia="zh-CN"/>
        </w:rPr>
        <w:t>ITU-T</w:t>
      </w:r>
      <w:r>
        <w:rPr>
          <w:lang w:val="zh-CN" w:eastAsia="zh-CN"/>
        </w:rPr>
        <w:t>第</w:t>
      </w:r>
      <w:r>
        <w:rPr>
          <w:lang w:val="zh-CN" w:eastAsia="zh-CN"/>
        </w:rPr>
        <w:t>17</w:t>
      </w:r>
      <w:r>
        <w:rPr>
          <w:lang w:val="zh-CN" w:eastAsia="zh-CN"/>
        </w:rPr>
        <w:t>研究组继续协调，包括介绍联络声明和与人工智能、网络安全和信任有关的技术工作的最新情况。会议重申了</w:t>
      </w:r>
      <w:r>
        <w:rPr>
          <w:lang w:val="zh-CN" w:eastAsia="zh-CN"/>
        </w:rPr>
        <w:t>CWG-COP</w:t>
      </w:r>
      <w:r>
        <w:rPr>
          <w:lang w:val="zh-CN" w:eastAsia="zh-CN"/>
        </w:rPr>
        <w:t>和</w:t>
      </w:r>
      <w:r>
        <w:rPr>
          <w:lang w:val="zh-CN" w:eastAsia="zh-CN"/>
        </w:rPr>
        <w:t>ITU-T</w:t>
      </w:r>
      <w:r>
        <w:rPr>
          <w:lang w:val="zh-CN" w:eastAsia="zh-CN"/>
        </w:rPr>
        <w:t>之间持续交流信息的重要性，以确保政策讨论和标准化活动之间的一致性。</w:t>
      </w:r>
    </w:p>
    <w:p w14:paraId="2C4BC0C8" w14:textId="77777777" w:rsidR="000D01A0" w:rsidRPr="00E95DB3" w:rsidRDefault="000D01A0" w:rsidP="00034197">
      <w:pPr>
        <w:pStyle w:val="enumlev1"/>
        <w:keepNext/>
        <w:keepLines/>
        <w:jc w:val="both"/>
        <w:rPr>
          <w:rFonts w:eastAsia="Calibri"/>
          <w:lang w:eastAsia="zh-CN"/>
        </w:rPr>
      </w:pPr>
      <w:r>
        <w:rPr>
          <w:lang w:val="zh-CN" w:eastAsia="zh-CN"/>
        </w:rPr>
        <w:t>–</w:t>
      </w:r>
      <w:r>
        <w:rPr>
          <w:lang w:val="zh-CN" w:eastAsia="zh-CN"/>
        </w:rPr>
        <w:tab/>
      </w:r>
      <w:r>
        <w:rPr>
          <w:lang w:eastAsia="zh-CN"/>
        </w:rPr>
        <w:t>会议重申了包容性及</w:t>
      </w:r>
      <w:r>
        <w:rPr>
          <w:lang w:val="zh-CN" w:eastAsia="zh-CN"/>
        </w:rPr>
        <w:t>利益攸关多方</w:t>
      </w:r>
      <w:r>
        <w:rPr>
          <w:rFonts w:hint="eastAsia"/>
          <w:lang w:val="zh-CN" w:eastAsia="zh-CN"/>
        </w:rPr>
        <w:t>的</w:t>
      </w:r>
      <w:r>
        <w:rPr>
          <w:lang w:eastAsia="zh-CN"/>
        </w:rPr>
        <w:t>参与对推进</w:t>
      </w:r>
      <w:r>
        <w:rPr>
          <w:lang w:val="zh-CN" w:eastAsia="zh-CN"/>
        </w:rPr>
        <w:t>保护上网</w:t>
      </w:r>
      <w:r>
        <w:rPr>
          <w:lang w:eastAsia="zh-CN"/>
        </w:rPr>
        <w:t>儿童的重要性，包括</w:t>
      </w:r>
      <w:r>
        <w:rPr>
          <w:lang w:val="zh-CN" w:eastAsia="zh-CN"/>
        </w:rPr>
        <w:t>业界、民间团体、</w:t>
      </w:r>
      <w:r>
        <w:rPr>
          <w:lang w:eastAsia="zh-CN"/>
        </w:rPr>
        <w:t>学术界和国际组织的参与，并欢迎继续与联合国各机构及合作伙伴</w:t>
      </w:r>
      <w:r>
        <w:rPr>
          <w:lang w:val="zh-CN" w:eastAsia="zh-CN"/>
        </w:rPr>
        <w:t>继续</w:t>
      </w:r>
      <w:r>
        <w:rPr>
          <w:lang w:eastAsia="zh-CN"/>
        </w:rPr>
        <w:t>开展</w:t>
      </w:r>
      <w:r>
        <w:rPr>
          <w:rFonts w:hint="eastAsia"/>
          <w:lang w:eastAsia="zh-CN"/>
        </w:rPr>
        <w:t>协作</w:t>
      </w:r>
      <w:r>
        <w:rPr>
          <w:rFonts w:ascii="SimSun" w:hAnsi="SimSun" w:cs="SimSun" w:hint="eastAsia"/>
          <w:lang w:eastAsia="zh-CN"/>
        </w:rPr>
        <w:t>。</w:t>
      </w:r>
    </w:p>
    <w:p w14:paraId="712F7F50" w14:textId="77777777" w:rsidR="000D01A0" w:rsidRPr="00E95DB3" w:rsidRDefault="000D01A0" w:rsidP="00034197">
      <w:pPr>
        <w:pStyle w:val="enumlev1"/>
        <w:jc w:val="both"/>
        <w:rPr>
          <w:rFonts w:eastAsia="Calibri"/>
          <w:lang w:eastAsia="zh-CN"/>
        </w:rPr>
      </w:pPr>
      <w:r>
        <w:rPr>
          <w:lang w:val="zh-CN" w:eastAsia="zh-CN"/>
        </w:rPr>
        <w:t>–</w:t>
      </w:r>
      <w:r>
        <w:rPr>
          <w:lang w:val="zh-CN" w:eastAsia="zh-CN"/>
        </w:rPr>
        <w:tab/>
      </w:r>
      <w:r>
        <w:rPr>
          <w:lang w:eastAsia="zh-CN"/>
        </w:rPr>
        <w:t>主席强调了工作组内部透明度、信息共享和持续对话的重要性，并指出，为了支持各成员国有效参与，必须及时向其通报正在进行和即将开展的工作</w:t>
      </w:r>
      <w:r>
        <w:rPr>
          <w:rFonts w:ascii="SimSun" w:hAnsi="SimSun" w:cs="SimSun" w:hint="eastAsia"/>
          <w:lang w:eastAsia="zh-CN"/>
        </w:rPr>
        <w:t>。</w:t>
      </w:r>
    </w:p>
    <w:p w14:paraId="54AD71BA" w14:textId="4A8065E9" w:rsidR="000D01A0" w:rsidRDefault="000D01A0" w:rsidP="005605B0">
      <w:pPr>
        <w:pStyle w:val="Signature"/>
        <w:tabs>
          <w:tab w:val="clear" w:pos="7655"/>
          <w:tab w:val="center" w:pos="7513"/>
        </w:tabs>
        <w:spacing w:before="240"/>
        <w:rPr>
          <w:rFonts w:eastAsia="Calibri"/>
        </w:rPr>
      </w:pPr>
      <w:r>
        <w:rPr>
          <w:lang w:val="zh-CN"/>
        </w:rPr>
        <w:tab/>
      </w:r>
      <w:r>
        <w:rPr>
          <w:lang w:val="zh-CN"/>
        </w:rPr>
        <w:t>主席</w:t>
      </w:r>
      <w:r>
        <w:br/>
      </w:r>
      <w:r>
        <w:rPr>
          <w:lang w:val="zh-CN"/>
        </w:rPr>
        <w:tab/>
      </w:r>
      <w:r w:rsidRPr="00E95DB3">
        <w:rPr>
          <w:rFonts w:eastAsia="Calibri"/>
        </w:rPr>
        <w:t>Abdelaziz Alzarooni</w:t>
      </w:r>
      <w:r>
        <w:rPr>
          <w:rFonts w:ascii="Microsoft YaHei" w:eastAsia="Microsoft YaHei" w:hAnsi="Microsoft YaHei" w:cs="Microsoft YaHei" w:hint="eastAsia"/>
        </w:rPr>
        <w:t>（</w:t>
      </w:r>
      <w:r w:rsidRPr="002F031B">
        <w:rPr>
          <w:rFonts w:ascii="SimSun" w:hAnsi="SimSun" w:cs="Microsoft YaHei" w:hint="eastAsia"/>
        </w:rPr>
        <w:t>阿拉伯联合酋长国）</w:t>
      </w:r>
    </w:p>
    <w:p w14:paraId="78479C12" w14:textId="041AA415" w:rsidR="00E323D0" w:rsidRPr="00BF653C" w:rsidRDefault="000D01A0" w:rsidP="005605B0">
      <w:pPr>
        <w:pStyle w:val="Signature"/>
        <w:tabs>
          <w:tab w:val="clear" w:pos="7655"/>
          <w:tab w:val="center" w:pos="7513"/>
        </w:tabs>
        <w:spacing w:before="360" w:after="0"/>
        <w:rPr>
          <w:rFonts w:eastAsia="Calibri" w:cs="Calibri"/>
          <w:color w:val="000000"/>
          <w:szCs w:val="24"/>
        </w:rPr>
      </w:pPr>
      <w:r>
        <w:rPr>
          <w:lang w:val="zh-CN"/>
        </w:rPr>
        <w:tab/>
      </w:r>
      <w:r>
        <w:rPr>
          <w:lang w:val="zh-CN"/>
        </w:rPr>
        <w:t>副主席</w:t>
      </w:r>
      <w:r>
        <w:br/>
      </w:r>
      <w:r>
        <w:rPr>
          <w:lang w:val="zh-CN"/>
        </w:rPr>
        <w:tab/>
      </w:r>
      <w:r w:rsidRPr="00E95DB3">
        <w:rPr>
          <w:rFonts w:eastAsia="Calibri" w:cs="Calibri"/>
          <w:bCs/>
          <w:color w:val="000000"/>
          <w:szCs w:val="24"/>
        </w:rPr>
        <w:t>Stella C. Erebor</w:t>
      </w:r>
      <w:r>
        <w:rPr>
          <w:lang w:val="zh-CN"/>
        </w:rPr>
        <w:t xml:space="preserve"> (</w:t>
      </w:r>
      <w:r>
        <w:rPr>
          <w:lang w:val="zh-CN"/>
        </w:rPr>
        <w:t>尼日利亚</w:t>
      </w:r>
      <w:r>
        <w:rPr>
          <w:lang w:val="zh-CN"/>
        </w:rPr>
        <w:t>)</w:t>
      </w:r>
    </w:p>
    <w:sectPr w:rsidR="00E323D0" w:rsidRPr="00BF653C" w:rsidSect="00E24D59">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3B24" w14:textId="77777777" w:rsidR="000D01A0" w:rsidRDefault="000D01A0">
      <w:r>
        <w:separator/>
      </w:r>
    </w:p>
  </w:endnote>
  <w:endnote w:type="continuationSeparator" w:id="0">
    <w:p w14:paraId="5E0650DB" w14:textId="77777777" w:rsidR="000D01A0" w:rsidRDefault="000D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1FFA76B" w14:textId="77777777" w:rsidTr="00E31DCE">
      <w:trPr>
        <w:jc w:val="center"/>
      </w:trPr>
      <w:tc>
        <w:tcPr>
          <w:tcW w:w="1803" w:type="dxa"/>
          <w:vAlign w:val="center"/>
        </w:tcPr>
        <w:p w14:paraId="6067CBF8" w14:textId="2209AD2B" w:rsidR="00E24D59" w:rsidRPr="00A13406" w:rsidRDefault="00BF653C" w:rsidP="00E24D59">
          <w:pPr>
            <w:pStyle w:val="Header"/>
            <w:jc w:val="left"/>
            <w:rPr>
              <w:noProof/>
              <w:color w:val="808080" w:themeColor="background1" w:themeShade="80"/>
            </w:rPr>
          </w:pPr>
          <w:r w:rsidRPr="007B1F7D">
            <w:rPr>
              <w:noProof/>
            </w:rPr>
            <w:t>R2600453</w:t>
          </w:r>
        </w:p>
      </w:tc>
      <w:tc>
        <w:tcPr>
          <w:tcW w:w="8261" w:type="dxa"/>
        </w:tcPr>
        <w:p w14:paraId="0908CF26" w14:textId="34FF38D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BF653C">
            <w:rPr>
              <w:bCs/>
              <w:color w:val="808080" w:themeColor="background1" w:themeShade="80"/>
            </w:rPr>
            <w:t>15</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7C679B5"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88D9F8B" w14:textId="77777777" w:rsidTr="00E31DCE">
      <w:trPr>
        <w:jc w:val="center"/>
      </w:trPr>
      <w:tc>
        <w:tcPr>
          <w:tcW w:w="1803" w:type="dxa"/>
          <w:vAlign w:val="center"/>
        </w:tcPr>
        <w:p w14:paraId="44719AD6"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554DE66C" w14:textId="12D5F974"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0D01A0">
            <w:rPr>
              <w:bCs/>
              <w:color w:val="808080" w:themeColor="background1" w:themeShade="80"/>
            </w:rPr>
            <w:t>15</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5C2E56F5"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DEA9" w14:textId="77777777" w:rsidR="000D01A0" w:rsidRDefault="000D01A0">
      <w:r>
        <w:t>____________________</w:t>
      </w:r>
    </w:p>
  </w:footnote>
  <w:footnote w:type="continuationSeparator" w:id="0">
    <w:p w14:paraId="19F9AB8A" w14:textId="77777777" w:rsidR="000D01A0" w:rsidRDefault="000D0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BDF6"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0"/>
    <w:rsid w:val="00001B77"/>
    <w:rsid w:val="0000517A"/>
    <w:rsid w:val="0000538F"/>
    <w:rsid w:val="00031E72"/>
    <w:rsid w:val="00034197"/>
    <w:rsid w:val="000404D2"/>
    <w:rsid w:val="00041205"/>
    <w:rsid w:val="000646BD"/>
    <w:rsid w:val="000853C0"/>
    <w:rsid w:val="00093DD9"/>
    <w:rsid w:val="0009409E"/>
    <w:rsid w:val="000A1C21"/>
    <w:rsid w:val="000C0BC5"/>
    <w:rsid w:val="000C7CCD"/>
    <w:rsid w:val="000D01A0"/>
    <w:rsid w:val="000D15EA"/>
    <w:rsid w:val="000D7012"/>
    <w:rsid w:val="000F72FB"/>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605B0"/>
    <w:rsid w:val="005759CC"/>
    <w:rsid w:val="00576C08"/>
    <w:rsid w:val="005A72E1"/>
    <w:rsid w:val="005C6632"/>
    <w:rsid w:val="005D1C9E"/>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826EC"/>
    <w:rsid w:val="00890AFB"/>
    <w:rsid w:val="00890FC4"/>
    <w:rsid w:val="00895905"/>
    <w:rsid w:val="008F64AD"/>
    <w:rsid w:val="00911230"/>
    <w:rsid w:val="00911867"/>
    <w:rsid w:val="009164A9"/>
    <w:rsid w:val="009258CB"/>
    <w:rsid w:val="0093362E"/>
    <w:rsid w:val="00944563"/>
    <w:rsid w:val="00953160"/>
    <w:rsid w:val="009625D8"/>
    <w:rsid w:val="00970606"/>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BF653C"/>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59F1"/>
    <w:rsid w:val="00D87C3A"/>
    <w:rsid w:val="00D92F45"/>
    <w:rsid w:val="00D94637"/>
    <w:rsid w:val="00D9725C"/>
    <w:rsid w:val="00DA0E66"/>
    <w:rsid w:val="00DA2D30"/>
    <w:rsid w:val="00DA7006"/>
    <w:rsid w:val="00DB3621"/>
    <w:rsid w:val="00DC6427"/>
    <w:rsid w:val="00DD62F5"/>
    <w:rsid w:val="00DD66A1"/>
    <w:rsid w:val="00DE196D"/>
    <w:rsid w:val="00DF6738"/>
    <w:rsid w:val="00DF6B49"/>
    <w:rsid w:val="00E067C5"/>
    <w:rsid w:val="00E140F1"/>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32DE4"/>
  <w15:docId w15:val="{BA15960D-72B6-448F-872F-B1CB4E23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0D01A0"/>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StyleHyperlinkAsianSTKaiti11pt">
    <w:name w:val="Style Hyperlink + (Asian) STKaiti 11 pt"/>
    <w:basedOn w:val="Hyperlink"/>
    <w:rsid w:val="000D01A0"/>
    <w:rPr>
      <w:rFonts w:eastAsia="STKaiti"/>
      <w:noProof/>
      <w:color w:val="4F81BD" w:themeColor="accent1"/>
      <w:sz w:val="22"/>
      <w:u w:val="single"/>
    </w:rPr>
  </w:style>
  <w:style w:type="paragraph" w:styleId="Signature">
    <w:name w:val="Signature"/>
    <w:basedOn w:val="Normal"/>
    <w:link w:val="SignatureChar"/>
    <w:unhideWhenUsed/>
    <w:rsid w:val="000D01A0"/>
    <w:pPr>
      <w:tabs>
        <w:tab w:val="clear" w:pos="794"/>
        <w:tab w:val="clear" w:pos="1191"/>
        <w:tab w:val="clear" w:pos="1588"/>
        <w:tab w:val="clear" w:pos="1985"/>
        <w:tab w:val="center" w:pos="7655"/>
      </w:tabs>
      <w:spacing w:before="600" w:after="120" w:line="280" w:lineRule="exact"/>
      <w:jc w:val="both"/>
    </w:pPr>
    <w:rPr>
      <w:sz w:val="21"/>
      <w:szCs w:val="10"/>
      <w:lang w:val="en-US" w:eastAsia="zh-CN"/>
    </w:rPr>
  </w:style>
  <w:style w:type="character" w:customStyle="1" w:styleId="SignatureChar">
    <w:name w:val="Signature Char"/>
    <w:basedOn w:val="DefaultParagraphFont"/>
    <w:link w:val="Signature"/>
    <w:rsid w:val="000D01A0"/>
    <w:rPr>
      <w:rFonts w:ascii="Calibri" w:hAnsi="Calibri"/>
      <w:sz w:val="21"/>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79-C.pdf" TargetMode="External"/><Relationship Id="rId13" Type="http://schemas.openxmlformats.org/officeDocument/2006/relationships/hyperlink" Target="https://www.itu.int/en/council/Documents/basic-texts-2023/RES-179-C.pdf" TargetMode="External"/><Relationship Id="rId18" Type="http://schemas.openxmlformats.org/officeDocument/2006/relationships/hyperlink" Target="https://www.itu.int/council/groups/wg-cop/first-meeting-march-2010/COP%20WG%20Doc%201-16%20Summary-1-WG-CP-revised%20draft-23-March-2010-final-revised-to%20be-published.do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en/council/cwg-cop/Pages/default.aspx" TargetMode="External"/><Relationship Id="rId17" Type="http://schemas.openxmlformats.org/officeDocument/2006/relationships/hyperlink" Target="https://www.itu.int/en/council/Documents/basic-texts-2023/RES-179-E.pdf" TargetMode="External"/><Relationship Id="rId2" Type="http://schemas.openxmlformats.org/officeDocument/2006/relationships/numbering" Target="numbering.xml"/><Relationship Id="rId16" Type="http://schemas.openxmlformats.org/officeDocument/2006/relationships/hyperlink" Target="https://www.itu.int/md/meetingdoc.asp?lang=en&amp;parent=S09-CL-C-010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cwg-cop/Pages/default.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council/cwg-cop/Pages/default.aspx" TargetMode="External"/><Relationship Id="rId23" Type="http://schemas.openxmlformats.org/officeDocument/2006/relationships/fontTable" Target="fontTable.xml"/><Relationship Id="rId10" Type="http://schemas.openxmlformats.org/officeDocument/2006/relationships/hyperlink" Target="https://www.itu.int/en/council/cwg-cop/Pages/default.aspx" TargetMode="External"/><Relationship Id="rId19" Type="http://schemas.openxmlformats.org/officeDocument/2006/relationships/hyperlink" Target="https://www.itu.int/council/groups/wg-cop/first-meeting-march-2010/COP%20WG%20Doc%201-16%20Summary-1-WG-CP-revised%20draft-23-March-2010-final-revised-to%20be-published.doc" TargetMode="External"/><Relationship Id="rId4" Type="http://schemas.openxmlformats.org/officeDocument/2006/relationships/settings" Target="settings.xml"/><Relationship Id="rId9" Type="http://schemas.openxmlformats.org/officeDocument/2006/relationships/hyperlink" Target="https://www.itu.int/en/council/cwg-cop/Pages/default.aspx" TargetMode="External"/><Relationship Id="rId14" Type="http://schemas.openxmlformats.org/officeDocument/2006/relationships/hyperlink" Target="https://www.itu.int/md/meetingdoc.asp?lang=en&amp;parent=S09-CL-C-010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3</TotalTime>
  <Pages>4</Pages>
  <Words>3396</Words>
  <Characters>1720</Characters>
  <Application>Microsoft Office Word</Application>
  <DocSecurity>0</DocSecurity>
  <Lines>66</Lines>
  <Paragraphs>91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5025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twenty-third and twenty-fourth meetings of the Council Working Group on child online protection</dc:title>
  <dc:subject>ITU Council 2026</dc:subject>
  <cp:keywords>C26; C2026; Council 2026; PP26</cp:keywords>
  <dc:description/>
  <cp:lastPrinted>2015-02-24T13:23:00Z</cp:lastPrinted>
  <dcterms:created xsi:type="dcterms:W3CDTF">2026-03-25T11:16:00Z</dcterms:created>
  <dcterms:modified xsi:type="dcterms:W3CDTF">2026-03-25T11:18:00Z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