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5179598B" w14:textId="77777777" w:rsidTr="00F363FE">
        <w:tc>
          <w:tcPr>
            <w:tcW w:w="6512" w:type="dxa"/>
          </w:tcPr>
          <w:p w14:paraId="21B6E533" w14:textId="52828D15" w:rsidR="007B0AA0" w:rsidRPr="007B0AA0" w:rsidRDefault="007B0AA0" w:rsidP="00F363FE">
            <w:pPr>
              <w:spacing w:before="60" w:after="60" w:line="260" w:lineRule="exact"/>
              <w:rPr>
                <w:b/>
                <w:bCs/>
                <w:rtl/>
                <w:lang w:bidi="ar-EG"/>
              </w:rPr>
            </w:pPr>
            <w:r w:rsidRPr="007B0AA0">
              <w:rPr>
                <w:rFonts w:hint="cs"/>
                <w:b/>
                <w:bCs/>
                <w:rtl/>
                <w:lang w:bidi="ar-EG"/>
              </w:rPr>
              <w:t>بند جدول الأعمال:</w:t>
            </w:r>
            <w:r w:rsidR="00AA0EDB">
              <w:rPr>
                <w:rFonts w:hint="cs"/>
                <w:b/>
                <w:bCs/>
                <w:rtl/>
                <w:lang w:bidi="ar-EG"/>
              </w:rPr>
              <w:t xml:space="preserve"> </w:t>
            </w:r>
            <w:r w:rsidR="00AA0EDB">
              <w:rPr>
                <w:b/>
                <w:bCs/>
                <w:lang w:bidi="ar-EG"/>
              </w:rPr>
              <w:t>PL-2</w:t>
            </w:r>
          </w:p>
        </w:tc>
        <w:tc>
          <w:tcPr>
            <w:tcW w:w="3117" w:type="dxa"/>
          </w:tcPr>
          <w:p w14:paraId="00838B08" w14:textId="79E3E222"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AA0EDB">
              <w:rPr>
                <w:b/>
                <w:bCs/>
                <w:lang w:bidi="ar-EG"/>
              </w:rPr>
              <w:t>15</w:t>
            </w:r>
            <w:r w:rsidRPr="007B0AA0">
              <w:rPr>
                <w:b/>
                <w:bCs/>
                <w:lang w:bidi="ar-EG"/>
              </w:rPr>
              <w:t>-A</w:t>
            </w:r>
          </w:p>
        </w:tc>
      </w:tr>
      <w:tr w:rsidR="007B0AA0" w14:paraId="652512B0" w14:textId="77777777" w:rsidTr="00F363FE">
        <w:tc>
          <w:tcPr>
            <w:tcW w:w="6512" w:type="dxa"/>
          </w:tcPr>
          <w:p w14:paraId="376D06B5" w14:textId="77777777" w:rsidR="007B0AA0" w:rsidRPr="007B0AA0" w:rsidRDefault="007B0AA0" w:rsidP="00F363FE">
            <w:pPr>
              <w:spacing w:before="60" w:after="60" w:line="260" w:lineRule="exact"/>
              <w:rPr>
                <w:b/>
                <w:bCs/>
                <w:rtl/>
                <w:lang w:bidi="ar-EG"/>
              </w:rPr>
            </w:pPr>
          </w:p>
        </w:tc>
        <w:tc>
          <w:tcPr>
            <w:tcW w:w="3117" w:type="dxa"/>
          </w:tcPr>
          <w:p w14:paraId="6CA7318E" w14:textId="3F6AE83E" w:rsidR="007B0AA0" w:rsidRPr="007B0AA0" w:rsidRDefault="00AA0EDB" w:rsidP="00F363FE">
            <w:pPr>
              <w:spacing w:before="60" w:after="60" w:line="260" w:lineRule="exact"/>
              <w:rPr>
                <w:b/>
                <w:bCs/>
                <w:rtl/>
                <w:lang w:bidi="ar-EG"/>
              </w:rPr>
            </w:pPr>
            <w:r>
              <w:rPr>
                <w:rFonts w:hint="cs"/>
                <w:b/>
                <w:bCs/>
                <w:rtl/>
                <w:lang w:bidi="ar-EG"/>
              </w:rPr>
              <w:t xml:space="preserve">6 مارس </w:t>
            </w:r>
            <w:r>
              <w:rPr>
                <w:b/>
                <w:bCs/>
                <w:lang w:bidi="ar-EG"/>
              </w:rPr>
              <w:t>2026</w:t>
            </w:r>
          </w:p>
        </w:tc>
      </w:tr>
      <w:tr w:rsidR="007B0AA0" w14:paraId="749017C1" w14:textId="77777777" w:rsidTr="00F363FE">
        <w:tc>
          <w:tcPr>
            <w:tcW w:w="6512" w:type="dxa"/>
          </w:tcPr>
          <w:p w14:paraId="5A4ADEC0" w14:textId="77777777" w:rsidR="007B0AA0" w:rsidRPr="007B0AA0" w:rsidRDefault="007B0AA0" w:rsidP="00F363FE">
            <w:pPr>
              <w:spacing w:before="60" w:after="60" w:line="260" w:lineRule="exact"/>
              <w:rPr>
                <w:b/>
                <w:bCs/>
                <w:rtl/>
                <w:lang w:bidi="ar-EG"/>
              </w:rPr>
            </w:pPr>
          </w:p>
        </w:tc>
        <w:tc>
          <w:tcPr>
            <w:tcW w:w="3117" w:type="dxa"/>
          </w:tcPr>
          <w:p w14:paraId="05504C69"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44696E8E" w14:textId="77777777" w:rsidTr="00F363FE">
        <w:tc>
          <w:tcPr>
            <w:tcW w:w="6512" w:type="dxa"/>
          </w:tcPr>
          <w:p w14:paraId="56EC4F7B" w14:textId="77777777" w:rsidR="007B0AA0" w:rsidRDefault="007B0AA0" w:rsidP="00F363FE">
            <w:pPr>
              <w:spacing w:before="60" w:after="60" w:line="260" w:lineRule="exact"/>
              <w:rPr>
                <w:lang w:bidi="ar-EG"/>
              </w:rPr>
            </w:pPr>
          </w:p>
        </w:tc>
        <w:tc>
          <w:tcPr>
            <w:tcW w:w="3117" w:type="dxa"/>
          </w:tcPr>
          <w:p w14:paraId="42B21200" w14:textId="77777777" w:rsidR="007B0AA0" w:rsidRDefault="007B0AA0" w:rsidP="00F363FE">
            <w:pPr>
              <w:spacing w:before="60" w:after="60" w:line="260" w:lineRule="exact"/>
              <w:rPr>
                <w:rtl/>
                <w:lang w:bidi="ar-EG"/>
              </w:rPr>
            </w:pPr>
          </w:p>
        </w:tc>
      </w:tr>
      <w:tr w:rsidR="007B0AA0" w14:paraId="2507D20D" w14:textId="77777777" w:rsidTr="00EE7446">
        <w:tc>
          <w:tcPr>
            <w:tcW w:w="9629" w:type="dxa"/>
            <w:gridSpan w:val="2"/>
          </w:tcPr>
          <w:p w14:paraId="1BC30E49" w14:textId="4E7BA17C" w:rsidR="007B0AA0" w:rsidRPr="00AA0EDB" w:rsidRDefault="00AA0EDB" w:rsidP="00AA0EDB">
            <w:pPr>
              <w:pStyle w:val="Source"/>
              <w:jc w:val="both"/>
              <w:rPr>
                <w:spacing w:val="-2"/>
                <w:lang w:bidi="ar-EG"/>
              </w:rPr>
            </w:pPr>
            <w:r w:rsidRPr="00AA0EDB">
              <w:rPr>
                <w:spacing w:val="-2"/>
                <w:rtl/>
              </w:rPr>
              <w:t>تقرير رئيس فريق العمل التابع للمجلس والمعني بحماية الأطفال على الإنترنت</w:t>
            </w:r>
          </w:p>
        </w:tc>
      </w:tr>
      <w:tr w:rsidR="007B0AA0" w14:paraId="23C29FFE" w14:textId="77777777" w:rsidTr="007B0AA0">
        <w:tc>
          <w:tcPr>
            <w:tcW w:w="9629" w:type="dxa"/>
            <w:gridSpan w:val="2"/>
            <w:tcBorders>
              <w:bottom w:val="single" w:sz="4" w:space="0" w:color="auto"/>
            </w:tcBorders>
          </w:tcPr>
          <w:p w14:paraId="3811F3CC" w14:textId="19F5C037" w:rsidR="007B0AA0" w:rsidRPr="005546CF" w:rsidRDefault="00AA0EDB" w:rsidP="00AA0EDB">
            <w:pPr>
              <w:pStyle w:val="Subtitle0"/>
              <w:rPr>
                <w:sz w:val="32"/>
                <w:szCs w:val="32"/>
              </w:rPr>
            </w:pPr>
            <w:bookmarkStart w:id="0" w:name="_Hlk221124372"/>
            <w:r w:rsidRPr="00AA0EDB">
              <w:rPr>
                <w:sz w:val="32"/>
                <w:szCs w:val="32"/>
                <w:rtl/>
                <w:lang w:bidi="ar-SA"/>
              </w:rPr>
              <w:t>تقرير عن نتائج الاجتماعين الثالث والعشرين والرابع والعشرين لفريق العمل التابع للمجلس والمعني بحماية الأطفال على الإنترنت</w:t>
            </w:r>
            <w:bookmarkEnd w:id="0"/>
          </w:p>
        </w:tc>
      </w:tr>
      <w:tr w:rsidR="007B0AA0" w14:paraId="5233440E" w14:textId="77777777" w:rsidTr="007B0AA0">
        <w:tc>
          <w:tcPr>
            <w:tcW w:w="9629" w:type="dxa"/>
            <w:gridSpan w:val="2"/>
            <w:tcBorders>
              <w:top w:val="single" w:sz="4" w:space="0" w:color="auto"/>
              <w:bottom w:val="single" w:sz="4" w:space="0" w:color="auto"/>
            </w:tcBorders>
          </w:tcPr>
          <w:p w14:paraId="7C80A6AA" w14:textId="77777777" w:rsidR="007B0AA0" w:rsidRPr="007B0AA0" w:rsidRDefault="007B0AA0" w:rsidP="007B0AA0">
            <w:pPr>
              <w:rPr>
                <w:b/>
                <w:bCs/>
                <w:rtl/>
              </w:rPr>
            </w:pPr>
            <w:r w:rsidRPr="00494119">
              <w:rPr>
                <w:rFonts w:hint="cs"/>
                <w:b/>
                <w:bCs/>
                <w:rtl/>
              </w:rPr>
              <w:t>الغرض</w:t>
            </w:r>
          </w:p>
          <w:p w14:paraId="6E86CE54" w14:textId="63FA5239" w:rsidR="007B0AA0" w:rsidRDefault="00AA0EDB" w:rsidP="00AA0EDB">
            <w:pPr>
              <w:rPr>
                <w:rtl/>
              </w:rPr>
            </w:pPr>
            <w:r w:rsidRPr="00AA0EDB">
              <w:rPr>
                <w:rtl/>
              </w:rPr>
              <w:t xml:space="preserve">يلخص هذا التقرير النتائج الرئيسية للاجتماعين الثالث والعشرين والرابع والعشرين لفريق العمل التابع للمجلس والمعني بحماية الأطفال على الإنترنت </w:t>
            </w:r>
            <w:r w:rsidRPr="00AA0EDB">
              <w:t>(CWG-COP)</w:t>
            </w:r>
            <w:r w:rsidRPr="00AA0EDB">
              <w:rPr>
                <w:rtl/>
              </w:rPr>
              <w:t>، اللذين عُقِدا في 16 سبتمبر 2025 و19 يناير 2026 على التوالي، في إطار عمل الفريق منذ بداية دورة المجلس لعام 2025.</w:t>
            </w:r>
          </w:p>
          <w:p w14:paraId="44A64F0C" w14:textId="77777777" w:rsidR="007B0AA0" w:rsidRPr="007B0AA0" w:rsidRDefault="007B0AA0" w:rsidP="007B0AA0">
            <w:pPr>
              <w:rPr>
                <w:b/>
                <w:bCs/>
                <w:rtl/>
              </w:rPr>
            </w:pPr>
            <w:r w:rsidRPr="007B0AA0">
              <w:rPr>
                <w:rFonts w:hint="cs"/>
                <w:b/>
                <w:bCs/>
                <w:rtl/>
              </w:rPr>
              <w:t>الإجراء المطلوب من المجلس</w:t>
            </w:r>
          </w:p>
          <w:p w14:paraId="3B3353CE" w14:textId="7B4B9925" w:rsidR="007B0AA0" w:rsidRDefault="00AA0EDB" w:rsidP="00AA0EDB">
            <w:pPr>
              <w:rPr>
                <w:rtl/>
              </w:rPr>
            </w:pPr>
            <w:r w:rsidRPr="00AA0EDB">
              <w:rPr>
                <w:rtl/>
              </w:rPr>
              <w:t xml:space="preserve">يُدعى المجلس إلى </w:t>
            </w:r>
            <w:r w:rsidRPr="00D3714B">
              <w:rPr>
                <w:b/>
                <w:bCs/>
                <w:rtl/>
              </w:rPr>
              <w:t>الإحاطة علماً</w:t>
            </w:r>
            <w:r w:rsidRPr="00AA0EDB">
              <w:rPr>
                <w:rtl/>
              </w:rPr>
              <w:t xml:space="preserve"> بالتقرير.</w:t>
            </w:r>
          </w:p>
          <w:p w14:paraId="3B22D483"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423F74CA" w14:textId="07FA2DED" w:rsidR="007B0AA0" w:rsidRDefault="00AA0EDB" w:rsidP="00AA0EDB">
            <w:pPr>
              <w:rPr>
                <w:rtl/>
              </w:rPr>
            </w:pPr>
            <w:r w:rsidRPr="00AA0EDB">
              <w:rPr>
                <w:rtl/>
              </w:rPr>
              <w:t>التحول الرقمي المستدام: تعزيز الاستخدام المنصف والشامل للاتصالات/تكنولوجيا المعلومات والاتصالات لتمكين الأشخاص والمجتمعات تحقيقاً للتنمية المستدامة.</w:t>
            </w:r>
          </w:p>
          <w:p w14:paraId="17704300" w14:textId="77777777" w:rsidR="007B0AA0" w:rsidRDefault="007B0AA0" w:rsidP="00B97F32">
            <w:pPr>
              <w:rPr>
                <w:b/>
                <w:bCs/>
              </w:rPr>
            </w:pPr>
            <w:r w:rsidRPr="007B0AA0">
              <w:rPr>
                <w:rFonts w:hint="cs"/>
                <w:b/>
                <w:bCs/>
                <w:rtl/>
              </w:rPr>
              <w:t>الآثار المالية</w:t>
            </w:r>
          </w:p>
          <w:p w14:paraId="48C713C4" w14:textId="4AB34F0D" w:rsidR="006F363C" w:rsidRPr="005546CF" w:rsidRDefault="00AA0EDB" w:rsidP="00AA0EDB">
            <w:pPr>
              <w:rPr>
                <w:rtl/>
              </w:rPr>
            </w:pPr>
            <w:r w:rsidRPr="00AA0EDB">
              <w:rPr>
                <w:rtl/>
              </w:rPr>
              <w:t xml:space="preserve">ضمن الميزانية المخصصة لفترة السنتين </w:t>
            </w:r>
            <w:r>
              <w:t>2026-2025</w:t>
            </w:r>
            <w:r w:rsidRPr="00AA0EDB">
              <w:rPr>
                <w:rtl/>
              </w:rPr>
              <w:t>.</w:t>
            </w:r>
          </w:p>
          <w:p w14:paraId="184E2BF5"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09F9231C" w14:textId="77777777" w:rsidR="007B0AA0" w:rsidRPr="007B0AA0" w:rsidRDefault="007B0AA0" w:rsidP="007B0AA0">
            <w:pPr>
              <w:rPr>
                <w:b/>
                <w:bCs/>
                <w:rtl/>
              </w:rPr>
            </w:pPr>
            <w:r w:rsidRPr="007B0AA0">
              <w:rPr>
                <w:rFonts w:hint="cs"/>
                <w:b/>
                <w:bCs/>
                <w:rtl/>
              </w:rPr>
              <w:t>المراجع</w:t>
            </w:r>
          </w:p>
          <w:p w14:paraId="35C49920" w14:textId="6646C038" w:rsidR="007B0AA0" w:rsidRPr="005546CF" w:rsidRDefault="00AA0EDB" w:rsidP="00AA0EDB">
            <w:pPr>
              <w:rPr>
                <w:i/>
                <w:iCs/>
                <w:rtl/>
              </w:rPr>
            </w:pPr>
            <w:hyperlink r:id="rId8" w:history="1">
              <w:r w:rsidRPr="00D3714B">
                <w:rPr>
                  <w:rStyle w:val="Hyperlink"/>
                  <w:i/>
                  <w:iCs/>
                  <w:noProof w:val="0"/>
                  <w:rtl/>
                  <w:lang w:val="en-US" w:eastAsia="zh-CN"/>
                </w:rPr>
                <w:t>القرار 179</w:t>
              </w:r>
            </w:hyperlink>
            <w:r w:rsidRPr="00AA0EDB">
              <w:rPr>
                <w:i/>
                <w:iCs/>
                <w:rtl/>
              </w:rPr>
              <w:t xml:space="preserve"> (المراجَع في بوخارست،</w:t>
            </w:r>
            <w:r w:rsidRPr="00AA0EDB">
              <w:rPr>
                <w:i/>
                <w:iCs/>
              </w:rPr>
              <w:t xml:space="preserve"> </w:t>
            </w:r>
            <w:r w:rsidRPr="00AA0EDB">
              <w:rPr>
                <w:i/>
                <w:iCs/>
                <w:rtl/>
              </w:rPr>
              <w:t>2022) لمؤتمر المندوبين المفوضين؛</w:t>
            </w:r>
            <w:r w:rsidRPr="00AA0EDB">
              <w:rPr>
                <w:i/>
                <w:iCs/>
              </w:rPr>
              <w:t xml:space="preserve"> </w:t>
            </w:r>
            <w:hyperlink r:id="rId9" w:anchor="/ar" w:history="1">
              <w:r w:rsidRPr="00D3714B">
                <w:rPr>
                  <w:rStyle w:val="Hyperlink"/>
                  <w:i/>
                  <w:iCs/>
                  <w:noProof w:val="0"/>
                  <w:rtl/>
                  <w:lang w:val="en-US" w:eastAsia="zh-CN"/>
                </w:rPr>
                <w:t>الموقع الإلكتروني لفريق العمل التابع للمجلس والمعني بحماية الأطفال على الإنترنت</w:t>
              </w:r>
              <w:r w:rsidR="00D3714B">
                <w:rPr>
                  <w:rStyle w:val="Hyperlink"/>
                  <w:rFonts w:hint="cs"/>
                  <w:i/>
                  <w:iCs/>
                  <w:noProof w:val="0"/>
                  <w:rtl/>
                  <w:lang w:val="en-US" w:eastAsia="zh-CN"/>
                </w:rPr>
                <w:t xml:space="preserve"> </w:t>
              </w:r>
              <w:r w:rsidRPr="00D3714B">
                <w:rPr>
                  <w:rStyle w:val="Hyperlink"/>
                  <w:i/>
                  <w:iCs/>
                  <w:noProof w:val="0"/>
                  <w:lang w:val="en-US" w:eastAsia="zh-CN"/>
                </w:rPr>
                <w:t>(CWG-COP)</w:t>
              </w:r>
            </w:hyperlink>
            <w:r w:rsidR="00D3714B">
              <w:rPr>
                <w:rFonts w:hint="cs"/>
                <w:i/>
                <w:iCs/>
                <w:rtl/>
              </w:rPr>
              <w:t xml:space="preserve"> </w:t>
            </w:r>
            <w:r w:rsidRPr="00AA0EDB">
              <w:rPr>
                <w:i/>
                <w:iCs/>
                <w:rtl/>
              </w:rPr>
              <w:t xml:space="preserve">والتقريران الموجزان للاجتماعين </w:t>
            </w:r>
            <w:hyperlink r:id="rId10" w:anchor="/ar" w:history="1">
              <w:r w:rsidRPr="00D3714B">
                <w:rPr>
                  <w:rStyle w:val="Hyperlink"/>
                  <w:i/>
                  <w:iCs/>
                  <w:noProof w:val="0"/>
                  <w:rtl/>
                  <w:lang w:val="en-US" w:eastAsia="zh-CN"/>
                </w:rPr>
                <w:t>الثالث والعشرين</w:t>
              </w:r>
            </w:hyperlink>
            <w:r w:rsidRPr="00AA0EDB">
              <w:rPr>
                <w:i/>
                <w:iCs/>
                <w:rtl/>
              </w:rPr>
              <w:t xml:space="preserve"> و</w:t>
            </w:r>
            <w:hyperlink r:id="rId11" w:anchor="/ar" w:history="1">
              <w:r w:rsidRPr="00D3714B">
                <w:rPr>
                  <w:rStyle w:val="Hyperlink"/>
                  <w:i/>
                  <w:iCs/>
                  <w:noProof w:val="0"/>
                  <w:rtl/>
                  <w:lang w:val="en-US" w:eastAsia="zh-CN"/>
                </w:rPr>
                <w:t>الرابع والعشرين</w:t>
              </w:r>
            </w:hyperlink>
            <w:r w:rsidRPr="00AA0EDB">
              <w:rPr>
                <w:i/>
                <w:iCs/>
              </w:rPr>
              <w:t>.</w:t>
            </w:r>
          </w:p>
        </w:tc>
      </w:tr>
    </w:tbl>
    <w:p w14:paraId="13C6A85A" w14:textId="77777777" w:rsidR="00E61BE8" w:rsidRDefault="00E61BE8" w:rsidP="00E61BE8">
      <w:pPr>
        <w:rPr>
          <w:rtl/>
          <w:lang w:bidi="ar-EG"/>
        </w:rPr>
      </w:pPr>
    </w:p>
    <w:p w14:paraId="47354150" w14:textId="77777777" w:rsidR="00F50E3F" w:rsidRDefault="00F50E3F" w:rsidP="0043260A">
      <w:pPr>
        <w:rPr>
          <w:rtl/>
          <w:lang w:bidi="ar-EG"/>
        </w:rPr>
      </w:pPr>
      <w:r>
        <w:rPr>
          <w:rtl/>
          <w:lang w:bidi="ar-EG"/>
        </w:rPr>
        <w:br w:type="page"/>
      </w:r>
    </w:p>
    <w:p w14:paraId="1EC14237" w14:textId="77777777" w:rsidR="00AA0EDB" w:rsidRPr="00AA0EDB" w:rsidRDefault="00AA0EDB" w:rsidP="00D3714B">
      <w:pPr>
        <w:pStyle w:val="Heading1"/>
        <w:rPr>
          <w:lang w:val="ar-SA" w:bidi="ar-EG"/>
        </w:rPr>
      </w:pPr>
      <w:r w:rsidRPr="00AA0EDB">
        <w:rPr>
          <w:rtl/>
        </w:rPr>
        <w:lastRenderedPageBreak/>
        <w:t>1</w:t>
      </w:r>
      <w:r w:rsidRPr="00AA0EDB">
        <w:rPr>
          <w:rtl/>
        </w:rPr>
        <w:tab/>
        <w:t>مقدمة</w:t>
      </w:r>
    </w:p>
    <w:p w14:paraId="77160262" w14:textId="05576F5A" w:rsidR="00AA0EDB" w:rsidRPr="00AA0EDB" w:rsidRDefault="00D3714B" w:rsidP="00AA0EDB">
      <w:pPr>
        <w:rPr>
          <w:lang w:val="ar-SA" w:bidi="ar-EG"/>
        </w:rPr>
      </w:pPr>
      <w:r>
        <w:t>1.1</w:t>
      </w:r>
      <w:r w:rsidR="00AA0EDB" w:rsidRPr="00AA0EDB">
        <w:rPr>
          <w:rtl/>
        </w:rPr>
        <w:tab/>
        <w:t xml:space="preserve">أُنشئ </w:t>
      </w:r>
      <w:hyperlink r:id="rId12" w:anchor="/ar" w:history="1">
        <w:r w:rsidR="00AA0EDB" w:rsidRPr="00AA0EDB">
          <w:rPr>
            <w:rStyle w:val="Hyperlink"/>
            <w:noProof w:val="0"/>
            <w:rtl/>
            <w:lang w:val="en-US" w:eastAsia="zh-CN"/>
          </w:rPr>
          <w:t xml:space="preserve">فريق العمل التابع لمجلس الاتحاد والمعني بحماية الأطفال على الإنترنت </w:t>
        </w:r>
        <w:r w:rsidR="00AA0EDB" w:rsidRPr="00AA0EDB">
          <w:rPr>
            <w:rStyle w:val="Hyperlink"/>
            <w:noProof w:val="0"/>
            <w:lang w:val="en-US" w:eastAsia="zh-CN" w:bidi="ar-EG"/>
          </w:rPr>
          <w:t>(CWG-COP)</w:t>
        </w:r>
      </w:hyperlink>
      <w:r w:rsidR="00AA0EDB" w:rsidRPr="00AA0EDB">
        <w:rPr>
          <w:rtl/>
        </w:rPr>
        <w:t xml:space="preserve"> بموجب </w:t>
      </w:r>
      <w:hyperlink r:id="rId13" w:history="1">
        <w:r w:rsidR="00AA0EDB" w:rsidRPr="00AA0EDB">
          <w:rPr>
            <w:rStyle w:val="Hyperlink"/>
            <w:noProof w:val="0"/>
            <w:rtl/>
            <w:lang w:val="en-US" w:eastAsia="zh-CN"/>
          </w:rPr>
          <w:t>القرار 1306</w:t>
        </w:r>
      </w:hyperlink>
      <w:r w:rsidR="00AA0EDB" w:rsidRPr="00AA0EDB">
        <w:rPr>
          <w:rtl/>
        </w:rPr>
        <w:t xml:space="preserve"> (المعدَّل في 2015) للمجلس، وفقاً </w:t>
      </w:r>
      <w:hyperlink r:id="rId14" w:history="1">
        <w:r w:rsidR="00AA0EDB" w:rsidRPr="00AA0EDB">
          <w:rPr>
            <w:rStyle w:val="Hyperlink"/>
            <w:noProof w:val="0"/>
            <w:rtl/>
            <w:lang w:val="en-US" w:eastAsia="zh-CN"/>
          </w:rPr>
          <w:t>للقرار 179</w:t>
        </w:r>
      </w:hyperlink>
      <w:r w:rsidR="00AA0EDB" w:rsidRPr="00AA0EDB">
        <w:rPr>
          <w:rtl/>
        </w:rPr>
        <w:t xml:space="preserve"> (المراجَع في بوخارست، 2022) لمؤتمر المندوبين المفوضين للاتحاد. وباب المشاركة في أعمال هذا الفريق مفتوح أمام جميع أصحاب المصلحة المعنيين.</w:t>
      </w:r>
      <w:r w:rsidR="00AA0EDB">
        <w:fldChar w:fldCharType="begin"/>
      </w:r>
      <w:r w:rsidR="00AA0EDB">
        <w:instrText>HYPERLINK "https://www.itu.int/en/council/cwg-cop/Pages/default.aspx"</w:instrText>
      </w:r>
      <w:r w:rsidR="00AA0EDB">
        <w:fldChar w:fldCharType="separate"/>
      </w:r>
      <w:r w:rsidR="00AA0EDB">
        <w:fldChar w:fldCharType="end"/>
      </w:r>
      <w:hyperlink r:id="rId15" w:history="1"/>
      <w:hyperlink r:id="rId16" w:history="1"/>
    </w:p>
    <w:p w14:paraId="2266519B" w14:textId="0593D7BA" w:rsidR="00AA0EDB" w:rsidRPr="00AA0EDB" w:rsidRDefault="00D3714B" w:rsidP="00AA0EDB">
      <w:pPr>
        <w:rPr>
          <w:lang w:val="ar-SA" w:bidi="ar-EG"/>
        </w:rPr>
      </w:pPr>
      <w:r>
        <w:t>2.1</w:t>
      </w:r>
      <w:r w:rsidR="00AA0EDB" w:rsidRPr="00AA0EDB">
        <w:rPr>
          <w:rtl/>
        </w:rPr>
        <w:tab/>
        <w:t xml:space="preserve">وتحدَّد اختصاصات فريق العمل التابع للمجلس والمعني بحماية الأطفال على الإنترنت </w:t>
      </w:r>
      <w:r w:rsidR="00AA0EDB" w:rsidRPr="00AA0EDB">
        <w:rPr>
          <w:lang w:bidi="ar-EG"/>
        </w:rPr>
        <w:t>(‎CWG-COP)</w:t>
      </w:r>
      <w:r w:rsidR="00AA0EDB" w:rsidRPr="00AA0EDB">
        <w:rPr>
          <w:rtl/>
        </w:rPr>
        <w:t xml:space="preserve"> في </w:t>
      </w:r>
      <w:hyperlink r:id="rId17" w:history="1">
        <w:r w:rsidR="00AA0EDB" w:rsidRPr="00AA0EDB">
          <w:rPr>
            <w:rStyle w:val="Hyperlink"/>
            <w:noProof w:val="0"/>
            <w:rtl/>
            <w:lang w:val="en-US" w:eastAsia="zh-CN"/>
          </w:rPr>
          <w:t>الملحق 1 بتقرير نتائج الاجتماع الأول</w:t>
        </w:r>
      </w:hyperlink>
      <w:r w:rsidR="00AA0EDB" w:rsidRPr="00AA0EDB">
        <w:rPr>
          <w:rtl/>
        </w:rPr>
        <w:t>.</w:t>
      </w:r>
      <w:hyperlink r:id="rId18" w:history="1"/>
    </w:p>
    <w:p w14:paraId="4A555F48" w14:textId="682E87BB" w:rsidR="00AA0EDB" w:rsidRPr="00AA0EDB" w:rsidRDefault="00D3714B" w:rsidP="00AA0EDB">
      <w:pPr>
        <w:rPr>
          <w:lang w:val="ar-SA" w:bidi="ar-EG"/>
        </w:rPr>
      </w:pPr>
      <w:r>
        <w:t>3.1</w:t>
      </w:r>
      <w:r w:rsidR="00AA0EDB" w:rsidRPr="00AA0EDB">
        <w:rPr>
          <w:rtl/>
        </w:rPr>
        <w:tab/>
        <w:t>وطُلب من المجلس بموجب القرار 179 (المراجَع في بوخارست، 2022) لمؤتمر المندوبين المفوضين ما يلي:</w:t>
      </w:r>
    </w:p>
    <w:p w14:paraId="48351AEF" w14:textId="77777777" w:rsidR="00AA0EDB" w:rsidRPr="00AA0EDB" w:rsidRDefault="00AA0EDB" w:rsidP="00D3714B">
      <w:pPr>
        <w:pStyle w:val="enumlev1"/>
        <w:rPr>
          <w:lang w:val="ar-SA" w:bidi="ar-EG"/>
        </w:rPr>
      </w:pPr>
      <w:r w:rsidRPr="00AA0EDB">
        <w:rPr>
          <w:lang w:bidi="ar-EG"/>
        </w:rPr>
        <w:t>–</w:t>
      </w:r>
      <w:r w:rsidRPr="00AA0EDB">
        <w:rPr>
          <w:rtl/>
        </w:rPr>
        <w:tab/>
        <w:t xml:space="preserve">استمرار فريق العمل التابع للمجلس والمعني بحماية الأطفال على الإنترنت </w:t>
      </w:r>
      <w:r w:rsidRPr="00AA0EDB">
        <w:rPr>
          <w:lang w:bidi="ar-EG"/>
        </w:rPr>
        <w:t>(‎CWG-COP)</w:t>
      </w:r>
      <w:r w:rsidRPr="00AA0EDB">
        <w:rPr>
          <w:rtl/>
        </w:rPr>
        <w:t xml:space="preserve"> في عمله ليسهل على الأعضاء التقدم بمساهماتهم وتوجيهاتهم بشأن دور الاتحاد في حماية الأطفال على الإنترنت، والعمل كمنصة لمناقشة الممارسات الفضلى </w:t>
      </w:r>
      <w:proofErr w:type="gramStart"/>
      <w:r w:rsidRPr="00AA0EDB">
        <w:rPr>
          <w:rtl/>
        </w:rPr>
        <w:t>وتبادلها؛</w:t>
      </w:r>
      <w:proofErr w:type="gramEnd"/>
      <w:r w:rsidRPr="00AA0EDB">
        <w:rPr>
          <w:rtl/>
        </w:rPr>
        <w:t xml:space="preserve"> </w:t>
      </w:r>
    </w:p>
    <w:p w14:paraId="38570B21" w14:textId="77777777" w:rsidR="00AA0EDB" w:rsidRPr="00AA0EDB" w:rsidRDefault="00AA0EDB" w:rsidP="00D3714B">
      <w:pPr>
        <w:pStyle w:val="enumlev1"/>
        <w:rPr>
          <w:lang w:val="ar-SA" w:bidi="ar-EG"/>
        </w:rPr>
      </w:pPr>
      <w:r w:rsidRPr="00AA0EDB">
        <w:rPr>
          <w:lang w:bidi="ar-EG"/>
        </w:rPr>
        <w:t>–</w:t>
      </w:r>
      <w:r w:rsidRPr="00AA0EDB">
        <w:rPr>
          <w:rtl/>
        </w:rPr>
        <w:tab/>
        <w:t xml:space="preserve">تيسير إسهام جميع أصحاب المصلحة المعنين ومشاركتهم في فريق العمل التابع للمجلس والمعني بحماية الأطفال على الإنترنت </w:t>
      </w:r>
      <w:r w:rsidRPr="00AA0EDB">
        <w:rPr>
          <w:lang w:bidi="ar-EG"/>
        </w:rPr>
        <w:t>(‎CWG-COP)</w:t>
      </w:r>
      <w:r w:rsidRPr="00AA0EDB">
        <w:rPr>
          <w:rtl/>
        </w:rPr>
        <w:t xml:space="preserve"> لضمان أقصى قدر من التعاون في تنفيذ هذا </w:t>
      </w:r>
      <w:proofErr w:type="gramStart"/>
      <w:r w:rsidRPr="00AA0EDB">
        <w:rPr>
          <w:rtl/>
        </w:rPr>
        <w:t>القرار؛</w:t>
      </w:r>
      <w:proofErr w:type="gramEnd"/>
      <w:r w:rsidRPr="00AA0EDB">
        <w:rPr>
          <w:rtl/>
        </w:rPr>
        <w:t xml:space="preserve"> </w:t>
      </w:r>
    </w:p>
    <w:p w14:paraId="7E52D5B0" w14:textId="77777777" w:rsidR="00AA0EDB" w:rsidRPr="00AA0EDB" w:rsidRDefault="00AA0EDB" w:rsidP="00D3714B">
      <w:pPr>
        <w:pStyle w:val="enumlev1"/>
        <w:rPr>
          <w:lang w:val="ar-SA" w:bidi="ar-EG"/>
        </w:rPr>
      </w:pPr>
      <w:r w:rsidRPr="00AA0EDB">
        <w:rPr>
          <w:lang w:bidi="ar-EG"/>
        </w:rPr>
        <w:t>–</w:t>
      </w:r>
      <w:r w:rsidRPr="00AA0EDB">
        <w:rPr>
          <w:rtl/>
        </w:rPr>
        <w:tab/>
        <w:t xml:space="preserve">تشجيع فريق العمل التابع للمجلس والمعني بحماية الأطفال على الإنترنت </w:t>
      </w:r>
      <w:r w:rsidRPr="00AA0EDB">
        <w:rPr>
          <w:lang w:bidi="ar-EG"/>
        </w:rPr>
        <w:t>(CWG-COP)</w:t>
      </w:r>
      <w:r w:rsidRPr="00AA0EDB">
        <w:rPr>
          <w:rtl/>
        </w:rPr>
        <w:t xml:space="preserve"> على التواصل مع فريق العمل التابع للمجلس والمعني بقضايا السياسة العامة الدولية المتعلقة بالإنترنت </w:t>
      </w:r>
      <w:r w:rsidRPr="00AA0EDB">
        <w:rPr>
          <w:lang w:bidi="ar-EG"/>
        </w:rPr>
        <w:t>(CWG-</w:t>
      </w:r>
      <w:proofErr w:type="gramStart"/>
      <w:r w:rsidRPr="00AA0EDB">
        <w:rPr>
          <w:lang w:bidi="ar-EG"/>
        </w:rPr>
        <w:t>Internet)</w:t>
      </w:r>
      <w:r w:rsidRPr="00AA0EDB">
        <w:rPr>
          <w:rtl/>
        </w:rPr>
        <w:t>،</w:t>
      </w:r>
      <w:proofErr w:type="gramEnd"/>
      <w:r w:rsidRPr="00AA0EDB">
        <w:rPr>
          <w:rtl/>
        </w:rPr>
        <w:t xml:space="preserve"> حسب الاقتضاء، من أجل المساهمة بطريقة مفيدة للطرفين في إنجاز العمل في القضايا ذات الصلة في إطار ولايتي فريقي العمل هذين التابعين </w:t>
      </w:r>
      <w:proofErr w:type="gramStart"/>
      <w:r w:rsidRPr="00AA0EDB">
        <w:rPr>
          <w:rtl/>
        </w:rPr>
        <w:t>للمجلس؛</w:t>
      </w:r>
      <w:proofErr w:type="gramEnd"/>
      <w:r w:rsidRPr="00AA0EDB">
        <w:rPr>
          <w:rtl/>
        </w:rPr>
        <w:t xml:space="preserve"> </w:t>
      </w:r>
    </w:p>
    <w:p w14:paraId="4ADCC5EF" w14:textId="77777777" w:rsidR="00AA0EDB" w:rsidRPr="00AA0EDB" w:rsidRDefault="00AA0EDB" w:rsidP="00D3714B">
      <w:pPr>
        <w:pStyle w:val="enumlev1"/>
        <w:rPr>
          <w:lang w:val="ar-SA" w:bidi="ar-EG"/>
        </w:rPr>
      </w:pPr>
      <w:r w:rsidRPr="00AA0EDB">
        <w:rPr>
          <w:lang w:bidi="ar-EG"/>
        </w:rPr>
        <w:t>–</w:t>
      </w:r>
      <w:r w:rsidRPr="00AA0EDB">
        <w:rPr>
          <w:rtl/>
        </w:rPr>
        <w:tab/>
        <w:t xml:space="preserve">تشجيع فريق العمل التابع للمجلس والمعني بحماية الأطفال على الإنترنت </w:t>
      </w:r>
      <w:r w:rsidRPr="00AA0EDB">
        <w:rPr>
          <w:lang w:bidi="ar-EG"/>
        </w:rPr>
        <w:t>(CWG-COP)</w:t>
      </w:r>
      <w:r w:rsidRPr="00AA0EDB">
        <w:rPr>
          <w:rtl/>
        </w:rPr>
        <w:t xml:space="preserve"> على التواصل مع لجنة الدراسات 2 التابعة لقطاع تنمية الاتصالات واطلاعها على نواتج اجتماعاته لفائدة المناقشات المتعلقة بمسألة الدراسة ذات </w:t>
      </w:r>
      <w:proofErr w:type="gramStart"/>
      <w:r w:rsidRPr="00AA0EDB">
        <w:rPr>
          <w:rtl/>
        </w:rPr>
        <w:t>الصلة؛</w:t>
      </w:r>
      <w:proofErr w:type="gramEnd"/>
      <w:r w:rsidRPr="00AA0EDB">
        <w:rPr>
          <w:rtl/>
        </w:rPr>
        <w:t xml:space="preserve"> </w:t>
      </w:r>
    </w:p>
    <w:p w14:paraId="12A24B8D" w14:textId="77777777" w:rsidR="00AA0EDB" w:rsidRPr="00AA0EDB" w:rsidRDefault="00AA0EDB" w:rsidP="00D3714B">
      <w:pPr>
        <w:pStyle w:val="enumlev1"/>
        <w:rPr>
          <w:lang w:val="ar-SA" w:bidi="ar-EG"/>
        </w:rPr>
      </w:pPr>
      <w:r w:rsidRPr="00AA0EDB">
        <w:rPr>
          <w:lang w:bidi="ar-EG"/>
        </w:rPr>
        <w:t>–</w:t>
      </w:r>
      <w:r w:rsidRPr="00AA0EDB">
        <w:rPr>
          <w:rtl/>
        </w:rPr>
        <w:tab/>
        <w:t xml:space="preserve">تشجيع فريق العمل التابع للمجلس والمعني بحماية الأطفال على الإنترنت </w:t>
      </w:r>
      <w:r w:rsidRPr="00AA0EDB">
        <w:rPr>
          <w:lang w:bidi="ar-EG"/>
        </w:rPr>
        <w:t>(‎CWG-COP)</w:t>
      </w:r>
      <w:r w:rsidRPr="00AA0EDB">
        <w:rPr>
          <w:rtl/>
        </w:rPr>
        <w:t xml:space="preserve"> على أن يجري مشاورات على الإنترنت مع الشباب للاستماع إلى آرائهم ورؤاهم بشأن مختلف المسائل المتعلقة بحماية الأطفال على الإنترنت، وذلك قبل وأثناء اجتماعات </w:t>
      </w:r>
      <w:proofErr w:type="gramStart"/>
      <w:r w:rsidRPr="00AA0EDB">
        <w:rPr>
          <w:rtl/>
        </w:rPr>
        <w:t>الفريق؛</w:t>
      </w:r>
      <w:proofErr w:type="gramEnd"/>
      <w:r w:rsidRPr="00AA0EDB">
        <w:rPr>
          <w:rtl/>
        </w:rPr>
        <w:t xml:space="preserve"> </w:t>
      </w:r>
    </w:p>
    <w:p w14:paraId="77391F02" w14:textId="77777777" w:rsidR="00AA0EDB" w:rsidRPr="00AA0EDB" w:rsidRDefault="00AA0EDB" w:rsidP="00D3714B">
      <w:pPr>
        <w:pStyle w:val="enumlev1"/>
        <w:rPr>
          <w:lang w:val="ar-SA" w:bidi="ar-EG"/>
        </w:rPr>
      </w:pPr>
      <w:r w:rsidRPr="00AA0EDB">
        <w:rPr>
          <w:lang w:bidi="ar-EG"/>
        </w:rPr>
        <w:t>–</w:t>
      </w:r>
      <w:r w:rsidRPr="00AA0EDB">
        <w:rPr>
          <w:rtl/>
        </w:rPr>
        <w:tab/>
        <w:t>مواصلة إتاحة جميع الوثائق الصادرة المتعلقة بقضايا حماية الأطفال على الإنترنت للجمهور بدون حماية بكلمة مرور.</w:t>
      </w:r>
    </w:p>
    <w:p w14:paraId="6567982B" w14:textId="77777777" w:rsidR="00AA0EDB" w:rsidRPr="00AA0EDB" w:rsidRDefault="00AA0EDB" w:rsidP="00D3714B">
      <w:pPr>
        <w:pStyle w:val="Heading1"/>
        <w:rPr>
          <w:lang w:val="ar-SA" w:bidi="ar-EG"/>
        </w:rPr>
      </w:pPr>
      <w:r w:rsidRPr="00AA0EDB">
        <w:rPr>
          <w:rtl/>
        </w:rPr>
        <w:t>2</w:t>
      </w:r>
      <w:r w:rsidRPr="00AA0EDB">
        <w:rPr>
          <w:rtl/>
        </w:rPr>
        <w:tab/>
        <w:t>أنشطة فريق العمل التابع للمجلس والمعني بحماية الأطفال على الإنترنت</w:t>
      </w:r>
    </w:p>
    <w:p w14:paraId="5245A0FB" w14:textId="2F380994" w:rsidR="00AA0EDB" w:rsidRPr="00AA0EDB" w:rsidRDefault="00D3714B" w:rsidP="00AA0EDB">
      <w:pPr>
        <w:rPr>
          <w:lang w:val="ar-SA" w:bidi="ar-EG"/>
        </w:rPr>
      </w:pPr>
      <w:r>
        <w:t>1.2</w:t>
      </w:r>
      <w:r w:rsidR="00AA0EDB" w:rsidRPr="00AA0EDB">
        <w:rPr>
          <w:rtl/>
        </w:rPr>
        <w:tab/>
        <w:t xml:space="preserve">تتضمن هذه الوثيقة ملخص الرئيس بشأن أنشطة ونتائج الاجتماعين الثالث والعشرين والرابع والعشرين لفريق العمل التابع للمجلس والمعني بحماية الأطفال على الإنترنت </w:t>
      </w:r>
      <w:r w:rsidR="00AA0EDB" w:rsidRPr="00AA0EDB">
        <w:rPr>
          <w:lang w:bidi="ar-EG"/>
        </w:rPr>
        <w:t>(CWG-</w:t>
      </w:r>
      <w:proofErr w:type="gramStart"/>
      <w:r w:rsidR="00AA0EDB" w:rsidRPr="00AA0EDB">
        <w:rPr>
          <w:lang w:bidi="ar-EG"/>
        </w:rPr>
        <w:t>COP)</w:t>
      </w:r>
      <w:r w:rsidR="00AA0EDB" w:rsidRPr="00AA0EDB">
        <w:rPr>
          <w:rtl/>
        </w:rPr>
        <w:t>،</w:t>
      </w:r>
      <w:proofErr w:type="gramEnd"/>
      <w:r w:rsidR="00AA0EDB" w:rsidRPr="00AA0EDB">
        <w:rPr>
          <w:rtl/>
        </w:rPr>
        <w:t xml:space="preserve"> اللذين عُقِدا في 16 سبتمبر 2025 و19 يناير 2026 على التوالي، في إطار عمل الفريق منذ بداية دورة المجلس لعام 2025.</w:t>
      </w:r>
    </w:p>
    <w:p w14:paraId="543DA495" w14:textId="77777777" w:rsidR="00AA0EDB" w:rsidRPr="00AA0EDB" w:rsidRDefault="00AA0EDB" w:rsidP="00AA0EDB">
      <w:pPr>
        <w:rPr>
          <w:lang w:val="ar-SA" w:bidi="ar-EG"/>
        </w:rPr>
      </w:pPr>
      <w:r w:rsidRPr="00AA0EDB">
        <w:rPr>
          <w:rtl/>
        </w:rPr>
        <w:t>وخلال هذه الفترة، ركز عمل هذا الفريق على ما يلي:</w:t>
      </w:r>
    </w:p>
    <w:p w14:paraId="5BDFDB71" w14:textId="05C0DB19" w:rsidR="00AA0EDB" w:rsidRPr="00AA0EDB" w:rsidRDefault="00D3714B" w:rsidP="00D3714B">
      <w:pPr>
        <w:pStyle w:val="enumlev1"/>
        <w:rPr>
          <w:lang w:val="ar-SA" w:bidi="ar-EG"/>
        </w:rPr>
      </w:pPr>
      <w:r>
        <w:rPr>
          <w:rFonts w:hint="cs"/>
          <w:rtl/>
          <w:lang w:bidi="ar-EG"/>
        </w:rPr>
        <w:t xml:space="preserve"> </w:t>
      </w:r>
      <w:r w:rsidR="00AA0EDB" w:rsidRPr="00AA0EDB">
        <w:rPr>
          <w:rtl/>
        </w:rPr>
        <w:t>أ</w:t>
      </w:r>
      <w:r>
        <w:rPr>
          <w:rFonts w:hint="cs"/>
          <w:rtl/>
        </w:rPr>
        <w:t xml:space="preserve"> </w:t>
      </w:r>
      <w:r w:rsidR="00AA0EDB" w:rsidRPr="00AA0EDB">
        <w:rPr>
          <w:rtl/>
        </w:rPr>
        <w:t>)</w:t>
      </w:r>
      <w:r w:rsidR="00AA0EDB" w:rsidRPr="00AA0EDB">
        <w:rPr>
          <w:rtl/>
        </w:rPr>
        <w:tab/>
        <w:t>النهوض بالمناقشات الاستراتيجية بشأن حماية الأطفال على الإنترنت في سياق التكنولوجيات الناشئة، ولا</w:t>
      </w:r>
      <w:r w:rsidR="007C1DD6">
        <w:rPr>
          <w:rFonts w:hint="cs"/>
          <w:rtl/>
        </w:rPr>
        <w:t> </w:t>
      </w:r>
      <w:r w:rsidR="00AA0EDB" w:rsidRPr="00AA0EDB">
        <w:rPr>
          <w:rtl/>
        </w:rPr>
        <w:t>سيما الذكاء الاصطناعي؛</w:t>
      </w:r>
    </w:p>
    <w:p w14:paraId="35F26CCC" w14:textId="77777777" w:rsidR="00AA0EDB" w:rsidRPr="00AA0EDB" w:rsidRDefault="00AA0EDB" w:rsidP="00D3714B">
      <w:pPr>
        <w:pStyle w:val="enumlev1"/>
        <w:rPr>
          <w:lang w:val="ar-SA" w:bidi="ar-EG"/>
        </w:rPr>
      </w:pPr>
      <w:r w:rsidRPr="00AA0EDB">
        <w:rPr>
          <w:rtl/>
        </w:rPr>
        <w:t>ب)</w:t>
      </w:r>
      <w:r w:rsidRPr="00AA0EDB">
        <w:rPr>
          <w:rtl/>
        </w:rPr>
        <w:tab/>
        <w:t>عرض المبادرات الوطنية والإقليمية والقائمة على قيادة القطاع والتي تعالج المخاطر والفرص المتعلقة بسلامة الأطفال على الإنترنت؛</w:t>
      </w:r>
    </w:p>
    <w:p w14:paraId="3044936B" w14:textId="77777777" w:rsidR="00AA0EDB" w:rsidRPr="00AA0EDB" w:rsidRDefault="00AA0EDB" w:rsidP="00D3714B">
      <w:pPr>
        <w:pStyle w:val="enumlev1"/>
        <w:rPr>
          <w:lang w:val="ar-SA" w:bidi="ar-EG"/>
        </w:rPr>
      </w:pPr>
      <w:r w:rsidRPr="00AA0EDB">
        <w:rPr>
          <w:rtl/>
        </w:rPr>
        <w:t>ج)</w:t>
      </w:r>
      <w:r w:rsidRPr="00AA0EDB">
        <w:rPr>
          <w:rtl/>
        </w:rPr>
        <w:tab/>
        <w:t>تعزيز التنسيق بين جهود التقييس المتعلق بالجوانب السياساتية والتشغيلية والتقنية داخل الاتحاد؛</w:t>
      </w:r>
    </w:p>
    <w:p w14:paraId="51D84A62" w14:textId="3537DBC3" w:rsidR="00AA0EDB" w:rsidRPr="00AA0EDB" w:rsidRDefault="00AA0EDB" w:rsidP="00D3714B">
      <w:pPr>
        <w:pStyle w:val="enumlev1"/>
        <w:rPr>
          <w:lang w:val="ar-SA" w:bidi="ar-EG"/>
        </w:rPr>
      </w:pPr>
      <w:r w:rsidRPr="00AA0EDB">
        <w:rPr>
          <w:rtl/>
        </w:rPr>
        <w:t>د</w:t>
      </w:r>
      <w:r w:rsidR="00D3714B">
        <w:rPr>
          <w:rFonts w:hint="cs"/>
          <w:rtl/>
        </w:rPr>
        <w:t xml:space="preserve"> </w:t>
      </w:r>
      <w:r w:rsidRPr="00AA0EDB">
        <w:rPr>
          <w:rtl/>
        </w:rPr>
        <w:t>)</w:t>
      </w:r>
      <w:r w:rsidRPr="00AA0EDB">
        <w:rPr>
          <w:rtl/>
        </w:rPr>
        <w:tab/>
        <w:t xml:space="preserve">تشجيع مشاركة أصحاب المصلحة المتعددين، بما في ذلك مع دوائر الصناعة والمجتمع المدني والمنظمات الدولية؛ </w:t>
      </w:r>
    </w:p>
    <w:p w14:paraId="71AA7B9F" w14:textId="3AF68E93" w:rsidR="00AA0EDB" w:rsidRPr="00AA0EDB" w:rsidRDefault="00AA0EDB" w:rsidP="00D3714B">
      <w:pPr>
        <w:pStyle w:val="enumlev1"/>
        <w:rPr>
          <w:lang w:val="ar-SA" w:bidi="ar-EG"/>
        </w:rPr>
      </w:pPr>
      <w:r w:rsidRPr="00AA0EDB">
        <w:rPr>
          <w:rtl/>
        </w:rPr>
        <w:t>هـ</w:t>
      </w:r>
      <w:r w:rsidR="00D3714B">
        <w:rPr>
          <w:rFonts w:hint="cs"/>
          <w:rtl/>
        </w:rPr>
        <w:t xml:space="preserve"> </w:t>
      </w:r>
      <w:r w:rsidRPr="00AA0EDB">
        <w:rPr>
          <w:rtl/>
        </w:rPr>
        <w:t>)</w:t>
      </w:r>
      <w:r w:rsidRPr="00AA0EDB">
        <w:rPr>
          <w:rtl/>
        </w:rPr>
        <w:tab/>
        <w:t xml:space="preserve">ترسيخ الشفافية وتبادل المعلومات والتعاون بين أعضاء فريق العمل التابع للمجلس والمعني بحماية الأطفال على الإنترنت </w:t>
      </w:r>
      <w:r w:rsidRPr="00AA0EDB">
        <w:rPr>
          <w:lang w:bidi="ar-EG"/>
        </w:rPr>
        <w:t>(‎CWG-COP)</w:t>
      </w:r>
      <w:r w:rsidRPr="00AA0EDB">
        <w:rPr>
          <w:rtl/>
        </w:rPr>
        <w:t xml:space="preserve"> وشركائه.</w:t>
      </w:r>
    </w:p>
    <w:p w14:paraId="345583CA" w14:textId="4144C8A9" w:rsidR="00AA0EDB" w:rsidRPr="00AA0EDB" w:rsidRDefault="00D3714B" w:rsidP="00AA0EDB">
      <w:pPr>
        <w:rPr>
          <w:lang w:val="ar-SA" w:bidi="ar-EG"/>
        </w:rPr>
      </w:pPr>
      <w:r>
        <w:lastRenderedPageBreak/>
        <w:t>2.2</w:t>
      </w:r>
      <w:r w:rsidR="00AA0EDB" w:rsidRPr="00AA0EDB">
        <w:rPr>
          <w:rtl/>
        </w:rPr>
        <w:tab/>
        <w:t xml:space="preserve">وأتاح فريق العمل التابع للمجلس والمعني بحماية الأطفال على الإنترنت </w:t>
      </w:r>
      <w:r w:rsidR="00AA0EDB" w:rsidRPr="00AA0EDB">
        <w:rPr>
          <w:lang w:bidi="ar-EG"/>
        </w:rPr>
        <w:t>(‎CWG-COP)</w:t>
      </w:r>
      <w:r w:rsidR="00AA0EDB" w:rsidRPr="00AA0EDB">
        <w:rPr>
          <w:rtl/>
        </w:rPr>
        <w:t xml:space="preserve"> خلال الاجتماعين منصة لتبادل الخبرات الوطنية والممارسات الجيدة والنهج السياساتية المتعلقة بحماية الأطفال على الإنترنت. وتبادلت الدول الأعضاء والجهات الشريكة مبادرات تتناول الاعتداء الجنسي على الأطفال واستغلالهم جنسياً على الإنترنت، وقضاء وقت مفرط أمام الشاشة، والإلمام بالمعارف الرقمية، وتمكين الوالدين، وحماية البيانات، والمخاطر الناشئة المرتبطة بالذكاء الاصطناعي والأنظمة الخوارزمية. وسلط الاجتماعان الضوء على أهمية نُهج تشرك الحكومة بأكملها وأصحاب المصلحة المتعددين، تجمع بين إذكاء الوعي والتدابير التنظيمية والحلول التقنية وبناء القدرات والتعاون الدولي. </w:t>
      </w:r>
    </w:p>
    <w:p w14:paraId="4FADAE21" w14:textId="77777777" w:rsidR="00AA0EDB" w:rsidRPr="00AA0EDB" w:rsidRDefault="00AA0EDB" w:rsidP="00AA0EDB">
      <w:pPr>
        <w:rPr>
          <w:lang w:val="ar-SA" w:bidi="ar-EG"/>
        </w:rPr>
      </w:pPr>
      <w:r w:rsidRPr="00AA0EDB">
        <w:rPr>
          <w:rtl/>
        </w:rPr>
        <w:t>وأولي اهتمام خاص بالآليات التشغيلية مثل خطوط الاتصال المباشر الوطنية، وأنظمة الإبلاغ، والتدخلات المدرسية، وأدوات الرقابة من جانب الوالدين، وكذلك بضرورة وضع سياسات قائمة على الأدلة تسترشد بالبحوث والبيانات.</w:t>
      </w:r>
    </w:p>
    <w:p w14:paraId="54FE0858" w14:textId="1E865C69" w:rsidR="00AA0EDB" w:rsidRPr="00AA0EDB" w:rsidRDefault="00D3714B" w:rsidP="00AA0EDB">
      <w:pPr>
        <w:rPr>
          <w:lang w:val="ar-SA" w:bidi="ar-EG"/>
        </w:rPr>
      </w:pPr>
      <w:r>
        <w:t>3.2</w:t>
      </w:r>
      <w:r w:rsidR="00AA0EDB" w:rsidRPr="00AA0EDB">
        <w:rPr>
          <w:rtl/>
        </w:rPr>
        <w:tab/>
        <w:t>وزادت المناقشات التي دارت خلال الفترة المشمولة بالتقرير التشديد على آثار الذكاء الاصطناعي المترتبة على حماية الأطفال على الإنترنت. وتناولت المساهمات المخاطر المرتبطة بالذكاء الاصطناعي، بما في ذلك إنتاج المحتوى والإشراف المؤتمت وأنظمة المحادثة والمشاركة القائمة على الخوارزميات، مع تسليط الضوء أيضاً على فرص تضمين السلامة من خلال التصميم والضمانات التي تركز على الطفل ضمن الخدمات الرقمية.</w:t>
      </w:r>
    </w:p>
    <w:p w14:paraId="30930870" w14:textId="77777777" w:rsidR="00AA0EDB" w:rsidRPr="00AA0EDB" w:rsidRDefault="00AA0EDB" w:rsidP="00AA0EDB">
      <w:pPr>
        <w:rPr>
          <w:lang w:val="ar-SA" w:bidi="ar-EG"/>
        </w:rPr>
      </w:pPr>
      <w:r w:rsidRPr="00AA0EDB">
        <w:rPr>
          <w:rtl/>
        </w:rPr>
        <w:t xml:space="preserve">وعرضت الأمانة مستجدات بشأن المبادرات العالمية الرئيسية التي أُطلقت خلال هذه الفترة، بما في ذلك البيان المشترك بشأن الذكاء الاصطناعي، وحقوق الطفل ومبادئ الحماية من خلال المشاركة عبر الإنترنت </w:t>
      </w:r>
      <w:r w:rsidRPr="00AA0EDB">
        <w:rPr>
          <w:lang w:bidi="ar-EG"/>
        </w:rPr>
        <w:t>(</w:t>
      </w:r>
      <w:proofErr w:type="spellStart"/>
      <w:r w:rsidRPr="00AA0EDB">
        <w:rPr>
          <w:lang w:bidi="ar-EG"/>
        </w:rPr>
        <w:t>PoP</w:t>
      </w:r>
      <w:proofErr w:type="spellEnd"/>
      <w:r w:rsidRPr="00AA0EDB">
        <w:rPr>
          <w:lang w:bidi="ar-EG"/>
        </w:rPr>
        <w:t>)</w:t>
      </w:r>
      <w:r w:rsidRPr="00AA0EDB">
        <w:rPr>
          <w:rtl/>
        </w:rPr>
        <w:t>، والحوار المستمر مع دوائر الصناعة من خلال سلسلة حوارات الاتحاد بشأن التواصل مع دوائر الصناعة.</w:t>
      </w:r>
    </w:p>
    <w:p w14:paraId="13B77CD1" w14:textId="628B6316" w:rsidR="00AA0EDB" w:rsidRPr="00AA0EDB" w:rsidRDefault="00D3714B" w:rsidP="00AA0EDB">
      <w:pPr>
        <w:rPr>
          <w:lang w:val="ar-SA" w:bidi="ar-EG"/>
        </w:rPr>
      </w:pPr>
      <w:r>
        <w:t>4.2</w:t>
      </w:r>
      <w:r w:rsidR="00AA0EDB" w:rsidRPr="00AA0EDB">
        <w:rPr>
          <w:rtl/>
        </w:rPr>
        <w:tab/>
        <w:t xml:space="preserve">وواصل فريق العمل تعزيز تنسيقه مع لجنة الدراسات 17 لقطاع تقييس الاتصالات، بما في ذلك من خلال تبادل بيانات الاتصال وعرض تحليل الثغرات بشأن معايير دعم حماية الأطفال على الإنترنت الذي أعده فريق العمل بالمراسلة المعني بحماية الأطفال على الإنترنت </w:t>
      </w:r>
      <w:r w:rsidR="00AA0EDB" w:rsidRPr="00AA0EDB">
        <w:rPr>
          <w:lang w:bidi="ar-EG"/>
        </w:rPr>
        <w:t>(CG-COP)</w:t>
      </w:r>
      <w:r w:rsidR="00AA0EDB" w:rsidRPr="00AA0EDB">
        <w:rPr>
          <w:rtl/>
        </w:rPr>
        <w:t>.</w:t>
      </w:r>
    </w:p>
    <w:p w14:paraId="013C2663" w14:textId="28CE4DE9" w:rsidR="00AA0EDB" w:rsidRPr="00AA0EDB" w:rsidRDefault="00AA0EDB" w:rsidP="00AA0EDB">
      <w:pPr>
        <w:rPr>
          <w:lang w:val="ar-SA" w:bidi="ar-EG"/>
        </w:rPr>
      </w:pPr>
      <w:r w:rsidRPr="00AA0EDB">
        <w:rPr>
          <w:rtl/>
        </w:rPr>
        <w:t xml:space="preserve">وأكدت المناقشات على الأدوار التكميلية لفريق العمل التابع للمجلس والمعني بحماية الأطفال على الإنترنت </w:t>
      </w:r>
      <w:r w:rsidRPr="00AA0EDB">
        <w:rPr>
          <w:lang w:bidi="ar-EG"/>
        </w:rPr>
        <w:t>(CWG</w:t>
      </w:r>
      <w:r w:rsidR="009B0ADB">
        <w:rPr>
          <w:lang w:bidi="ar-EG"/>
        </w:rPr>
        <w:noBreakHyphen/>
      </w:r>
      <w:r w:rsidRPr="00AA0EDB">
        <w:rPr>
          <w:lang w:bidi="ar-EG"/>
        </w:rPr>
        <w:t>COP)</w:t>
      </w:r>
      <w:r w:rsidRPr="00AA0EDB">
        <w:rPr>
          <w:rtl/>
        </w:rPr>
        <w:t xml:space="preserve"> وقطاع تقييس الاتصالات في معالجة الأبعاد السياساتية والتشغيلية والتقنية لحماية الأطفال على الإنترنت، ولا سيما فيما يتعلق بالتأكد من السن، والإشراف المؤتمت على المحتوى، وقابلية التشغيل البيني لأدوات الرقابة من جانب الوالدين. ورحب الفريق باستمرار التعاون وتبادل المعلومات من أجل ضمان المواءمة بين جهود التقييس والمناقشات الخاصة بالسياسات.</w:t>
      </w:r>
    </w:p>
    <w:p w14:paraId="7B9949E0" w14:textId="263C63D2" w:rsidR="00AA0EDB" w:rsidRPr="00AA0EDB" w:rsidRDefault="00D3714B" w:rsidP="00AA0EDB">
      <w:pPr>
        <w:rPr>
          <w:lang w:val="ar-SA" w:bidi="ar-EG"/>
        </w:rPr>
      </w:pPr>
      <w:r>
        <w:t>5.2</w:t>
      </w:r>
      <w:r w:rsidR="00AA0EDB" w:rsidRPr="00AA0EDB">
        <w:rPr>
          <w:rtl/>
        </w:rPr>
        <w:tab/>
        <w:t>وأكد الاجتماعان كلاهما من جديد على أهمية المشاركة الشاملة ومشاركة أصحاب المصلحة المتعددين في النهوض بحماية الأطفال على الإنترنت. وسلطت المساهمات الواردة من دوائر الصناعة والمجتمع المدني والهيئات الأكاديمية والمنظمات الدولية الضوء على الأدوات المبتكرة ومبادرات التوعية والبحوث وبرامج بناء القدرات.</w:t>
      </w:r>
    </w:p>
    <w:p w14:paraId="42B41322" w14:textId="77777777" w:rsidR="00AA0EDB" w:rsidRPr="00AA0EDB" w:rsidRDefault="00AA0EDB" w:rsidP="00AA0EDB">
      <w:pPr>
        <w:rPr>
          <w:lang w:val="ar-SA" w:bidi="ar-EG"/>
        </w:rPr>
      </w:pPr>
      <w:r w:rsidRPr="00AA0EDB">
        <w:rPr>
          <w:rtl/>
        </w:rPr>
        <w:t>وبالإضافة إلى ذلك، رحب فريق العمل بمستجدات عن المبادرات الإقليمية والعالمية، بما في ذلك الجهود التعاونية التي تقودها وكالات الأمم المتحدة والجهات الشريكة الدولية، وأشار إلى قيمة تبادل الموارد والمعارف من خلال منصات الاتحاد لدعم إحداث تأثير قابل للتوسع ومستدام.</w:t>
      </w:r>
    </w:p>
    <w:p w14:paraId="114ECF01" w14:textId="52DC551D" w:rsidR="00AA0EDB" w:rsidRPr="00AA0EDB" w:rsidRDefault="00D3714B" w:rsidP="00AA0EDB">
      <w:pPr>
        <w:rPr>
          <w:lang w:val="ar-SA" w:bidi="ar-EG"/>
        </w:rPr>
      </w:pPr>
      <w:r>
        <w:t>6.2</w:t>
      </w:r>
      <w:r w:rsidR="00AA0EDB" w:rsidRPr="00AA0EDB">
        <w:rPr>
          <w:rtl/>
        </w:rPr>
        <w:tab/>
        <w:t>وشملت النتائج الرئيسية للاجتماعين الثالث والعشرين والرابع والعشرين ما يلي:</w:t>
      </w:r>
    </w:p>
    <w:p w14:paraId="17681010" w14:textId="77777777" w:rsidR="00AA0EDB" w:rsidRPr="00AA0EDB" w:rsidRDefault="00AA0EDB" w:rsidP="00D3714B">
      <w:pPr>
        <w:pStyle w:val="enumlev1"/>
        <w:rPr>
          <w:lang w:val="ar-SA" w:bidi="ar-EG"/>
        </w:rPr>
      </w:pPr>
      <w:r w:rsidRPr="00AA0EDB">
        <w:rPr>
          <w:lang w:bidi="ar-EG"/>
        </w:rPr>
        <w:t>–</w:t>
      </w:r>
      <w:r w:rsidRPr="00AA0EDB">
        <w:rPr>
          <w:rtl/>
        </w:rPr>
        <w:tab/>
        <w:t xml:space="preserve">توطيد الشفافية وممارسات تبادل المعلومات داخل فريق العمل التابع للمجلس والمعني بحماية الأطفال على الإنترنت </w:t>
      </w:r>
      <w:r w:rsidRPr="00AA0EDB">
        <w:rPr>
          <w:lang w:bidi="ar-EG"/>
        </w:rPr>
        <w:t>(‎CWG-</w:t>
      </w:r>
      <w:proofErr w:type="gramStart"/>
      <w:r w:rsidRPr="00AA0EDB">
        <w:rPr>
          <w:lang w:bidi="ar-EG"/>
        </w:rPr>
        <w:t>COP)</w:t>
      </w:r>
      <w:r w:rsidRPr="00AA0EDB">
        <w:rPr>
          <w:rtl/>
        </w:rPr>
        <w:t>،</w:t>
      </w:r>
      <w:proofErr w:type="gramEnd"/>
      <w:r w:rsidRPr="00AA0EDB">
        <w:rPr>
          <w:rtl/>
        </w:rPr>
        <w:t xml:space="preserve"> بما يشمل نشر وثائق المعلومات والموارد في الموقع الإلكتروني للفريق </w:t>
      </w:r>
      <w:proofErr w:type="gramStart"/>
      <w:r w:rsidRPr="00AA0EDB">
        <w:rPr>
          <w:rtl/>
        </w:rPr>
        <w:t>المذكور؛</w:t>
      </w:r>
      <w:proofErr w:type="gramEnd"/>
    </w:p>
    <w:p w14:paraId="0E3D0038" w14:textId="77777777" w:rsidR="00AA0EDB" w:rsidRPr="00AA0EDB" w:rsidRDefault="00AA0EDB" w:rsidP="00D3714B">
      <w:pPr>
        <w:pStyle w:val="enumlev1"/>
        <w:rPr>
          <w:lang w:val="ar-SA" w:bidi="ar-EG"/>
        </w:rPr>
      </w:pPr>
      <w:r w:rsidRPr="00AA0EDB">
        <w:rPr>
          <w:lang w:bidi="ar-EG"/>
        </w:rPr>
        <w:t>–</w:t>
      </w:r>
      <w:r w:rsidRPr="00AA0EDB">
        <w:rPr>
          <w:rtl/>
        </w:rPr>
        <w:tab/>
        <w:t xml:space="preserve">الاعتراف المستمر بقيمة التجارب الوطنية والممارسات الجيدة في إثراء الجهود العالمية الرامية إلى حماية الأطفال على </w:t>
      </w:r>
      <w:proofErr w:type="gramStart"/>
      <w:r w:rsidRPr="00AA0EDB">
        <w:rPr>
          <w:rtl/>
        </w:rPr>
        <w:t>الإنترنت؛</w:t>
      </w:r>
      <w:proofErr w:type="gramEnd"/>
    </w:p>
    <w:p w14:paraId="553E25FB" w14:textId="77777777" w:rsidR="00AA0EDB" w:rsidRPr="00AA0EDB" w:rsidRDefault="00AA0EDB" w:rsidP="00D3714B">
      <w:pPr>
        <w:pStyle w:val="enumlev1"/>
        <w:rPr>
          <w:lang w:val="ar-SA" w:bidi="ar-EG"/>
        </w:rPr>
      </w:pPr>
      <w:r w:rsidRPr="00AA0EDB">
        <w:rPr>
          <w:lang w:bidi="ar-EG"/>
        </w:rPr>
        <w:t>–</w:t>
      </w:r>
      <w:r w:rsidRPr="00AA0EDB">
        <w:rPr>
          <w:rtl/>
        </w:rPr>
        <w:tab/>
        <w:t xml:space="preserve">تعزيز التنسيق مع لجنة الدراسات 17 لقطاع تقييس الاتصالات من خلال بيانات الاتصال والتعاون </w:t>
      </w:r>
      <w:proofErr w:type="gramStart"/>
      <w:r w:rsidRPr="00AA0EDB">
        <w:rPr>
          <w:rtl/>
        </w:rPr>
        <w:t>التقني؛</w:t>
      </w:r>
      <w:proofErr w:type="gramEnd"/>
    </w:p>
    <w:p w14:paraId="4C43EC85" w14:textId="77777777" w:rsidR="00AA0EDB" w:rsidRPr="00AA0EDB" w:rsidRDefault="00AA0EDB" w:rsidP="00D3714B">
      <w:pPr>
        <w:pStyle w:val="enumlev1"/>
        <w:rPr>
          <w:lang w:val="ar-SA" w:bidi="ar-EG"/>
        </w:rPr>
      </w:pPr>
      <w:r w:rsidRPr="00AA0EDB">
        <w:rPr>
          <w:lang w:bidi="ar-EG"/>
        </w:rPr>
        <w:t>–</w:t>
      </w:r>
      <w:r w:rsidRPr="00AA0EDB">
        <w:rPr>
          <w:rtl/>
        </w:rPr>
        <w:tab/>
        <w:t xml:space="preserve">الإقرار بالأهمية المتزايدة للذكاء الاصطناعي والتكنولوجيات الناشئة في المناقشات حول حماية الأطفال على </w:t>
      </w:r>
      <w:proofErr w:type="gramStart"/>
      <w:r w:rsidRPr="00AA0EDB">
        <w:rPr>
          <w:rtl/>
        </w:rPr>
        <w:t>الإنترنت؛</w:t>
      </w:r>
      <w:proofErr w:type="gramEnd"/>
      <w:r w:rsidRPr="00AA0EDB">
        <w:rPr>
          <w:rtl/>
        </w:rPr>
        <w:t xml:space="preserve"> </w:t>
      </w:r>
    </w:p>
    <w:p w14:paraId="64D57817" w14:textId="77777777" w:rsidR="00AA0EDB" w:rsidRPr="00AA0EDB" w:rsidRDefault="00AA0EDB" w:rsidP="00D3714B">
      <w:pPr>
        <w:pStyle w:val="enumlev1"/>
        <w:rPr>
          <w:lang w:val="ar-SA" w:bidi="ar-EG"/>
        </w:rPr>
      </w:pPr>
      <w:r w:rsidRPr="00AA0EDB">
        <w:rPr>
          <w:lang w:bidi="ar-EG"/>
        </w:rPr>
        <w:t>–</w:t>
      </w:r>
      <w:r w:rsidRPr="00AA0EDB">
        <w:rPr>
          <w:rtl/>
        </w:rPr>
        <w:tab/>
        <w:t>تشجيع استمرار الحوار والتعاون والالتزام بين الدول الأعضاء والأمانة والجهات الشريكة.</w:t>
      </w:r>
    </w:p>
    <w:p w14:paraId="6C6CF906" w14:textId="77777777" w:rsidR="00AA0EDB" w:rsidRPr="00AA0EDB" w:rsidRDefault="00AA0EDB" w:rsidP="00D3714B">
      <w:pPr>
        <w:pStyle w:val="enumlev1"/>
        <w:rPr>
          <w:lang w:val="ar-SA" w:bidi="ar-EG"/>
        </w:rPr>
      </w:pPr>
      <w:r w:rsidRPr="00AA0EDB">
        <w:rPr>
          <w:lang w:bidi="ar-EG"/>
        </w:rPr>
        <w:t>–</w:t>
      </w:r>
      <w:r w:rsidRPr="00AA0EDB">
        <w:rPr>
          <w:rtl/>
        </w:rPr>
        <w:tab/>
        <w:t>زيادة التقارير التي تقدمها المكاتب الإقليمية للاتحاد إلى فريق العمل التابع للمجلس والمعني بحماية الأطفال على الإنترنت بشأن أنشطة حماية الأطفال على الإنترنت المُضْطَلع بها خلال الفترة المشمولة بالتقرير، بهدف إبراز وتعزيز المشاركة الإقليمية في عمل الفريق المذكور على نحو أفضل.</w:t>
      </w:r>
    </w:p>
    <w:p w14:paraId="2B9A3FE3" w14:textId="0D8FBBB0" w:rsidR="00AA0EDB" w:rsidRPr="00AA0EDB" w:rsidRDefault="00D3714B" w:rsidP="00AA0EDB">
      <w:pPr>
        <w:rPr>
          <w:lang w:val="ar-SA" w:bidi="ar-EG"/>
        </w:rPr>
      </w:pPr>
      <w:r>
        <w:lastRenderedPageBreak/>
        <w:t>7.2</w:t>
      </w:r>
      <w:r w:rsidR="00AA0EDB" w:rsidRPr="00AA0EDB">
        <w:rPr>
          <w:rtl/>
        </w:rPr>
        <w:tab/>
        <w:t xml:space="preserve">وفي الاجتماع الثالث والعشرين لفريق العمل التابع للمجلس والمعني بحماية الأطفال على الإنترنت </w:t>
      </w:r>
      <w:r w:rsidR="00AA0EDB" w:rsidRPr="00AA0EDB">
        <w:rPr>
          <w:lang w:bidi="ar-EG"/>
        </w:rPr>
        <w:t>(‎CWG-</w:t>
      </w:r>
      <w:proofErr w:type="gramStart"/>
      <w:r w:rsidR="00AA0EDB" w:rsidRPr="00AA0EDB">
        <w:rPr>
          <w:lang w:bidi="ar-EG"/>
        </w:rPr>
        <w:t>COP)</w:t>
      </w:r>
      <w:r w:rsidR="00AA0EDB" w:rsidRPr="00AA0EDB">
        <w:rPr>
          <w:rtl/>
        </w:rPr>
        <w:t>،</w:t>
      </w:r>
      <w:proofErr w:type="gramEnd"/>
      <w:r w:rsidR="00AA0EDB" w:rsidRPr="00AA0EDB">
        <w:rPr>
          <w:rtl/>
        </w:rPr>
        <w:t xml:space="preserve"> ناقشت الدول الأعضاء وأعضاء القطاعات والجهات الشريكة مجموعة واسعة من المساهمات التي تتناول الجوانب السياساتية والتقنية والتشغيلية لحماية الأطفال على الإنترنت. وتناولت المناقشات زيادة الوعي والتدابير التنظيمية، وجهود التقييس، وأدوات تمكين الوالدين، والقضايا الناشئة المتعلقة بالذكاء الاصطناعي والتجفير وقابلية التشغيل البيني. وأكد الاجتماع من جديد على أهمية المشاركة الشاملة لأصحاب المصلحة المتعددين والتنسيق المستمر بين المناقشات الخاصة بالسياسات وأعمال التقييس التقني داخل الاتحاد.</w:t>
      </w:r>
    </w:p>
    <w:p w14:paraId="57919FBC" w14:textId="5C2466D2" w:rsidR="00AA0EDB" w:rsidRPr="00AA0EDB" w:rsidRDefault="00D3714B" w:rsidP="00AA0EDB">
      <w:pPr>
        <w:rPr>
          <w:lang w:val="ar-SA" w:bidi="ar-EG"/>
        </w:rPr>
      </w:pPr>
      <w:r>
        <w:t>8.2</w:t>
      </w:r>
      <w:r w:rsidR="00AA0EDB" w:rsidRPr="00AA0EDB">
        <w:rPr>
          <w:rtl/>
        </w:rPr>
        <w:tab/>
        <w:t>وتمثلت أهم نتائج الاجتماع في ما يلي:</w:t>
      </w:r>
    </w:p>
    <w:p w14:paraId="08A9D8F3" w14:textId="7656B413" w:rsidR="00AA0EDB" w:rsidRPr="00AA0EDB" w:rsidRDefault="00AA0EDB" w:rsidP="00D3714B">
      <w:pPr>
        <w:pStyle w:val="enumlev1"/>
        <w:rPr>
          <w:lang w:val="ar-SA" w:bidi="ar-EG"/>
        </w:rPr>
      </w:pPr>
      <w:r w:rsidRPr="00AA0EDB">
        <w:rPr>
          <w:lang w:bidi="ar-EG"/>
        </w:rPr>
        <w:t>–</w:t>
      </w:r>
      <w:r w:rsidRPr="00AA0EDB">
        <w:rPr>
          <w:rtl/>
        </w:rPr>
        <w:tab/>
        <w:t xml:space="preserve">أحاط الاجتماع علماً باقتراحات لزيادة توسيع نطاق المشاركة في جلسات حوارات الاتحاد بشأن التواصل مع دوائر الصناعة، بما في ذلك إشراك المصنعين ومشغلي الشبكات، وشجع زيادة مشاركة المكاتب الإقليمية للاتحاد في الاجتماعات المقبلة لفريق العمل التابع للمجلس والمعني بحماية الأطفال على الإنترنت </w:t>
      </w:r>
      <w:r w:rsidRPr="00AA0EDB">
        <w:rPr>
          <w:lang w:bidi="ar-EG"/>
        </w:rPr>
        <w:t>(‎CWG</w:t>
      </w:r>
      <w:r w:rsidR="009B0ADB">
        <w:rPr>
          <w:lang w:bidi="ar-EG"/>
        </w:rPr>
        <w:noBreakHyphen/>
      </w:r>
      <w:r w:rsidRPr="00AA0EDB">
        <w:rPr>
          <w:lang w:bidi="ar-EG"/>
        </w:rPr>
        <w:t>COP)</w:t>
      </w:r>
      <w:r w:rsidRPr="00AA0EDB">
        <w:rPr>
          <w:rtl/>
        </w:rPr>
        <w:t xml:space="preserve">. </w:t>
      </w:r>
    </w:p>
    <w:p w14:paraId="76F49A19" w14:textId="77777777" w:rsidR="00AA0EDB" w:rsidRPr="00AA0EDB" w:rsidRDefault="00AA0EDB" w:rsidP="00D3714B">
      <w:pPr>
        <w:pStyle w:val="enumlev1"/>
        <w:rPr>
          <w:lang w:val="ar-SA" w:bidi="ar-EG"/>
        </w:rPr>
      </w:pPr>
      <w:r w:rsidRPr="00AA0EDB">
        <w:rPr>
          <w:lang w:bidi="ar-EG"/>
        </w:rPr>
        <w:t>–</w:t>
      </w:r>
      <w:r w:rsidRPr="00AA0EDB">
        <w:rPr>
          <w:rtl/>
        </w:rPr>
        <w:tab/>
        <w:t xml:space="preserve">أقر الاجتماع بمقترح لتوسيع نطاق مناقشات فريق العمل التابع للمجلس والمعني بحماية الأطفال على الإنترنت </w:t>
      </w:r>
      <w:r w:rsidRPr="00AA0EDB">
        <w:rPr>
          <w:lang w:bidi="ar-EG"/>
        </w:rPr>
        <w:t>(‎CWG-COP)</w:t>
      </w:r>
      <w:r w:rsidRPr="00AA0EDB">
        <w:rPr>
          <w:rtl/>
        </w:rPr>
        <w:t xml:space="preserve"> كي يشمل الشباب. ودعا الرئيس الوفد صاحب المقترح إلى تقديم المقترح من خلال عمليات صنع القرار المناسبة في الاتحاد، مع الإشارة إلى أن الأمانة ستواصل دعم المهارات الرقمية وأنشطة التوعية التي تركز على الشباب في إطار البرامج الحالية لحماية الأطفال على الإنترنت. </w:t>
      </w:r>
    </w:p>
    <w:p w14:paraId="20C89749" w14:textId="77777777" w:rsidR="00AA0EDB" w:rsidRPr="00AA0EDB" w:rsidRDefault="00AA0EDB" w:rsidP="00D3714B">
      <w:pPr>
        <w:pStyle w:val="enumlev1"/>
        <w:rPr>
          <w:lang w:val="ar-SA" w:bidi="ar-EG"/>
        </w:rPr>
      </w:pPr>
      <w:r w:rsidRPr="00AA0EDB">
        <w:rPr>
          <w:lang w:bidi="ar-EG"/>
        </w:rPr>
        <w:t>–</w:t>
      </w:r>
      <w:r w:rsidRPr="00AA0EDB">
        <w:rPr>
          <w:rtl/>
        </w:rPr>
        <w:tab/>
        <w:t xml:space="preserve">أحاط فريق العمل التابع للمجلس والمعني بحماية الأطفال على الإنترنت </w:t>
      </w:r>
      <w:r w:rsidRPr="00AA0EDB">
        <w:rPr>
          <w:lang w:bidi="ar-EG"/>
        </w:rPr>
        <w:t>(‎CWG-COP)</w:t>
      </w:r>
      <w:r w:rsidRPr="00AA0EDB">
        <w:rPr>
          <w:rtl/>
        </w:rPr>
        <w:t xml:space="preserve"> علماً ببيان الاتصال الصادر عن لجنة الدراسات 17 لقطاع تقييس الاتصالات ورحب باستمرار التعاون في هذا الصدد. وأيد الاجتماع العمل الجاري للجنة الدراسات 17 بشأن التأكد من السن والإشراف المؤتمت على المحتوى باعتبارها مجالات ذات أولوية، وشجع الدول الأعضاء وأصحاب المصلحة على المشاركة في فريق العمل بالمراسلة المعني بحماية الأطفال على الإنترنت </w:t>
      </w:r>
      <w:r w:rsidRPr="00AA0EDB">
        <w:rPr>
          <w:lang w:bidi="ar-EG"/>
        </w:rPr>
        <w:t>(CG-COP)</w:t>
      </w:r>
      <w:r w:rsidRPr="00AA0EDB">
        <w:rPr>
          <w:rtl/>
        </w:rPr>
        <w:t xml:space="preserve">. </w:t>
      </w:r>
    </w:p>
    <w:p w14:paraId="4A609C11" w14:textId="77777777" w:rsidR="00AA0EDB" w:rsidRPr="00AA0EDB" w:rsidRDefault="00AA0EDB" w:rsidP="00D3714B">
      <w:pPr>
        <w:pStyle w:val="enumlev1"/>
        <w:rPr>
          <w:lang w:val="ar-SA" w:bidi="ar-EG"/>
        </w:rPr>
      </w:pPr>
      <w:r w:rsidRPr="00AA0EDB">
        <w:rPr>
          <w:lang w:bidi="ar-EG"/>
        </w:rPr>
        <w:t>–</w:t>
      </w:r>
      <w:r w:rsidRPr="00AA0EDB">
        <w:rPr>
          <w:rtl/>
        </w:rPr>
        <w:tab/>
        <w:t xml:space="preserve">رحب الاجتماع بمساهمة SouthWest Grid for Learning (SWGfL) بشأن بروتوكول إنفاذ الرقابة من جانب الوالدين </w:t>
      </w:r>
      <w:r w:rsidRPr="00AA0EDB">
        <w:rPr>
          <w:lang w:bidi="ar-EG"/>
        </w:rPr>
        <w:t>(PARCEP)</w:t>
      </w:r>
      <w:r w:rsidRPr="00AA0EDB">
        <w:rPr>
          <w:rtl/>
        </w:rPr>
        <w:t xml:space="preserve"> وأيد التعاون المستمر بين فريق العمل التابع للمجلس والمعني بحماية الأطفال على الإنترنت </w:t>
      </w:r>
      <w:r w:rsidRPr="00AA0EDB">
        <w:rPr>
          <w:lang w:bidi="ar-EG"/>
        </w:rPr>
        <w:t>(‎CWG-COP)</w:t>
      </w:r>
      <w:r w:rsidRPr="00AA0EDB">
        <w:rPr>
          <w:rtl/>
        </w:rPr>
        <w:t xml:space="preserve"> و فريق العمل بالمراسلة المعني بحماية الأطفال على الإنترنت </w:t>
      </w:r>
      <w:r w:rsidRPr="00AA0EDB">
        <w:rPr>
          <w:lang w:bidi="ar-EG"/>
        </w:rPr>
        <w:t>(CG-COP)</w:t>
      </w:r>
      <w:r w:rsidRPr="00AA0EDB">
        <w:rPr>
          <w:rtl/>
        </w:rPr>
        <w:t xml:space="preserve"> التابع للجنة الدراسات 17. ودعا الرئيس الأمانة العامة إلى إرسال بيان اتصال إلى لجنة الدراسات 17 يبرز دعم فريق العمل التابع للمجلس والمعني بحماية الأطفال على الإنترنت </w:t>
      </w:r>
      <w:r w:rsidRPr="00AA0EDB">
        <w:rPr>
          <w:lang w:bidi="ar-EG"/>
        </w:rPr>
        <w:t>(‎CWG-COP)</w:t>
      </w:r>
      <w:r w:rsidRPr="00AA0EDB">
        <w:rPr>
          <w:rtl/>
        </w:rPr>
        <w:t xml:space="preserve"> لبروتوكول إنفاذ الرقابة من جانب الوالدين وتوصياته بشأن رقابة الوالدين القابلة للتشغيل البيني، والتعاون مع هيئات وضع المعايير ذات الصلة، ومواصلة الحوار التقني والتنظيمي. </w:t>
      </w:r>
    </w:p>
    <w:p w14:paraId="77501C21" w14:textId="77777777" w:rsidR="00AA0EDB" w:rsidRPr="00AA0EDB" w:rsidRDefault="00AA0EDB" w:rsidP="00D3714B">
      <w:pPr>
        <w:pStyle w:val="enumlev1"/>
        <w:rPr>
          <w:lang w:val="ar-SA" w:bidi="ar-EG"/>
        </w:rPr>
      </w:pPr>
      <w:r w:rsidRPr="00AA0EDB">
        <w:rPr>
          <w:lang w:bidi="ar-EG"/>
        </w:rPr>
        <w:t>–</w:t>
      </w:r>
      <w:r w:rsidRPr="00AA0EDB">
        <w:rPr>
          <w:rtl/>
        </w:rPr>
        <w:tab/>
        <w:t>أكد الاجتماع من جديد على أهمية المشاركة الشاملة والتعاون عبر المجتمعات بين هيئات وضع المعايير ورحب بالمداخلات التي تسلط الضوء على قيمة التعاون بين الاتحاد والمنظمات الأخرى لوضع المعايير ومجتمعات أصحاب المصلحة.</w:t>
      </w:r>
    </w:p>
    <w:p w14:paraId="575403AA" w14:textId="77777777" w:rsidR="00AA0EDB" w:rsidRPr="00AA0EDB" w:rsidRDefault="00AA0EDB" w:rsidP="00D3714B">
      <w:pPr>
        <w:pStyle w:val="enumlev1"/>
        <w:rPr>
          <w:lang w:val="ar-SA" w:bidi="ar-EG"/>
        </w:rPr>
      </w:pPr>
      <w:r w:rsidRPr="00AA0EDB">
        <w:rPr>
          <w:lang w:bidi="ar-EG"/>
        </w:rPr>
        <w:t>–</w:t>
      </w:r>
      <w:r w:rsidRPr="00AA0EDB">
        <w:rPr>
          <w:rtl/>
        </w:rPr>
        <w:tab/>
        <w:t xml:space="preserve">أيد الاجتماع مقترحات لاستكشاف طرائق من أجل مشاركة آمنة وهادفة للأطفال والشباب في الدورات المقبلة لفريق العمل </w:t>
      </w:r>
      <w:r w:rsidRPr="00AA0EDB">
        <w:rPr>
          <w:lang w:bidi="ar-EG"/>
        </w:rPr>
        <w:t>CWG-COP</w:t>
      </w:r>
      <w:r w:rsidRPr="00AA0EDB">
        <w:rPr>
          <w:rtl/>
        </w:rPr>
        <w:t xml:space="preserve">، وأقر بالمقترحات بغية النظر في الجوانب المشتركة بين الأجيال بشأن الحماية على الإنترنت، بما في ذلك المخاطر ذات الصلة. </w:t>
      </w:r>
    </w:p>
    <w:p w14:paraId="4D1D7D54" w14:textId="77777777" w:rsidR="00AA0EDB" w:rsidRPr="00AA0EDB" w:rsidRDefault="00AA0EDB" w:rsidP="00D3714B">
      <w:pPr>
        <w:pStyle w:val="enumlev1"/>
        <w:rPr>
          <w:lang w:val="ar-SA" w:bidi="ar-EG"/>
        </w:rPr>
      </w:pPr>
      <w:r w:rsidRPr="00AA0EDB">
        <w:rPr>
          <w:lang w:bidi="ar-EG"/>
        </w:rPr>
        <w:t>–</w:t>
      </w:r>
      <w:r w:rsidRPr="00AA0EDB">
        <w:rPr>
          <w:rtl/>
        </w:rPr>
        <w:tab/>
        <w:t xml:space="preserve">أحاط الاجتماع علماً بمستجدات وردت من اليونيسف وأعرب عن تقديره لاستمرار التعاون بين الاتحاد واليونيسيف وغيرهما من وكالات الأمم المتحدة في سياق النهوض بالجهود العالمية لحماية الأطفال على الإنترنت. </w:t>
      </w:r>
    </w:p>
    <w:p w14:paraId="7F5DE0EB" w14:textId="004B45CD" w:rsidR="00AA0EDB" w:rsidRPr="00AA0EDB" w:rsidRDefault="00D3714B" w:rsidP="00AA0EDB">
      <w:pPr>
        <w:rPr>
          <w:lang w:val="ar-SA" w:bidi="ar-EG"/>
        </w:rPr>
      </w:pPr>
      <w:r>
        <w:t>9.2</w:t>
      </w:r>
      <w:r w:rsidR="00AA0EDB" w:rsidRPr="00AA0EDB">
        <w:rPr>
          <w:rtl/>
        </w:rPr>
        <w:tab/>
        <w:t xml:space="preserve">وفي الاجتماع الرابع والعشرين لفريق العمل التابع للمجلس والمعني بحماية الأطفال على الإنترنت </w:t>
      </w:r>
      <w:r w:rsidR="00AA0EDB" w:rsidRPr="00AA0EDB">
        <w:rPr>
          <w:lang w:bidi="ar-EG"/>
        </w:rPr>
        <w:t>(‎CWG</w:t>
      </w:r>
      <w:r w:rsidR="009B0ADB">
        <w:rPr>
          <w:lang w:bidi="ar-EG"/>
        </w:rPr>
        <w:noBreakHyphen/>
      </w:r>
      <w:proofErr w:type="gramStart"/>
      <w:r w:rsidR="00AA0EDB" w:rsidRPr="00AA0EDB">
        <w:rPr>
          <w:lang w:bidi="ar-EG"/>
        </w:rPr>
        <w:t>COP)</w:t>
      </w:r>
      <w:r w:rsidR="00AA0EDB" w:rsidRPr="00AA0EDB">
        <w:rPr>
          <w:rtl/>
        </w:rPr>
        <w:t>،</w:t>
      </w:r>
      <w:proofErr w:type="gramEnd"/>
      <w:r w:rsidR="00AA0EDB" w:rsidRPr="00AA0EDB">
        <w:rPr>
          <w:rtl/>
        </w:rPr>
        <w:t xml:space="preserve"> واصل الفريق مناقشاته الموضوعية بشأن حماية الأطفال على الإنترنت في بيئة رقمية متطورة، مع إيلاء تركيز خاص على التكنولوجيات الناشئة، وتجارب التنفيذ الوطنية، والتنسيق عبر المجالات السياساتية والتشغيلية والتقنية. وتبادلت الدول الأعضاء والجهات الشريكة مساهمات تتناول الاعتداء الجنسي على الأطفال واستغلالهم جنسياً على الإنترنت، والإلمام بالمعارف الرقمية، وحماية البيانات، وتمكين الوالدين، وحماية البيانات، وآثار الذكاء الاصطناعي المترتبة على حماية الأطفال على الإنترنت.</w:t>
      </w:r>
    </w:p>
    <w:p w14:paraId="4F8A9CAB" w14:textId="54B977C0" w:rsidR="00AA0EDB" w:rsidRPr="00AA0EDB" w:rsidRDefault="00D3714B" w:rsidP="009B0ADB">
      <w:pPr>
        <w:keepNext/>
        <w:rPr>
          <w:lang w:val="ar-SA" w:bidi="ar-EG"/>
        </w:rPr>
      </w:pPr>
      <w:r>
        <w:lastRenderedPageBreak/>
        <w:t>10.2</w:t>
      </w:r>
      <w:r w:rsidR="00AA0EDB" w:rsidRPr="00AA0EDB">
        <w:rPr>
          <w:rtl/>
        </w:rPr>
        <w:tab/>
        <w:t>وتمثلت أهم نتائج الاجتماع في ما يلي:</w:t>
      </w:r>
    </w:p>
    <w:p w14:paraId="13A92B5C" w14:textId="77777777" w:rsidR="00AA0EDB" w:rsidRPr="00AA0EDB" w:rsidRDefault="00AA0EDB" w:rsidP="00D3714B">
      <w:pPr>
        <w:pStyle w:val="enumlev1"/>
        <w:rPr>
          <w:lang w:val="ar-SA" w:bidi="ar-EG"/>
        </w:rPr>
      </w:pPr>
      <w:r w:rsidRPr="00AA0EDB">
        <w:rPr>
          <w:lang w:bidi="ar-EG"/>
        </w:rPr>
        <w:t>–</w:t>
      </w:r>
      <w:r w:rsidRPr="00AA0EDB">
        <w:rPr>
          <w:rtl/>
        </w:rPr>
        <w:tab/>
        <w:t xml:space="preserve">رحب الاجتماع بمستجدات وردت من الأمانة العامة بشأن الأنشطة الجارية لحماية الأطفال على الإنترنت، بما في ذلك مبادرات بناء القدرات، ودعم التنفيذ على الصعيد الوطني، والنواتج العالمية التي تحققت خلال الفترة المشمولة بالتقرير، ولا سيما المبادئ التوجيهية المتعلقة بالحماية من خلال المشاركة عبر الإنترنت </w:t>
      </w:r>
      <w:r w:rsidRPr="00AA0EDB">
        <w:rPr>
          <w:lang w:bidi="ar-EG"/>
        </w:rPr>
        <w:t>(</w:t>
      </w:r>
      <w:proofErr w:type="spellStart"/>
      <w:r w:rsidRPr="00AA0EDB">
        <w:rPr>
          <w:lang w:bidi="ar-EG"/>
        </w:rPr>
        <w:t>PoP</w:t>
      </w:r>
      <w:proofErr w:type="spellEnd"/>
      <w:r w:rsidRPr="00AA0EDB">
        <w:rPr>
          <w:lang w:bidi="ar-EG"/>
        </w:rPr>
        <w:t>)</w:t>
      </w:r>
      <w:r w:rsidRPr="00AA0EDB">
        <w:rPr>
          <w:rtl/>
        </w:rPr>
        <w:t xml:space="preserve"> والبيان المشترك بشأن الذكاء الاصطناعي وحقوق الطفل.</w:t>
      </w:r>
    </w:p>
    <w:p w14:paraId="5BF116BA" w14:textId="77777777" w:rsidR="00AA0EDB" w:rsidRPr="00AA0EDB" w:rsidRDefault="00AA0EDB" w:rsidP="00D3714B">
      <w:pPr>
        <w:pStyle w:val="enumlev1"/>
        <w:rPr>
          <w:lang w:val="ar-SA" w:bidi="ar-EG"/>
        </w:rPr>
      </w:pPr>
      <w:r w:rsidRPr="00AA0EDB">
        <w:rPr>
          <w:lang w:bidi="ar-EG"/>
        </w:rPr>
        <w:t>–</w:t>
      </w:r>
      <w:r w:rsidRPr="00AA0EDB">
        <w:rPr>
          <w:rtl/>
        </w:rPr>
        <w:tab/>
        <w:t xml:space="preserve">أحاط فريق العمل التابع للمجلس والمعني بحماية الأطفال على الإنترنت </w:t>
      </w:r>
      <w:r w:rsidRPr="00AA0EDB">
        <w:rPr>
          <w:lang w:bidi="ar-EG"/>
        </w:rPr>
        <w:t>(‎CWG-COP)</w:t>
      </w:r>
      <w:r w:rsidRPr="00AA0EDB">
        <w:rPr>
          <w:rtl/>
        </w:rPr>
        <w:t xml:space="preserve"> علماً بطائفة واسعة من التجارب الوطنية ووثائق المعلومات التي عرضتها الدول الأعضاء، مما سلط الضوء على نُهج تشرك الحكومة بأكملها وأصحاب المصلحة المتعددين تجمع بين إذكاء الوعي والتدابير التنظيمية والآليات التشغيلية والشراكات لمعالجة المخاطر التي تهدد سلامة الأطفال على الإنترنت.</w:t>
      </w:r>
    </w:p>
    <w:p w14:paraId="4B01C126" w14:textId="19A30E30" w:rsidR="00AA0EDB" w:rsidRPr="00AA0EDB" w:rsidRDefault="00AA0EDB" w:rsidP="00D3714B">
      <w:pPr>
        <w:pStyle w:val="enumlev1"/>
        <w:rPr>
          <w:lang w:val="ar-SA" w:bidi="ar-EG"/>
        </w:rPr>
      </w:pPr>
      <w:r w:rsidRPr="00AA0EDB">
        <w:rPr>
          <w:lang w:bidi="ar-EG"/>
        </w:rPr>
        <w:t>–</w:t>
      </w:r>
      <w:r w:rsidRPr="00AA0EDB">
        <w:rPr>
          <w:rtl/>
        </w:rPr>
        <w:tab/>
        <w:t>أقر الاجتماع بالمساهمات التي تؤكد على الأهمية المتزايدة للذكاء الاصطناعي والأنظمة الخوارزمية في رسم معالم تجارب الأطفال على الإنترنت، بما في ذلك المخاطر والفرص على حد</w:t>
      </w:r>
      <w:r w:rsidR="000D203E">
        <w:rPr>
          <w:rFonts w:hint="cs"/>
          <w:rtl/>
        </w:rPr>
        <w:t>ٍ</w:t>
      </w:r>
      <w:r w:rsidRPr="00AA0EDB">
        <w:rPr>
          <w:rtl/>
        </w:rPr>
        <w:t xml:space="preserve"> سواء، وشدد على أهمية تضمين الضمانات التي تركز على الطفل ونهج السلامة من خلال التصميم في الخدمات الرقمية.</w:t>
      </w:r>
    </w:p>
    <w:p w14:paraId="1D5BB802" w14:textId="77777777" w:rsidR="00AA0EDB" w:rsidRPr="00AA0EDB" w:rsidRDefault="00AA0EDB" w:rsidP="00D3714B">
      <w:pPr>
        <w:pStyle w:val="enumlev1"/>
        <w:rPr>
          <w:lang w:val="ar-SA" w:bidi="ar-EG"/>
        </w:rPr>
      </w:pPr>
      <w:r w:rsidRPr="00AA0EDB">
        <w:rPr>
          <w:lang w:bidi="ar-EG"/>
        </w:rPr>
        <w:t>–</w:t>
      </w:r>
      <w:r w:rsidRPr="00AA0EDB">
        <w:rPr>
          <w:rtl/>
        </w:rPr>
        <w:tab/>
        <w:t xml:space="preserve">رحب فريق العمل التابع للمجلس والمعني بحماية الأطفال على الإنترنت </w:t>
      </w:r>
      <w:r w:rsidRPr="00AA0EDB">
        <w:rPr>
          <w:lang w:bidi="ar-EG"/>
        </w:rPr>
        <w:t>(‎CWG-COP)</w:t>
      </w:r>
      <w:r w:rsidRPr="00AA0EDB">
        <w:rPr>
          <w:rtl/>
        </w:rPr>
        <w:t xml:space="preserve"> باستمرار التنسيق مع لجنة الدراسات 17 لقطاع تقييس الاتصالات، بما في ذلك تقديم بيان اتصال ومستجدات بشأن العمل التقني المتعلق بالذكاء الاصطناعي والأمن السيبراني والثقة. وكرر الاجتماع التأكيد على قيمة التبادل المستمر للمعلومات بين فريق العمل المذكور وقطاع تقييس الاتصالات لضمان الاتساق بين المناقشات الخاصة بالسياسات وأنشطة التقييس.</w:t>
      </w:r>
    </w:p>
    <w:p w14:paraId="62AED91A" w14:textId="77777777" w:rsidR="00AA0EDB" w:rsidRPr="00AA0EDB" w:rsidRDefault="00AA0EDB" w:rsidP="00D3714B">
      <w:pPr>
        <w:pStyle w:val="enumlev1"/>
        <w:rPr>
          <w:lang w:val="ar-SA" w:bidi="ar-EG"/>
        </w:rPr>
      </w:pPr>
      <w:r w:rsidRPr="00AA0EDB">
        <w:rPr>
          <w:lang w:bidi="ar-EG"/>
        </w:rPr>
        <w:t>–</w:t>
      </w:r>
      <w:r w:rsidRPr="00AA0EDB">
        <w:rPr>
          <w:rtl/>
        </w:rPr>
        <w:tab/>
        <w:t>أكد الاجتماع من جديد على أهمية المشاركة الشاملة ومتعددة أصحاب المصلحة في النهوض بحماية الأطفال على الإنترنت، بما في ذلك مشاركة دوائر الصناعة والمجتمع المدني والهيئات الأكاديمية والمنظمات الدولية، ورحب بالتعاون المستمر مع وكالات الأمم المتحدة والجهات الشريكة.</w:t>
      </w:r>
    </w:p>
    <w:p w14:paraId="68CB9302" w14:textId="77777777" w:rsidR="00AA0EDB" w:rsidRPr="00AA0EDB" w:rsidRDefault="00AA0EDB" w:rsidP="00D3714B">
      <w:pPr>
        <w:pStyle w:val="enumlev1"/>
        <w:rPr>
          <w:lang w:val="ar-SA" w:bidi="ar-EG"/>
        </w:rPr>
      </w:pPr>
      <w:r w:rsidRPr="00AA0EDB">
        <w:rPr>
          <w:lang w:bidi="ar-EG"/>
        </w:rPr>
        <w:t>–</w:t>
      </w:r>
      <w:r w:rsidRPr="00AA0EDB">
        <w:rPr>
          <w:rtl/>
        </w:rPr>
        <w:tab/>
        <w:t xml:space="preserve">شدد الرئيس على قيمة الشفافية وتبادل المعلومات والحوار المستمر داخل فريق العمل المعني بحماية الأطفال على الإنترنت </w:t>
      </w:r>
      <w:r w:rsidRPr="00AA0EDB">
        <w:rPr>
          <w:lang w:bidi="ar-EG"/>
        </w:rPr>
        <w:t>(‎CWG-</w:t>
      </w:r>
      <w:proofErr w:type="gramStart"/>
      <w:r w:rsidRPr="00AA0EDB">
        <w:rPr>
          <w:lang w:bidi="ar-EG"/>
        </w:rPr>
        <w:t>COP)</w:t>
      </w:r>
      <w:r w:rsidRPr="00AA0EDB">
        <w:rPr>
          <w:rtl/>
        </w:rPr>
        <w:t>،</w:t>
      </w:r>
      <w:proofErr w:type="gramEnd"/>
      <w:r w:rsidRPr="00AA0EDB">
        <w:rPr>
          <w:rtl/>
        </w:rPr>
        <w:t xml:space="preserve"> إذ أشار إلى أهمية إبقاء الدول الأعضاء على علم بالعمل الجاري والقادم من أجل دعم المشاركة الفعالة.</w:t>
      </w:r>
    </w:p>
    <w:p w14:paraId="64D3A863" w14:textId="46D99E80" w:rsidR="00AA0EDB" w:rsidRPr="00AA0EDB" w:rsidRDefault="00AA0EDB" w:rsidP="000D203E">
      <w:pPr>
        <w:spacing w:before="480"/>
        <w:ind w:left="3969"/>
        <w:jc w:val="center"/>
        <w:rPr>
          <w:lang w:val="ar-SA" w:bidi="ar-EG"/>
        </w:rPr>
      </w:pPr>
      <w:r w:rsidRPr="00AA0EDB">
        <w:rPr>
          <w:rtl/>
        </w:rPr>
        <w:t>عبد العزيز الزرعوني، الرئيس</w:t>
      </w:r>
      <w:r w:rsidR="000D203E">
        <w:rPr>
          <w:rtl/>
        </w:rPr>
        <w:br/>
      </w:r>
      <w:r w:rsidRPr="00AA0EDB">
        <w:rPr>
          <w:rtl/>
        </w:rPr>
        <w:t>(الإمارات العربية المتحدة)</w:t>
      </w:r>
    </w:p>
    <w:p w14:paraId="26EFD70D" w14:textId="7CE44297" w:rsidR="00AA0EDB" w:rsidRPr="00AA0EDB" w:rsidRDefault="00AA0EDB" w:rsidP="000D203E">
      <w:pPr>
        <w:spacing w:before="480"/>
        <w:ind w:left="3969"/>
        <w:jc w:val="center"/>
        <w:rPr>
          <w:lang w:val="ar-SA" w:bidi="ar-EG"/>
        </w:rPr>
      </w:pPr>
      <w:r w:rsidRPr="00AA0EDB">
        <w:rPr>
          <w:rtl/>
        </w:rPr>
        <w:t>ستيلا س. إريبور، نائبة الرئيس</w:t>
      </w:r>
      <w:r w:rsidR="000D203E">
        <w:rPr>
          <w:rtl/>
        </w:rPr>
        <w:br/>
      </w:r>
      <w:r w:rsidRPr="00AA0EDB">
        <w:rPr>
          <w:rtl/>
        </w:rPr>
        <w:t>(نيجيريا)</w:t>
      </w:r>
    </w:p>
    <w:sectPr w:rsidR="00AA0EDB" w:rsidRPr="00AA0EDB" w:rsidSect="006F363C">
      <w:footerReference w:type="default" r:id="rId19"/>
      <w:headerReference w:type="first" r:id="rId20"/>
      <w:footerReference w:type="first" r:id="rId21"/>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85428" w14:textId="77777777" w:rsidR="00AA0EDB" w:rsidRDefault="00AA0EDB" w:rsidP="006C3242">
      <w:pPr>
        <w:spacing w:before="0" w:line="240" w:lineRule="auto"/>
      </w:pPr>
      <w:r>
        <w:separator/>
      </w:r>
    </w:p>
  </w:endnote>
  <w:endnote w:type="continuationSeparator" w:id="0">
    <w:p w14:paraId="4203B67E" w14:textId="77777777" w:rsidR="00AA0EDB" w:rsidRDefault="00AA0EDB"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7A9CD15D" w14:textId="77777777" w:rsidTr="00A67F05">
      <w:trPr>
        <w:jc w:val="center"/>
      </w:trPr>
      <w:tc>
        <w:tcPr>
          <w:tcW w:w="868" w:type="pct"/>
          <w:vAlign w:val="center"/>
        </w:tcPr>
        <w:p w14:paraId="0705D59A" w14:textId="6600300B" w:rsidR="00F50E3F" w:rsidRPr="007B0AA0" w:rsidRDefault="00D3714B" w:rsidP="009814F3">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sz w:val="18"/>
            </w:rPr>
          </w:pPr>
          <w:r w:rsidRPr="00D3714B">
            <w:rPr>
              <w:rFonts w:ascii="Calibri" w:hAnsi="Calibri" w:cs="Arial"/>
              <w:sz w:val="18"/>
              <w:szCs w:val="14"/>
            </w:rPr>
            <w:t>2600453</w:t>
          </w:r>
        </w:p>
      </w:tc>
      <w:tc>
        <w:tcPr>
          <w:tcW w:w="3912" w:type="pct"/>
        </w:tcPr>
        <w:p w14:paraId="05E016D1" w14:textId="71563E2D" w:rsidR="00F50E3F" w:rsidRPr="007B0AA0" w:rsidRDefault="00F50E3F" w:rsidP="009814F3">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D3714B">
            <w:rPr>
              <w:rFonts w:ascii="Calibri" w:hAnsi="Calibri" w:cs="Arial"/>
              <w:bCs/>
              <w:color w:val="7F7F7F"/>
              <w:sz w:val="18"/>
            </w:rPr>
            <w:t>15</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0D8074D" w14:textId="77777777" w:rsidR="00F50E3F" w:rsidRPr="007B0AA0" w:rsidRDefault="00F50E3F" w:rsidP="009814F3">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6D18C60F"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11E6498A" w14:textId="77777777" w:rsidTr="00A67F05">
      <w:trPr>
        <w:jc w:val="center"/>
      </w:trPr>
      <w:tc>
        <w:tcPr>
          <w:tcW w:w="1013" w:type="pct"/>
          <w:vAlign w:val="center"/>
        </w:tcPr>
        <w:p w14:paraId="09E40EA9" w14:textId="77777777" w:rsidR="007B0AA0" w:rsidRPr="000116AF" w:rsidRDefault="000116AF" w:rsidP="009814F3">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0D131442" w14:textId="38C29488" w:rsidR="007B0AA0" w:rsidRPr="007B0AA0" w:rsidRDefault="007B0AA0" w:rsidP="009814F3">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D3714B">
            <w:rPr>
              <w:rFonts w:ascii="Calibri" w:hAnsi="Calibri" w:cs="Arial"/>
              <w:bCs/>
              <w:color w:val="7F7F7F"/>
              <w:sz w:val="18"/>
            </w:rPr>
            <w:t>15</w:t>
          </w:r>
          <w:r w:rsidRPr="007B0AA0">
            <w:rPr>
              <w:rFonts w:ascii="Calibri" w:hAnsi="Calibri" w:cs="Arial"/>
              <w:bCs/>
              <w:color w:val="7F7F7F"/>
              <w:sz w:val="18"/>
            </w:rPr>
            <w:t>-</w:t>
          </w:r>
          <w:r>
            <w:rPr>
              <w:rFonts w:ascii="Calibri" w:hAnsi="Calibri" w:cs="Arial"/>
              <w:bCs/>
              <w:color w:val="7F7F7F"/>
              <w:sz w:val="18"/>
            </w:rPr>
            <w:t>A</w:t>
          </w:r>
        </w:p>
      </w:tc>
      <w:tc>
        <w:tcPr>
          <w:tcW w:w="220" w:type="pct"/>
        </w:tcPr>
        <w:p w14:paraId="2FFCD78F" w14:textId="77777777" w:rsidR="007B0AA0" w:rsidRPr="007B0AA0" w:rsidRDefault="00F50E3F" w:rsidP="009814F3">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4A9FFCA3"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52853" w14:textId="77777777" w:rsidR="00AA0EDB" w:rsidRDefault="00AA0EDB" w:rsidP="006C3242">
      <w:pPr>
        <w:spacing w:before="0" w:line="240" w:lineRule="auto"/>
      </w:pPr>
      <w:r>
        <w:separator/>
      </w:r>
    </w:p>
  </w:footnote>
  <w:footnote w:type="continuationSeparator" w:id="0">
    <w:p w14:paraId="051BC5A3" w14:textId="77777777" w:rsidR="00AA0EDB" w:rsidRDefault="00AA0EDB"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6D201" w14:textId="77777777" w:rsidR="001A3E13" w:rsidRPr="00057769" w:rsidRDefault="001A3E13" w:rsidP="001A3E13">
    <w:pPr>
      <w:pStyle w:val="Header"/>
    </w:pPr>
    <w:r>
      <w:rPr>
        <w:noProof/>
      </w:rPr>
      <w:drawing>
        <wp:inline distT="0" distB="0" distL="0" distR="0" wp14:anchorId="63AEB855" wp14:editId="40E28E6A">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EDB"/>
    <w:rsid w:val="000116AF"/>
    <w:rsid w:val="0006468A"/>
    <w:rsid w:val="00077A58"/>
    <w:rsid w:val="00090574"/>
    <w:rsid w:val="000C1C0E"/>
    <w:rsid w:val="000C548A"/>
    <w:rsid w:val="000D203E"/>
    <w:rsid w:val="00191059"/>
    <w:rsid w:val="001A3E13"/>
    <w:rsid w:val="001B6E2B"/>
    <w:rsid w:val="001C0169"/>
    <w:rsid w:val="001C0C21"/>
    <w:rsid w:val="001D1D50"/>
    <w:rsid w:val="001D64C7"/>
    <w:rsid w:val="001D6745"/>
    <w:rsid w:val="001E446E"/>
    <w:rsid w:val="002154EE"/>
    <w:rsid w:val="002276D2"/>
    <w:rsid w:val="0023283D"/>
    <w:rsid w:val="00254393"/>
    <w:rsid w:val="0026373E"/>
    <w:rsid w:val="00271C43"/>
    <w:rsid w:val="00290728"/>
    <w:rsid w:val="002978F4"/>
    <w:rsid w:val="002B028D"/>
    <w:rsid w:val="002C3F32"/>
    <w:rsid w:val="002E6541"/>
    <w:rsid w:val="00334924"/>
    <w:rsid w:val="003409BC"/>
    <w:rsid w:val="00357185"/>
    <w:rsid w:val="00383829"/>
    <w:rsid w:val="003F4B29"/>
    <w:rsid w:val="00410B26"/>
    <w:rsid w:val="00420F8A"/>
    <w:rsid w:val="0042686F"/>
    <w:rsid w:val="004317D8"/>
    <w:rsid w:val="0043260A"/>
    <w:rsid w:val="00434183"/>
    <w:rsid w:val="00443869"/>
    <w:rsid w:val="00447F32"/>
    <w:rsid w:val="00491BA9"/>
    <w:rsid w:val="00494119"/>
    <w:rsid w:val="004A4701"/>
    <w:rsid w:val="004B7334"/>
    <w:rsid w:val="004E11DC"/>
    <w:rsid w:val="005130DE"/>
    <w:rsid w:val="00513157"/>
    <w:rsid w:val="00525DDD"/>
    <w:rsid w:val="005409AC"/>
    <w:rsid w:val="005434E0"/>
    <w:rsid w:val="005546CF"/>
    <w:rsid w:val="0055516A"/>
    <w:rsid w:val="0058491B"/>
    <w:rsid w:val="00592EA5"/>
    <w:rsid w:val="005A3170"/>
    <w:rsid w:val="00657019"/>
    <w:rsid w:val="00660DEA"/>
    <w:rsid w:val="00677396"/>
    <w:rsid w:val="00683F16"/>
    <w:rsid w:val="0069200F"/>
    <w:rsid w:val="006A65CB"/>
    <w:rsid w:val="006B12E5"/>
    <w:rsid w:val="006C3242"/>
    <w:rsid w:val="006C7CC0"/>
    <w:rsid w:val="006F363C"/>
    <w:rsid w:val="006F63F7"/>
    <w:rsid w:val="007025C7"/>
    <w:rsid w:val="00706D7A"/>
    <w:rsid w:val="00722F0D"/>
    <w:rsid w:val="00735081"/>
    <w:rsid w:val="0074420E"/>
    <w:rsid w:val="007648A6"/>
    <w:rsid w:val="0077110E"/>
    <w:rsid w:val="00783E26"/>
    <w:rsid w:val="007A6684"/>
    <w:rsid w:val="007B0AA0"/>
    <w:rsid w:val="007C1DD6"/>
    <w:rsid w:val="007C3BC7"/>
    <w:rsid w:val="007C3BCD"/>
    <w:rsid w:val="007D4ACF"/>
    <w:rsid w:val="007F0787"/>
    <w:rsid w:val="00810B7B"/>
    <w:rsid w:val="0082358A"/>
    <w:rsid w:val="008235CD"/>
    <w:rsid w:val="008247DE"/>
    <w:rsid w:val="008339C0"/>
    <w:rsid w:val="00840B10"/>
    <w:rsid w:val="008513CB"/>
    <w:rsid w:val="00874E9F"/>
    <w:rsid w:val="008A7F84"/>
    <w:rsid w:val="0091702E"/>
    <w:rsid w:val="00923B0C"/>
    <w:rsid w:val="00924F46"/>
    <w:rsid w:val="00935AAC"/>
    <w:rsid w:val="0093725D"/>
    <w:rsid w:val="0094021C"/>
    <w:rsid w:val="0094748F"/>
    <w:rsid w:val="00952F86"/>
    <w:rsid w:val="0096716C"/>
    <w:rsid w:val="009814F3"/>
    <w:rsid w:val="00982B28"/>
    <w:rsid w:val="009868AC"/>
    <w:rsid w:val="009B0ADB"/>
    <w:rsid w:val="009D313F"/>
    <w:rsid w:val="00A47A5A"/>
    <w:rsid w:val="00A63AE6"/>
    <w:rsid w:val="00A6683B"/>
    <w:rsid w:val="00A67F05"/>
    <w:rsid w:val="00A97F94"/>
    <w:rsid w:val="00AA0EDB"/>
    <w:rsid w:val="00AA7EA2"/>
    <w:rsid w:val="00AB5A56"/>
    <w:rsid w:val="00B03099"/>
    <w:rsid w:val="00B05BC8"/>
    <w:rsid w:val="00B30F5E"/>
    <w:rsid w:val="00B64B47"/>
    <w:rsid w:val="00B95654"/>
    <w:rsid w:val="00B97F32"/>
    <w:rsid w:val="00BA04B2"/>
    <w:rsid w:val="00C002DE"/>
    <w:rsid w:val="00C0602B"/>
    <w:rsid w:val="00C224DA"/>
    <w:rsid w:val="00C53BF8"/>
    <w:rsid w:val="00C66157"/>
    <w:rsid w:val="00C674FE"/>
    <w:rsid w:val="00C67501"/>
    <w:rsid w:val="00C75633"/>
    <w:rsid w:val="00CE2EE1"/>
    <w:rsid w:val="00CE3349"/>
    <w:rsid w:val="00CE36E5"/>
    <w:rsid w:val="00CE4360"/>
    <w:rsid w:val="00CF27F5"/>
    <w:rsid w:val="00CF3FFD"/>
    <w:rsid w:val="00D10CCF"/>
    <w:rsid w:val="00D13941"/>
    <w:rsid w:val="00D23F5F"/>
    <w:rsid w:val="00D3714B"/>
    <w:rsid w:val="00D43F7D"/>
    <w:rsid w:val="00D63735"/>
    <w:rsid w:val="00D77D0F"/>
    <w:rsid w:val="00DA1CF0"/>
    <w:rsid w:val="00DA6A30"/>
    <w:rsid w:val="00DC1E02"/>
    <w:rsid w:val="00DC24B4"/>
    <w:rsid w:val="00DC5FB0"/>
    <w:rsid w:val="00DF16DC"/>
    <w:rsid w:val="00E45211"/>
    <w:rsid w:val="00E473C5"/>
    <w:rsid w:val="00E61BE8"/>
    <w:rsid w:val="00E83FF1"/>
    <w:rsid w:val="00E92863"/>
    <w:rsid w:val="00E979B2"/>
    <w:rsid w:val="00EB796D"/>
    <w:rsid w:val="00F058DC"/>
    <w:rsid w:val="00F24FC4"/>
    <w:rsid w:val="00F2676C"/>
    <w:rsid w:val="00F363FE"/>
    <w:rsid w:val="00F50E3F"/>
    <w:rsid w:val="00F806E4"/>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C4B17"/>
  <w15:chartTrackingRefBased/>
  <w15:docId w15:val="{46F96D95-4FC1-452F-9312-5A6468ED1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179-a.pdf" TargetMode="External"/><Relationship Id="rId13" Type="http://schemas.openxmlformats.org/officeDocument/2006/relationships/hyperlink" Target="https://www.itu.int/md/meetingdoc.asp?lang=en&amp;parent=S09-CL-C-0108" TargetMode="External"/><Relationship Id="rId18" Type="http://schemas.openxmlformats.org/officeDocument/2006/relationships/hyperlink" Target="https://www.itu.int/council/groups/wg-cop/first-meeting-march-2010/COP%20WG%20Doc%201-16%20Summary-1-WG-CP-revised%20draft-23-March-2010-final-revised-to%20be-published.doc"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tu.int/en/council/cwg-cop/Pages/default.aspx" TargetMode="External"/><Relationship Id="rId17" Type="http://schemas.openxmlformats.org/officeDocument/2006/relationships/hyperlink" Target="https://www.itu.int/council/groups/wg-cop/first-meeting-march-2010/COP%20WG%20Doc%201-16%20Summary-1-WG-CP-revised%20draft-23-March-2010-final-revised-to%20be-published.doc" TargetMode="External"/><Relationship Id="rId2" Type="http://schemas.openxmlformats.org/officeDocument/2006/relationships/numbering" Target="numbering.xml"/><Relationship Id="rId16" Type="http://schemas.openxmlformats.org/officeDocument/2006/relationships/hyperlink" Target="https://www.itu.int/en/council/Documents/basic-texts-2023/RES-179-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cwg-cop/Pages/default.aspx" TargetMode="External"/><Relationship Id="rId5" Type="http://schemas.openxmlformats.org/officeDocument/2006/relationships/webSettings" Target="webSettings.xml"/><Relationship Id="rId15" Type="http://schemas.openxmlformats.org/officeDocument/2006/relationships/hyperlink" Target="https://www.itu.int/md/meetingdoc.asp?lang=en&amp;parent=S09-CL-C-0108" TargetMode="External"/><Relationship Id="rId23" Type="http://schemas.openxmlformats.org/officeDocument/2006/relationships/theme" Target="theme/theme1.xml"/><Relationship Id="rId10" Type="http://schemas.openxmlformats.org/officeDocument/2006/relationships/hyperlink" Target="https://www.itu.int/en/council/cwg-cop/Pages/default.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en/council/cwg-cop/Pages/default.aspx" TargetMode="External"/><Relationship Id="rId14" Type="http://schemas.openxmlformats.org/officeDocument/2006/relationships/hyperlink" Target="https://www.itu.int/en/council/Documents/basic-texts-2023/RES-179-a.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1</TotalTime>
  <Pages>5</Pages>
  <Words>1932</Words>
  <Characters>12527</Characters>
  <Application>Microsoft Office Word</Application>
  <DocSecurity>0</DocSecurity>
  <Lines>198</Lines>
  <Paragraphs>88</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14371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outcomes of the twenty-third and twenty-fourth meetings of the Council Working Group on child online protection</dc:title>
  <dc:subject>ITU Council 2026</dc:subject>
  <cp:keywords>C26; C2026; Council 2026; PP26</cp:keywords>
  <dc:description/>
  <dcterms:created xsi:type="dcterms:W3CDTF">2026-04-07T12:48:00Z</dcterms:created>
  <dcterms:modified xsi:type="dcterms:W3CDTF">2026-04-07T12:49:00Z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