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F17EC5" w14:paraId="73D91BBE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C109F52" w14:textId="6113DD90" w:rsidR="00FE57F6" w:rsidRPr="00F17EC5" w:rsidRDefault="00633C98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_tradnl"/>
              </w:rPr>
            </w:pPr>
            <w:bookmarkStart w:id="0" w:name="_Hlk133421839"/>
            <w:r w:rsidRPr="00F17EC5">
              <w:rPr>
                <w:b/>
                <w:lang w:val="es-ES_tradnl"/>
              </w:rPr>
              <w:t>Punto del o</w:t>
            </w:r>
            <w:r w:rsidR="00BB6FD8" w:rsidRPr="00F17EC5">
              <w:rPr>
                <w:b/>
                <w:lang w:val="es-ES_tradnl"/>
              </w:rPr>
              <w:t>rden del día</w:t>
            </w:r>
            <w:r w:rsidR="00FE57F6" w:rsidRPr="00F17EC5">
              <w:rPr>
                <w:b/>
                <w:lang w:val="es-ES_tradnl"/>
              </w:rPr>
              <w:t xml:space="preserve">: </w:t>
            </w:r>
            <w:r w:rsidR="003B69F1" w:rsidRPr="00F17EC5">
              <w:rPr>
                <w:b/>
                <w:lang w:val="es-ES_tradnl"/>
              </w:rPr>
              <w:t>PL-2</w:t>
            </w:r>
          </w:p>
        </w:tc>
        <w:tc>
          <w:tcPr>
            <w:tcW w:w="5245" w:type="dxa"/>
          </w:tcPr>
          <w:p w14:paraId="54BD0E44" w14:textId="2974DED2" w:rsidR="00FE57F6" w:rsidRPr="00F17EC5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  <w:r w:rsidRPr="00F17EC5">
              <w:rPr>
                <w:b/>
                <w:lang w:val="es-ES_tradnl"/>
              </w:rPr>
              <w:t>Document</w:t>
            </w:r>
            <w:r w:rsidR="00F24B71" w:rsidRPr="00F17EC5">
              <w:rPr>
                <w:b/>
                <w:lang w:val="es-ES_tradnl"/>
              </w:rPr>
              <w:t>o</w:t>
            </w:r>
            <w:r w:rsidRPr="00F17EC5">
              <w:rPr>
                <w:b/>
                <w:lang w:val="es-ES_tradnl"/>
              </w:rPr>
              <w:t xml:space="preserve"> </w:t>
            </w:r>
            <w:proofErr w:type="spellStart"/>
            <w:r w:rsidRPr="00F17EC5">
              <w:rPr>
                <w:b/>
                <w:lang w:val="es-ES_tradnl"/>
              </w:rPr>
              <w:t>C2</w:t>
            </w:r>
            <w:r w:rsidR="00F85E5C" w:rsidRPr="00F17EC5">
              <w:rPr>
                <w:b/>
                <w:lang w:val="es-ES_tradnl"/>
              </w:rPr>
              <w:t>6</w:t>
            </w:r>
            <w:proofErr w:type="spellEnd"/>
            <w:r w:rsidRPr="00F17EC5">
              <w:rPr>
                <w:b/>
                <w:lang w:val="es-ES_tradnl"/>
              </w:rPr>
              <w:t>/</w:t>
            </w:r>
            <w:r w:rsidR="003B69F1" w:rsidRPr="00F17EC5">
              <w:rPr>
                <w:b/>
                <w:lang w:val="es-ES_tradnl"/>
              </w:rPr>
              <w:t>13</w:t>
            </w:r>
            <w:r w:rsidRPr="00F17EC5">
              <w:rPr>
                <w:b/>
                <w:lang w:val="es-ES_tradnl"/>
              </w:rPr>
              <w:t>-</w:t>
            </w:r>
            <w:r w:rsidR="00F24B71" w:rsidRPr="00F17EC5">
              <w:rPr>
                <w:b/>
                <w:lang w:val="es-ES_tradnl"/>
              </w:rPr>
              <w:t>S</w:t>
            </w:r>
          </w:p>
        </w:tc>
      </w:tr>
      <w:tr w:rsidR="00FE57F6" w:rsidRPr="00F17EC5" w14:paraId="3E5A2928" w14:textId="77777777" w:rsidTr="00C4421B">
        <w:trPr>
          <w:cantSplit/>
        </w:trPr>
        <w:tc>
          <w:tcPr>
            <w:tcW w:w="3969" w:type="dxa"/>
            <w:vMerge/>
          </w:tcPr>
          <w:p w14:paraId="6B0A4E71" w14:textId="77777777" w:rsidR="00FE57F6" w:rsidRPr="00F17EC5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05704029" w14:textId="2ABADB5E" w:rsidR="00FE57F6" w:rsidRPr="00F17EC5" w:rsidRDefault="003B69F1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_tradnl"/>
              </w:rPr>
            </w:pPr>
            <w:r w:rsidRPr="00F17EC5">
              <w:rPr>
                <w:b/>
                <w:lang w:val="es-ES_tradnl"/>
              </w:rPr>
              <w:t>6 de marzo de 2026</w:t>
            </w:r>
          </w:p>
        </w:tc>
      </w:tr>
      <w:tr w:rsidR="00FE57F6" w:rsidRPr="00F17EC5" w14:paraId="5E0D1AE0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3E9A937" w14:textId="77777777" w:rsidR="00FE57F6" w:rsidRPr="00F17EC5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560D79F9" w14:textId="77777777" w:rsidR="00FE57F6" w:rsidRPr="00F17EC5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_tradnl"/>
              </w:rPr>
            </w:pPr>
            <w:r w:rsidRPr="00F17EC5">
              <w:rPr>
                <w:rFonts w:cstheme="minorHAnsi"/>
                <w:b/>
                <w:bCs/>
                <w:lang w:val="es-ES_tradnl"/>
              </w:rPr>
              <w:t>Original: inglés</w:t>
            </w:r>
          </w:p>
        </w:tc>
      </w:tr>
      <w:tr w:rsidR="00FE57F6" w:rsidRPr="00F17EC5" w14:paraId="05EFBC20" w14:textId="77777777" w:rsidTr="00C4421B">
        <w:trPr>
          <w:cantSplit/>
          <w:trHeight w:val="23"/>
        </w:trPr>
        <w:tc>
          <w:tcPr>
            <w:tcW w:w="3969" w:type="dxa"/>
          </w:tcPr>
          <w:p w14:paraId="37CCDFEA" w14:textId="77777777" w:rsidR="00FE57F6" w:rsidRPr="00F17EC5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49B6D3FF" w14:textId="77777777" w:rsidR="00FE57F6" w:rsidRPr="00F17EC5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</w:p>
        </w:tc>
      </w:tr>
      <w:tr w:rsidR="00FE57F6" w:rsidRPr="00F17EC5" w14:paraId="749452E2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910CCF9" w14:textId="54CC16A1" w:rsidR="00FE57F6" w:rsidRPr="00F17EC5" w:rsidRDefault="00157AC4" w:rsidP="00F17EC5">
            <w:pPr>
              <w:pStyle w:val="Source"/>
              <w:framePr w:hSpace="0" w:wrap="auto" w:vAnchor="margin" w:hAnchor="text" w:xAlign="left" w:yAlign="inline"/>
            </w:pPr>
            <w:r w:rsidRPr="00F17EC5">
              <w:t>Informe de</w:t>
            </w:r>
            <w:r w:rsidR="003B69F1" w:rsidRPr="00F17EC5">
              <w:t xml:space="preserve">l Presidente del </w:t>
            </w:r>
            <w:proofErr w:type="spellStart"/>
            <w:r w:rsidR="003B69F1" w:rsidRPr="00F17EC5">
              <w:t>GTC</w:t>
            </w:r>
            <w:proofErr w:type="spellEnd"/>
            <w:r w:rsidR="003B69F1" w:rsidRPr="00F17EC5">
              <w:t>-Idiomas</w:t>
            </w:r>
          </w:p>
        </w:tc>
      </w:tr>
      <w:tr w:rsidR="00FE57F6" w:rsidRPr="00F17EC5" w14:paraId="230F5854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93C8D8D" w14:textId="71D61A40" w:rsidR="00FE57F6" w:rsidRPr="00F17EC5" w:rsidRDefault="009B66A4" w:rsidP="00C4421B">
            <w:pPr>
              <w:pStyle w:val="Subtitle"/>
              <w:framePr w:hSpace="0" w:wrap="auto" w:hAnchor="text" w:xAlign="left" w:yAlign="inline"/>
              <w:rPr>
                <w:lang w:val="es-ES_tradnl"/>
              </w:rPr>
            </w:pPr>
            <w:r w:rsidRPr="00F17EC5">
              <w:rPr>
                <w:lang w:val="es-ES_tradnl"/>
              </w:rPr>
              <w:t>INFORME CUADRIENAL DEL GRUPO DE TRABAJO DEL CONSEJO SOBRE LOS IDIOMAS</w:t>
            </w:r>
          </w:p>
        </w:tc>
      </w:tr>
      <w:tr w:rsidR="00FE57F6" w:rsidRPr="00F17EC5" w14:paraId="4EBB716F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EBC5CF8" w14:textId="77777777" w:rsidR="00FE57F6" w:rsidRPr="00F17EC5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F17EC5">
              <w:rPr>
                <w:b/>
                <w:bCs/>
                <w:sz w:val="26"/>
                <w:szCs w:val="26"/>
                <w:lang w:val="es-ES_tradnl"/>
              </w:rPr>
              <w:t>Finalidad</w:t>
            </w:r>
          </w:p>
          <w:p w14:paraId="3B475063" w14:textId="1A5FD2F4" w:rsidR="00FE57F6" w:rsidRPr="00F17EC5" w:rsidRDefault="003B69F1" w:rsidP="009B66A4">
            <w:pPr>
              <w:jc w:val="both"/>
              <w:rPr>
                <w:lang w:val="es-ES_tradnl"/>
              </w:rPr>
            </w:pPr>
            <w:r w:rsidRPr="00F17EC5">
              <w:rPr>
                <w:lang w:val="es-ES_tradnl"/>
              </w:rPr>
              <w:t>El presente informe resume las actividades y los logros del Grupo de Trabajo del Consejo sobre los Idiomas (</w:t>
            </w:r>
            <w:proofErr w:type="spellStart"/>
            <w:r w:rsidRPr="00F17EC5">
              <w:rPr>
                <w:lang w:val="es-ES_tradnl"/>
              </w:rPr>
              <w:t>GTC</w:t>
            </w:r>
            <w:proofErr w:type="spellEnd"/>
            <w:r w:rsidRPr="00F17EC5">
              <w:rPr>
                <w:lang w:val="es-ES_tradnl"/>
              </w:rPr>
              <w:t>-Idiomas) durante el per</w:t>
            </w:r>
            <w:r w:rsidR="00633C98" w:rsidRPr="00F17EC5">
              <w:rPr>
                <w:lang w:val="es-ES_tradnl"/>
              </w:rPr>
              <w:t>i</w:t>
            </w:r>
            <w:r w:rsidRPr="00F17EC5">
              <w:rPr>
                <w:lang w:val="es-ES_tradnl"/>
              </w:rPr>
              <w:t>odo 2023-2026, de conformidad con la Resolución</w:t>
            </w:r>
            <w:r w:rsidR="00633C98" w:rsidRPr="00F17EC5">
              <w:rPr>
                <w:lang w:val="es-ES_tradnl"/>
              </w:rPr>
              <w:t> </w:t>
            </w:r>
            <w:r w:rsidRPr="00F17EC5">
              <w:rPr>
                <w:lang w:val="es-ES_tradnl"/>
              </w:rPr>
              <w:t>154 (Rev. Bucarest, 2022) de la Conferencia de Plenipotenciarios y la Resolución</w:t>
            </w:r>
            <w:r w:rsidR="00633C98" w:rsidRPr="00F17EC5">
              <w:rPr>
                <w:lang w:val="es-ES_tradnl"/>
              </w:rPr>
              <w:t> </w:t>
            </w:r>
            <w:r w:rsidRPr="00F17EC5">
              <w:rPr>
                <w:lang w:val="es-ES_tradnl"/>
              </w:rPr>
              <w:t>1372 del Consejo (</w:t>
            </w:r>
            <w:proofErr w:type="spellStart"/>
            <w:r w:rsidRPr="00F17EC5">
              <w:rPr>
                <w:lang w:val="es-ES_tradnl"/>
              </w:rPr>
              <w:t>C15</w:t>
            </w:r>
            <w:proofErr w:type="spellEnd"/>
            <w:r w:rsidRPr="00F17EC5">
              <w:rPr>
                <w:lang w:val="es-ES_tradnl"/>
              </w:rPr>
              <w:t xml:space="preserve">, modificada por última vez en </w:t>
            </w:r>
            <w:proofErr w:type="spellStart"/>
            <w:r w:rsidRPr="00F17EC5">
              <w:rPr>
                <w:lang w:val="es-ES_tradnl"/>
              </w:rPr>
              <w:t>C24</w:t>
            </w:r>
            <w:proofErr w:type="spellEnd"/>
            <w:r w:rsidRPr="00F17EC5">
              <w:rPr>
                <w:lang w:val="es-ES_tradnl"/>
              </w:rPr>
              <w:t>).</w:t>
            </w:r>
          </w:p>
          <w:p w14:paraId="39E3CBF1" w14:textId="77777777" w:rsidR="00FE57F6" w:rsidRPr="00F17EC5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F17EC5">
              <w:rPr>
                <w:b/>
                <w:bCs/>
                <w:sz w:val="26"/>
                <w:szCs w:val="26"/>
                <w:lang w:val="es-ES_tradnl"/>
              </w:rPr>
              <w:t xml:space="preserve">Acción solicitada </w:t>
            </w:r>
            <w:r w:rsidR="00677A97" w:rsidRPr="00F17EC5">
              <w:rPr>
                <w:b/>
                <w:bCs/>
                <w:sz w:val="26"/>
                <w:szCs w:val="26"/>
                <w:lang w:val="es-ES_tradnl"/>
              </w:rPr>
              <w:t>al</w:t>
            </w:r>
            <w:r w:rsidRPr="00F17EC5">
              <w:rPr>
                <w:b/>
                <w:bCs/>
                <w:sz w:val="26"/>
                <w:szCs w:val="26"/>
                <w:lang w:val="es-ES_tradnl"/>
              </w:rPr>
              <w:t xml:space="preserve"> Consejo</w:t>
            </w:r>
          </w:p>
          <w:p w14:paraId="7313BE8E" w14:textId="6A941EE7" w:rsidR="00F92BED" w:rsidRPr="00F17EC5" w:rsidRDefault="003B69F1" w:rsidP="00C4421B">
            <w:pPr>
              <w:spacing w:before="160"/>
              <w:rPr>
                <w:szCs w:val="24"/>
                <w:lang w:val="es-ES_tradnl"/>
              </w:rPr>
            </w:pPr>
            <w:r w:rsidRPr="00F17EC5">
              <w:rPr>
                <w:szCs w:val="24"/>
                <w:lang w:val="es-ES_tradnl"/>
              </w:rPr>
              <w:t xml:space="preserve">Se invita al Consejo a </w:t>
            </w:r>
            <w:r w:rsidRPr="00F17EC5">
              <w:rPr>
                <w:b/>
                <w:bCs/>
                <w:szCs w:val="24"/>
                <w:lang w:val="es-ES_tradnl"/>
              </w:rPr>
              <w:t>examinar</w:t>
            </w:r>
            <w:r w:rsidRPr="00F17EC5">
              <w:rPr>
                <w:szCs w:val="24"/>
                <w:lang w:val="es-ES_tradnl"/>
              </w:rPr>
              <w:t xml:space="preserve"> el presente informe y a </w:t>
            </w:r>
            <w:r w:rsidRPr="00F17EC5">
              <w:rPr>
                <w:b/>
                <w:bCs/>
                <w:szCs w:val="24"/>
                <w:lang w:val="es-ES_tradnl"/>
              </w:rPr>
              <w:t>presentar</w:t>
            </w:r>
            <w:r w:rsidRPr="00F17EC5">
              <w:rPr>
                <w:szCs w:val="24"/>
                <w:lang w:val="es-ES_tradnl"/>
              </w:rPr>
              <w:t xml:space="preserve"> sus recomendaciones a la Conferencia de Plenipotenciarios, según proceda.</w:t>
            </w:r>
          </w:p>
          <w:p w14:paraId="57823DE7" w14:textId="77777777" w:rsidR="00F92BED" w:rsidRPr="00F17EC5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F17EC5">
              <w:rPr>
                <w:b/>
                <w:bCs/>
                <w:sz w:val="26"/>
                <w:szCs w:val="26"/>
                <w:lang w:val="es-ES_tradnl"/>
              </w:rPr>
              <w:t>Vínculo(s) pertinente(s) con el Plan Estratégico</w:t>
            </w:r>
          </w:p>
          <w:p w14:paraId="3A8DAB8C" w14:textId="7F0E30C8" w:rsidR="00F92BED" w:rsidRPr="00F17EC5" w:rsidRDefault="003B69F1" w:rsidP="00C4421B">
            <w:pPr>
              <w:rPr>
                <w:lang w:val="es-ES_tradnl"/>
              </w:rPr>
            </w:pPr>
            <w:r w:rsidRPr="00F17EC5">
              <w:rPr>
                <w:lang w:val="es-ES_tradnl"/>
              </w:rPr>
              <w:t>Excelencia en materia de recursos humanos e innovación institucional.</w:t>
            </w:r>
          </w:p>
          <w:p w14:paraId="67FAF186" w14:textId="77777777" w:rsidR="00F92BED" w:rsidRPr="00F17EC5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F17EC5">
              <w:rPr>
                <w:b/>
                <w:bCs/>
                <w:sz w:val="26"/>
                <w:szCs w:val="26"/>
                <w:lang w:val="es-ES_tradnl"/>
              </w:rPr>
              <w:t>Repercusiones financieras</w:t>
            </w:r>
          </w:p>
          <w:p w14:paraId="21108F74" w14:textId="1F6B787A" w:rsidR="00F92BED" w:rsidRPr="00F17EC5" w:rsidRDefault="003B69F1" w:rsidP="00C4421B">
            <w:pPr>
              <w:rPr>
                <w:lang w:val="es-ES_tradnl"/>
              </w:rPr>
            </w:pPr>
            <w:r w:rsidRPr="00F17EC5">
              <w:rPr>
                <w:lang w:val="es-ES_tradnl"/>
              </w:rPr>
              <w:t>Con cargo al presupuesto asignado para 2025-2026</w:t>
            </w:r>
          </w:p>
          <w:p w14:paraId="135C0C97" w14:textId="77777777" w:rsidR="00FE57F6" w:rsidRPr="00F17EC5" w:rsidRDefault="00FE57F6" w:rsidP="00C4421B">
            <w:pPr>
              <w:spacing w:before="160"/>
              <w:rPr>
                <w:caps/>
                <w:sz w:val="22"/>
                <w:lang w:val="es-ES_tradnl"/>
              </w:rPr>
            </w:pPr>
            <w:r w:rsidRPr="00F17EC5">
              <w:rPr>
                <w:sz w:val="22"/>
                <w:lang w:val="es-ES_tradnl"/>
              </w:rPr>
              <w:t>__________________</w:t>
            </w:r>
          </w:p>
          <w:p w14:paraId="4D5BC037" w14:textId="77777777" w:rsidR="00FE57F6" w:rsidRPr="00F17EC5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_tradnl"/>
              </w:rPr>
            </w:pPr>
            <w:r w:rsidRPr="00F17EC5">
              <w:rPr>
                <w:b/>
                <w:bCs/>
                <w:sz w:val="26"/>
                <w:szCs w:val="26"/>
                <w:lang w:val="es-ES_tradnl"/>
              </w:rPr>
              <w:t>Referencia</w:t>
            </w:r>
            <w:r w:rsidR="00F92BED" w:rsidRPr="00F17EC5">
              <w:rPr>
                <w:b/>
                <w:bCs/>
                <w:sz w:val="26"/>
                <w:szCs w:val="26"/>
                <w:lang w:val="es-ES_tradnl"/>
              </w:rPr>
              <w:t>s</w:t>
            </w:r>
            <w:r w:rsidR="00D375E0" w:rsidRPr="00F17EC5">
              <w:rPr>
                <w:sz w:val="26"/>
                <w:szCs w:val="26"/>
                <w:lang w:val="es-ES_tradnl"/>
              </w:rPr>
              <w:t xml:space="preserve"> </w:t>
            </w:r>
          </w:p>
          <w:p w14:paraId="53E9E322" w14:textId="073CCF73" w:rsidR="00FE57F6" w:rsidRPr="009B66A4" w:rsidRDefault="003B69F1" w:rsidP="00C4421B">
            <w:pPr>
              <w:spacing w:after="160"/>
              <w:rPr>
                <w:i/>
                <w:iCs/>
                <w:sz w:val="22"/>
                <w:szCs w:val="22"/>
                <w:lang w:val="es-ES_tradnl"/>
              </w:rPr>
            </w:pPr>
            <w:hyperlink r:id="rId6" w:history="1">
              <w:r w:rsidRPr="009B66A4">
                <w:rPr>
                  <w:rStyle w:val="Hyperlink"/>
                  <w:i/>
                  <w:iCs/>
                  <w:sz w:val="22"/>
                  <w:lang w:val="es-ES_tradnl"/>
                </w:rPr>
                <w:t>Decisión 11 (Rev. Dubái, 2018) de la Conferencia de Plenipotenciarios</w:t>
              </w:r>
            </w:hyperlink>
            <w:r w:rsidRPr="009B66A4">
              <w:rPr>
                <w:sz w:val="22"/>
                <w:szCs w:val="22"/>
                <w:lang w:val="es-ES_tradnl"/>
              </w:rPr>
              <w:t xml:space="preserve">; </w:t>
            </w:r>
            <w:hyperlink r:id="rId7" w:history="1">
              <w:r w:rsidRPr="009B66A4">
                <w:rPr>
                  <w:rStyle w:val="Hyperlink"/>
                  <w:i/>
                  <w:iCs/>
                  <w:sz w:val="22"/>
                  <w:lang w:val="es-ES_tradnl"/>
                </w:rPr>
                <w:t xml:space="preserve">sitio web del </w:t>
              </w:r>
              <w:proofErr w:type="spellStart"/>
              <w:r w:rsidRPr="009B66A4">
                <w:rPr>
                  <w:rStyle w:val="Hyperlink"/>
                  <w:i/>
                  <w:iCs/>
                  <w:sz w:val="22"/>
                  <w:lang w:val="es-ES_tradnl"/>
                </w:rPr>
                <w:t>GTC</w:t>
              </w:r>
              <w:proofErr w:type="spellEnd"/>
              <w:r w:rsidRPr="009B66A4">
                <w:rPr>
                  <w:rStyle w:val="Hyperlink"/>
                  <w:i/>
                  <w:iCs/>
                  <w:sz w:val="22"/>
                  <w:lang w:val="es-ES_tradnl"/>
                </w:rPr>
                <w:t>-Idiomas</w:t>
              </w:r>
            </w:hyperlink>
          </w:p>
        </w:tc>
      </w:tr>
      <w:bookmarkEnd w:id="0"/>
    </w:tbl>
    <w:p w14:paraId="07FB8040" w14:textId="77777777" w:rsidR="00093EEB" w:rsidRPr="00F17EC5" w:rsidRDefault="00093EEB">
      <w:pPr>
        <w:rPr>
          <w:lang w:val="es-ES_tradnl"/>
        </w:rPr>
      </w:pPr>
    </w:p>
    <w:p w14:paraId="5673D152" w14:textId="77777777" w:rsidR="001559F5" w:rsidRPr="00F17EC5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F17EC5">
        <w:rPr>
          <w:lang w:val="es-ES_tradnl"/>
        </w:rPr>
        <w:br w:type="page"/>
      </w:r>
    </w:p>
    <w:p w14:paraId="6909BA21" w14:textId="77777777" w:rsidR="003B69F1" w:rsidRPr="00F17EC5" w:rsidRDefault="003B69F1" w:rsidP="003B69F1">
      <w:pPr>
        <w:pStyle w:val="Heading1"/>
        <w:rPr>
          <w:lang w:val="es-ES_tradnl"/>
        </w:rPr>
      </w:pPr>
      <w:r w:rsidRPr="00F17EC5">
        <w:rPr>
          <w:rFonts w:eastAsia="SimSun"/>
          <w:lang w:val="es-ES_tradnl"/>
        </w:rPr>
        <w:lastRenderedPageBreak/>
        <w:t>I</w:t>
      </w:r>
      <w:r w:rsidRPr="00F17EC5">
        <w:rPr>
          <w:rFonts w:eastAsia="SimSun"/>
          <w:lang w:val="es-ES_tradnl"/>
        </w:rPr>
        <w:tab/>
      </w:r>
      <w:r w:rsidRPr="00F17EC5">
        <w:rPr>
          <w:lang w:val="es-ES_tradnl"/>
        </w:rPr>
        <w:t>Introducción</w:t>
      </w:r>
    </w:p>
    <w:p w14:paraId="35367CB3" w14:textId="52142A72" w:rsidR="003B69F1" w:rsidRPr="00F17EC5" w:rsidRDefault="003B69F1" w:rsidP="009B66A4">
      <w:pPr>
        <w:jc w:val="both"/>
        <w:rPr>
          <w:rFonts w:cstheme="majorBidi"/>
          <w:lang w:val="es-ES_tradnl"/>
        </w:rPr>
      </w:pPr>
      <w:r w:rsidRPr="00F17EC5">
        <w:rPr>
          <w:lang w:val="es-ES_tradnl"/>
        </w:rPr>
        <w:t xml:space="preserve">De conformidad con la Resolución 154 (Rev. Bucarest, 2022) de la Conferencia de Plenipotenciarios y la Resolución </w:t>
      </w:r>
      <w:r w:rsidRPr="00F17EC5">
        <w:rPr>
          <w:spacing w:val="4"/>
          <w:lang w:val="es-ES_tradnl"/>
        </w:rPr>
        <w:t>1372 del Consejo (</w:t>
      </w:r>
      <w:proofErr w:type="spellStart"/>
      <w:r w:rsidRPr="00F17EC5">
        <w:rPr>
          <w:spacing w:val="4"/>
          <w:lang w:val="es-ES_tradnl"/>
        </w:rPr>
        <w:t>C15</w:t>
      </w:r>
      <w:proofErr w:type="spellEnd"/>
      <w:r w:rsidRPr="00F17EC5">
        <w:rPr>
          <w:spacing w:val="4"/>
          <w:lang w:val="es-ES_tradnl"/>
        </w:rPr>
        <w:t>, modificada por última vez en</w:t>
      </w:r>
      <w:r w:rsidR="00633C98" w:rsidRPr="00F17EC5">
        <w:rPr>
          <w:spacing w:val="4"/>
          <w:lang w:val="es-ES_tradnl"/>
        </w:rPr>
        <w:t> </w:t>
      </w:r>
      <w:r w:rsidRPr="00F17EC5">
        <w:rPr>
          <w:spacing w:val="4"/>
          <w:lang w:val="es-ES_tradnl"/>
        </w:rPr>
        <w:t xml:space="preserve">2024), el Grupo de Trabajo del Consejo sobre los idiomas </w:t>
      </w:r>
      <w:r w:rsidRPr="00F17EC5">
        <w:rPr>
          <w:rFonts w:cstheme="majorBidi"/>
          <w:color w:val="000000"/>
          <w:lang w:val="es-ES_tradnl"/>
        </w:rPr>
        <w:t>(</w:t>
      </w:r>
      <w:proofErr w:type="spellStart"/>
      <w:r w:rsidRPr="00F17EC5">
        <w:rPr>
          <w:rFonts w:cstheme="majorBidi"/>
          <w:color w:val="000000"/>
          <w:lang w:val="es-ES_tradnl"/>
        </w:rPr>
        <w:t>GTC</w:t>
      </w:r>
      <w:proofErr w:type="spellEnd"/>
      <w:r w:rsidRPr="00F17EC5">
        <w:rPr>
          <w:rFonts w:cstheme="majorBidi"/>
          <w:color w:val="000000"/>
          <w:lang w:val="es-ES_tradnl"/>
        </w:rPr>
        <w:t>-Idiomas) tiene por mandato seguir adoptando todas las medidas necesarias para garantizar la utilización de los seis idiomas oficiales de la Unión en igualdad de condiciones y proporcionar servicios de interpretación y de traducción de documentos de la UIT.</w:t>
      </w:r>
    </w:p>
    <w:p w14:paraId="065AAA69" w14:textId="77777777" w:rsidR="003B69F1" w:rsidRPr="00F17EC5" w:rsidRDefault="003B69F1" w:rsidP="009B66A4">
      <w:pPr>
        <w:jc w:val="both"/>
        <w:rPr>
          <w:lang w:val="es-ES_tradnl"/>
        </w:rPr>
      </w:pPr>
      <w:r w:rsidRPr="00F17EC5">
        <w:rPr>
          <w:lang w:val="es-ES_tradnl"/>
        </w:rPr>
        <w:t xml:space="preserve">Presidido por la Sra. Sharon Bosire (Kenia) en 2023 y 2024, la Sra. Blanca González (España) como presidenta en funciones en 2025 y la Sra. Rebecca Mukite (Uganda) en 2026, los trabajos del </w:t>
      </w:r>
      <w:proofErr w:type="spellStart"/>
      <w:r w:rsidRPr="00F17EC5">
        <w:rPr>
          <w:lang w:val="es-ES_tradnl"/>
        </w:rPr>
        <w:t>GTC</w:t>
      </w:r>
      <w:proofErr w:type="spellEnd"/>
      <w:r w:rsidRPr="00F17EC5">
        <w:rPr>
          <w:lang w:val="es-ES_tradnl"/>
        </w:rPr>
        <w:t>-Idiomas se centraron en:</w:t>
      </w:r>
    </w:p>
    <w:p w14:paraId="5F482747" w14:textId="6AAD2842" w:rsidR="003B69F1" w:rsidRPr="00F17EC5" w:rsidRDefault="003B69F1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a)</w:t>
      </w:r>
      <w:r w:rsidRPr="00F17EC5">
        <w:rPr>
          <w:lang w:val="es-ES_tradnl"/>
        </w:rPr>
        <w:tab/>
        <w:t>Análisis de los presupuestos y volúmenes de traducción e interpretación en los seis idiomas oficiales.</w:t>
      </w:r>
    </w:p>
    <w:p w14:paraId="6E17C447" w14:textId="0FEE6BCF" w:rsidR="003B69F1" w:rsidRPr="00F17EC5" w:rsidRDefault="003B69F1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b)</w:t>
      </w:r>
      <w:r w:rsidRPr="00F17EC5">
        <w:rPr>
          <w:lang w:val="es-ES_tradnl"/>
        </w:rPr>
        <w:tab/>
        <w:t>Participación en reuniones interinstitucionales para comparar herramientas y procedimientos.</w:t>
      </w:r>
    </w:p>
    <w:p w14:paraId="20D1D0CE" w14:textId="48AA9307" w:rsidR="003B69F1" w:rsidRPr="00F17EC5" w:rsidRDefault="003B69F1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c)</w:t>
      </w:r>
      <w:r w:rsidRPr="00F17EC5">
        <w:rPr>
          <w:lang w:val="es-ES_tradnl"/>
        </w:rPr>
        <w:tab/>
        <w:t>Evaluación y utilización de nuevas tecnologías para aumentar la eficacia y reducir el coste en la prestación de servicios lingüísticos, incluida la traducción automática y la interpretación simultánea a distancia.</w:t>
      </w:r>
    </w:p>
    <w:p w14:paraId="2C442FCD" w14:textId="0F6C96AD" w:rsidR="003B69F1" w:rsidRPr="00F17EC5" w:rsidRDefault="003B69F1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d)</w:t>
      </w:r>
      <w:r w:rsidRPr="00F17EC5">
        <w:rPr>
          <w:lang w:val="es-ES_tradnl"/>
        </w:rPr>
        <w:tab/>
        <w:t xml:space="preserve">Presentación de informes sobre los retos y las oportunidades de la interpretación automática y evaluación de las pruebas realizadas durante las reuniones del </w:t>
      </w:r>
      <w:proofErr w:type="spellStart"/>
      <w:r w:rsidRPr="00F17EC5">
        <w:rPr>
          <w:lang w:val="es-ES_tradnl"/>
        </w:rPr>
        <w:t>CWG</w:t>
      </w:r>
      <w:proofErr w:type="spellEnd"/>
      <w:r w:rsidR="00633C98" w:rsidRPr="00F17EC5">
        <w:rPr>
          <w:lang w:val="es-ES_tradnl"/>
        </w:rPr>
        <w:noBreakHyphen/>
      </w:r>
      <w:r w:rsidRPr="00F17EC5">
        <w:rPr>
          <w:lang w:val="es-ES_tradnl"/>
        </w:rPr>
        <w:t>LANG.</w:t>
      </w:r>
    </w:p>
    <w:p w14:paraId="4EEA9175" w14:textId="2BC5B77C" w:rsidR="003B69F1" w:rsidRPr="00F17EC5" w:rsidRDefault="003B69F1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e)</w:t>
      </w:r>
      <w:r w:rsidRPr="00F17EC5">
        <w:rPr>
          <w:lang w:val="es-ES_tradnl"/>
        </w:rPr>
        <w:tab/>
        <w:t>Información actualizada sobre los trabajos del Comité de Coordinación de Terminología (CCT) de la UIT.</w:t>
      </w:r>
    </w:p>
    <w:p w14:paraId="17DB0202" w14:textId="5B1CED68" w:rsidR="003B69F1" w:rsidRPr="00F17EC5" w:rsidRDefault="003B69F1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f)</w:t>
      </w:r>
      <w:r w:rsidRPr="00F17EC5">
        <w:rPr>
          <w:lang w:val="es-ES_tradnl"/>
        </w:rPr>
        <w:tab/>
        <w:t>Esfuerzos para mejorar el uso en igualdad de condiciones del sitio web de la UIT y armonizar el sitio web de la UIT.</w:t>
      </w:r>
    </w:p>
    <w:p w14:paraId="47E8CBA9" w14:textId="7FCC950E" w:rsidR="003B69F1" w:rsidRPr="00F17EC5" w:rsidRDefault="003B69F1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g)</w:t>
      </w:r>
      <w:r w:rsidRPr="00F17EC5">
        <w:rPr>
          <w:lang w:val="es-ES_tradnl"/>
        </w:rPr>
        <w:tab/>
        <w:t>Publicación y aplicación de la guía sobre prácticas presentes y futuras en materia de multilingüismo en la UIT y de las correspondientes directrices para el personal sobre el uso de la traducción automática.</w:t>
      </w:r>
    </w:p>
    <w:p w14:paraId="48D9F06E" w14:textId="5271205D" w:rsidR="003B69F1" w:rsidRPr="00F17EC5" w:rsidRDefault="00633C98" w:rsidP="009B66A4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h</w:t>
      </w:r>
      <w:r w:rsidR="003B69F1" w:rsidRPr="00F17EC5">
        <w:rPr>
          <w:lang w:val="es-ES_tradnl"/>
        </w:rPr>
        <w:t>)</w:t>
      </w:r>
      <w:r w:rsidR="003B69F1" w:rsidRPr="00F17EC5">
        <w:rPr>
          <w:lang w:val="es-ES_tradnl"/>
        </w:rPr>
        <w:tab/>
        <w:t>Desarrollo de nuevas herramientas lingüísticas y de publicación basadas en IA, como las herramientas basadas en IA de la UIT de edición y subtitulado y la herramienta de publicación electrónica de la UIT.</w:t>
      </w:r>
    </w:p>
    <w:p w14:paraId="6BE98439" w14:textId="77777777" w:rsidR="003B69F1" w:rsidRPr="00F17EC5" w:rsidRDefault="003B69F1" w:rsidP="00633C98">
      <w:pPr>
        <w:pStyle w:val="Heading1"/>
        <w:rPr>
          <w:lang w:val="es-ES_tradnl"/>
        </w:rPr>
      </w:pPr>
      <w:r w:rsidRPr="00F17EC5">
        <w:rPr>
          <w:rFonts w:eastAsia="SimSun"/>
          <w:lang w:val="es-ES_tradnl"/>
        </w:rPr>
        <w:t>II</w:t>
      </w:r>
      <w:r w:rsidRPr="00F17EC5">
        <w:rPr>
          <w:rFonts w:eastAsia="SimSun"/>
          <w:lang w:val="es-ES_tradnl"/>
        </w:rPr>
        <w:tab/>
        <w:t xml:space="preserve">Actividades del </w:t>
      </w:r>
      <w:proofErr w:type="spellStart"/>
      <w:r w:rsidRPr="00F17EC5">
        <w:rPr>
          <w:rFonts w:eastAsia="SimSun"/>
          <w:lang w:val="es-ES_tradnl"/>
        </w:rPr>
        <w:t>GTC</w:t>
      </w:r>
      <w:proofErr w:type="spellEnd"/>
      <w:r w:rsidRPr="00F17EC5">
        <w:rPr>
          <w:lang w:val="es-ES_tradnl"/>
        </w:rPr>
        <w:t>-Idiomas</w:t>
      </w:r>
    </w:p>
    <w:p w14:paraId="78827DDB" w14:textId="1B410B75" w:rsidR="003B69F1" w:rsidRPr="00F17EC5" w:rsidRDefault="003B69F1" w:rsidP="00EA3A07">
      <w:pPr>
        <w:jc w:val="both"/>
        <w:rPr>
          <w:lang w:val="es-ES_tradnl"/>
        </w:rPr>
      </w:pPr>
      <w:r w:rsidRPr="00F17EC5">
        <w:rPr>
          <w:rFonts w:eastAsia="SimSun"/>
          <w:lang w:val="es-ES_tradnl"/>
        </w:rPr>
        <w:t>1</w:t>
      </w:r>
      <w:r w:rsidRPr="00F17EC5">
        <w:rPr>
          <w:rFonts w:eastAsia="SimSun"/>
          <w:lang w:val="es-ES_tradnl"/>
        </w:rPr>
        <w:tab/>
        <w:t>L</w:t>
      </w:r>
      <w:r w:rsidRPr="00F17EC5">
        <w:rPr>
          <w:lang w:val="es-ES_tradnl"/>
        </w:rPr>
        <w:t xml:space="preserve">os principales resultados de la </w:t>
      </w:r>
      <w:hyperlink r:id="rId8" w:history="1">
        <w:r w:rsidRPr="00F17EC5">
          <w:rPr>
            <w:rStyle w:val="Hyperlink"/>
            <w:rFonts w:asciiTheme="minorHAnsi" w:hAnsiTheme="minorHAnsi"/>
            <w:lang w:val="es-ES_tradnl"/>
          </w:rPr>
          <w:t>decimotercera reunión</w:t>
        </w:r>
      </w:hyperlink>
      <w:r w:rsidRPr="00F17EC5">
        <w:rPr>
          <w:lang w:val="es-ES_tradnl"/>
        </w:rPr>
        <w:t xml:space="preserve"> del </w:t>
      </w:r>
      <w:proofErr w:type="spellStart"/>
      <w:r w:rsidRPr="00F17EC5">
        <w:rPr>
          <w:lang w:val="es-ES_tradnl"/>
        </w:rPr>
        <w:t>GTC</w:t>
      </w:r>
      <w:proofErr w:type="spellEnd"/>
      <w:r w:rsidRPr="00F17EC5">
        <w:rPr>
          <w:lang w:val="es-ES_tradnl"/>
        </w:rPr>
        <w:t>-Idiomas, celebrada el 9</w:t>
      </w:r>
      <w:r w:rsidR="00633C98" w:rsidRPr="00F17EC5">
        <w:rPr>
          <w:lang w:val="es-ES_tradnl"/>
        </w:rPr>
        <w:t> </w:t>
      </w:r>
      <w:r w:rsidRPr="00F17EC5">
        <w:rPr>
          <w:lang w:val="es-ES_tradnl"/>
        </w:rPr>
        <w:t xml:space="preserve">de octubre de 2023, fueron los siguientes: </w:t>
      </w:r>
    </w:p>
    <w:p w14:paraId="41234434" w14:textId="143CE88C" w:rsidR="003B69F1" w:rsidRPr="00F17EC5" w:rsidRDefault="003B69F1" w:rsidP="00EA3A07">
      <w:pPr>
        <w:pStyle w:val="enumlev1"/>
        <w:jc w:val="both"/>
        <w:rPr>
          <w:rFonts w:eastAsia="Calibri" w:cs="Arial"/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refrendó la propuesta de la Secretaría para la colaboración en materia de terminología entre el Departamento de Conferencias y Publicaciones de la UIT y los Estados Miembros interesados y se aprobó la publicación de una carta circular para informar más detalladamente sobre este particular a todos los Estados Miembros</w:t>
      </w:r>
      <w:r w:rsidR="00633C98" w:rsidRPr="00F17EC5">
        <w:rPr>
          <w:lang w:val="es-ES_tradnl"/>
        </w:rPr>
        <w:t>;</w:t>
      </w:r>
    </w:p>
    <w:p w14:paraId="00FC4C4C" w14:textId="6813609F" w:rsidR="003B69F1" w:rsidRPr="00F17EC5" w:rsidRDefault="003B69F1" w:rsidP="00EA3A07">
      <w:pPr>
        <w:pStyle w:val="enumlev1"/>
        <w:jc w:val="both"/>
        <w:rPr>
          <w:rFonts w:eastAsia="Calibri" w:cs="Calibri"/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 xml:space="preserve">tras la presentación inicial de la guía sobre prácticas presentes y futuras en materia de multilingüismo, se solicitó a la Secretaría que actualizara el documento para presentarlo en la próxima reunión del </w:t>
      </w:r>
      <w:proofErr w:type="spellStart"/>
      <w:r w:rsidRPr="00F17EC5">
        <w:rPr>
          <w:lang w:val="es-ES_tradnl"/>
        </w:rPr>
        <w:t>GTC</w:t>
      </w:r>
      <w:proofErr w:type="spellEnd"/>
      <w:r w:rsidRPr="00F17EC5">
        <w:rPr>
          <w:lang w:val="es-ES_tradnl"/>
        </w:rPr>
        <w:t>-Idiomas con el fin de incorporar los eventuales adelantos tecnológicos y ofrecer más detalles sobre el aumento de la disponibilidad de contenidos de la UIT en idiomas no oficiales, en consonancia con los comentarios de los delegados</w:t>
      </w:r>
      <w:r w:rsidR="00633C98" w:rsidRPr="00F17EC5">
        <w:rPr>
          <w:rFonts w:eastAsia="Calibri" w:cs="Calibri"/>
          <w:kern w:val="2"/>
          <w:lang w:val="es-ES_tradnl"/>
          <w14:ligatures w14:val="standardContextual"/>
        </w:rPr>
        <w:t>;</w:t>
      </w:r>
    </w:p>
    <w:p w14:paraId="6A07A512" w14:textId="219ADAF8" w:rsidR="003B69F1" w:rsidRPr="00F17EC5" w:rsidRDefault="003B69F1" w:rsidP="00EA3A07">
      <w:pPr>
        <w:pStyle w:val="enumlev1"/>
        <w:jc w:val="both"/>
        <w:rPr>
          <w:rFonts w:cs="Calibri"/>
          <w:kern w:val="2"/>
          <w:lang w:val="es-ES_tradnl"/>
          <w14:ligatures w14:val="standardContextual"/>
        </w:rPr>
      </w:pPr>
      <w:r w:rsidRPr="00F17EC5">
        <w:rPr>
          <w:lang w:val="es-ES_tradnl"/>
        </w:rPr>
        <w:lastRenderedPageBreak/>
        <w:t>–</w:t>
      </w:r>
      <w:r w:rsidRPr="00F17EC5">
        <w:rPr>
          <w:lang w:val="es-ES_tradnl"/>
        </w:rPr>
        <w:tab/>
        <w:t xml:space="preserve">se introdujeron modificaciones de edición en </w:t>
      </w:r>
      <w:r w:rsidRPr="00F17EC5">
        <w:rPr>
          <w:rFonts w:cs="Calibri"/>
          <w:kern w:val="2"/>
          <w:lang w:val="es-ES_tradnl"/>
          <w14:ligatures w14:val="standardContextual"/>
        </w:rPr>
        <w:t xml:space="preserve">el Documento </w:t>
      </w:r>
      <w:hyperlink r:id="rId9" w:history="1">
        <w:proofErr w:type="spellStart"/>
        <w:r w:rsidRPr="00F17EC5">
          <w:rPr>
            <w:rFonts w:cs="Calibri"/>
            <w:color w:val="4F81BD" w:themeColor="accent1"/>
            <w:kern w:val="2"/>
            <w:u w:val="single"/>
            <w:lang w:val="es-ES_tradnl"/>
            <w14:ligatures w14:val="standardContextual"/>
          </w:rPr>
          <w:t>CWG</w:t>
        </w:r>
        <w:proofErr w:type="spellEnd"/>
        <w:r w:rsidRPr="00F17EC5">
          <w:rPr>
            <w:rFonts w:cs="Calibri"/>
            <w:color w:val="4F81BD" w:themeColor="accent1"/>
            <w:kern w:val="2"/>
            <w:u w:val="single"/>
            <w:lang w:val="es-ES_tradnl"/>
            <w14:ligatures w14:val="standardContextual"/>
          </w:rPr>
          <w:t>-LANG-13/6</w:t>
        </w:r>
      </w:hyperlink>
      <w:r w:rsidRPr="00F17EC5">
        <w:rPr>
          <w:rFonts w:cs="Calibri"/>
          <w:kern w:val="2"/>
          <w:lang w:val="es-ES_tradnl"/>
          <w14:ligatures w14:val="standardContextual"/>
        </w:rPr>
        <w:t xml:space="preserve"> y se propuso que el Consejo refrendase el proyecto de revisión de la Resolución</w:t>
      </w:r>
      <w:r w:rsidR="00633C98" w:rsidRPr="00F17EC5">
        <w:rPr>
          <w:rFonts w:cs="Calibri"/>
          <w:kern w:val="2"/>
          <w:lang w:val="es-ES_tradnl"/>
          <w14:ligatures w14:val="standardContextual"/>
        </w:rPr>
        <w:t> </w:t>
      </w:r>
      <w:r w:rsidRPr="00F17EC5">
        <w:rPr>
          <w:rFonts w:cs="Calibri"/>
          <w:kern w:val="2"/>
          <w:lang w:val="es-ES_tradnl"/>
          <w14:ligatures w14:val="standardContextual"/>
        </w:rPr>
        <w:t>1386 (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C17</w:t>
      </w:r>
      <w:proofErr w:type="spellEnd"/>
      <w:r w:rsidRPr="00F17EC5">
        <w:rPr>
          <w:rFonts w:cs="Calibri"/>
          <w:kern w:val="2"/>
          <w:lang w:val="es-ES_tradnl"/>
          <w14:ligatures w14:val="standardContextual"/>
        </w:rPr>
        <w:t>,</w:t>
      </w:r>
      <w:r w:rsidR="00633C98" w:rsidRPr="00F17EC5">
        <w:rPr>
          <w:rFonts w:cs="Calibri"/>
          <w:kern w:val="2"/>
          <w:lang w:val="es-ES_tradnl"/>
          <w14:ligatures w14:val="standardContextual"/>
        </w:rPr>
        <w:t> M</w:t>
      </w:r>
      <w:r w:rsidRPr="00F17EC5">
        <w:rPr>
          <w:rFonts w:cs="Calibri"/>
          <w:kern w:val="2"/>
          <w:lang w:val="es-ES_tradnl"/>
          <w14:ligatures w14:val="standardContextual"/>
        </w:rPr>
        <w:t>od.</w:t>
      </w:r>
      <w:r w:rsidR="00633C98" w:rsidRPr="00F17EC5">
        <w:rPr>
          <w:rFonts w:cs="Calibri"/>
          <w:kern w:val="2"/>
          <w:lang w:val="es-ES_tradnl"/>
          <w14:ligatures w14:val="standardContextual"/>
        </w:rPr>
        <w:t> </w:t>
      </w:r>
      <w:r w:rsidRPr="00F17EC5">
        <w:rPr>
          <w:rFonts w:cs="Calibri"/>
          <w:kern w:val="2"/>
          <w:lang w:val="es-ES_tradnl"/>
          <w14:ligatures w14:val="standardContextual"/>
        </w:rPr>
        <w:t>2024) relativa al Comité de Coordinación de la Terminología (CCT del UIT)</w:t>
      </w:r>
      <w:r w:rsidR="00633C98" w:rsidRPr="00F17EC5">
        <w:rPr>
          <w:rFonts w:cs="Calibri"/>
          <w:kern w:val="2"/>
          <w:lang w:val="es-ES_tradnl"/>
          <w14:ligatures w14:val="standardContextual"/>
        </w:rPr>
        <w:t>;</w:t>
      </w:r>
    </w:p>
    <w:p w14:paraId="42549CD9" w14:textId="266E2929" w:rsidR="003B69F1" w:rsidRPr="00F17EC5" w:rsidRDefault="003B69F1" w:rsidP="00EA3A07">
      <w:pPr>
        <w:pStyle w:val="enumlev1"/>
        <w:jc w:val="both"/>
        <w:rPr>
          <w:rFonts w:cs="Calibri"/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</w:r>
      <w:r w:rsidRPr="00F17EC5">
        <w:rPr>
          <w:rFonts w:cs="Calibri"/>
          <w:kern w:val="2"/>
          <w:lang w:val="es-ES_tradnl"/>
          <w14:ligatures w14:val="standardContextual"/>
        </w:rPr>
        <w:t>se invió a presentar más contribuciones y se revisaron las propuestas para finalizar el proyecto de revisión de la Resolución 1372 (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C15</w:t>
      </w:r>
      <w:proofErr w:type="spellEnd"/>
      <w:r w:rsidRPr="00F17EC5">
        <w:rPr>
          <w:rFonts w:cs="Calibri"/>
          <w:kern w:val="2"/>
          <w:lang w:val="es-ES_tradnl"/>
          <w14:ligatures w14:val="standardContextual"/>
        </w:rPr>
        <w:t xml:space="preserve">, </w:t>
      </w:r>
      <w:r w:rsidR="00633C98" w:rsidRPr="00F17EC5">
        <w:rPr>
          <w:rFonts w:cs="Calibri"/>
          <w:kern w:val="2"/>
          <w:lang w:val="es-ES_tradnl"/>
          <w14:ligatures w14:val="standardContextual"/>
        </w:rPr>
        <w:t>M</w:t>
      </w:r>
      <w:r w:rsidRPr="00F17EC5">
        <w:rPr>
          <w:rFonts w:cs="Calibri"/>
          <w:kern w:val="2"/>
          <w:lang w:val="es-ES_tradnl"/>
          <w14:ligatures w14:val="standardContextual"/>
        </w:rPr>
        <w:t xml:space="preserve">od. 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C19</w:t>
      </w:r>
      <w:proofErr w:type="spellEnd"/>
      <w:r w:rsidRPr="00F17EC5">
        <w:rPr>
          <w:rFonts w:cs="Calibri"/>
          <w:kern w:val="2"/>
          <w:lang w:val="es-ES_tradnl"/>
          <w14:ligatures w14:val="standardContextual"/>
        </w:rPr>
        <w:t xml:space="preserve">) sobre el 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GTC</w:t>
      </w:r>
      <w:proofErr w:type="spellEnd"/>
      <w:r w:rsidRPr="00F17EC5">
        <w:rPr>
          <w:rFonts w:cs="Calibri"/>
          <w:kern w:val="2"/>
          <w:lang w:val="es-ES_tradnl"/>
          <w14:ligatures w14:val="standardContextual"/>
        </w:rPr>
        <w:t>-Idiomas</w:t>
      </w:r>
      <w:r w:rsidR="00633C98" w:rsidRPr="00F17EC5">
        <w:rPr>
          <w:rFonts w:cs="Calibri"/>
          <w:kern w:val="2"/>
          <w:lang w:val="es-ES_tradnl"/>
          <w14:ligatures w14:val="standardContextual"/>
        </w:rPr>
        <w:t>;</w:t>
      </w:r>
    </w:p>
    <w:p w14:paraId="4312190F" w14:textId="231D5C06" w:rsidR="003B69F1" w:rsidRPr="00F17EC5" w:rsidRDefault="003B69F1" w:rsidP="00EA3A07">
      <w:pPr>
        <w:pStyle w:val="enumlev1"/>
        <w:jc w:val="both"/>
        <w:rPr>
          <w:rFonts w:cs="Calibri"/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</w:r>
      <w:r w:rsidRPr="00F17EC5">
        <w:rPr>
          <w:rFonts w:cs="Calibri"/>
          <w:kern w:val="2"/>
          <w:lang w:val="es-ES_tradnl"/>
          <w14:ligatures w14:val="standardContextual"/>
        </w:rPr>
        <w:t xml:space="preserve">se solicitó a la Secretaría que recopilara en un documento los comentarios del 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GTC</w:t>
      </w:r>
      <w:proofErr w:type="spellEnd"/>
      <w:r w:rsidR="00633C98" w:rsidRPr="00F17EC5">
        <w:rPr>
          <w:rFonts w:cs="Calibri"/>
          <w:kern w:val="2"/>
          <w:lang w:val="es-ES_tradnl"/>
          <w14:ligatures w14:val="standardContextual"/>
        </w:rPr>
        <w:noBreakHyphen/>
      </w:r>
      <w:r w:rsidRPr="00F17EC5">
        <w:rPr>
          <w:rFonts w:cs="Calibri"/>
          <w:kern w:val="2"/>
          <w:lang w:val="es-ES_tradnl"/>
          <w14:ligatures w14:val="standardContextual"/>
        </w:rPr>
        <w:t xml:space="preserve">Idiomas sobre la mejora del sitio web de la UIT y que lo transmitiera al 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GTC</w:t>
      </w:r>
      <w:r w:rsidR="00633C98" w:rsidRPr="00F17EC5">
        <w:rPr>
          <w:rFonts w:cs="Calibri"/>
          <w:kern w:val="2"/>
          <w:lang w:val="es-ES_tradnl"/>
          <w14:ligatures w14:val="standardContextual"/>
        </w:rPr>
        <w:noBreakHyphen/>
      </w:r>
      <w:r w:rsidRPr="00F17EC5">
        <w:rPr>
          <w:rFonts w:cs="Calibri"/>
          <w:kern w:val="2"/>
          <w:lang w:val="es-ES_tradnl"/>
          <w14:ligatures w14:val="standardContextual"/>
        </w:rPr>
        <w:t>RHF</w:t>
      </w:r>
      <w:proofErr w:type="spellEnd"/>
      <w:r w:rsidRPr="00F17EC5">
        <w:rPr>
          <w:rFonts w:cs="Calibri"/>
          <w:kern w:val="2"/>
          <w:lang w:val="es-ES_tradnl"/>
          <w14:ligatures w14:val="standardContextual"/>
        </w:rPr>
        <w:t xml:space="preserve"> antes de que se mantuvieran los debates sobre este asunto; que presentara los resultados de dichos debates conjuntos a la próxima reunión del 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GTC</w:t>
      </w:r>
      <w:proofErr w:type="spellEnd"/>
      <w:r w:rsidRPr="00F17EC5">
        <w:rPr>
          <w:rFonts w:cs="Calibri"/>
          <w:kern w:val="2"/>
          <w:lang w:val="es-ES_tradnl"/>
          <w14:ligatures w14:val="standardContextual"/>
        </w:rPr>
        <w:t xml:space="preserve">-Idiomas; y que presentara en la próxima reunión del </w:t>
      </w:r>
      <w:proofErr w:type="spellStart"/>
      <w:r w:rsidRPr="00F17EC5">
        <w:rPr>
          <w:rFonts w:cs="Calibri"/>
          <w:kern w:val="2"/>
          <w:lang w:val="es-ES_tradnl"/>
          <w14:ligatures w14:val="standardContextual"/>
        </w:rPr>
        <w:t>GTC</w:t>
      </w:r>
      <w:proofErr w:type="spellEnd"/>
      <w:r w:rsidRPr="00F17EC5">
        <w:rPr>
          <w:rFonts w:cs="Calibri"/>
          <w:kern w:val="2"/>
          <w:lang w:val="es-ES_tradnl"/>
          <w14:ligatures w14:val="standardContextual"/>
        </w:rPr>
        <w:t xml:space="preserve">-Idiomas un documento informativo en el que se resuman los progresos logrados en la armonización del sitio web. </w:t>
      </w:r>
    </w:p>
    <w:p w14:paraId="28582154" w14:textId="2F9E3E66" w:rsidR="003B69F1" w:rsidRPr="00F17EC5" w:rsidRDefault="003B69F1" w:rsidP="00EA3A07">
      <w:pPr>
        <w:jc w:val="both"/>
        <w:rPr>
          <w:rFonts w:cstheme="minorHAnsi"/>
          <w:szCs w:val="24"/>
          <w:lang w:val="es-ES_tradnl"/>
        </w:rPr>
      </w:pPr>
      <w:r w:rsidRPr="00F17EC5">
        <w:rPr>
          <w:rFonts w:eastAsia="SimSun" w:cs="Calibri"/>
          <w:bCs/>
          <w:kern w:val="2"/>
          <w:szCs w:val="24"/>
          <w:lang w:val="es-ES_tradnl"/>
          <w14:ligatures w14:val="standardContextual"/>
        </w:rPr>
        <w:t>2</w:t>
      </w:r>
      <w:r w:rsidRPr="00F17EC5">
        <w:rPr>
          <w:lang w:val="es-ES_tradnl"/>
        </w:rPr>
        <w:tab/>
        <w:t xml:space="preserve">Los principales resultados de la </w:t>
      </w:r>
      <w:hyperlink r:id="rId10" w:history="1">
        <w:r w:rsidRPr="00F17EC5">
          <w:rPr>
            <w:rStyle w:val="Hyperlink"/>
            <w:rFonts w:asciiTheme="minorHAnsi" w:hAnsiTheme="minorHAnsi" w:cstheme="minorHAnsi"/>
            <w:bCs/>
            <w:szCs w:val="24"/>
            <w:lang w:val="es-ES_tradnl"/>
          </w:rPr>
          <w:t>decimocuarta reunión</w:t>
        </w:r>
      </w:hyperlink>
      <w:r w:rsidRPr="00F17EC5">
        <w:rPr>
          <w:rFonts w:cstheme="minorHAnsi"/>
          <w:bCs/>
          <w:szCs w:val="24"/>
          <w:lang w:val="es-ES_tradnl"/>
        </w:rPr>
        <w:t xml:space="preserve"> del </w:t>
      </w:r>
      <w:proofErr w:type="spellStart"/>
      <w:r w:rsidRPr="00F17EC5">
        <w:rPr>
          <w:rFonts w:cstheme="minorHAnsi"/>
          <w:bCs/>
          <w:szCs w:val="24"/>
          <w:lang w:val="es-ES_tradnl"/>
        </w:rPr>
        <w:t>GTC</w:t>
      </w:r>
      <w:proofErr w:type="spellEnd"/>
      <w:r w:rsidRPr="00F17EC5">
        <w:rPr>
          <w:rFonts w:cstheme="minorHAnsi"/>
          <w:bCs/>
          <w:szCs w:val="24"/>
          <w:lang w:val="es-ES_tradnl"/>
        </w:rPr>
        <w:t>-Idiomas, celebrada el 23</w:t>
      </w:r>
      <w:r w:rsidR="00633C98" w:rsidRPr="00F17EC5">
        <w:rPr>
          <w:rFonts w:cstheme="minorHAnsi"/>
          <w:bCs/>
          <w:szCs w:val="24"/>
          <w:lang w:val="es-ES_tradnl"/>
        </w:rPr>
        <w:t> </w:t>
      </w:r>
      <w:r w:rsidRPr="00F17EC5">
        <w:rPr>
          <w:rFonts w:cstheme="minorHAnsi"/>
          <w:bCs/>
          <w:szCs w:val="24"/>
          <w:lang w:val="es-ES_tradnl"/>
        </w:rPr>
        <w:t>de enero de 2024, fueron los siguientes:</w:t>
      </w:r>
    </w:p>
    <w:p w14:paraId="580354ED" w14:textId="06352A41" w:rsidR="003B69F1" w:rsidRPr="00F17EC5" w:rsidRDefault="003B69F1" w:rsidP="00F23A4E">
      <w:pPr>
        <w:pStyle w:val="enumlev1"/>
        <w:jc w:val="both"/>
        <w:rPr>
          <w:bCs/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propuso que el Consejo refrendara el proyecto de revisión de la Resolución</w:t>
      </w:r>
      <w:r w:rsidR="00633C98" w:rsidRPr="00F17EC5">
        <w:rPr>
          <w:lang w:val="es-ES_tradnl"/>
        </w:rPr>
        <w:t> </w:t>
      </w:r>
      <w:r w:rsidRPr="00F17EC5">
        <w:rPr>
          <w:bCs/>
          <w:kern w:val="2"/>
          <w:lang w:val="es-ES_tradnl"/>
          <w14:ligatures w14:val="standardContextual"/>
        </w:rPr>
        <w:t>1372 (</w:t>
      </w:r>
      <w:proofErr w:type="spellStart"/>
      <w:r w:rsidRPr="00F17EC5">
        <w:rPr>
          <w:bCs/>
          <w:kern w:val="2"/>
          <w:lang w:val="es-ES_tradnl"/>
          <w14:ligatures w14:val="standardContextual"/>
        </w:rPr>
        <w:t>C15</w:t>
      </w:r>
      <w:proofErr w:type="spellEnd"/>
      <w:r w:rsidRPr="00F17EC5">
        <w:rPr>
          <w:bCs/>
          <w:kern w:val="2"/>
          <w:lang w:val="es-ES_tradnl"/>
          <w14:ligatures w14:val="standardContextual"/>
        </w:rPr>
        <w:t xml:space="preserve">, </w:t>
      </w:r>
      <w:r w:rsidR="00633C98" w:rsidRPr="00F17EC5">
        <w:rPr>
          <w:bCs/>
          <w:kern w:val="2"/>
          <w:lang w:val="es-ES_tradnl"/>
          <w14:ligatures w14:val="standardContextual"/>
        </w:rPr>
        <w:t>M</w:t>
      </w:r>
      <w:r w:rsidRPr="00F17EC5">
        <w:rPr>
          <w:bCs/>
          <w:kern w:val="2"/>
          <w:lang w:val="es-ES_tradnl"/>
          <w14:ligatures w14:val="standardContextual"/>
        </w:rPr>
        <w:t>od. 2024) relativa al Grupo de Trabajo del Consejo sobre los idiomas (</w:t>
      </w:r>
      <w:proofErr w:type="spellStart"/>
      <w:r w:rsidRPr="00F17EC5">
        <w:rPr>
          <w:bCs/>
          <w:kern w:val="2"/>
          <w:lang w:val="es-ES_tradnl"/>
          <w14:ligatures w14:val="standardContextual"/>
        </w:rPr>
        <w:t>GTC</w:t>
      </w:r>
      <w:proofErr w:type="spellEnd"/>
      <w:r w:rsidR="00633C98" w:rsidRPr="00F17EC5">
        <w:rPr>
          <w:bCs/>
          <w:kern w:val="2"/>
          <w:lang w:val="es-ES_tradnl"/>
          <w14:ligatures w14:val="standardContextual"/>
        </w:rPr>
        <w:noBreakHyphen/>
      </w:r>
      <w:r w:rsidRPr="00F17EC5">
        <w:rPr>
          <w:bCs/>
          <w:kern w:val="2"/>
          <w:lang w:val="es-ES_tradnl"/>
          <w14:ligatures w14:val="standardContextual"/>
        </w:rPr>
        <w:t xml:space="preserve">Idiomas) (Documento </w:t>
      </w:r>
      <w:hyperlink r:id="rId11" w:history="1">
        <w:proofErr w:type="spellStart"/>
        <w:r w:rsidRPr="00F17EC5">
          <w:rPr>
            <w:rStyle w:val="Hyperlink"/>
            <w:rFonts w:asciiTheme="minorHAnsi" w:hAnsiTheme="minorHAnsi" w:cstheme="minorHAnsi"/>
            <w:bCs/>
            <w:lang w:val="es-ES_tradnl"/>
          </w:rPr>
          <w:t>CWG</w:t>
        </w:r>
        <w:proofErr w:type="spellEnd"/>
        <w:r w:rsidRPr="00F17EC5">
          <w:rPr>
            <w:rStyle w:val="Hyperlink"/>
            <w:rFonts w:asciiTheme="minorHAnsi" w:hAnsiTheme="minorHAnsi" w:cstheme="minorHAnsi"/>
            <w:bCs/>
            <w:lang w:val="es-ES_tradnl"/>
          </w:rPr>
          <w:t>-LANG/14/5</w:t>
        </w:r>
      </w:hyperlink>
      <w:r w:rsidRPr="00F17EC5">
        <w:rPr>
          <w:bCs/>
          <w:kern w:val="2"/>
          <w:lang w:val="es-ES_tradnl"/>
          <w14:ligatures w14:val="standardContextual"/>
        </w:rPr>
        <w:t>)</w:t>
      </w:r>
      <w:r w:rsidR="00633C98" w:rsidRPr="00F17EC5">
        <w:rPr>
          <w:bCs/>
          <w:kern w:val="2"/>
          <w:lang w:val="es-ES_tradnl"/>
          <w14:ligatures w14:val="standardContextual"/>
        </w:rPr>
        <w:t>;</w:t>
      </w:r>
    </w:p>
    <w:p w14:paraId="12DDF7E5" w14:textId="03A74831" w:rsidR="003B69F1" w:rsidRPr="00F17EC5" w:rsidRDefault="003B69F1" w:rsidP="00F23A4E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propuso que el Consejo refrendara la guía sobre prácticas presentes y futuras en materia de multilingüismo en la UIT y de las correspondientes directrices para el personal sobre el uso de la traducción automática</w:t>
      </w:r>
      <w:r w:rsidRPr="00F17EC5">
        <w:rPr>
          <w:bCs/>
          <w:kern w:val="2"/>
          <w:lang w:val="es-ES_tradnl"/>
          <w14:ligatures w14:val="standardContextual"/>
        </w:rPr>
        <w:t xml:space="preserve"> (Documento </w:t>
      </w:r>
      <w:hyperlink r:id="rId12" w:history="1">
        <w:proofErr w:type="spellStart"/>
        <w:r w:rsidRPr="00F17EC5">
          <w:rPr>
            <w:rStyle w:val="Hyperlink"/>
            <w:rFonts w:asciiTheme="minorHAnsi" w:hAnsiTheme="minorHAnsi" w:cstheme="minorHAnsi"/>
            <w:bCs/>
            <w:kern w:val="2"/>
            <w:szCs w:val="24"/>
            <w:lang w:val="es-ES_tradnl"/>
            <w14:ligatures w14:val="standardContextual"/>
          </w:rPr>
          <w:t>CWG</w:t>
        </w:r>
        <w:proofErr w:type="spellEnd"/>
        <w:r w:rsidRPr="00F17EC5">
          <w:rPr>
            <w:rStyle w:val="Hyperlink"/>
            <w:rFonts w:asciiTheme="minorHAnsi" w:hAnsiTheme="minorHAnsi" w:cstheme="minorHAnsi"/>
            <w:bCs/>
            <w:kern w:val="2"/>
            <w:szCs w:val="24"/>
            <w:lang w:val="es-ES_tradnl"/>
            <w14:ligatures w14:val="standardContextual"/>
          </w:rPr>
          <w:t>-LANG/14/3</w:t>
        </w:r>
      </w:hyperlink>
      <w:r w:rsidRPr="00F17EC5">
        <w:rPr>
          <w:bCs/>
          <w:kern w:val="2"/>
          <w:lang w:val="es-ES_tradnl"/>
          <w14:ligatures w14:val="standardContextual"/>
        </w:rPr>
        <w:t>)</w:t>
      </w:r>
      <w:r w:rsidR="00633C98" w:rsidRPr="00F17EC5">
        <w:rPr>
          <w:bCs/>
          <w:kern w:val="2"/>
          <w:lang w:val="es-ES_tradnl"/>
          <w14:ligatures w14:val="standardContextual"/>
        </w:rPr>
        <w:t>;</w:t>
      </w:r>
    </w:p>
    <w:p w14:paraId="687BBFF7" w14:textId="7FA991AC" w:rsidR="003B69F1" w:rsidRPr="00F17EC5" w:rsidRDefault="003B69F1" w:rsidP="00F23A4E">
      <w:pPr>
        <w:pStyle w:val="enumlev1"/>
        <w:jc w:val="both"/>
        <w:rPr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solicitó que la UIT siguiera mejorando la disponibilidad de las páginas web en los seis idiomas oficiales</w:t>
      </w:r>
      <w:r w:rsidR="00633C98" w:rsidRPr="00F17EC5">
        <w:rPr>
          <w:lang w:val="es-ES_tradnl"/>
        </w:rPr>
        <w:t>;</w:t>
      </w:r>
    </w:p>
    <w:p w14:paraId="6E805446" w14:textId="528C52CF" w:rsidR="003B69F1" w:rsidRPr="00F17EC5" w:rsidRDefault="003B69F1" w:rsidP="00F23A4E">
      <w:pPr>
        <w:pStyle w:val="enumlev1"/>
        <w:jc w:val="both"/>
        <w:rPr>
          <w:rFonts w:eastAsiaTheme="minorHAnsi"/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pidió que la UIT proporcionara una dirección de correo electrónico para formular comentarios y observaciones sobre la traducción automática (</w:t>
      </w:r>
      <w:hyperlink r:id="rId13" w:history="1">
        <w:r w:rsidRPr="00F17EC5">
          <w:rPr>
            <w:rStyle w:val="Hyperlink"/>
            <w:rFonts w:asciiTheme="minorHAnsi" w:hAnsiTheme="minorHAnsi" w:cstheme="minorHAnsi"/>
            <w:szCs w:val="24"/>
            <w:lang w:val="es-ES_tradnl"/>
          </w:rPr>
          <w:t>ling-it-support@itu.int</w:t>
        </w:r>
      </w:hyperlink>
      <w:r w:rsidRPr="00F17EC5">
        <w:rPr>
          <w:rFonts w:eastAsiaTheme="minorHAnsi"/>
          <w:lang w:val="es-ES_tradnl"/>
        </w:rPr>
        <w:t>)</w:t>
      </w:r>
      <w:r w:rsidR="00633C98" w:rsidRPr="00F17EC5">
        <w:rPr>
          <w:rFonts w:eastAsiaTheme="minorHAnsi"/>
          <w:lang w:val="es-ES_tradnl"/>
        </w:rPr>
        <w:t>;</w:t>
      </w:r>
    </w:p>
    <w:p w14:paraId="4C2DF0B3" w14:textId="130E1EF9" w:rsidR="003B69F1" w:rsidRPr="00F17EC5" w:rsidRDefault="003B69F1" w:rsidP="00F23A4E">
      <w:pPr>
        <w:pStyle w:val="enumlev1"/>
        <w:jc w:val="both"/>
        <w:rPr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</w:r>
      <w:r w:rsidRPr="00F17EC5">
        <w:rPr>
          <w:kern w:val="2"/>
          <w:lang w:val="es-ES_tradnl"/>
          <w14:ligatures w14:val="standardContextual"/>
        </w:rPr>
        <w:t>se pidió a la Secretaría que preparara un cuadro con los comentarios y los problemas relacionados con el sitio web, junto con un resumen de los logros, los asuntos pendientes y las repercusiones presupuestarias; y que presentara en la reunión del Consejo de 2024 una hoja de ruta clara sobre las etapas para mejorar la armonización del sitio web y la búsqueda en el mismo</w:t>
      </w:r>
      <w:r w:rsidR="00633C98" w:rsidRPr="00F17EC5">
        <w:rPr>
          <w:kern w:val="2"/>
          <w:lang w:val="es-ES_tradnl"/>
          <w14:ligatures w14:val="standardContextual"/>
        </w:rPr>
        <w:t>;</w:t>
      </w:r>
    </w:p>
    <w:p w14:paraId="1977D2D4" w14:textId="1C6D98BC" w:rsidR="003B69F1" w:rsidRPr="00F17EC5" w:rsidRDefault="003B69F1" w:rsidP="00F23A4E">
      <w:pPr>
        <w:pStyle w:val="enumlev1"/>
        <w:jc w:val="both"/>
        <w:rPr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</w:r>
      <w:r w:rsidRPr="00F17EC5">
        <w:rPr>
          <w:kern w:val="2"/>
          <w:lang w:val="es-ES_tradnl"/>
          <w14:ligatures w14:val="standardContextual"/>
        </w:rPr>
        <w:t xml:space="preserve">se pidió a la Secretaría que preparara un informe sobre los retos y oportunidades de utilizar la interpretación basada en inteligencia artificial para la próxima reunión del </w:t>
      </w:r>
      <w:proofErr w:type="spellStart"/>
      <w:r w:rsidRPr="00F17EC5">
        <w:rPr>
          <w:kern w:val="2"/>
          <w:lang w:val="es-ES_tradnl"/>
          <w14:ligatures w14:val="standardContextual"/>
        </w:rPr>
        <w:t>GTC</w:t>
      </w:r>
      <w:proofErr w:type="spellEnd"/>
      <w:r w:rsidR="00633C98" w:rsidRPr="00F17EC5">
        <w:rPr>
          <w:kern w:val="2"/>
          <w:lang w:val="es-ES_tradnl"/>
          <w14:ligatures w14:val="standardContextual"/>
        </w:rPr>
        <w:noBreakHyphen/>
      </w:r>
      <w:r w:rsidRPr="00F17EC5">
        <w:rPr>
          <w:kern w:val="2"/>
          <w:lang w:val="es-ES_tradnl"/>
          <w14:ligatures w14:val="standardContextual"/>
        </w:rPr>
        <w:t xml:space="preserve">Idiomas con el fin de que el </w:t>
      </w:r>
      <w:proofErr w:type="spellStart"/>
      <w:r w:rsidRPr="00F17EC5">
        <w:rPr>
          <w:kern w:val="2"/>
          <w:lang w:val="es-ES_tradnl"/>
          <w14:ligatures w14:val="standardContextual"/>
        </w:rPr>
        <w:t>GTC</w:t>
      </w:r>
      <w:proofErr w:type="spellEnd"/>
      <w:r w:rsidRPr="00F17EC5">
        <w:rPr>
          <w:kern w:val="2"/>
          <w:lang w:val="es-ES_tradnl"/>
          <w14:ligatures w14:val="standardContextual"/>
        </w:rPr>
        <w:t>-Idiomas pueda disponer de información para futuras decisiones o peticiones al Consejo</w:t>
      </w:r>
      <w:r w:rsidR="00633C98" w:rsidRPr="00F17EC5">
        <w:rPr>
          <w:kern w:val="2"/>
          <w:lang w:val="es-ES_tradnl"/>
          <w14:ligatures w14:val="standardContextual"/>
        </w:rPr>
        <w:t>;</w:t>
      </w:r>
    </w:p>
    <w:p w14:paraId="39C76FD5" w14:textId="0B30A9CE" w:rsidR="003B69F1" w:rsidRPr="00F17EC5" w:rsidRDefault="003B69F1" w:rsidP="00F23A4E">
      <w:pPr>
        <w:pStyle w:val="enumlev1"/>
        <w:jc w:val="both"/>
        <w:rPr>
          <w:kern w:val="2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 xml:space="preserve">se informó de </w:t>
      </w:r>
      <w:r w:rsidRPr="00F17EC5">
        <w:rPr>
          <w:kern w:val="2"/>
          <w:lang w:val="es-ES_tradnl"/>
          <w14:ligatures w14:val="standardContextual"/>
        </w:rPr>
        <w:t>la organización por parte de Francia de un evento en la UIT sobre la lengua francesa y la tecnología en 2024, financiado por la Organización de la Francofonía; y la propuesta de Canadá de colaborar con la Oficina Regional de Brasilia para ayudar a promover el uso de los idiomas aborígenes para proyectos específicos para promover el multilingüismo.</w:t>
      </w:r>
    </w:p>
    <w:p w14:paraId="331A00C4" w14:textId="77777777" w:rsidR="003B69F1" w:rsidRPr="00F17EC5" w:rsidRDefault="003B69F1" w:rsidP="00F23A4E">
      <w:pPr>
        <w:jc w:val="both"/>
        <w:rPr>
          <w:lang w:val="es-ES_tradnl"/>
        </w:rPr>
      </w:pPr>
      <w:r w:rsidRPr="00F17EC5">
        <w:rPr>
          <w:lang w:val="es-ES_tradnl"/>
        </w:rPr>
        <w:t>3</w:t>
      </w:r>
      <w:r w:rsidRPr="00F17EC5">
        <w:rPr>
          <w:lang w:val="es-ES_tradnl"/>
        </w:rPr>
        <w:tab/>
        <w:t xml:space="preserve">La decimoquinta reunión del </w:t>
      </w:r>
      <w:proofErr w:type="spellStart"/>
      <w:r w:rsidRPr="00F17EC5">
        <w:rPr>
          <w:lang w:val="es-ES_tradnl"/>
        </w:rPr>
        <w:t>GTC</w:t>
      </w:r>
      <w:proofErr w:type="spellEnd"/>
      <w:r w:rsidRPr="00F17EC5">
        <w:rPr>
          <w:lang w:val="es-ES_tradnl"/>
        </w:rPr>
        <w:t>-Idiomas, prevista inicialmente para el 30 de septiembre de 2024, fue anulada.</w:t>
      </w:r>
    </w:p>
    <w:p w14:paraId="079C3680" w14:textId="5B61D5BD" w:rsidR="003B69F1" w:rsidRPr="00F17EC5" w:rsidRDefault="003B69F1" w:rsidP="00F23A4E">
      <w:pPr>
        <w:jc w:val="both"/>
        <w:rPr>
          <w:rFonts w:cstheme="minorBidi"/>
          <w:lang w:val="es-ES_tradnl"/>
        </w:rPr>
      </w:pPr>
      <w:r w:rsidRPr="00F17EC5">
        <w:rPr>
          <w:lang w:val="es-ES_tradnl"/>
        </w:rPr>
        <w:t>4</w:t>
      </w:r>
      <w:r w:rsidRPr="00F17EC5">
        <w:rPr>
          <w:lang w:val="es-ES_tradnl"/>
        </w:rPr>
        <w:tab/>
      </w:r>
      <w:r w:rsidRPr="00F17EC5">
        <w:rPr>
          <w:rFonts w:cstheme="minorBidi"/>
          <w:lang w:val="es-ES_tradnl"/>
        </w:rPr>
        <w:t xml:space="preserve">Los principales resultados de la </w:t>
      </w:r>
      <w:hyperlink r:id="rId14">
        <w:r w:rsidRPr="00F17EC5">
          <w:rPr>
            <w:rStyle w:val="Hyperlink"/>
            <w:rFonts w:asciiTheme="minorHAnsi" w:hAnsiTheme="minorHAnsi"/>
            <w:lang w:val="es-ES_tradnl"/>
          </w:rPr>
          <w:t xml:space="preserve">decimosexta reunión del </w:t>
        </w:r>
        <w:proofErr w:type="spellStart"/>
        <w:r w:rsidRPr="00F17EC5">
          <w:rPr>
            <w:rStyle w:val="Hyperlink"/>
            <w:rFonts w:asciiTheme="minorHAnsi" w:hAnsiTheme="minorHAnsi"/>
            <w:lang w:val="es-ES_tradnl"/>
          </w:rPr>
          <w:t>GTC</w:t>
        </w:r>
        <w:proofErr w:type="spellEnd"/>
        <w:r w:rsidRPr="00F17EC5">
          <w:rPr>
            <w:rStyle w:val="Hyperlink"/>
            <w:rFonts w:asciiTheme="minorHAnsi" w:hAnsiTheme="minorHAnsi"/>
            <w:lang w:val="es-ES_tradnl"/>
          </w:rPr>
          <w:t>-Idiomas</w:t>
        </w:r>
      </w:hyperlink>
      <w:r w:rsidRPr="00F17EC5">
        <w:rPr>
          <w:rFonts w:cstheme="minorBidi"/>
          <w:lang w:val="es-ES_tradnl"/>
        </w:rPr>
        <w:t xml:space="preserve">, </w:t>
      </w:r>
      <w:r w:rsidRPr="00F17EC5">
        <w:rPr>
          <w:lang w:val="es-ES_tradnl"/>
        </w:rPr>
        <w:t>celebrada el 12</w:t>
      </w:r>
      <w:r w:rsidR="00633C98" w:rsidRPr="00F17EC5">
        <w:rPr>
          <w:lang w:val="es-ES_tradnl"/>
        </w:rPr>
        <w:t> </w:t>
      </w:r>
      <w:r w:rsidRPr="00F17EC5">
        <w:rPr>
          <w:lang w:val="es-ES_tradnl"/>
        </w:rPr>
        <w:t xml:space="preserve">de febrero de 2025, </w:t>
      </w:r>
      <w:r w:rsidRPr="00F17EC5">
        <w:rPr>
          <w:rFonts w:cstheme="minorBidi"/>
          <w:lang w:val="es-ES_tradnl"/>
        </w:rPr>
        <w:t>fueron los siguientes:</w:t>
      </w:r>
    </w:p>
    <w:p w14:paraId="0EE37111" w14:textId="77777777" w:rsidR="003B69F1" w:rsidRPr="00F17EC5" w:rsidRDefault="003B69F1" w:rsidP="00F23A4E">
      <w:pPr>
        <w:pStyle w:val="enumlev1"/>
        <w:jc w:val="both"/>
        <w:rPr>
          <w:bCs/>
          <w:kern w:val="2"/>
          <w:szCs w:val="24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 xml:space="preserve">se solicitó a la Secretaría que, en futuros informes al </w:t>
      </w:r>
      <w:proofErr w:type="spellStart"/>
      <w:r w:rsidRPr="00F17EC5">
        <w:rPr>
          <w:lang w:val="es-ES_tradnl"/>
        </w:rPr>
        <w:t>CWG</w:t>
      </w:r>
      <w:proofErr w:type="spellEnd"/>
      <w:r w:rsidRPr="00F17EC5">
        <w:rPr>
          <w:lang w:val="es-ES_tradnl"/>
        </w:rPr>
        <w:t xml:space="preserve">-LANG, facilite el gasto anual detallado en relación con el límite presupuestario de 85 millones CHF para los servicios </w:t>
      </w:r>
      <w:r w:rsidRPr="00F17EC5">
        <w:rPr>
          <w:lang w:val="es-ES_tradnl"/>
        </w:rPr>
        <w:lastRenderedPageBreak/>
        <w:t>lingüísticos, indicando en una nota a pie de página que el 2022 fue un año excepcional en cuanto al número de conferencias celebradas</w:t>
      </w:r>
      <w:r w:rsidRPr="00F17EC5">
        <w:rPr>
          <w:bCs/>
          <w:kern w:val="2"/>
          <w:szCs w:val="24"/>
          <w:lang w:val="es-ES_tradnl"/>
          <w14:ligatures w14:val="standardContextual"/>
        </w:rPr>
        <w:t>;</w:t>
      </w:r>
    </w:p>
    <w:p w14:paraId="4675653A" w14:textId="77777777" w:rsidR="003B69F1" w:rsidRPr="00F17EC5" w:rsidRDefault="003B69F1" w:rsidP="00F23A4E">
      <w:pPr>
        <w:pStyle w:val="enumlev1"/>
        <w:jc w:val="both"/>
        <w:rPr>
          <w:szCs w:val="24"/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</w:r>
      <w:r w:rsidRPr="00F17EC5">
        <w:rPr>
          <w:kern w:val="2"/>
          <w:lang w:val="es-ES_tradnl"/>
          <w14:ligatures w14:val="standardContextual"/>
        </w:rPr>
        <w:t xml:space="preserve">se solicitó que en todos los futuros informes al </w:t>
      </w:r>
      <w:proofErr w:type="spellStart"/>
      <w:r w:rsidRPr="00F17EC5">
        <w:rPr>
          <w:kern w:val="2"/>
          <w:lang w:val="es-ES_tradnl"/>
          <w14:ligatures w14:val="standardContextual"/>
        </w:rPr>
        <w:t>GTC</w:t>
      </w:r>
      <w:proofErr w:type="spellEnd"/>
      <w:r w:rsidRPr="00F17EC5">
        <w:rPr>
          <w:kern w:val="2"/>
          <w:lang w:val="es-ES_tradnl"/>
          <w14:ligatures w14:val="standardContextual"/>
        </w:rPr>
        <w:t xml:space="preserve">-Idiomas se incluya información actualizada sobre el desarrollo del sitio web y la mejora del motor de búsqueda, conforme a lo estipulado en la Resolución </w:t>
      </w:r>
      <w:r w:rsidRPr="00F17EC5">
        <w:rPr>
          <w:lang w:val="es-ES_tradnl"/>
        </w:rPr>
        <w:t>154</w:t>
      </w:r>
      <w:r w:rsidRPr="00F17EC5">
        <w:rPr>
          <w:bCs/>
          <w:kern w:val="2"/>
          <w:szCs w:val="24"/>
          <w:lang w:val="es-ES_tradnl"/>
          <w14:ligatures w14:val="standardContextual"/>
        </w:rPr>
        <w:t>;</w:t>
      </w:r>
    </w:p>
    <w:p w14:paraId="20B949EC" w14:textId="608A484B" w:rsidR="003B69F1" w:rsidRPr="00F17EC5" w:rsidRDefault="003B69F1" w:rsidP="00F23A4E">
      <w:pPr>
        <w:pStyle w:val="enumlev1"/>
        <w:jc w:val="both"/>
        <w:rPr>
          <w:kern w:val="2"/>
          <w:szCs w:val="24"/>
          <w:lang w:val="es-ES_tradnl"/>
          <w14:ligatures w14:val="standardContextua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 xml:space="preserve">se tomó nota de la información actualizada sobre la aplicación de la guía sobre el multilingüismo, en particular los datos sobre la utilización de las herramientas de traducción automática </w:t>
      </w:r>
      <w:r w:rsidRPr="00F17EC5">
        <w:rPr>
          <w:i/>
          <w:iCs/>
          <w:lang w:val="es-ES_tradnl"/>
        </w:rPr>
        <w:t xml:space="preserve">ITU </w:t>
      </w:r>
      <w:proofErr w:type="spellStart"/>
      <w:r w:rsidRPr="00F17EC5">
        <w:rPr>
          <w:i/>
          <w:iCs/>
          <w:lang w:val="es-ES_tradnl"/>
        </w:rPr>
        <w:t>Translate</w:t>
      </w:r>
      <w:proofErr w:type="spellEnd"/>
      <w:r w:rsidRPr="00F17EC5">
        <w:rPr>
          <w:lang w:val="es-ES_tradnl"/>
        </w:rPr>
        <w:t xml:space="preserve"> (Documento </w:t>
      </w:r>
      <w:hyperlink r:id="rId15" w:history="1">
        <w:proofErr w:type="spellStart"/>
        <w:r w:rsidRPr="00F17EC5">
          <w:rPr>
            <w:rStyle w:val="Hyperlink"/>
            <w:rFonts w:asciiTheme="minorHAnsi" w:hAnsiTheme="minorHAnsi" w:cstheme="minorHAnsi"/>
            <w:lang w:val="es-ES_tradnl"/>
          </w:rPr>
          <w:t>CWG</w:t>
        </w:r>
        <w:proofErr w:type="spellEnd"/>
        <w:r w:rsidRPr="00F17EC5">
          <w:rPr>
            <w:rStyle w:val="Hyperlink"/>
            <w:rFonts w:asciiTheme="minorHAnsi" w:hAnsiTheme="minorHAnsi" w:cstheme="minorHAnsi"/>
            <w:lang w:val="es-ES_tradnl"/>
          </w:rPr>
          <w:t>-LANG/16-3</w:t>
        </w:r>
      </w:hyperlink>
      <w:r w:rsidRPr="00F17EC5">
        <w:rPr>
          <w:szCs w:val="24"/>
          <w:lang w:val="es-ES_tradnl"/>
        </w:rPr>
        <w:t>);</w:t>
      </w:r>
    </w:p>
    <w:p w14:paraId="7F55B321" w14:textId="3F953E18" w:rsidR="003B69F1" w:rsidRPr="00F17EC5" w:rsidRDefault="003B69F1" w:rsidP="00F23A4E">
      <w:pPr>
        <w:pStyle w:val="enumlev1"/>
        <w:jc w:val="both"/>
        <w:rPr>
          <w:rFonts w:eastAsiaTheme="minorHAnsi"/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convino en presentar al Consejo un documento informativo relativo al informe sobre los retos y oportunidades de la interpretación basada en IA en la UIT (Documento</w:t>
      </w:r>
      <w:r w:rsidR="00F23A4E">
        <w:rPr>
          <w:lang w:val="es-ES_tradnl"/>
        </w:rPr>
        <w:t> </w:t>
      </w:r>
      <w:proofErr w:type="spellStart"/>
      <w:r w:rsidRPr="00F17EC5">
        <w:rPr>
          <w:lang w:val="es-ES_tradnl"/>
        </w:rPr>
        <w:fldChar w:fldCharType="begin"/>
      </w:r>
      <w:r w:rsidRPr="00F17EC5">
        <w:rPr>
          <w:lang w:val="es-ES_tradnl"/>
        </w:rPr>
        <w:instrText>HYPERLINK "https://www.itu.int/md/S25-CL-INF-0007/es"</w:instrText>
      </w:r>
      <w:r w:rsidRPr="00F17EC5">
        <w:rPr>
          <w:lang w:val="es-ES_tradnl"/>
        </w:rPr>
      </w:r>
      <w:r w:rsidRPr="00F17EC5">
        <w:rPr>
          <w:lang w:val="es-ES_tradnl"/>
        </w:rPr>
        <w:fldChar w:fldCharType="separate"/>
      </w:r>
      <w:r w:rsidRPr="00F17EC5">
        <w:rPr>
          <w:rStyle w:val="Hyperlink"/>
          <w:rFonts w:asciiTheme="minorHAnsi" w:hAnsiTheme="minorHAnsi" w:cstheme="minorHAnsi"/>
          <w:lang w:val="es-ES_tradnl"/>
        </w:rPr>
        <w:t>C25</w:t>
      </w:r>
      <w:proofErr w:type="spellEnd"/>
      <w:r w:rsidRPr="00F17EC5">
        <w:rPr>
          <w:rStyle w:val="Hyperlink"/>
          <w:rFonts w:asciiTheme="minorHAnsi" w:hAnsiTheme="minorHAnsi" w:cstheme="minorHAnsi"/>
          <w:lang w:val="es-ES_tradnl"/>
        </w:rPr>
        <w:t>/INF/7</w:t>
      </w:r>
      <w:r w:rsidRPr="00F17EC5">
        <w:rPr>
          <w:lang w:val="es-ES_tradnl"/>
        </w:rPr>
        <w:fldChar w:fldCharType="end"/>
      </w:r>
      <w:r w:rsidRPr="00F17EC5">
        <w:rPr>
          <w:rFonts w:eastAsiaTheme="minorHAnsi"/>
          <w:lang w:val="es-ES_tradnl"/>
        </w:rPr>
        <w:t>).</w:t>
      </w:r>
    </w:p>
    <w:p w14:paraId="15C5F55F" w14:textId="420E7491" w:rsidR="003B69F1" w:rsidRPr="00F17EC5" w:rsidRDefault="003B69F1" w:rsidP="00633C98">
      <w:pPr>
        <w:keepNext/>
        <w:rPr>
          <w:lang w:val="es-ES_tradnl"/>
        </w:rPr>
      </w:pPr>
      <w:r w:rsidRPr="00F17EC5">
        <w:rPr>
          <w:lang w:val="es-ES_tradnl"/>
        </w:rPr>
        <w:t>5</w:t>
      </w:r>
      <w:r w:rsidRPr="00F17EC5">
        <w:rPr>
          <w:lang w:val="es-ES_tradnl"/>
        </w:rPr>
        <w:tab/>
        <w:t xml:space="preserve">Los principales resultados de la </w:t>
      </w:r>
      <w:hyperlink r:id="rId16">
        <w:r w:rsidRPr="00F17EC5">
          <w:rPr>
            <w:rStyle w:val="Hyperlink"/>
            <w:rFonts w:asciiTheme="minorHAnsi" w:hAnsiTheme="minorHAnsi"/>
            <w:lang w:val="es-ES_tradnl"/>
          </w:rPr>
          <w:t>decimoséptima reunión</w:t>
        </w:r>
      </w:hyperlink>
      <w:r w:rsidRPr="00F17EC5">
        <w:rPr>
          <w:lang w:val="es-ES_tradnl"/>
        </w:rPr>
        <w:t xml:space="preserve"> del </w:t>
      </w:r>
      <w:proofErr w:type="spellStart"/>
      <w:r w:rsidRPr="00F17EC5">
        <w:rPr>
          <w:lang w:val="es-ES_tradnl"/>
        </w:rPr>
        <w:t>GTC</w:t>
      </w:r>
      <w:proofErr w:type="spellEnd"/>
      <w:r w:rsidRPr="00F17EC5">
        <w:rPr>
          <w:lang w:val="es-ES_tradnl"/>
        </w:rPr>
        <w:t xml:space="preserve">-Idiomas, celebrada el 20 de enero de 2026, fueron los siguientes: </w:t>
      </w:r>
    </w:p>
    <w:p w14:paraId="66630511" w14:textId="5112418B" w:rsidR="003B69F1" w:rsidRPr="00F17EC5" w:rsidRDefault="003B69F1" w:rsidP="00F23A4E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rFonts w:asciiTheme="minorHAnsi" w:hAnsiTheme="minorHAnsi"/>
          <w:lang w:val="es-ES_tradnl"/>
        </w:rPr>
        <w:tab/>
      </w:r>
      <w:r w:rsidRPr="00F17EC5">
        <w:rPr>
          <w:rFonts w:asciiTheme="minorHAnsi" w:hAnsiTheme="minorHAnsi"/>
          <w:spacing w:val="-4"/>
          <w:lang w:val="es-ES_tradnl"/>
        </w:rPr>
        <w:t xml:space="preserve">se solicitó que la contribución relativa a la Resolución </w:t>
      </w:r>
      <w:r w:rsidRPr="00F17EC5">
        <w:rPr>
          <w:spacing w:val="-4"/>
          <w:lang w:val="es-ES_tradnl"/>
        </w:rPr>
        <w:t xml:space="preserve">1386 del Consejo, contenida en el Documento </w:t>
      </w:r>
      <w:hyperlink r:id="rId17" w:history="1">
        <w:proofErr w:type="spellStart"/>
        <w:r w:rsidRPr="00F17EC5">
          <w:rPr>
            <w:rStyle w:val="Hyperlink"/>
            <w:lang w:val="es-ES_tradnl"/>
          </w:rPr>
          <w:t>CWG</w:t>
        </w:r>
        <w:proofErr w:type="spellEnd"/>
        <w:r w:rsidRPr="00F17EC5">
          <w:rPr>
            <w:rStyle w:val="Hyperlink"/>
            <w:lang w:val="es-ES_tradnl"/>
          </w:rPr>
          <w:t>-LANG-17/5</w:t>
        </w:r>
      </w:hyperlink>
      <w:r w:rsidRPr="00F17EC5">
        <w:rPr>
          <w:lang w:val="es-ES_tradnl"/>
        </w:rPr>
        <w:t xml:space="preserve"> y modificada por el </w:t>
      </w:r>
      <w:proofErr w:type="spellStart"/>
      <w:r w:rsidRPr="00F17EC5">
        <w:rPr>
          <w:lang w:val="es-ES_tradnl"/>
        </w:rPr>
        <w:t>GTC</w:t>
      </w:r>
      <w:proofErr w:type="spellEnd"/>
      <w:r w:rsidRPr="00F17EC5">
        <w:rPr>
          <w:lang w:val="es-ES_tradnl"/>
        </w:rPr>
        <w:t xml:space="preserve">-Idiomas, sea examinada por el </w:t>
      </w:r>
      <w:proofErr w:type="spellStart"/>
      <w:r w:rsidRPr="00F17EC5">
        <w:rPr>
          <w:lang w:val="es-ES_tradnl"/>
        </w:rPr>
        <w:t>CTT</w:t>
      </w:r>
      <w:proofErr w:type="spellEnd"/>
      <w:r w:rsidRPr="00F17EC5">
        <w:rPr>
          <w:lang w:val="es-ES_tradnl"/>
        </w:rPr>
        <w:t xml:space="preserve"> en su reunión de febrero de 2026 y se incluya en el informe del Presidente para su consideración y aprobación por el Consejo en su reunión de 2026</w:t>
      </w:r>
      <w:r w:rsidR="00633C98" w:rsidRPr="00F17EC5">
        <w:rPr>
          <w:lang w:val="es-ES_tradnl"/>
        </w:rPr>
        <w:t>;</w:t>
      </w:r>
    </w:p>
    <w:p w14:paraId="7FC648EB" w14:textId="6F78F041" w:rsidR="003B69F1" w:rsidRPr="00F17EC5" w:rsidRDefault="003B69F1" w:rsidP="00F23A4E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 xml:space="preserve">se recomendó que las modificaciones propuestas a la Resolución 154, aprobadas por el </w:t>
      </w:r>
      <w:proofErr w:type="spellStart"/>
      <w:r w:rsidRPr="00F17EC5">
        <w:rPr>
          <w:lang w:val="es-ES_tradnl"/>
        </w:rPr>
        <w:t>GTC</w:t>
      </w:r>
      <w:proofErr w:type="spellEnd"/>
      <w:r w:rsidR="00633C98" w:rsidRPr="00F17EC5">
        <w:rPr>
          <w:lang w:val="es-ES_tradnl"/>
        </w:rPr>
        <w:noBreakHyphen/>
      </w:r>
      <w:r w:rsidRPr="00F17EC5">
        <w:rPr>
          <w:lang w:val="es-ES_tradnl"/>
        </w:rPr>
        <w:t>Idiomas, se sometan a la consideración del Consejo, en su reunión de 2026, para que formule los comentarios que estime oportuno</w:t>
      </w:r>
      <w:r w:rsidR="00633C98" w:rsidRPr="00F17EC5">
        <w:rPr>
          <w:lang w:val="es-ES_tradnl"/>
        </w:rPr>
        <w:t>;</w:t>
      </w:r>
    </w:p>
    <w:p w14:paraId="74E86737" w14:textId="32845288" w:rsidR="003B69F1" w:rsidRPr="00F17EC5" w:rsidRDefault="003B69F1" w:rsidP="00F23A4E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recomendó que la enmienda a la Resolución 1372 del Consejo se someta a éste para su consideración y aprobación</w:t>
      </w:r>
      <w:r w:rsidR="00633C98" w:rsidRPr="00F17EC5">
        <w:rPr>
          <w:lang w:val="es-ES_tradnl"/>
        </w:rPr>
        <w:t>;</w:t>
      </w:r>
    </w:p>
    <w:p w14:paraId="12CC8EF6" w14:textId="77777777" w:rsidR="003B69F1" w:rsidRPr="00F17EC5" w:rsidRDefault="003B69F1" w:rsidP="00F23A4E">
      <w:pPr>
        <w:pStyle w:val="enumlev1"/>
        <w:jc w:val="both"/>
        <w:rPr>
          <w:lang w:val="es-ES_tradnl"/>
        </w:rPr>
      </w:pPr>
      <w:r w:rsidRPr="00F17EC5">
        <w:rPr>
          <w:lang w:val="es-ES_tradnl"/>
        </w:rPr>
        <w:t>–</w:t>
      </w:r>
      <w:r w:rsidRPr="00F17EC5">
        <w:rPr>
          <w:lang w:val="es-ES_tradnl"/>
        </w:rPr>
        <w:tab/>
        <w:t>se confirmó que la Secretaría enviará una carta circular a todos los Estados Miembros, así como a las organizaciones regionales de telecomunicaciones (ORT), para preguntarles si estarían interesados en colaborar en la creación de un equipo de intérpretes.</w:t>
      </w:r>
    </w:p>
    <w:p w14:paraId="4C952F16" w14:textId="77777777" w:rsidR="003B69F1" w:rsidRPr="00F17EC5" w:rsidRDefault="003B69F1" w:rsidP="00633C98">
      <w:pPr>
        <w:pStyle w:val="Heading1"/>
        <w:rPr>
          <w:lang w:val="es-ES_tradnl"/>
        </w:rPr>
      </w:pPr>
      <w:r w:rsidRPr="00F17EC5">
        <w:rPr>
          <w:lang w:val="es-ES_tradnl"/>
        </w:rPr>
        <w:t>III</w:t>
      </w:r>
      <w:r w:rsidRPr="00F17EC5">
        <w:rPr>
          <w:lang w:val="es-ES_tradnl"/>
        </w:rPr>
        <w:tab/>
        <w:t>Recomendaciones a la PP-26</w:t>
      </w:r>
    </w:p>
    <w:p w14:paraId="7E64714A" w14:textId="401F5F02" w:rsidR="00F92BED" w:rsidRDefault="003B69F1" w:rsidP="00F23A4E">
      <w:pPr>
        <w:pStyle w:val="Reasons"/>
        <w:jc w:val="both"/>
        <w:rPr>
          <w:lang w:val="es-ES_tradnl"/>
        </w:rPr>
      </w:pPr>
      <w:r w:rsidRPr="00F17EC5">
        <w:rPr>
          <w:lang w:val="es-ES_tradnl"/>
        </w:rPr>
        <w:t xml:space="preserve">De conformidad con los </w:t>
      </w:r>
      <w:r w:rsidRPr="00F17EC5">
        <w:rPr>
          <w:i/>
          <w:iCs/>
          <w:lang w:val="es-ES_tradnl"/>
        </w:rPr>
        <w:t>decide</w:t>
      </w:r>
      <w:r w:rsidRPr="00F17EC5">
        <w:rPr>
          <w:lang w:val="es-ES_tradnl"/>
        </w:rPr>
        <w:t xml:space="preserve"> 4 y 5 de la Decisión 11 </w:t>
      </w:r>
      <w:bookmarkStart w:id="1" w:name="_Hlk94177355"/>
      <w:r w:rsidRPr="00F17EC5">
        <w:rPr>
          <w:lang w:val="es-ES_tradnl"/>
        </w:rPr>
        <w:t>de la Conferencia de Plenipotenciarios</w:t>
      </w:r>
      <w:bookmarkEnd w:id="1"/>
      <w:r w:rsidRPr="00F17EC5">
        <w:rPr>
          <w:lang w:val="es-ES_tradnl"/>
        </w:rPr>
        <w:t>, se invita al Consejo a recomendar a la Conferencia de Plenipotenciarios que mantenga el Grupo de Trabajo del Consejo sobre los Idiomas, en virtud de la Resolución</w:t>
      </w:r>
      <w:r w:rsidR="0066534E" w:rsidRPr="00F17EC5">
        <w:rPr>
          <w:lang w:val="es-ES_tradnl"/>
        </w:rPr>
        <w:t> </w:t>
      </w:r>
      <w:r w:rsidRPr="00F17EC5">
        <w:rPr>
          <w:lang w:val="es-ES_tradnl"/>
        </w:rPr>
        <w:t>154 de la Conferencia de Plenipotenciarios, Utilización de los seis idiomas oficiales de la Unión en igualdad de condiciones.</w:t>
      </w:r>
    </w:p>
    <w:p w14:paraId="232DB0F1" w14:textId="77777777" w:rsidR="008A3EC6" w:rsidRPr="00F17EC5" w:rsidRDefault="008A3EC6" w:rsidP="00F23A4E">
      <w:pPr>
        <w:pStyle w:val="Reasons"/>
        <w:jc w:val="both"/>
        <w:rPr>
          <w:lang w:val="es-ES_tradnl"/>
        </w:rPr>
      </w:pPr>
    </w:p>
    <w:p w14:paraId="36F7AF06" w14:textId="77777777" w:rsidR="00F92BED" w:rsidRPr="00F17EC5" w:rsidRDefault="00F92BED" w:rsidP="00F92BED">
      <w:pPr>
        <w:jc w:val="center"/>
        <w:rPr>
          <w:lang w:val="es-ES_tradnl"/>
        </w:rPr>
      </w:pPr>
      <w:r w:rsidRPr="00F17EC5">
        <w:rPr>
          <w:lang w:val="es-ES_tradnl"/>
        </w:rPr>
        <w:t>______________</w:t>
      </w:r>
    </w:p>
    <w:sectPr w:rsidR="00F92BED" w:rsidRPr="00F17EC5" w:rsidSect="00C538F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E2B4" w14:textId="77777777" w:rsidR="003B69F1" w:rsidRDefault="003B69F1">
      <w:r>
        <w:separator/>
      </w:r>
    </w:p>
  </w:endnote>
  <w:endnote w:type="continuationSeparator" w:id="0">
    <w:p w14:paraId="522A024F" w14:textId="77777777" w:rsidR="003B69F1" w:rsidRDefault="003B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7254" w14:textId="77777777" w:rsidR="008A3EC6" w:rsidRDefault="008A3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8A3EC6" w:rsidRPr="008A3EC6" w14:paraId="1F2DD4ED" w14:textId="77777777" w:rsidTr="00E31DCE">
      <w:trPr>
        <w:jc w:val="center"/>
      </w:trPr>
      <w:tc>
        <w:tcPr>
          <w:tcW w:w="1803" w:type="dxa"/>
          <w:vAlign w:val="center"/>
        </w:tcPr>
        <w:p w14:paraId="202AF344" w14:textId="5264D08A" w:rsidR="003273A4" w:rsidRPr="008A3EC6" w:rsidRDefault="003B69F1" w:rsidP="003273A4">
          <w:pPr>
            <w:pStyle w:val="Header"/>
            <w:jc w:val="left"/>
            <w:rPr>
              <w:noProof/>
              <w:color w:val="7F7F7F" w:themeColor="text1" w:themeTint="80"/>
            </w:rPr>
          </w:pPr>
          <w:r w:rsidRPr="008A3EC6">
            <w:rPr>
              <w:noProof/>
              <w:color w:val="7F7F7F" w:themeColor="text1" w:themeTint="80"/>
            </w:rPr>
            <w:t>2600452</w:t>
          </w:r>
        </w:p>
      </w:tc>
      <w:tc>
        <w:tcPr>
          <w:tcW w:w="8261" w:type="dxa"/>
        </w:tcPr>
        <w:p w14:paraId="2AC33DFD" w14:textId="1D1FE729" w:rsidR="003273A4" w:rsidRPr="008A3EC6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7F7F7F" w:themeColor="text1" w:themeTint="80"/>
              <w:szCs w:val="18"/>
            </w:rPr>
          </w:pPr>
          <w:r w:rsidRPr="008A3EC6">
            <w:rPr>
              <w:bCs/>
              <w:color w:val="7F7F7F" w:themeColor="text1" w:themeTint="80"/>
            </w:rPr>
            <w:tab/>
          </w:r>
          <w:proofErr w:type="spellStart"/>
          <w:r w:rsidRPr="008A3EC6">
            <w:rPr>
              <w:bCs/>
              <w:color w:val="7F7F7F" w:themeColor="text1" w:themeTint="80"/>
            </w:rPr>
            <w:t>C2</w:t>
          </w:r>
          <w:r w:rsidR="00F85E5C" w:rsidRPr="008A3EC6">
            <w:rPr>
              <w:bCs/>
              <w:color w:val="7F7F7F" w:themeColor="text1" w:themeTint="80"/>
            </w:rPr>
            <w:t>6</w:t>
          </w:r>
          <w:proofErr w:type="spellEnd"/>
          <w:r w:rsidRPr="008A3EC6">
            <w:rPr>
              <w:bCs/>
              <w:color w:val="7F7F7F" w:themeColor="text1" w:themeTint="80"/>
            </w:rPr>
            <w:t>/</w:t>
          </w:r>
          <w:r w:rsidR="003B69F1" w:rsidRPr="008A3EC6">
            <w:rPr>
              <w:bCs/>
              <w:color w:val="7F7F7F" w:themeColor="text1" w:themeTint="80"/>
            </w:rPr>
            <w:t>13</w:t>
          </w:r>
          <w:r w:rsidRPr="008A3EC6">
            <w:rPr>
              <w:bCs/>
              <w:color w:val="7F7F7F" w:themeColor="text1" w:themeTint="80"/>
            </w:rPr>
            <w:t>-S</w:t>
          </w:r>
          <w:r w:rsidRPr="008A3EC6">
            <w:rPr>
              <w:bCs/>
              <w:color w:val="7F7F7F" w:themeColor="text1" w:themeTint="80"/>
            </w:rPr>
            <w:tab/>
          </w:r>
          <w:r w:rsidRPr="008A3EC6">
            <w:rPr>
              <w:color w:val="7F7F7F" w:themeColor="text1" w:themeTint="80"/>
            </w:rPr>
            <w:fldChar w:fldCharType="begin"/>
          </w:r>
          <w:r w:rsidRPr="008A3EC6">
            <w:rPr>
              <w:color w:val="7F7F7F" w:themeColor="text1" w:themeTint="80"/>
            </w:rPr>
            <w:instrText>PAGE</w:instrText>
          </w:r>
          <w:r w:rsidRPr="008A3EC6">
            <w:rPr>
              <w:color w:val="7F7F7F" w:themeColor="text1" w:themeTint="80"/>
            </w:rPr>
            <w:fldChar w:fldCharType="separate"/>
          </w:r>
          <w:r w:rsidRPr="008A3EC6">
            <w:rPr>
              <w:color w:val="7F7F7F" w:themeColor="text1" w:themeTint="80"/>
            </w:rPr>
            <w:t>1</w:t>
          </w:r>
          <w:r w:rsidRPr="008A3EC6">
            <w:rPr>
              <w:noProof/>
              <w:color w:val="7F7F7F" w:themeColor="text1" w:themeTint="80"/>
            </w:rPr>
            <w:fldChar w:fldCharType="end"/>
          </w:r>
        </w:p>
      </w:tc>
    </w:tr>
  </w:tbl>
  <w:p w14:paraId="3C4E3C8C" w14:textId="77777777" w:rsidR="00760F1C" w:rsidRPr="003273A4" w:rsidRDefault="00760F1C" w:rsidP="003273A4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774B0B9B" w14:textId="77777777" w:rsidTr="00E31DCE">
      <w:trPr>
        <w:jc w:val="center"/>
      </w:trPr>
      <w:tc>
        <w:tcPr>
          <w:tcW w:w="1803" w:type="dxa"/>
          <w:vAlign w:val="center"/>
        </w:tcPr>
        <w:p w14:paraId="30360682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3A475E1" w14:textId="53F411EE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8A3EC6">
            <w:rPr>
              <w:bCs/>
              <w:color w:val="7F7F7F" w:themeColor="text1" w:themeTint="80"/>
            </w:rPr>
            <w:tab/>
          </w:r>
          <w:proofErr w:type="spellStart"/>
          <w:r w:rsidRPr="008A3EC6">
            <w:rPr>
              <w:bCs/>
              <w:color w:val="7F7F7F" w:themeColor="text1" w:themeTint="80"/>
            </w:rPr>
            <w:t>C2</w:t>
          </w:r>
          <w:r w:rsidR="00F85E5C" w:rsidRPr="008A3EC6">
            <w:rPr>
              <w:bCs/>
              <w:color w:val="7F7F7F" w:themeColor="text1" w:themeTint="80"/>
            </w:rPr>
            <w:t>6</w:t>
          </w:r>
          <w:proofErr w:type="spellEnd"/>
          <w:r w:rsidRPr="008A3EC6">
            <w:rPr>
              <w:bCs/>
              <w:color w:val="7F7F7F" w:themeColor="text1" w:themeTint="80"/>
            </w:rPr>
            <w:t>/</w:t>
          </w:r>
          <w:r w:rsidR="003B69F1" w:rsidRPr="008A3EC6">
            <w:rPr>
              <w:bCs/>
              <w:color w:val="7F7F7F" w:themeColor="text1" w:themeTint="80"/>
            </w:rPr>
            <w:t>13</w:t>
          </w:r>
          <w:r w:rsidRPr="008A3EC6">
            <w:rPr>
              <w:bCs/>
              <w:color w:val="7F7F7F" w:themeColor="text1" w:themeTint="80"/>
            </w:rPr>
            <w:t>-</w:t>
          </w:r>
          <w:r w:rsidR="003273A4" w:rsidRPr="008A3EC6">
            <w:rPr>
              <w:bCs/>
              <w:color w:val="7F7F7F" w:themeColor="text1" w:themeTint="80"/>
            </w:rPr>
            <w:t>S</w:t>
          </w:r>
          <w:r w:rsidRPr="008A3EC6">
            <w:rPr>
              <w:bCs/>
              <w:color w:val="7F7F7F" w:themeColor="text1" w:themeTint="80"/>
            </w:rPr>
            <w:tab/>
          </w:r>
          <w:r w:rsidRPr="008A3EC6">
            <w:rPr>
              <w:color w:val="7F7F7F" w:themeColor="text1" w:themeTint="80"/>
            </w:rPr>
            <w:fldChar w:fldCharType="begin"/>
          </w:r>
          <w:r w:rsidRPr="008A3EC6">
            <w:rPr>
              <w:color w:val="7F7F7F" w:themeColor="text1" w:themeTint="80"/>
            </w:rPr>
            <w:instrText>PAGE</w:instrText>
          </w:r>
          <w:r w:rsidRPr="008A3EC6">
            <w:rPr>
              <w:color w:val="7F7F7F" w:themeColor="text1" w:themeTint="80"/>
            </w:rPr>
            <w:fldChar w:fldCharType="separate"/>
          </w:r>
          <w:r w:rsidRPr="008A3EC6">
            <w:rPr>
              <w:color w:val="7F7F7F" w:themeColor="text1" w:themeTint="80"/>
            </w:rPr>
            <w:t>1</w:t>
          </w:r>
          <w:r w:rsidRPr="008A3EC6">
            <w:rPr>
              <w:noProof/>
              <w:color w:val="7F7F7F" w:themeColor="text1" w:themeTint="80"/>
            </w:rPr>
            <w:fldChar w:fldCharType="end"/>
          </w:r>
        </w:p>
      </w:tc>
    </w:tr>
  </w:tbl>
  <w:p w14:paraId="15093578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3B0A" w14:textId="77777777" w:rsidR="003B69F1" w:rsidRDefault="003B69F1">
      <w:r>
        <w:t>____________________</w:t>
      </w:r>
    </w:p>
  </w:footnote>
  <w:footnote w:type="continuationSeparator" w:id="0">
    <w:p w14:paraId="0FA90FCA" w14:textId="77777777" w:rsidR="003B69F1" w:rsidRDefault="003B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1C60" w14:textId="77777777" w:rsidR="008A3EC6" w:rsidRDefault="008A3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A6EA" w14:textId="77777777" w:rsidR="008A3EC6" w:rsidRDefault="008A3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3ADE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3B70321A" wp14:editId="5A3ED9EC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F1"/>
    <w:rsid w:val="000007D1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16AF4"/>
    <w:rsid w:val="00146BFB"/>
    <w:rsid w:val="001559F5"/>
    <w:rsid w:val="00157AC4"/>
    <w:rsid w:val="0016169C"/>
    <w:rsid w:val="001958F5"/>
    <w:rsid w:val="001B6E2B"/>
    <w:rsid w:val="001F14A2"/>
    <w:rsid w:val="00251644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394223"/>
    <w:rsid w:val="003B69F1"/>
    <w:rsid w:val="004571B0"/>
    <w:rsid w:val="00465C35"/>
    <w:rsid w:val="00473962"/>
    <w:rsid w:val="004B5D49"/>
    <w:rsid w:val="004B7428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33C98"/>
    <w:rsid w:val="006447EA"/>
    <w:rsid w:val="0064481D"/>
    <w:rsid w:val="0064731F"/>
    <w:rsid w:val="00664572"/>
    <w:rsid w:val="0066534E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4546D"/>
    <w:rsid w:val="008A3EC6"/>
    <w:rsid w:val="008F6ABC"/>
    <w:rsid w:val="00913B9C"/>
    <w:rsid w:val="00927F93"/>
    <w:rsid w:val="00956E77"/>
    <w:rsid w:val="009A338E"/>
    <w:rsid w:val="009A76A8"/>
    <w:rsid w:val="009B66A4"/>
    <w:rsid w:val="009F4811"/>
    <w:rsid w:val="00A01F4F"/>
    <w:rsid w:val="00A109AF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A3A07"/>
    <w:rsid w:val="00EB1212"/>
    <w:rsid w:val="00ED65AB"/>
    <w:rsid w:val="00F12850"/>
    <w:rsid w:val="00F17EC5"/>
    <w:rsid w:val="00F23A4E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8D09B"/>
  <w15:docId w15:val="{30E0F639-E2F1-4C6C-B9A7-DE7C67D4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qFormat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F17EC5"/>
    <w:pPr>
      <w:framePr w:hSpace="181" w:wrap="around" w:vAnchor="page" w:hAnchor="page" w:x="1589" w:y="2314"/>
      <w:spacing w:before="840"/>
    </w:pPr>
    <w:rPr>
      <w:rFonts w:cstheme="minorHAnsi"/>
      <w:b/>
      <w:sz w:val="32"/>
      <w:szCs w:val="32"/>
      <w:lang w:val="es-ES_tradnl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B69F1"/>
    <w:rPr>
      <w:rFonts w:ascii="Calibri" w:hAnsi="Calibri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RCLCWGLANG13-C-0007/es" TargetMode="External"/><Relationship Id="rId13" Type="http://schemas.openxmlformats.org/officeDocument/2006/relationships/hyperlink" Target="mailto:ling-it-support@itu.int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itu.int/en/council/cwg-lang/Pages/default.aspx" TargetMode="External"/><Relationship Id="rId12" Type="http://schemas.openxmlformats.org/officeDocument/2006/relationships/hyperlink" Target="https://www.itu.int/md/S24-RCLCWGLANG14-C-0003/es" TargetMode="External"/><Relationship Id="rId17" Type="http://schemas.openxmlformats.org/officeDocument/2006/relationships/hyperlink" Target="https://www.itu.int/md/S26-RCLCWGLANG17-C-0005/e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tu.int/md/S26-RCLCWGLANG17-C-0009/es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itu.int/en/council/Documents/basic-texts/DEC-011-E.pdf" TargetMode="External"/><Relationship Id="rId11" Type="http://schemas.openxmlformats.org/officeDocument/2006/relationships/hyperlink" Target="https://www.itu.int/md/S24-RCLCWGLANG14-C-0005/es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itu.int/md/S25-RCLCWGLANG16-C-0003/es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itu.int/md/S24-RCLCWGLANG14-C-0006/es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S23-RCLCWGLANG13-C-0006/es" TargetMode="External"/><Relationship Id="rId14" Type="http://schemas.openxmlformats.org/officeDocument/2006/relationships/hyperlink" Target="https://www.itu.int/md/S25-RCLCWGLANG16-C-0005/es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10</TotalTime>
  <Pages>4</Pages>
  <Words>1457</Words>
  <Characters>8779</Characters>
  <Application>Microsoft Office Word</Application>
  <DocSecurity>0</DocSecurity>
  <Lines>179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Informe cuadrienal del Grupo de Trabajo del Consejo sobre los idiomas</vt:lpstr>
    </vt:vector>
  </TitlesOfParts>
  <Manager>Secretaría General - Pool</Manager>
  <Company>International Telecommunication Union</Company>
  <LinksUpToDate>false</LinksUpToDate>
  <CharactersWithSpaces>10145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cuadrienal del Grupo de Trabajo del Consejo sobre los idiomas</dc:title>
  <dc:subject>Consejo 2026 de la UIT</dc:subject>
  <cp:keywords>C26; C2026; Council 2026; PP26</cp:keywords>
  <dc:description/>
  <cp:lastPrinted>2006-03-24T09:51:00Z</cp:lastPrinted>
  <dcterms:created xsi:type="dcterms:W3CDTF">2026-03-20T13:41:00Z</dcterms:created>
  <dcterms:modified xsi:type="dcterms:W3CDTF">2026-03-20T13:55:00Z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