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813E5E" w14:paraId="29557858" w14:textId="77777777" w:rsidTr="00796BDB">
        <w:trPr>
          <w:cantSplit/>
          <w:trHeight w:val="23"/>
        </w:trPr>
        <w:tc>
          <w:tcPr>
            <w:tcW w:w="3969" w:type="dxa"/>
            <w:vMerge w:val="restart"/>
            <w:tcMar>
              <w:left w:w="0" w:type="dxa"/>
            </w:tcMar>
          </w:tcPr>
          <w:p w14:paraId="5FB18511" w14:textId="5CB82C27" w:rsidR="00D72F49" w:rsidRPr="00E85629" w:rsidRDefault="00D72F49" w:rsidP="00796BDB">
            <w:pPr>
              <w:tabs>
                <w:tab w:val="left" w:pos="851"/>
              </w:tabs>
              <w:spacing w:before="0" w:line="240" w:lineRule="atLeast"/>
              <w:rPr>
                <w:b/>
              </w:rPr>
            </w:pPr>
            <w:r w:rsidRPr="00122CE1">
              <w:rPr>
                <w:b/>
              </w:rPr>
              <w:t>Point de l'ordre du jour</w:t>
            </w:r>
            <w:r>
              <w:rPr>
                <w:b/>
              </w:rPr>
              <w:t>:</w:t>
            </w:r>
            <w:r w:rsidR="007945FF">
              <w:rPr>
                <w:b/>
              </w:rPr>
              <w:t xml:space="preserve"> PL</w:t>
            </w:r>
            <w:r w:rsidR="00247D07">
              <w:rPr>
                <w:b/>
              </w:rPr>
              <w:t>-</w:t>
            </w:r>
            <w:r w:rsidR="007945FF">
              <w:rPr>
                <w:b/>
              </w:rPr>
              <w:t>2</w:t>
            </w:r>
          </w:p>
        </w:tc>
        <w:tc>
          <w:tcPr>
            <w:tcW w:w="5245" w:type="dxa"/>
          </w:tcPr>
          <w:p w14:paraId="384AD18A" w14:textId="3B2ECBFB" w:rsidR="00D72F49" w:rsidRPr="00E85629" w:rsidRDefault="00D72F49" w:rsidP="00796BDB">
            <w:pPr>
              <w:tabs>
                <w:tab w:val="left" w:pos="851"/>
              </w:tabs>
              <w:spacing w:before="0" w:line="240" w:lineRule="atLeast"/>
              <w:jc w:val="right"/>
              <w:rPr>
                <w:b/>
              </w:rPr>
            </w:pPr>
            <w:r>
              <w:rPr>
                <w:b/>
              </w:rPr>
              <w:t>Document C2</w:t>
            </w:r>
            <w:r w:rsidR="00E4448E">
              <w:rPr>
                <w:b/>
              </w:rPr>
              <w:t>6</w:t>
            </w:r>
            <w:r>
              <w:rPr>
                <w:b/>
              </w:rPr>
              <w:t>/</w:t>
            </w:r>
            <w:r w:rsidR="007945FF">
              <w:rPr>
                <w:b/>
              </w:rPr>
              <w:t>13</w:t>
            </w:r>
            <w:r>
              <w:rPr>
                <w:b/>
              </w:rPr>
              <w:t>-F</w:t>
            </w:r>
          </w:p>
        </w:tc>
      </w:tr>
      <w:tr w:rsidR="00D72F49" w:rsidRPr="00C049D7" w14:paraId="11E02597" w14:textId="77777777" w:rsidTr="00796BDB">
        <w:trPr>
          <w:cantSplit/>
        </w:trPr>
        <w:tc>
          <w:tcPr>
            <w:tcW w:w="3969" w:type="dxa"/>
            <w:vMerge/>
          </w:tcPr>
          <w:p w14:paraId="4EF6A04F" w14:textId="77777777" w:rsidR="00D72F49" w:rsidRPr="00813E5E" w:rsidRDefault="00D72F49" w:rsidP="00796BDB">
            <w:pPr>
              <w:tabs>
                <w:tab w:val="left" w:pos="851"/>
              </w:tabs>
              <w:spacing w:line="240" w:lineRule="atLeast"/>
              <w:rPr>
                <w:b/>
              </w:rPr>
            </w:pPr>
          </w:p>
        </w:tc>
        <w:tc>
          <w:tcPr>
            <w:tcW w:w="5245" w:type="dxa"/>
          </w:tcPr>
          <w:p w14:paraId="6670D675" w14:textId="21CFBC52" w:rsidR="00D72F49" w:rsidRPr="00FC6D7D" w:rsidRDefault="007945FF" w:rsidP="00796BDB">
            <w:pPr>
              <w:tabs>
                <w:tab w:val="left" w:pos="851"/>
              </w:tabs>
              <w:spacing w:before="0"/>
              <w:jc w:val="right"/>
              <w:rPr>
                <w:b/>
                <w:lang w:val="en-GB"/>
              </w:rPr>
            </w:pPr>
            <w:r>
              <w:rPr>
                <w:b/>
              </w:rPr>
              <w:t>6 mars 2026</w:t>
            </w:r>
          </w:p>
        </w:tc>
      </w:tr>
      <w:tr w:rsidR="00D72F49" w:rsidRPr="00813E5E" w14:paraId="78388B82" w14:textId="77777777" w:rsidTr="00796BDB">
        <w:trPr>
          <w:cantSplit/>
          <w:trHeight w:val="23"/>
        </w:trPr>
        <w:tc>
          <w:tcPr>
            <w:tcW w:w="3969" w:type="dxa"/>
            <w:vMerge/>
          </w:tcPr>
          <w:p w14:paraId="5F0ED896" w14:textId="77777777" w:rsidR="00D72F49" w:rsidRPr="00FC6D7D" w:rsidRDefault="00D72F49" w:rsidP="00796BDB">
            <w:pPr>
              <w:tabs>
                <w:tab w:val="left" w:pos="851"/>
              </w:tabs>
              <w:spacing w:line="240" w:lineRule="atLeast"/>
              <w:rPr>
                <w:b/>
                <w:lang w:val="en-GB"/>
              </w:rPr>
            </w:pPr>
          </w:p>
        </w:tc>
        <w:tc>
          <w:tcPr>
            <w:tcW w:w="5245" w:type="dxa"/>
          </w:tcPr>
          <w:p w14:paraId="5797DE50" w14:textId="77777777" w:rsidR="00D72F49" w:rsidRPr="00E85629" w:rsidRDefault="00D72F49" w:rsidP="00796BDB">
            <w:pPr>
              <w:tabs>
                <w:tab w:val="left" w:pos="851"/>
              </w:tabs>
              <w:spacing w:before="0" w:line="240" w:lineRule="atLeast"/>
              <w:jc w:val="right"/>
              <w:rPr>
                <w:b/>
              </w:rPr>
            </w:pPr>
            <w:r w:rsidRPr="00122CE1">
              <w:rPr>
                <w:b/>
                <w:lang w:val="fr-CH"/>
              </w:rPr>
              <w:t>Original: anglais</w:t>
            </w:r>
          </w:p>
        </w:tc>
      </w:tr>
      <w:tr w:rsidR="00D72F49" w:rsidRPr="00813E5E" w14:paraId="1A651B86" w14:textId="77777777" w:rsidTr="00796BDB">
        <w:trPr>
          <w:cantSplit/>
          <w:trHeight w:val="23"/>
        </w:trPr>
        <w:tc>
          <w:tcPr>
            <w:tcW w:w="3969" w:type="dxa"/>
          </w:tcPr>
          <w:p w14:paraId="2C4D025F" w14:textId="77777777" w:rsidR="00D72F49" w:rsidRPr="00813E5E" w:rsidRDefault="00D72F49" w:rsidP="00796BDB">
            <w:pPr>
              <w:tabs>
                <w:tab w:val="left" w:pos="851"/>
              </w:tabs>
              <w:spacing w:line="240" w:lineRule="atLeast"/>
              <w:rPr>
                <w:b/>
              </w:rPr>
            </w:pPr>
          </w:p>
        </w:tc>
        <w:tc>
          <w:tcPr>
            <w:tcW w:w="5245" w:type="dxa"/>
          </w:tcPr>
          <w:p w14:paraId="2160D200" w14:textId="77777777" w:rsidR="00D72F49" w:rsidRDefault="00D72F49" w:rsidP="00796BDB">
            <w:pPr>
              <w:tabs>
                <w:tab w:val="left" w:pos="851"/>
              </w:tabs>
              <w:spacing w:before="0" w:line="240" w:lineRule="atLeast"/>
              <w:jc w:val="right"/>
              <w:rPr>
                <w:b/>
              </w:rPr>
            </w:pPr>
          </w:p>
        </w:tc>
      </w:tr>
      <w:tr w:rsidR="00D72F49" w:rsidRPr="00122CE1" w14:paraId="5A9481D1" w14:textId="77777777" w:rsidTr="00796BDB">
        <w:trPr>
          <w:cantSplit/>
        </w:trPr>
        <w:tc>
          <w:tcPr>
            <w:tcW w:w="9214" w:type="dxa"/>
            <w:gridSpan w:val="2"/>
            <w:tcMar>
              <w:left w:w="0" w:type="dxa"/>
            </w:tcMar>
          </w:tcPr>
          <w:p w14:paraId="33DDAF22" w14:textId="5F667F29" w:rsidR="00D72F49" w:rsidRPr="00C42437" w:rsidRDefault="00D72F49" w:rsidP="00796BDB">
            <w:pPr>
              <w:pStyle w:val="Source"/>
              <w:jc w:val="left"/>
              <w:rPr>
                <w:sz w:val="34"/>
                <w:szCs w:val="34"/>
                <w:lang w:val="fr-CH"/>
              </w:rPr>
            </w:pPr>
            <w:r w:rsidRPr="00D72F49">
              <w:rPr>
                <w:rFonts w:cstheme="minorHAnsi"/>
                <w:color w:val="000000"/>
                <w:sz w:val="34"/>
                <w:szCs w:val="34"/>
              </w:rPr>
              <w:t xml:space="preserve">Rapport </w:t>
            </w:r>
            <w:r w:rsidR="00E95647">
              <w:rPr>
                <w:rFonts w:cstheme="minorHAnsi"/>
                <w:color w:val="000000"/>
                <w:sz w:val="34"/>
                <w:szCs w:val="34"/>
              </w:rPr>
              <w:t xml:space="preserve">de la </w:t>
            </w:r>
            <w:r w:rsidR="007945FF" w:rsidRPr="007945FF">
              <w:rPr>
                <w:rFonts w:cstheme="minorHAnsi"/>
                <w:color w:val="000000"/>
                <w:sz w:val="34"/>
                <w:szCs w:val="34"/>
              </w:rPr>
              <w:t>Présidente du GTC-LANG</w:t>
            </w:r>
          </w:p>
        </w:tc>
      </w:tr>
      <w:tr w:rsidR="00D72F49" w:rsidRPr="00813E5E" w14:paraId="0CF4B045" w14:textId="77777777" w:rsidTr="00796BDB">
        <w:trPr>
          <w:cantSplit/>
        </w:trPr>
        <w:tc>
          <w:tcPr>
            <w:tcW w:w="9214" w:type="dxa"/>
            <w:gridSpan w:val="2"/>
            <w:tcMar>
              <w:left w:w="0" w:type="dxa"/>
            </w:tcMar>
          </w:tcPr>
          <w:p w14:paraId="0E45204C" w14:textId="351A8665" w:rsidR="00D72F49" w:rsidRPr="007945FF" w:rsidRDefault="00D24E32" w:rsidP="00796BDB">
            <w:pPr>
              <w:pStyle w:val="Subtitle"/>
              <w:framePr w:hSpace="0" w:wrap="auto" w:hAnchor="text" w:xAlign="left" w:yAlign="inline"/>
              <w:rPr>
                <w:sz w:val="32"/>
                <w:szCs w:val="32"/>
                <w:lang w:val="fr-FR"/>
              </w:rPr>
            </w:pPr>
            <w:r w:rsidRPr="007945FF">
              <w:rPr>
                <w:rFonts w:cstheme="minorHAnsi"/>
                <w:sz w:val="32"/>
                <w:szCs w:val="32"/>
                <w:lang w:val="fr-FR"/>
              </w:rPr>
              <w:t>RAPPORT QUADRIENNAL DU GROUPE DE TRAVAIL DU CONSEIL SUR L'UTILISATION DES LANGUES</w:t>
            </w:r>
          </w:p>
        </w:tc>
      </w:tr>
      <w:tr w:rsidR="00D72F49" w:rsidRPr="00813E5E" w14:paraId="36A62818" w14:textId="77777777" w:rsidTr="00796BDB">
        <w:trPr>
          <w:cantSplit/>
        </w:trPr>
        <w:tc>
          <w:tcPr>
            <w:tcW w:w="9214" w:type="dxa"/>
            <w:gridSpan w:val="2"/>
            <w:tcBorders>
              <w:top w:val="single" w:sz="4" w:space="0" w:color="auto"/>
              <w:bottom w:val="single" w:sz="4" w:space="0" w:color="auto"/>
            </w:tcBorders>
            <w:tcMar>
              <w:left w:w="0" w:type="dxa"/>
            </w:tcMar>
          </w:tcPr>
          <w:p w14:paraId="221B046F" w14:textId="77777777" w:rsidR="00D72F49" w:rsidRPr="0099485B" w:rsidRDefault="00F37FE5" w:rsidP="00796BDB">
            <w:pPr>
              <w:spacing w:before="160"/>
              <w:rPr>
                <w:b/>
                <w:bCs/>
                <w:sz w:val="26"/>
                <w:szCs w:val="26"/>
                <w:lang w:val="fr-CH"/>
              </w:rPr>
            </w:pPr>
            <w:r>
              <w:rPr>
                <w:b/>
                <w:bCs/>
                <w:sz w:val="26"/>
                <w:szCs w:val="26"/>
                <w:lang w:val="fr-CH"/>
              </w:rPr>
              <w:t>Objet</w:t>
            </w:r>
          </w:p>
          <w:p w14:paraId="0185E71A" w14:textId="6FCE4233" w:rsidR="00D72F49" w:rsidRPr="0099485B" w:rsidRDefault="007945FF" w:rsidP="00247D07">
            <w:pPr>
              <w:jc w:val="both"/>
              <w:rPr>
                <w:lang w:val="fr-CH"/>
              </w:rPr>
            </w:pPr>
            <w:r w:rsidRPr="007945FF">
              <w:rPr>
                <w:lang w:val="fr-CH"/>
              </w:rPr>
              <w:t>Le présent rapport récapitule les activités et les réalisations du Groupe de travail du Conseil sur l'utilisation des langues (GTC-LANG) au cours de la période 2023-2026, conformément à la Résolution 154 (Rév. Bucarest, 2022) de la Conférence de plénipotentiaires et à la Résolution</w:t>
            </w:r>
            <w:r w:rsidR="00247D07">
              <w:rPr>
                <w:lang w:val="fr-CH"/>
              </w:rPr>
              <w:t> </w:t>
            </w:r>
            <w:r w:rsidRPr="007945FF">
              <w:rPr>
                <w:lang w:val="fr-CH"/>
              </w:rPr>
              <w:t>1372 (C15, dernière modification C24) du Conseil.</w:t>
            </w:r>
          </w:p>
          <w:p w14:paraId="08FF7C95" w14:textId="77777777" w:rsidR="00D72F49" w:rsidRPr="00122CE1" w:rsidRDefault="00D72F49" w:rsidP="00796BDB">
            <w:pPr>
              <w:spacing w:before="160"/>
              <w:rPr>
                <w:b/>
                <w:bCs/>
                <w:sz w:val="26"/>
                <w:szCs w:val="26"/>
                <w:lang w:val="fr-CH"/>
              </w:rPr>
            </w:pPr>
            <w:proofErr w:type="gramStart"/>
            <w:r w:rsidRPr="00122CE1">
              <w:rPr>
                <w:b/>
                <w:bCs/>
                <w:sz w:val="26"/>
                <w:szCs w:val="26"/>
                <w:lang w:val="fr-CH"/>
              </w:rPr>
              <w:t>Suite à</w:t>
            </w:r>
            <w:proofErr w:type="gramEnd"/>
            <w:r w:rsidRPr="00122CE1">
              <w:rPr>
                <w:b/>
                <w:bCs/>
                <w:sz w:val="26"/>
                <w:szCs w:val="26"/>
                <w:lang w:val="fr-CH"/>
              </w:rPr>
              <w:t xml:space="preserve"> donner par le Conseil</w:t>
            </w:r>
          </w:p>
          <w:p w14:paraId="4C5B1315" w14:textId="25A6CF84" w:rsidR="00D72F49" w:rsidRPr="00122CE1" w:rsidRDefault="007945FF" w:rsidP="00247D07">
            <w:pPr>
              <w:jc w:val="both"/>
              <w:rPr>
                <w:lang w:val="fr-CH"/>
              </w:rPr>
            </w:pPr>
            <w:r w:rsidRPr="007945FF">
              <w:rPr>
                <w:lang w:val="fr-CH"/>
              </w:rPr>
              <w:t xml:space="preserve">Le Conseil est invité à </w:t>
            </w:r>
            <w:r w:rsidRPr="007945FF">
              <w:rPr>
                <w:b/>
                <w:bCs/>
                <w:lang w:val="fr-CH"/>
              </w:rPr>
              <w:t>examiner</w:t>
            </w:r>
            <w:r w:rsidRPr="007945FF">
              <w:rPr>
                <w:lang w:val="fr-CH"/>
              </w:rPr>
              <w:t xml:space="preserve"> le présent rapport et à </w:t>
            </w:r>
            <w:r w:rsidRPr="007945FF">
              <w:rPr>
                <w:b/>
                <w:bCs/>
                <w:lang w:val="fr-CH"/>
              </w:rPr>
              <w:t>soumettre</w:t>
            </w:r>
            <w:r w:rsidRPr="007945FF">
              <w:rPr>
                <w:lang w:val="fr-CH"/>
              </w:rPr>
              <w:t xml:space="preserve"> ses recommandations à la Conférence de plénipotentiaires selon qu'il convient.</w:t>
            </w:r>
          </w:p>
          <w:p w14:paraId="5CF7DF63" w14:textId="07904C21" w:rsidR="00D72F49" w:rsidRPr="00122CE1" w:rsidRDefault="00D72F49" w:rsidP="00796BDB">
            <w:pPr>
              <w:spacing w:before="160"/>
              <w:rPr>
                <w:b/>
                <w:bCs/>
                <w:sz w:val="26"/>
                <w:szCs w:val="26"/>
                <w:lang w:val="fr-CH"/>
              </w:rPr>
            </w:pPr>
            <w:r w:rsidRPr="00122CE1">
              <w:rPr>
                <w:b/>
                <w:bCs/>
                <w:sz w:val="26"/>
                <w:szCs w:val="26"/>
                <w:lang w:val="fr-CH"/>
              </w:rPr>
              <w:t>Lien</w:t>
            </w:r>
            <w:r w:rsidR="00F355B6">
              <w:rPr>
                <w:b/>
                <w:bCs/>
                <w:sz w:val="26"/>
                <w:szCs w:val="26"/>
                <w:lang w:val="fr-CH"/>
              </w:rPr>
              <w:t>s</w:t>
            </w:r>
            <w:r w:rsidRPr="00122CE1">
              <w:rPr>
                <w:b/>
                <w:bCs/>
                <w:sz w:val="26"/>
                <w:szCs w:val="26"/>
                <w:lang w:val="fr-CH"/>
              </w:rPr>
              <w:t xml:space="preserve"> pertinent</w:t>
            </w:r>
            <w:r w:rsidR="00F355B6">
              <w:rPr>
                <w:b/>
                <w:bCs/>
                <w:sz w:val="26"/>
                <w:szCs w:val="26"/>
                <w:lang w:val="fr-CH"/>
              </w:rPr>
              <w:t>s</w:t>
            </w:r>
            <w:r w:rsidRPr="00122CE1">
              <w:rPr>
                <w:b/>
                <w:bCs/>
                <w:sz w:val="26"/>
                <w:szCs w:val="26"/>
                <w:lang w:val="fr-CH"/>
              </w:rPr>
              <w:t xml:space="preserve"> avec le </w:t>
            </w:r>
            <w:r w:rsidR="00F37FE5">
              <w:rPr>
                <w:b/>
                <w:bCs/>
                <w:sz w:val="26"/>
                <w:szCs w:val="26"/>
                <w:lang w:val="fr-CH"/>
              </w:rPr>
              <w:t>p</w:t>
            </w:r>
            <w:r w:rsidRPr="00122CE1">
              <w:rPr>
                <w:b/>
                <w:bCs/>
                <w:sz w:val="26"/>
                <w:szCs w:val="26"/>
                <w:lang w:val="fr-CH"/>
              </w:rPr>
              <w:t>lan stratégique</w:t>
            </w:r>
          </w:p>
          <w:p w14:paraId="2C41B787" w14:textId="49640A36" w:rsidR="00D72F49" w:rsidRPr="00122CE1" w:rsidRDefault="007945FF" w:rsidP="00796BDB">
            <w:pPr>
              <w:rPr>
                <w:lang w:val="fr-CH"/>
              </w:rPr>
            </w:pPr>
            <w:r w:rsidRPr="007945FF">
              <w:rPr>
                <w:lang w:val="fr-CH"/>
              </w:rPr>
              <w:t>Excellence en matière de ressources humaines et d'innovation institutionnelle</w:t>
            </w:r>
            <w:r>
              <w:rPr>
                <w:lang w:val="fr-CH"/>
              </w:rPr>
              <w:t>.</w:t>
            </w:r>
          </w:p>
          <w:p w14:paraId="702A725C" w14:textId="77777777" w:rsidR="00E95647" w:rsidRDefault="00D72F49" w:rsidP="00796BDB">
            <w:pPr>
              <w:spacing w:before="160"/>
              <w:rPr>
                <w:b/>
                <w:bCs/>
                <w:sz w:val="26"/>
                <w:szCs w:val="26"/>
                <w:lang w:val="fr-CH"/>
              </w:rPr>
            </w:pPr>
            <w:r w:rsidRPr="00122CE1">
              <w:rPr>
                <w:b/>
                <w:bCs/>
                <w:sz w:val="26"/>
                <w:szCs w:val="26"/>
                <w:lang w:val="fr-CH"/>
              </w:rPr>
              <w:t>Incidences financières</w:t>
            </w:r>
          </w:p>
          <w:p w14:paraId="277215BB" w14:textId="38651B67" w:rsidR="00D72F49" w:rsidRPr="00882919" w:rsidRDefault="007945FF" w:rsidP="00796BDB">
            <w:pPr>
              <w:rPr>
                <w:szCs w:val="24"/>
              </w:rPr>
            </w:pPr>
            <w:r w:rsidRPr="007945FF">
              <w:rPr>
                <w:szCs w:val="24"/>
              </w:rPr>
              <w:t>Dans les limites du budget alloué pour 2025-2026.</w:t>
            </w:r>
          </w:p>
          <w:p w14:paraId="5EB86665" w14:textId="77777777" w:rsidR="00D72F49" w:rsidRPr="00813E5E" w:rsidRDefault="00D72F49" w:rsidP="00796BDB">
            <w:pPr>
              <w:spacing w:before="160"/>
              <w:rPr>
                <w:caps/>
                <w:sz w:val="22"/>
              </w:rPr>
            </w:pPr>
            <w:r w:rsidRPr="00813E5E">
              <w:rPr>
                <w:sz w:val="22"/>
              </w:rPr>
              <w:t>____________</w:t>
            </w:r>
            <w:r>
              <w:rPr>
                <w:sz w:val="22"/>
              </w:rPr>
              <w:t>______</w:t>
            </w:r>
          </w:p>
          <w:p w14:paraId="633D2B1F" w14:textId="77777777" w:rsidR="00D72F49" w:rsidRDefault="00D72F49" w:rsidP="00796BDB">
            <w:pPr>
              <w:spacing w:before="160"/>
              <w:rPr>
                <w:b/>
                <w:bCs/>
                <w:sz w:val="26"/>
                <w:szCs w:val="26"/>
              </w:rPr>
            </w:pPr>
            <w:r w:rsidRPr="00F16BAB">
              <w:rPr>
                <w:b/>
                <w:bCs/>
                <w:sz w:val="26"/>
                <w:szCs w:val="26"/>
              </w:rPr>
              <w:t>Références</w:t>
            </w:r>
          </w:p>
          <w:p w14:paraId="3CAC3CD2" w14:textId="777AF07B" w:rsidR="00D72F49" w:rsidRPr="00247D07" w:rsidRDefault="007945FF" w:rsidP="00CE5172">
            <w:pPr>
              <w:pStyle w:val="Referencetext"/>
              <w:framePr w:hSpace="0" w:wrap="auto" w:vAnchor="margin" w:hAnchor="text" w:xAlign="left" w:yAlign="inline"/>
            </w:pPr>
            <w:r w:rsidRPr="00247D07">
              <w:t xml:space="preserve">Décision </w:t>
            </w:r>
            <w:hyperlink r:id="rId7" w:history="1">
              <w:r w:rsidRPr="00247D07">
                <w:rPr>
                  <w:rStyle w:val="Hyperlink"/>
                  <w:rFonts w:eastAsia="Times New Roman" w:cs="Times New Roman"/>
                </w:rPr>
                <w:t>11 (Rév. Dubaï, 2018)</w:t>
              </w:r>
            </w:hyperlink>
            <w:r w:rsidRPr="00247D07">
              <w:t xml:space="preserve"> de la Conférence de plénipotentiaires; </w:t>
            </w:r>
            <w:hyperlink r:id="rId8" w:history="1">
              <w:r w:rsidRPr="00247D07">
                <w:rPr>
                  <w:rStyle w:val="Hyperlink"/>
                  <w:rFonts w:eastAsia="Times New Roman" w:cs="Times New Roman"/>
                </w:rPr>
                <w:t>site web du GTC-LANG</w:t>
              </w:r>
            </w:hyperlink>
          </w:p>
        </w:tc>
      </w:tr>
    </w:tbl>
    <w:p w14:paraId="1F5CF876" w14:textId="77777777" w:rsidR="00A51849" w:rsidRPr="0019129B" w:rsidRDefault="00A51849" w:rsidP="00CF0534"/>
    <w:p w14:paraId="4CB4953E" w14:textId="77777777" w:rsidR="00A51849" w:rsidRDefault="00A51849">
      <w:pPr>
        <w:tabs>
          <w:tab w:val="clear" w:pos="567"/>
          <w:tab w:val="clear" w:pos="1134"/>
          <w:tab w:val="clear" w:pos="1701"/>
          <w:tab w:val="clear" w:pos="2268"/>
          <w:tab w:val="clear" w:pos="2835"/>
        </w:tabs>
        <w:overflowPunct/>
        <w:autoSpaceDE/>
        <w:autoSpaceDN/>
        <w:adjustRightInd/>
        <w:spacing w:before="0"/>
        <w:textAlignment w:val="auto"/>
      </w:pPr>
      <w:r>
        <w:br w:type="page"/>
      </w:r>
    </w:p>
    <w:p w14:paraId="13F7FD32" w14:textId="5C4C7A5D" w:rsidR="007945FF" w:rsidRDefault="007945FF" w:rsidP="007945FF">
      <w:pPr>
        <w:pStyle w:val="Heading1"/>
      </w:pPr>
      <w:r>
        <w:lastRenderedPageBreak/>
        <w:t>I</w:t>
      </w:r>
      <w:r>
        <w:tab/>
        <w:t>Introduction</w:t>
      </w:r>
    </w:p>
    <w:p w14:paraId="2BB918FE" w14:textId="3AEEC998" w:rsidR="007945FF" w:rsidRDefault="007945FF" w:rsidP="00D24E32">
      <w:pPr>
        <w:jc w:val="both"/>
      </w:pPr>
      <w:r>
        <w:t xml:space="preserve">Conformément à la Résolution 154 (Rév. Bucarest, 2022) de la </w:t>
      </w:r>
      <w:r w:rsidR="00392A6A">
        <w:t>Conférence de plénipotentiaires (</w:t>
      </w:r>
      <w:r>
        <w:t>PP</w:t>
      </w:r>
      <w:r w:rsidR="00392A6A">
        <w:t>)</w:t>
      </w:r>
      <w:r>
        <w:t xml:space="preserve"> et à la Résolution 1372 du Conseil (C15, dernière modification 2024), le Groupe de travail du Conseil sur l'utilisation des langues (GTC-LANG) est chargé de continuer de prendre toutes les mesures nécessaires pour garantir l'utilisation des six</w:t>
      </w:r>
      <w:r w:rsidR="00F355B6">
        <w:t> </w:t>
      </w:r>
      <w:r>
        <w:t>langues officielles de l'Union sur un pied d'égalité, et pour assurer l'interprétation et la traduction des documents de l'UIT.</w:t>
      </w:r>
    </w:p>
    <w:p w14:paraId="77009A18" w14:textId="52C71581" w:rsidR="007945FF" w:rsidRDefault="007945FF" w:rsidP="00D24E32">
      <w:pPr>
        <w:jc w:val="both"/>
      </w:pPr>
      <w:r>
        <w:t>Présidé par Mme Sharon Bosire (Kenya) en 2023 et 2024, par Mme Blanca Gonzalez (Espagne) en 2025 par intérim et par Mme Rebecca Mukite (Ouganda) en 2026, le GTC-LANG a axé ses travaux sur les points suivants:</w:t>
      </w:r>
    </w:p>
    <w:p w14:paraId="6D24720B" w14:textId="04D15EC3" w:rsidR="007945FF" w:rsidRDefault="007945FF" w:rsidP="00D24E32">
      <w:pPr>
        <w:pStyle w:val="enumlev1"/>
        <w:jc w:val="both"/>
      </w:pPr>
      <w:r>
        <w:t>a)</w:t>
      </w:r>
      <w:r>
        <w:tab/>
        <w:t>L'analyse du budget et des volumes pour la traduction et l'interprétation dans les six langues officielles.</w:t>
      </w:r>
    </w:p>
    <w:p w14:paraId="2A37FC6B" w14:textId="60F2D8C2" w:rsidR="007945FF" w:rsidRDefault="007945FF" w:rsidP="00D24E32">
      <w:pPr>
        <w:pStyle w:val="enumlev1"/>
        <w:jc w:val="both"/>
      </w:pPr>
      <w:r>
        <w:t>b)</w:t>
      </w:r>
      <w:r>
        <w:tab/>
        <w:t>La participation à des réunions interinstitutions afin de comparer les outils et les procédures.</w:t>
      </w:r>
    </w:p>
    <w:p w14:paraId="40DB686B" w14:textId="77777777" w:rsidR="007945FF" w:rsidRDefault="007945FF" w:rsidP="00D24E32">
      <w:pPr>
        <w:pStyle w:val="enumlev1"/>
        <w:jc w:val="both"/>
      </w:pPr>
      <w:r>
        <w:t>c)</w:t>
      </w:r>
      <w:r>
        <w:tab/>
        <w:t>L'évaluation et l'utilisation des nouvelles technologies pour accroître l'efficacité et la rentabilité de la fourniture des services linguistiques, y compris la traduction automatique et l'interprétation simultanée à distance.</w:t>
      </w:r>
    </w:p>
    <w:p w14:paraId="3C4198A7" w14:textId="640541A7" w:rsidR="007945FF" w:rsidRDefault="007945FF" w:rsidP="00D24E32">
      <w:pPr>
        <w:pStyle w:val="enumlev1"/>
        <w:jc w:val="both"/>
      </w:pPr>
      <w:r>
        <w:t>d)</w:t>
      </w:r>
      <w:r>
        <w:tab/>
        <w:t>La présentation des enjeux et des possibilités liés à l'interprétation fondée sur l'IA et de l'évaluation des essais dans le cadre des réunions du GTC-LANG.</w:t>
      </w:r>
    </w:p>
    <w:p w14:paraId="3B8A18F5" w14:textId="30832F52" w:rsidR="007945FF" w:rsidRDefault="007945FF" w:rsidP="00D24E32">
      <w:pPr>
        <w:pStyle w:val="enumlev1"/>
        <w:jc w:val="both"/>
      </w:pPr>
      <w:r>
        <w:t>e)</w:t>
      </w:r>
      <w:r>
        <w:tab/>
        <w:t>Des informations mises à jour sur les travaux du Comité de coordination de l'UIT pour la terminologie (CCT).</w:t>
      </w:r>
    </w:p>
    <w:p w14:paraId="3BEC441F" w14:textId="4AAAB1A2" w:rsidR="007945FF" w:rsidRDefault="007945FF" w:rsidP="00D24E32">
      <w:pPr>
        <w:pStyle w:val="enumlev1"/>
        <w:jc w:val="both"/>
      </w:pPr>
      <w:r>
        <w:t>f)</w:t>
      </w:r>
      <w:r>
        <w:tab/>
        <w:t>Les efforts visant à améliorer l'utilisation du site web de l'UIT sur un pied d'égalité et à harmoniser le site web de l'UIT.</w:t>
      </w:r>
    </w:p>
    <w:p w14:paraId="71FE4049" w14:textId="77777777" w:rsidR="007945FF" w:rsidRDefault="007945FF" w:rsidP="00D24E32">
      <w:pPr>
        <w:pStyle w:val="enumlev1"/>
        <w:jc w:val="both"/>
      </w:pPr>
      <w:r>
        <w:t>g)</w:t>
      </w:r>
      <w:r>
        <w:tab/>
        <w:t>La publication et la mise en œuvre du Guide relatif aux pratiques actuelles et futures en matière de multilinguisme à l'UIT et des lignes directrices connexes à l'intention du personnel concernant l'utilisation de la traduction automatique.</w:t>
      </w:r>
    </w:p>
    <w:p w14:paraId="41F5275B" w14:textId="4623B201" w:rsidR="007945FF" w:rsidRDefault="00F355B6" w:rsidP="00D24E32">
      <w:pPr>
        <w:pStyle w:val="enumlev1"/>
        <w:jc w:val="both"/>
      </w:pPr>
      <w:r>
        <w:t>h</w:t>
      </w:r>
      <w:r w:rsidR="007945FF">
        <w:t>)</w:t>
      </w:r>
      <w:r w:rsidR="007945FF">
        <w:tab/>
        <w:t>L'élaboration de nouveaux outils linguistiques et de publication fondés sur l'intelligence artificielle, notamment l'outil d'édition de l'UIT, l'outil de sous-titrage fondé sur l'IA de l'UIT et l'outil de publication électronique de l'UIT.</w:t>
      </w:r>
    </w:p>
    <w:p w14:paraId="74F3AB31" w14:textId="77777777" w:rsidR="007945FF" w:rsidRDefault="007945FF" w:rsidP="007945FF">
      <w:pPr>
        <w:pStyle w:val="Heading1"/>
      </w:pPr>
      <w:r>
        <w:t>II</w:t>
      </w:r>
      <w:r>
        <w:tab/>
        <w:t>Activités du GTC-LANG</w:t>
      </w:r>
    </w:p>
    <w:p w14:paraId="42FB6E89" w14:textId="08123D75" w:rsidR="007945FF" w:rsidRDefault="007945FF" w:rsidP="00D24E32">
      <w:pPr>
        <w:jc w:val="both"/>
      </w:pPr>
      <w:r>
        <w:t>1</w:t>
      </w:r>
      <w:r>
        <w:tab/>
        <w:t xml:space="preserve">À sa </w:t>
      </w:r>
      <w:hyperlink r:id="rId9" w:history="1">
        <w:r w:rsidRPr="00006876">
          <w:rPr>
            <w:rStyle w:val="Hyperlink"/>
            <w:rFonts w:eastAsia="Times New Roman" w:cs="Times New Roman"/>
            <w:szCs w:val="20"/>
          </w:rPr>
          <w:t>treizième réunion</w:t>
        </w:r>
      </w:hyperlink>
      <w:r>
        <w:t>, tenue le 9 octobre 2023, le GTC-LANG a principalement proposé:</w:t>
      </w:r>
    </w:p>
    <w:p w14:paraId="42CC61CD" w14:textId="7CF62D59" w:rsidR="007945FF" w:rsidRDefault="007945FF" w:rsidP="00D24E32">
      <w:pPr>
        <w:pStyle w:val="enumlev1"/>
        <w:jc w:val="both"/>
      </w:pPr>
      <w:r>
        <w:t>–</w:t>
      </w:r>
      <w:r>
        <w:tab/>
        <w:t xml:space="preserve">d'appuyer la proposition du </w:t>
      </w:r>
      <w:r w:rsidR="00006876">
        <w:t>S</w:t>
      </w:r>
      <w:r>
        <w:t>ecrétariat relative à une collaboration entre le Département des conférences et des publications de l'UIT et les États Membres intéressés en matière de terminologie et d'approuver la publication d'une lettre circulaire qui donne plus de détails aux États Membres;</w:t>
      </w:r>
    </w:p>
    <w:p w14:paraId="35D0BBC2" w14:textId="77777777" w:rsidR="007945FF" w:rsidRDefault="007945FF" w:rsidP="00D24E32">
      <w:pPr>
        <w:pStyle w:val="enumlev1"/>
        <w:jc w:val="both"/>
      </w:pPr>
      <w:r>
        <w:t>–</w:t>
      </w:r>
      <w:r>
        <w:tab/>
        <w:t>de demander au Secrétariat, à la suite de la présentation initiale du Guide relatif aux pratiques actuelles et futures en matière de multilinguisme, de le mettre à jour en vue de sa présentation à la prochaine réunion du GTC-LANG afin qu'il tienne compte d'éventuelles avancées technologiques et fournisse davantage de détails sur la possibilité de consulter plus de contenus de l'UIT dans des langues non officielles conformément aux observations des délégués;</w:t>
      </w:r>
    </w:p>
    <w:p w14:paraId="23BFC37E" w14:textId="56208C8D" w:rsidR="007945FF" w:rsidRDefault="007945FF" w:rsidP="00D24E32">
      <w:pPr>
        <w:pStyle w:val="enumlev1"/>
        <w:jc w:val="both"/>
      </w:pPr>
      <w:r>
        <w:lastRenderedPageBreak/>
        <w:t>–</w:t>
      </w:r>
      <w:r>
        <w:tab/>
        <w:t>que des modifications d'ordre rédactionnel soient apportées au Document</w:t>
      </w:r>
      <w:r w:rsidR="00006876">
        <w:t> </w:t>
      </w:r>
      <w:hyperlink r:id="rId10" w:history="1">
        <w:r w:rsidR="00006876">
          <w:rPr>
            <w:rStyle w:val="Hyperlink"/>
            <w:rFonts w:eastAsia="Times New Roman" w:cs="Times New Roman"/>
            <w:szCs w:val="20"/>
          </w:rPr>
          <w:t>GWG</w:t>
        </w:r>
        <w:r w:rsidR="00006876">
          <w:rPr>
            <w:rStyle w:val="Hyperlink"/>
            <w:rFonts w:eastAsia="Times New Roman" w:cs="Times New Roman"/>
            <w:szCs w:val="20"/>
          </w:rPr>
          <w:noBreakHyphen/>
          <w:t>LANG/13/6</w:t>
        </w:r>
      </w:hyperlink>
      <w:r>
        <w:t xml:space="preserve"> et que le Conseil approuve le projet de Résolution</w:t>
      </w:r>
      <w:r w:rsidR="00006876">
        <w:t> </w:t>
      </w:r>
      <w:r>
        <w:t>1386</w:t>
      </w:r>
      <w:r w:rsidR="00006876">
        <w:t> </w:t>
      </w:r>
      <w:r>
        <w:t>(C17, Mod. 2024) révisée relative au Comité de coordination de l'UIT pour la terminologie (CCT de l'UIT)</w:t>
      </w:r>
      <w:r w:rsidR="00F355B6">
        <w:t>;</w:t>
      </w:r>
    </w:p>
    <w:p w14:paraId="0EBB6D3A" w14:textId="155B744B" w:rsidR="007945FF" w:rsidRDefault="007945FF" w:rsidP="00D24E32">
      <w:pPr>
        <w:pStyle w:val="enumlev1"/>
        <w:jc w:val="both"/>
      </w:pPr>
      <w:r>
        <w:t>–</w:t>
      </w:r>
      <w:r>
        <w:tab/>
        <w:t>de solliciter d'autres contributions et propositions de révision afin de finaliser les projets de révision de la Résolution 1372 (C15, Mod. C19) portant sur le GTC-LANG</w:t>
      </w:r>
      <w:r w:rsidR="00F355B6">
        <w:t>;</w:t>
      </w:r>
    </w:p>
    <w:p w14:paraId="475A033E" w14:textId="39BCD929" w:rsidR="007945FF" w:rsidRDefault="007945FF" w:rsidP="00D24E32">
      <w:pPr>
        <w:pStyle w:val="enumlev1"/>
        <w:jc w:val="both"/>
      </w:pPr>
      <w:r>
        <w:t>–</w:t>
      </w:r>
      <w:r>
        <w:tab/>
        <w:t>de demander au Secrétariat de recueillir les observations du GTC-LANG concernant les améliorations à apporter au site web de l'UIT dans un document qui sera transmis au</w:t>
      </w:r>
      <w:r w:rsidR="00006876">
        <w:t> </w:t>
      </w:r>
      <w:r>
        <w:t>GTC-FHR en amont des discussions sur le sujet; de présenter le résultat des discussions de la prochaine réunion du GTC-LANG; et de présenter dans un document les progrès accomplis en matière d'harmonisation du site web à la prochaine réunion du GTC-LANG.</w:t>
      </w:r>
    </w:p>
    <w:p w14:paraId="633B2BB3" w14:textId="3912701A" w:rsidR="007945FF" w:rsidRDefault="007945FF" w:rsidP="00F83374">
      <w:pPr>
        <w:jc w:val="both"/>
      </w:pPr>
      <w:r>
        <w:t>2</w:t>
      </w:r>
      <w:r>
        <w:tab/>
        <w:t xml:space="preserve">Les principaux résultats de la </w:t>
      </w:r>
      <w:hyperlink r:id="rId11" w:history="1">
        <w:r w:rsidRPr="00006876">
          <w:rPr>
            <w:rStyle w:val="Hyperlink"/>
            <w:rFonts w:eastAsia="Times New Roman" w:cs="Times New Roman"/>
            <w:szCs w:val="20"/>
          </w:rPr>
          <w:t>quatorzième réunion</w:t>
        </w:r>
      </w:hyperlink>
      <w:r>
        <w:t xml:space="preserve"> du GTC-LANG, tenue le</w:t>
      </w:r>
      <w:r w:rsidR="00006876">
        <w:t> </w:t>
      </w:r>
      <w:r>
        <w:t>23</w:t>
      </w:r>
      <w:r w:rsidR="00006876">
        <w:t> </w:t>
      </w:r>
      <w:r>
        <w:t>janvier</w:t>
      </w:r>
      <w:r w:rsidR="00006876">
        <w:t> </w:t>
      </w:r>
      <w:r>
        <w:t>2024, ont été les suivants:</w:t>
      </w:r>
    </w:p>
    <w:p w14:paraId="70086B7C" w14:textId="5D4FCB38" w:rsidR="007945FF" w:rsidRDefault="007945FF" w:rsidP="00F83374">
      <w:pPr>
        <w:pStyle w:val="enumlev1"/>
        <w:jc w:val="both"/>
      </w:pPr>
      <w:r>
        <w:t>–</w:t>
      </w:r>
      <w:r>
        <w:tab/>
      </w:r>
      <w:r w:rsidR="00006876">
        <w:t>P</w:t>
      </w:r>
      <w:r>
        <w:t>roposition visant à ce que le Conseil approuve le projet de Résolution</w:t>
      </w:r>
      <w:r w:rsidR="00006876">
        <w:t> </w:t>
      </w:r>
      <w:r>
        <w:t>1372</w:t>
      </w:r>
      <w:r w:rsidR="00006876">
        <w:t> </w:t>
      </w:r>
      <w:r>
        <w:t>(C15,</w:t>
      </w:r>
      <w:r w:rsidR="00006876">
        <w:t> </w:t>
      </w:r>
      <w:r>
        <w:t>Mod. 2024) révisée relative au Groupe de travail du Conseil</w:t>
      </w:r>
      <w:r w:rsidR="00006876">
        <w:t> </w:t>
      </w:r>
      <w:r>
        <w:t>de</w:t>
      </w:r>
      <w:r w:rsidR="00006876">
        <w:t> </w:t>
      </w:r>
      <w:r>
        <w:t xml:space="preserve">l'UIT sur l'utilisation des langues (GTC-LANG) (Document </w:t>
      </w:r>
      <w:hyperlink r:id="rId12" w:history="1">
        <w:r w:rsidRPr="00006876">
          <w:rPr>
            <w:rStyle w:val="Hyperlink"/>
            <w:rFonts w:eastAsia="Times New Roman" w:cs="Times New Roman"/>
            <w:szCs w:val="20"/>
          </w:rPr>
          <w:t>CWG-LANG/14/5</w:t>
        </w:r>
      </w:hyperlink>
      <w:r>
        <w:t>).</w:t>
      </w:r>
    </w:p>
    <w:p w14:paraId="0E105EC0" w14:textId="15A1430E" w:rsidR="007945FF" w:rsidRDefault="007945FF" w:rsidP="00F83374">
      <w:pPr>
        <w:pStyle w:val="enumlev1"/>
        <w:jc w:val="both"/>
      </w:pPr>
      <w:r>
        <w:t>–</w:t>
      </w:r>
      <w:r>
        <w:tab/>
      </w:r>
      <w:r w:rsidR="00006876">
        <w:t>P</w:t>
      </w:r>
      <w:r>
        <w:t xml:space="preserve">roposition visant à ce que le Conseil approuve la version mise à jour du Guide relatif aux pratiques actuelles et futures de l'UIT en matière de multilinguisme et des lignes directrices connexes à l'intention du personnel concernant l'utilisation de la traduction automatique (Document </w:t>
      </w:r>
      <w:hyperlink r:id="rId13" w:history="1">
        <w:r w:rsidRPr="00006876">
          <w:rPr>
            <w:rStyle w:val="Hyperlink"/>
            <w:rFonts w:eastAsia="Times New Roman" w:cs="Times New Roman"/>
            <w:szCs w:val="20"/>
          </w:rPr>
          <w:t>CWG-LANG/14/3</w:t>
        </w:r>
      </w:hyperlink>
      <w:r>
        <w:t>).</w:t>
      </w:r>
    </w:p>
    <w:p w14:paraId="250F920A" w14:textId="76402086" w:rsidR="007945FF" w:rsidRDefault="007945FF" w:rsidP="00F83374">
      <w:pPr>
        <w:pStyle w:val="enumlev1"/>
        <w:jc w:val="both"/>
      </w:pPr>
      <w:r>
        <w:t>–</w:t>
      </w:r>
      <w:r>
        <w:tab/>
      </w:r>
      <w:r w:rsidR="00006876">
        <w:t>D</w:t>
      </w:r>
      <w:r>
        <w:t>emande formulée à l'UIT de continuer à améliorer la possibilité de consulter des pages web dans les six langues officielles de l'Union</w:t>
      </w:r>
      <w:r w:rsidR="00006876">
        <w:t>.</w:t>
      </w:r>
    </w:p>
    <w:p w14:paraId="61625C80" w14:textId="4A1943AE" w:rsidR="007945FF" w:rsidRDefault="007945FF" w:rsidP="00F83374">
      <w:pPr>
        <w:pStyle w:val="enumlev1"/>
        <w:jc w:val="both"/>
      </w:pPr>
      <w:r>
        <w:t>–</w:t>
      </w:r>
      <w:r>
        <w:tab/>
      </w:r>
      <w:r w:rsidR="00006876">
        <w:t>D</w:t>
      </w:r>
      <w:r>
        <w:t>emande formulée à l'UIT de créer une adresse électronique destinée aux réactions et commentaires concernant la traduction automatique (</w:t>
      </w:r>
      <w:hyperlink r:id="rId14" w:history="1">
        <w:r w:rsidRPr="00006876">
          <w:rPr>
            <w:rStyle w:val="Hyperlink"/>
            <w:rFonts w:eastAsia="Times New Roman" w:cs="Times New Roman"/>
            <w:szCs w:val="20"/>
          </w:rPr>
          <w:t>ling-it-support@itu.int</w:t>
        </w:r>
      </w:hyperlink>
      <w:r>
        <w:t>)</w:t>
      </w:r>
      <w:r w:rsidR="00006876">
        <w:t>.</w:t>
      </w:r>
    </w:p>
    <w:p w14:paraId="158396A9" w14:textId="5FCBF097" w:rsidR="007945FF" w:rsidRDefault="007945FF" w:rsidP="00F83374">
      <w:pPr>
        <w:pStyle w:val="enumlev1"/>
        <w:jc w:val="both"/>
      </w:pPr>
      <w:r>
        <w:t>–</w:t>
      </w:r>
      <w:r>
        <w:tab/>
      </w:r>
      <w:r w:rsidR="00006876">
        <w:t>D</w:t>
      </w:r>
      <w:r>
        <w:t>emande formulée au Secrétariat de préparer une liste des commentaires reçus concernant le site web et les problèmes y afférents, accompagnés d'un aperçu des travaux réalisés à cet égard, ainsi que des points en suspens et des incidences budgétaires; et de présenter, lors de la session de 2024 du Conseil, une feuille de route claire pour améliorer la fonctionnalité de recherche du site web et harmoniser ce dernier</w:t>
      </w:r>
      <w:r w:rsidR="00006876">
        <w:t>.</w:t>
      </w:r>
    </w:p>
    <w:p w14:paraId="7437840B" w14:textId="39B03ED6" w:rsidR="007945FF" w:rsidRDefault="007945FF" w:rsidP="00F83374">
      <w:pPr>
        <w:pStyle w:val="enumlev1"/>
        <w:jc w:val="both"/>
      </w:pPr>
      <w:r>
        <w:t>–</w:t>
      </w:r>
      <w:r>
        <w:tab/>
      </w:r>
      <w:r w:rsidR="00006876">
        <w:t>D</w:t>
      </w:r>
      <w:r>
        <w:t>emande formulée au Secrétariat d'élaborer, pour la prochaine réunion du GTC</w:t>
      </w:r>
      <w:r w:rsidR="00006876">
        <w:noBreakHyphen/>
      </w:r>
      <w:r>
        <w:t>LANG, un rapport sur les difficultés liées à l'utilisation de l'interprétation basée sur l'intelligence artificielle et sur les promesses d'un tel outil, afin d'éclairer les futures décisions ou demandes au Conseil</w:t>
      </w:r>
      <w:r w:rsidR="00006876">
        <w:t>.</w:t>
      </w:r>
    </w:p>
    <w:p w14:paraId="10D1921C" w14:textId="23206116" w:rsidR="007945FF" w:rsidRDefault="007945FF" w:rsidP="00F83374">
      <w:pPr>
        <w:pStyle w:val="enumlev1"/>
        <w:jc w:val="both"/>
      </w:pPr>
      <w:r>
        <w:t>–</w:t>
      </w:r>
      <w:r>
        <w:tab/>
      </w:r>
      <w:r w:rsidR="00006876">
        <w:t>O</w:t>
      </w:r>
      <w:r>
        <w:t>rganisation par la France d'une manifestation tenue à l'UIT sur le français et les technologies en 2024, financée par l'Organisation de la Francophonie; et proposition du Canada de collaborer avec le Bureau régional de Brasilia en vue de promouvoir l'utilisation des langues aborigènes dans le cadre de projets spécifiques, et annonce par les États Membres d'activités spécifiques visant à promouvoir le multilinguisme.</w:t>
      </w:r>
    </w:p>
    <w:p w14:paraId="52DEF63E" w14:textId="77777777" w:rsidR="007945FF" w:rsidRDefault="007945FF" w:rsidP="00F83374">
      <w:pPr>
        <w:jc w:val="both"/>
      </w:pPr>
      <w:r>
        <w:t>3</w:t>
      </w:r>
      <w:r>
        <w:tab/>
        <w:t>La quinzième réunion du GTC-LANG, initialement prévue le 30 septembre 2024, a été annulée.</w:t>
      </w:r>
    </w:p>
    <w:p w14:paraId="4E997998" w14:textId="4C1AE09B" w:rsidR="007945FF" w:rsidRDefault="007945FF" w:rsidP="00F83374">
      <w:pPr>
        <w:keepNext/>
        <w:jc w:val="both"/>
      </w:pPr>
      <w:r>
        <w:lastRenderedPageBreak/>
        <w:t>4</w:t>
      </w:r>
      <w:r>
        <w:tab/>
        <w:t xml:space="preserve">À sa </w:t>
      </w:r>
      <w:hyperlink r:id="rId15" w:history="1">
        <w:r w:rsidRPr="00392A6A">
          <w:rPr>
            <w:rStyle w:val="Hyperlink"/>
            <w:rFonts w:eastAsia="Times New Roman" w:cs="Times New Roman"/>
            <w:szCs w:val="20"/>
          </w:rPr>
          <w:t>seizième réunion</w:t>
        </w:r>
      </w:hyperlink>
      <w:r>
        <w:t>, tenue le 12 février 2025, le GTC-LANG a principalement proposé:</w:t>
      </w:r>
    </w:p>
    <w:p w14:paraId="70DAAA96" w14:textId="0F2D9861" w:rsidR="007945FF" w:rsidRDefault="007945FF" w:rsidP="00F83374">
      <w:pPr>
        <w:pStyle w:val="enumlev1"/>
        <w:jc w:val="both"/>
      </w:pPr>
      <w:r>
        <w:t>–</w:t>
      </w:r>
      <w:r>
        <w:tab/>
        <w:t>de demander au Secrétariat de fournir le détail des dépenses annuelles par rapport au plafond budgétaire de 85 millions CHF pour les services linguistiques dans les rapports qui seront soumis à l'intention du GTC-LANG, et d'indiquer dans une note de bas de page que 2022 a été une année exceptionnelle en termes de conférences tenues</w:t>
      </w:r>
      <w:r w:rsidR="00392A6A">
        <w:t>;</w:t>
      </w:r>
    </w:p>
    <w:p w14:paraId="0FCF2BB0" w14:textId="7B77DC75" w:rsidR="007945FF" w:rsidRDefault="007945FF" w:rsidP="00F83374">
      <w:pPr>
        <w:pStyle w:val="enumlev1"/>
        <w:jc w:val="both"/>
      </w:pPr>
      <w:r>
        <w:t>–</w:t>
      </w:r>
      <w:r>
        <w:tab/>
        <w:t>d'inclure des mises à jour sur l'évolution du site web et l'amélioration des moteurs de recherche dans tous les futurs rapports du GTC-LANG, comme indiqué dans la Résolution 154 de la Conférence de plénipotentiaires</w:t>
      </w:r>
      <w:r w:rsidR="00392A6A">
        <w:t>;</w:t>
      </w:r>
    </w:p>
    <w:p w14:paraId="19CBC7B2" w14:textId="664FD1C7" w:rsidR="007945FF" w:rsidRDefault="007945FF" w:rsidP="00F83374">
      <w:pPr>
        <w:pStyle w:val="enumlev1"/>
        <w:jc w:val="both"/>
      </w:pPr>
      <w:r>
        <w:t>–</w:t>
      </w:r>
      <w:r>
        <w:tab/>
      </w:r>
      <w:r w:rsidR="00392A6A">
        <w:t>d</w:t>
      </w:r>
      <w:r>
        <w:t xml:space="preserve">e prendre note des informations actualisées sur la mise en œuvre du Guide sur le multilinguisme, y compris des données sur l'utilisation des outils de traduction automatique ITU Translate (Document </w:t>
      </w:r>
      <w:hyperlink r:id="rId16" w:history="1">
        <w:r w:rsidR="00392A6A">
          <w:rPr>
            <w:rStyle w:val="Hyperlink"/>
            <w:rFonts w:eastAsia="Times New Roman" w:cs="Times New Roman"/>
            <w:szCs w:val="20"/>
          </w:rPr>
          <w:t>CWG-LANG/16/3</w:t>
        </w:r>
      </w:hyperlink>
      <w:r>
        <w:t>)</w:t>
      </w:r>
      <w:r w:rsidR="00392A6A">
        <w:t>;</w:t>
      </w:r>
    </w:p>
    <w:p w14:paraId="39B8B974" w14:textId="01852382" w:rsidR="007945FF" w:rsidRDefault="007945FF" w:rsidP="00F83374">
      <w:pPr>
        <w:pStyle w:val="enumlev1"/>
        <w:jc w:val="both"/>
      </w:pPr>
      <w:r>
        <w:t>–</w:t>
      </w:r>
      <w:r>
        <w:tab/>
      </w:r>
      <w:r w:rsidR="00392A6A">
        <w:t>d</w:t>
      </w:r>
      <w:r>
        <w:t>e soumettre au Conseil le document d'information concernant le rapport sur les défis et les perspectives liées à l'utilisation de l'interprétation assistée par l'IA à l'UIT (Document</w:t>
      </w:r>
      <w:r w:rsidR="00392A6A">
        <w:t> </w:t>
      </w:r>
      <w:hyperlink r:id="rId17" w:history="1">
        <w:r w:rsidRPr="00392A6A">
          <w:rPr>
            <w:rStyle w:val="Hyperlink"/>
            <w:rFonts w:eastAsia="Times New Roman" w:cs="Times New Roman"/>
            <w:szCs w:val="20"/>
          </w:rPr>
          <w:t>C25/INF/7</w:t>
        </w:r>
      </w:hyperlink>
      <w:r>
        <w:t>).</w:t>
      </w:r>
    </w:p>
    <w:p w14:paraId="7EAF5D0C" w14:textId="24166297" w:rsidR="007945FF" w:rsidRDefault="007945FF" w:rsidP="00F83374">
      <w:pPr>
        <w:jc w:val="both"/>
      </w:pPr>
      <w:r>
        <w:t>5</w:t>
      </w:r>
      <w:r>
        <w:tab/>
        <w:t xml:space="preserve">À sa </w:t>
      </w:r>
      <w:hyperlink r:id="rId18" w:history="1">
        <w:r w:rsidRPr="00392A6A">
          <w:rPr>
            <w:rStyle w:val="Hyperlink"/>
            <w:rFonts w:eastAsia="Times New Roman" w:cs="Times New Roman"/>
            <w:szCs w:val="20"/>
          </w:rPr>
          <w:t>dix-septième réunion</w:t>
        </w:r>
      </w:hyperlink>
      <w:r>
        <w:t xml:space="preserve">, tenue le 20 janvier 2026, le GTC-LANG a principalement: </w:t>
      </w:r>
    </w:p>
    <w:p w14:paraId="28918142" w14:textId="60E4BD4F" w:rsidR="007945FF" w:rsidRDefault="007945FF" w:rsidP="00F83374">
      <w:pPr>
        <w:pStyle w:val="enumlev1"/>
        <w:jc w:val="both"/>
      </w:pPr>
      <w:r>
        <w:t>–</w:t>
      </w:r>
      <w:r>
        <w:tab/>
        <w:t>demandé que le texte soumis pour la Résolution 1386 du Conseil dans le Document</w:t>
      </w:r>
      <w:r w:rsidR="00392A6A">
        <w:t> </w:t>
      </w:r>
      <w:hyperlink r:id="rId19" w:history="1">
        <w:r w:rsidRPr="00392A6A">
          <w:rPr>
            <w:rStyle w:val="Hyperlink"/>
            <w:rFonts w:eastAsia="Times New Roman" w:cs="Times New Roman"/>
            <w:szCs w:val="20"/>
          </w:rPr>
          <w:t>CWG-LANG</w:t>
        </w:r>
        <w:r w:rsidR="00392A6A" w:rsidRPr="00392A6A">
          <w:rPr>
            <w:rStyle w:val="Hyperlink"/>
            <w:rFonts w:eastAsia="Times New Roman" w:cs="Times New Roman"/>
            <w:szCs w:val="20"/>
          </w:rPr>
          <w:t>/</w:t>
        </w:r>
        <w:r w:rsidRPr="00392A6A">
          <w:rPr>
            <w:rStyle w:val="Hyperlink"/>
            <w:rFonts w:eastAsia="Times New Roman" w:cs="Times New Roman"/>
            <w:szCs w:val="20"/>
          </w:rPr>
          <w:t>17/5</w:t>
        </w:r>
      </w:hyperlink>
      <w:r>
        <w:t xml:space="preserve"> et modifié par le GTC-LANG soit examiné par le CCT à sa prochaine réunion en février 2026 et intégré dans le rapport de la Présidente pour examen et adoption par le Conseil à sa session de 2026</w:t>
      </w:r>
      <w:r w:rsidR="00392A6A">
        <w:t>;</w:t>
      </w:r>
    </w:p>
    <w:p w14:paraId="71188A07" w14:textId="2DBE193F" w:rsidR="007945FF" w:rsidRDefault="007945FF" w:rsidP="00F83374">
      <w:pPr>
        <w:pStyle w:val="enumlev1"/>
        <w:jc w:val="both"/>
      </w:pPr>
      <w:r>
        <w:t>–</w:t>
      </w:r>
      <w:r>
        <w:tab/>
        <w:t>recommandé que la proposition de révision la Résolution 154 (</w:t>
      </w:r>
      <w:r w:rsidR="00392A6A">
        <w:t>R</w:t>
      </w:r>
      <w:r>
        <w:t>év. Bucarest, 2022) de la PP telle qu'acceptée par le GTC-LANG soit transmise au Conseil à sa session de 2026 afin que celui-ci l'examine et formule des observations</w:t>
      </w:r>
      <w:r w:rsidR="00392A6A">
        <w:t>;</w:t>
      </w:r>
    </w:p>
    <w:p w14:paraId="55743291" w14:textId="509BB0A9" w:rsidR="007945FF" w:rsidRDefault="007945FF" w:rsidP="00F83374">
      <w:pPr>
        <w:pStyle w:val="enumlev1"/>
        <w:jc w:val="both"/>
      </w:pPr>
      <w:r>
        <w:t>–</w:t>
      </w:r>
      <w:r>
        <w:tab/>
        <w:t>recommandé que les modifications proposées pour la Résolution 1372 du Conseil soient transmises au Conseil pour examen et adoption</w:t>
      </w:r>
      <w:r w:rsidR="00392A6A">
        <w:t>;</w:t>
      </w:r>
    </w:p>
    <w:p w14:paraId="65C4C09C" w14:textId="165AF136" w:rsidR="007945FF" w:rsidRDefault="007945FF" w:rsidP="00F83374">
      <w:pPr>
        <w:pStyle w:val="enumlev1"/>
        <w:jc w:val="both"/>
      </w:pPr>
      <w:r>
        <w:t>–</w:t>
      </w:r>
      <w:r>
        <w:tab/>
        <w:t xml:space="preserve">confirmé que le </w:t>
      </w:r>
      <w:r w:rsidR="00392A6A">
        <w:t>S</w:t>
      </w:r>
      <w:r>
        <w:t>ecrétariat enverrait une lettre circulaire à tous les États Membres, ainsi qu'aux organisations régionales de télécommunication, pour leur demander s'ils souhaitaient collaborer à la création d'un vivier d'interprètes locaux</w:t>
      </w:r>
      <w:r w:rsidR="009F7F3D">
        <w:t>.</w:t>
      </w:r>
    </w:p>
    <w:p w14:paraId="481E1C01" w14:textId="77777777" w:rsidR="007945FF" w:rsidRDefault="007945FF" w:rsidP="00392A6A">
      <w:pPr>
        <w:pStyle w:val="Heading1"/>
      </w:pPr>
      <w:r>
        <w:t>III</w:t>
      </w:r>
      <w:r>
        <w:tab/>
        <w:t>Recommandations à l'intention de la PP-26</w:t>
      </w:r>
    </w:p>
    <w:p w14:paraId="724212B7" w14:textId="58EC9E50" w:rsidR="006A11AE" w:rsidRDefault="007945FF" w:rsidP="00F83374">
      <w:pPr>
        <w:jc w:val="both"/>
      </w:pPr>
      <w:r>
        <w:t xml:space="preserve">En vertu des points 4 et 5 du </w:t>
      </w:r>
      <w:r w:rsidRPr="00392A6A">
        <w:rPr>
          <w:i/>
          <w:iCs/>
        </w:rPr>
        <w:t>décide</w:t>
      </w:r>
      <w:r>
        <w:t xml:space="preserve"> de la Décision 11 de la Conférence de plénipotentiaires, le Conseil est invité à recommander à la Conférence de plénipotentiaires de maintenir le Groupe de travail du Conseil sur l'utilisation des langues, conformément à la Résolution</w:t>
      </w:r>
      <w:r w:rsidR="00392A6A">
        <w:t> </w:t>
      </w:r>
      <w:r>
        <w:t>154 de la Conférence de plénipotentiaires relative à l'utilisation des six langues officielles de l'Union sur un pied d'égalité.</w:t>
      </w:r>
    </w:p>
    <w:p w14:paraId="080F2514" w14:textId="77777777" w:rsidR="00F83374" w:rsidRPr="007945FF" w:rsidRDefault="00F83374" w:rsidP="00F83374">
      <w:pPr>
        <w:jc w:val="both"/>
      </w:pPr>
    </w:p>
    <w:p w14:paraId="6BD4D81C" w14:textId="77777777" w:rsidR="00897553" w:rsidRDefault="006A11AE" w:rsidP="002D2336">
      <w:pPr>
        <w:jc w:val="center"/>
      </w:pPr>
      <w:r>
        <w:t>______________</w:t>
      </w:r>
    </w:p>
    <w:sectPr w:rsidR="00897553" w:rsidSect="00D72F49">
      <w:headerReference w:type="even" r:id="rId20"/>
      <w:footerReference w:type="even" r:id="rId21"/>
      <w:footerReference w:type="default" r:id="rId22"/>
      <w:headerReference w:type="first" r:id="rId23"/>
      <w:footerReference w:type="first" r:id="rId24"/>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9FE5F" w14:textId="77777777" w:rsidR="00BD7B5F" w:rsidRDefault="00BD7B5F">
      <w:r>
        <w:separator/>
      </w:r>
    </w:p>
  </w:endnote>
  <w:endnote w:type="continuationSeparator" w:id="0">
    <w:p w14:paraId="624C6EC8" w14:textId="77777777" w:rsidR="00BD7B5F" w:rsidRDefault="00BD7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0B0D" w14:textId="0D810AE5" w:rsidR="00732045" w:rsidRPr="009F7F3D" w:rsidRDefault="00F355B6">
    <w:pPr>
      <w:pStyle w:val="Footer"/>
      <w:rPr>
        <w:lang w:val="en-GB"/>
      </w:rPr>
    </w:pPr>
    <w:r>
      <w:fldChar w:fldCharType="begin"/>
    </w:r>
    <w:r w:rsidRPr="009F7F3D">
      <w:rPr>
        <w:lang w:val="en-GB"/>
      </w:rPr>
      <w:instrText xml:space="preserve"> FILENAME \p \* MERGEFORMAT </w:instrText>
    </w:r>
    <w:r>
      <w:fldChar w:fldCharType="separate"/>
    </w:r>
    <w:r w:rsidRPr="009F7F3D">
      <w:rPr>
        <w:lang w:val="en-GB"/>
      </w:rPr>
      <w:t>P:\FRA\gDoc\SG\C26\2600452F.docx</w:t>
    </w:r>
    <w:r>
      <w:fldChar w:fldCharType="end"/>
    </w:r>
    <w:r w:rsidR="00732045" w:rsidRPr="009F7F3D">
      <w:rPr>
        <w:lang w:val="en-GB"/>
      </w:rPr>
      <w:tab/>
    </w:r>
    <w:r w:rsidR="002F1B76">
      <w:fldChar w:fldCharType="begin"/>
    </w:r>
    <w:r w:rsidR="00732045">
      <w:instrText xml:space="preserve"> savedate \@ dd.MM.yy </w:instrText>
    </w:r>
    <w:r w:rsidR="002F1B76">
      <w:fldChar w:fldCharType="separate"/>
    </w:r>
    <w:r w:rsidR="009F7F3D">
      <w:t>17.03.26</w:t>
    </w:r>
    <w:r w:rsidR="002F1B76">
      <w:fldChar w:fldCharType="end"/>
    </w:r>
    <w:r w:rsidR="00732045" w:rsidRPr="009F7F3D">
      <w:rPr>
        <w:lang w:val="en-GB"/>
      </w:rPr>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EC88A68" w14:textId="77777777" w:rsidTr="00E31DCE">
      <w:trPr>
        <w:jc w:val="center"/>
      </w:trPr>
      <w:tc>
        <w:tcPr>
          <w:tcW w:w="1803" w:type="dxa"/>
          <w:vAlign w:val="center"/>
        </w:tcPr>
        <w:p w14:paraId="41F7AA9E" w14:textId="763929AB" w:rsidR="00A51849" w:rsidRDefault="007945FF" w:rsidP="00A51849">
          <w:pPr>
            <w:pStyle w:val="Header"/>
            <w:jc w:val="left"/>
            <w:rPr>
              <w:noProof/>
            </w:rPr>
          </w:pPr>
          <w:r>
            <w:rPr>
              <w:noProof/>
            </w:rPr>
            <w:t>2600452</w:t>
          </w:r>
        </w:p>
      </w:tc>
      <w:tc>
        <w:tcPr>
          <w:tcW w:w="8261" w:type="dxa"/>
        </w:tcPr>
        <w:p w14:paraId="555952C1" w14:textId="263350C7"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7945FF">
            <w:rPr>
              <w:bCs/>
            </w:rPr>
            <w:t>13</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4E729EE2"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63BAC468" w14:textId="77777777" w:rsidTr="00E31DCE">
      <w:trPr>
        <w:jc w:val="center"/>
      </w:trPr>
      <w:tc>
        <w:tcPr>
          <w:tcW w:w="1803" w:type="dxa"/>
          <w:vAlign w:val="center"/>
        </w:tcPr>
        <w:p w14:paraId="450912D2"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0823E2A7" w14:textId="5175EF7C"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7945FF">
            <w:rPr>
              <w:bCs/>
            </w:rPr>
            <w:t>13</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0F0DBC46"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48BD4" w14:textId="77777777" w:rsidR="00BD7B5F" w:rsidRDefault="00BD7B5F">
      <w:r>
        <w:t>____________________</w:t>
      </w:r>
    </w:p>
  </w:footnote>
  <w:footnote w:type="continuationSeparator" w:id="0">
    <w:p w14:paraId="4F0D9843" w14:textId="77777777" w:rsidR="00BD7B5F" w:rsidRDefault="00BD7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BCD91"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2229D76B"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7C5D"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B5F"/>
    <w:rsid w:val="00006876"/>
    <w:rsid w:val="00076A2C"/>
    <w:rsid w:val="000D0D0A"/>
    <w:rsid w:val="00103163"/>
    <w:rsid w:val="00106B19"/>
    <w:rsid w:val="001133EF"/>
    <w:rsid w:val="00115D93"/>
    <w:rsid w:val="001247A8"/>
    <w:rsid w:val="001342E0"/>
    <w:rsid w:val="001370B2"/>
    <w:rsid w:val="001378C0"/>
    <w:rsid w:val="001658F9"/>
    <w:rsid w:val="0018694A"/>
    <w:rsid w:val="0019129B"/>
    <w:rsid w:val="001A3287"/>
    <w:rsid w:val="001A6508"/>
    <w:rsid w:val="001D4C31"/>
    <w:rsid w:val="001E4D21"/>
    <w:rsid w:val="00207CD1"/>
    <w:rsid w:val="00226657"/>
    <w:rsid w:val="002477A2"/>
    <w:rsid w:val="00247D07"/>
    <w:rsid w:val="00263A51"/>
    <w:rsid w:val="00267E02"/>
    <w:rsid w:val="00271321"/>
    <w:rsid w:val="00277DEA"/>
    <w:rsid w:val="002A5D44"/>
    <w:rsid w:val="002C3F32"/>
    <w:rsid w:val="002C4E3D"/>
    <w:rsid w:val="002D2336"/>
    <w:rsid w:val="002E0BC4"/>
    <w:rsid w:val="002F1B76"/>
    <w:rsid w:val="0033568E"/>
    <w:rsid w:val="00355FF5"/>
    <w:rsid w:val="00361350"/>
    <w:rsid w:val="00392A6A"/>
    <w:rsid w:val="003C3FAE"/>
    <w:rsid w:val="004038CB"/>
    <w:rsid w:val="0040546F"/>
    <w:rsid w:val="004177BD"/>
    <w:rsid w:val="0042404A"/>
    <w:rsid w:val="0044618F"/>
    <w:rsid w:val="00465C35"/>
    <w:rsid w:val="0046769A"/>
    <w:rsid w:val="00475FB3"/>
    <w:rsid w:val="004C37A9"/>
    <w:rsid w:val="004D1D50"/>
    <w:rsid w:val="004F259E"/>
    <w:rsid w:val="004F633A"/>
    <w:rsid w:val="00504C7F"/>
    <w:rsid w:val="005056F2"/>
    <w:rsid w:val="00511F1D"/>
    <w:rsid w:val="00520F36"/>
    <w:rsid w:val="00524E8D"/>
    <w:rsid w:val="00534E13"/>
    <w:rsid w:val="00540615"/>
    <w:rsid w:val="00540A6D"/>
    <w:rsid w:val="00553536"/>
    <w:rsid w:val="00566679"/>
    <w:rsid w:val="00571EEA"/>
    <w:rsid w:val="00575417"/>
    <w:rsid w:val="005768E1"/>
    <w:rsid w:val="005B1938"/>
    <w:rsid w:val="005C3890"/>
    <w:rsid w:val="005F7BFE"/>
    <w:rsid w:val="00600017"/>
    <w:rsid w:val="00602682"/>
    <w:rsid w:val="006235CA"/>
    <w:rsid w:val="0062366E"/>
    <w:rsid w:val="006643AB"/>
    <w:rsid w:val="006A11AE"/>
    <w:rsid w:val="006B224B"/>
    <w:rsid w:val="006F0A53"/>
    <w:rsid w:val="0071402E"/>
    <w:rsid w:val="007210CD"/>
    <w:rsid w:val="00732045"/>
    <w:rsid w:val="0073275D"/>
    <w:rsid w:val="007369DB"/>
    <w:rsid w:val="0077110E"/>
    <w:rsid w:val="007945FF"/>
    <w:rsid w:val="007956C2"/>
    <w:rsid w:val="00796BDB"/>
    <w:rsid w:val="007A187E"/>
    <w:rsid w:val="007C72C2"/>
    <w:rsid w:val="007D4436"/>
    <w:rsid w:val="007F257A"/>
    <w:rsid w:val="007F3665"/>
    <w:rsid w:val="00800037"/>
    <w:rsid w:val="00811F30"/>
    <w:rsid w:val="0082299A"/>
    <w:rsid w:val="0083391C"/>
    <w:rsid w:val="0084546D"/>
    <w:rsid w:val="00861D73"/>
    <w:rsid w:val="00882919"/>
    <w:rsid w:val="00897553"/>
    <w:rsid w:val="008A4E87"/>
    <w:rsid w:val="008D76E6"/>
    <w:rsid w:val="00901077"/>
    <w:rsid w:val="0092392D"/>
    <w:rsid w:val="0093234A"/>
    <w:rsid w:val="00956A78"/>
    <w:rsid w:val="0097363B"/>
    <w:rsid w:val="00973F53"/>
    <w:rsid w:val="0098348E"/>
    <w:rsid w:val="009A6BAA"/>
    <w:rsid w:val="009A76A8"/>
    <w:rsid w:val="009C307F"/>
    <w:rsid w:val="009C353C"/>
    <w:rsid w:val="009D5955"/>
    <w:rsid w:val="009F0FB8"/>
    <w:rsid w:val="009F7F3D"/>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24EC"/>
    <w:rsid w:val="00B27B00"/>
    <w:rsid w:val="00B309F9"/>
    <w:rsid w:val="00B32B60"/>
    <w:rsid w:val="00B51005"/>
    <w:rsid w:val="00B61619"/>
    <w:rsid w:val="00BB38C1"/>
    <w:rsid w:val="00BB4545"/>
    <w:rsid w:val="00BD5873"/>
    <w:rsid w:val="00BD7B5F"/>
    <w:rsid w:val="00BF4B60"/>
    <w:rsid w:val="00C049D7"/>
    <w:rsid w:val="00C04BE3"/>
    <w:rsid w:val="00C25D29"/>
    <w:rsid w:val="00C2625E"/>
    <w:rsid w:val="00C27A7C"/>
    <w:rsid w:val="00C42437"/>
    <w:rsid w:val="00CA08ED"/>
    <w:rsid w:val="00CC6EAA"/>
    <w:rsid w:val="00CE5172"/>
    <w:rsid w:val="00CF0534"/>
    <w:rsid w:val="00CF183B"/>
    <w:rsid w:val="00D24E32"/>
    <w:rsid w:val="00D25466"/>
    <w:rsid w:val="00D375CD"/>
    <w:rsid w:val="00D37B53"/>
    <w:rsid w:val="00D553A2"/>
    <w:rsid w:val="00D72F49"/>
    <w:rsid w:val="00D774D3"/>
    <w:rsid w:val="00D904E8"/>
    <w:rsid w:val="00DA08C3"/>
    <w:rsid w:val="00DB5A3E"/>
    <w:rsid w:val="00DC22AA"/>
    <w:rsid w:val="00DD1A99"/>
    <w:rsid w:val="00DE088D"/>
    <w:rsid w:val="00DE62C6"/>
    <w:rsid w:val="00DF74DD"/>
    <w:rsid w:val="00E25AD0"/>
    <w:rsid w:val="00E4428F"/>
    <w:rsid w:val="00E4448E"/>
    <w:rsid w:val="00E47427"/>
    <w:rsid w:val="00E93668"/>
    <w:rsid w:val="00E95647"/>
    <w:rsid w:val="00EB6350"/>
    <w:rsid w:val="00ED799B"/>
    <w:rsid w:val="00F15B57"/>
    <w:rsid w:val="00F355B6"/>
    <w:rsid w:val="00F35EF4"/>
    <w:rsid w:val="00F37FE5"/>
    <w:rsid w:val="00F427DB"/>
    <w:rsid w:val="00F83374"/>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0A4E9"/>
  <w15:docId w15:val="{6BD5876E-C2E6-4B70-8016-CEB9F587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cwg-lang/Pages/default.aspx" TargetMode="External"/><Relationship Id="rId13" Type="http://schemas.openxmlformats.org/officeDocument/2006/relationships/hyperlink" Target="https://www.itu.int/md/S24-RCLCWGLANG14-C-0003/en" TargetMode="External"/><Relationship Id="rId18" Type="http://schemas.openxmlformats.org/officeDocument/2006/relationships/hyperlink" Target="https://www.itu.int/md/S26-RCLCWGLANG17-C-0009/e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itu.int/en/council/Documents/basic-texts/DEC-011-F.pdf" TargetMode="External"/><Relationship Id="rId12" Type="http://schemas.openxmlformats.org/officeDocument/2006/relationships/hyperlink" Target="https://www.itu.int/md/S24-RCLCWGLANG14-C-0005/en" TargetMode="External"/><Relationship Id="rId17" Type="http://schemas.openxmlformats.org/officeDocument/2006/relationships/hyperlink" Target="https://www.itu.int/md/S25-CL-INF-0007/e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tu.int/md/S25-RCLCWGLANG16-C-0003/e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24-RCLCWGLANG14-C-0006/en"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itu.int/md/S25-RCLCWGLANG16-C-0005/en" TargetMode="External"/><Relationship Id="rId23" Type="http://schemas.openxmlformats.org/officeDocument/2006/relationships/header" Target="header2.xml"/><Relationship Id="rId10" Type="http://schemas.openxmlformats.org/officeDocument/2006/relationships/hyperlink" Target="https://www.itu.int/md/S23-RCLCWGLANG13-C-0006/en" TargetMode="External"/><Relationship Id="rId19" Type="http://schemas.openxmlformats.org/officeDocument/2006/relationships/hyperlink" Target="https://www.itu.int/md/S26-RCLCWGLANG17-C-0005/en" TargetMode="External"/><Relationship Id="rId4" Type="http://schemas.openxmlformats.org/officeDocument/2006/relationships/webSettings" Target="webSettings.xml"/><Relationship Id="rId9" Type="http://schemas.openxmlformats.org/officeDocument/2006/relationships/hyperlink" Target="https://www.itu.int/md/S23-RCLCWGLANG13-C-0007/en" TargetMode="External"/><Relationship Id="rId14" Type="http://schemas.openxmlformats.org/officeDocument/2006/relationships/hyperlink" Target="mailto:ling-it-support@itu.int"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Template>
  <TotalTime>0</TotalTime>
  <Pages>4</Pages>
  <Words>1572</Words>
  <Characters>8744</Characters>
  <Application>Microsoft Office Word</Application>
  <DocSecurity>0</DocSecurity>
  <Lines>161</Lines>
  <Paragraphs>72</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10244</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quadriennal du Groupe de travail du Conseil sur l'utilisation des langues</dc:title>
  <dc:subject>Conseil 2026 de l'UIT</dc:subject>
  <dc:creator>Brouard, Ricarda</dc:creator>
  <cp:keywords>C26; C2026; Council 2026; PP26</cp:keywords>
  <dc:description/>
  <cp:lastModifiedBy>GBS</cp:lastModifiedBy>
  <cp:revision>2</cp:revision>
  <cp:lastPrinted>2000-07-18T08:55:00Z</cp:lastPrinted>
  <dcterms:created xsi:type="dcterms:W3CDTF">2026-03-18T12:44:00Z</dcterms:created>
  <dcterms:modified xsi:type="dcterms:W3CDTF">2026-03-18T12:44:00Z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